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F740" w14:textId="61673E66" w:rsidR="00441023" w:rsidRDefault="006576B5" w:rsidP="00137723">
      <w:pPr>
        <w:pStyle w:val="Default"/>
        <w:jc w:val="center"/>
        <w:rPr>
          <w:rFonts w:ascii="Arial" w:hAnsi="Arial" w:cs="Arial"/>
          <w:b/>
          <w:color w:val="0070C0"/>
          <w:sz w:val="28"/>
          <w:szCs w:val="28"/>
        </w:rPr>
      </w:pPr>
      <w:r w:rsidRPr="00137723">
        <w:rPr>
          <w:rFonts w:ascii="Arial" w:hAnsi="Arial" w:cs="Arial"/>
          <w:b/>
          <w:color w:val="0070C0"/>
          <w:sz w:val="28"/>
          <w:szCs w:val="28"/>
        </w:rPr>
        <w:t>S</w:t>
      </w:r>
      <w:r w:rsidR="00D56170" w:rsidRPr="00137723">
        <w:rPr>
          <w:rFonts w:ascii="Arial" w:hAnsi="Arial" w:cs="Arial"/>
          <w:b/>
          <w:color w:val="0070C0"/>
          <w:sz w:val="28"/>
          <w:szCs w:val="28"/>
        </w:rPr>
        <w:t>tanovisk</w:t>
      </w:r>
      <w:r w:rsidRPr="00137723">
        <w:rPr>
          <w:rFonts w:ascii="Arial" w:hAnsi="Arial" w:cs="Arial"/>
          <w:b/>
          <w:color w:val="0070C0"/>
          <w:sz w:val="28"/>
          <w:szCs w:val="28"/>
        </w:rPr>
        <w:t>o</w:t>
      </w:r>
      <w:r w:rsidR="00D56170" w:rsidRPr="00137723">
        <w:rPr>
          <w:rFonts w:ascii="Arial" w:hAnsi="Arial" w:cs="Arial"/>
          <w:b/>
          <w:color w:val="0070C0"/>
          <w:sz w:val="28"/>
          <w:szCs w:val="28"/>
        </w:rPr>
        <w:t xml:space="preserve"> </w:t>
      </w:r>
      <w:r w:rsidR="00AE28CA" w:rsidRPr="00AE28CA">
        <w:rPr>
          <w:rFonts w:ascii="Arial" w:hAnsi="Arial" w:cs="Arial"/>
          <w:b/>
          <w:color w:val="0070C0"/>
          <w:sz w:val="28"/>
          <w:szCs w:val="28"/>
        </w:rPr>
        <w:t>Rady pro výzkum, vývoj a inovace k Návrhu skupiny grantových projektů „Návratové granty“</w:t>
      </w:r>
    </w:p>
    <w:p w14:paraId="5DCA82F6" w14:textId="77777777" w:rsidR="00137723" w:rsidRPr="00137723" w:rsidRDefault="00137723" w:rsidP="00137723">
      <w:pPr>
        <w:pStyle w:val="Default"/>
        <w:jc w:val="center"/>
        <w:rPr>
          <w:rFonts w:ascii="Arial" w:hAnsi="Arial" w:cs="Arial"/>
          <w:b/>
          <w:color w:val="0070C0"/>
          <w:sz w:val="28"/>
          <w:szCs w:val="28"/>
        </w:rPr>
      </w:pPr>
    </w:p>
    <w:p w14:paraId="39C641FF" w14:textId="319D3823" w:rsidR="00D723D5" w:rsidRPr="00D723D5" w:rsidRDefault="00D56170" w:rsidP="00D723D5">
      <w:pPr>
        <w:pStyle w:val="Odstavecseseznamem"/>
        <w:numPr>
          <w:ilvl w:val="0"/>
          <w:numId w:val="1"/>
        </w:numPr>
        <w:spacing w:after="120"/>
        <w:ind w:left="726"/>
        <w:contextualSpacing w:val="0"/>
        <w:jc w:val="both"/>
        <w:rPr>
          <w:rFonts w:ascii="Arial" w:hAnsi="Arial" w:cs="Arial"/>
          <w:b/>
          <w:color w:val="0070C0"/>
          <w:sz w:val="22"/>
          <w:szCs w:val="22"/>
        </w:rPr>
      </w:pPr>
      <w:r w:rsidRPr="00CC0810">
        <w:rPr>
          <w:rFonts w:ascii="Arial" w:hAnsi="Arial" w:cs="Arial"/>
          <w:b/>
          <w:color w:val="0070C0"/>
          <w:sz w:val="22"/>
          <w:szCs w:val="22"/>
        </w:rPr>
        <w:t>Způsob předložení a projednání návrhu</w:t>
      </w:r>
    </w:p>
    <w:p w14:paraId="3BBA92ED" w14:textId="7E24E583" w:rsidR="00137723" w:rsidRPr="00CC0810" w:rsidRDefault="00D615D1" w:rsidP="002F2081">
      <w:pPr>
        <w:pStyle w:val="Odstavecseseznamem"/>
        <w:spacing w:after="120"/>
        <w:ind w:left="723"/>
        <w:contextualSpacing w:val="0"/>
        <w:jc w:val="both"/>
        <w:rPr>
          <w:rFonts w:ascii="Arial" w:eastAsiaTheme="minorHAnsi" w:hAnsi="Arial" w:cs="Arial"/>
          <w:sz w:val="22"/>
          <w:szCs w:val="22"/>
          <w:lang w:eastAsia="en-US"/>
        </w:rPr>
      </w:pPr>
      <w:r w:rsidRPr="00D615D1">
        <w:rPr>
          <w:rFonts w:ascii="Arial" w:eastAsiaTheme="minorHAnsi" w:hAnsi="Arial" w:cs="Arial"/>
          <w:sz w:val="22"/>
          <w:szCs w:val="22"/>
          <w:lang w:eastAsia="en-US"/>
        </w:rPr>
        <w:t xml:space="preserve">Návrh skupiny grantových projektů Návratové granty (dále také „Návratové granty“) byl předložen Radě pro výzkum, vývoj a inovace (dále jen „Rada“) dopisem předsedy Grantové agentury České republiky (dále jen „GA ČR“) prof. RNDr. Petrem </w:t>
      </w:r>
      <w:proofErr w:type="spellStart"/>
      <w:r w:rsidRPr="00D615D1">
        <w:rPr>
          <w:rFonts w:ascii="Arial" w:eastAsiaTheme="minorHAnsi" w:hAnsi="Arial" w:cs="Arial"/>
          <w:sz w:val="22"/>
          <w:szCs w:val="22"/>
          <w:lang w:eastAsia="en-US"/>
        </w:rPr>
        <w:t>Baldrianem</w:t>
      </w:r>
      <w:proofErr w:type="spellEnd"/>
      <w:r w:rsidRPr="00D615D1">
        <w:rPr>
          <w:rFonts w:ascii="Arial" w:eastAsiaTheme="minorHAnsi" w:hAnsi="Arial" w:cs="Arial"/>
          <w:sz w:val="22"/>
          <w:szCs w:val="22"/>
          <w:lang w:eastAsia="en-US"/>
        </w:rPr>
        <w:t>, Ph.D. ze dne 15. dubna 2024 č. j.: 40728/2024/GAČR/PAK.</w:t>
      </w:r>
    </w:p>
    <w:p w14:paraId="3AD17DC6" w14:textId="18C29C5C" w:rsidR="005F33CA" w:rsidRPr="00CC0810" w:rsidRDefault="0085388D" w:rsidP="002F2081">
      <w:pPr>
        <w:pStyle w:val="Odstavecseseznamem"/>
        <w:spacing w:after="120"/>
        <w:ind w:left="723"/>
        <w:contextualSpacing w:val="0"/>
        <w:jc w:val="both"/>
        <w:rPr>
          <w:rFonts w:ascii="Arial" w:hAnsi="Arial" w:cs="Arial"/>
          <w:color w:val="0070C0"/>
          <w:sz w:val="22"/>
          <w:szCs w:val="22"/>
        </w:rPr>
      </w:pPr>
      <w:r w:rsidRPr="0085388D">
        <w:rPr>
          <w:rFonts w:ascii="Arial" w:eastAsiaTheme="minorHAnsi" w:hAnsi="Arial" w:cs="Arial"/>
          <w:sz w:val="22"/>
          <w:szCs w:val="22"/>
          <w:lang w:eastAsia="en-US"/>
        </w:rPr>
        <w:t>Návrh byl projednán na 401. zasedání Rady dne 31. května 2024.</w:t>
      </w:r>
      <w:r w:rsidR="002F2081" w:rsidRPr="00CC0810">
        <w:rPr>
          <w:rFonts w:ascii="Arial" w:eastAsiaTheme="minorHAnsi" w:hAnsi="Arial" w:cs="Arial"/>
          <w:sz w:val="22"/>
          <w:szCs w:val="22"/>
          <w:lang w:eastAsia="en-US"/>
        </w:rPr>
        <w:t xml:space="preserve"> </w:t>
      </w:r>
    </w:p>
    <w:p w14:paraId="294608B8" w14:textId="04226A42" w:rsidR="00D56170" w:rsidRPr="00CC0810" w:rsidRDefault="00765BA0" w:rsidP="00341788">
      <w:pPr>
        <w:pStyle w:val="Odstavecseseznamem"/>
        <w:numPr>
          <w:ilvl w:val="0"/>
          <w:numId w:val="1"/>
        </w:numPr>
        <w:spacing w:after="120"/>
        <w:jc w:val="both"/>
        <w:rPr>
          <w:rFonts w:ascii="Arial" w:hAnsi="Arial" w:cs="Arial"/>
          <w:b/>
          <w:color w:val="0070C0"/>
          <w:sz w:val="22"/>
          <w:szCs w:val="22"/>
        </w:rPr>
      </w:pPr>
      <w:r w:rsidRPr="00CC0810">
        <w:rPr>
          <w:rFonts w:ascii="Arial" w:hAnsi="Arial" w:cs="Arial"/>
          <w:b/>
          <w:color w:val="0070C0"/>
          <w:sz w:val="22"/>
          <w:szCs w:val="22"/>
        </w:rPr>
        <w:t xml:space="preserve">K hodnocení </w:t>
      </w:r>
      <w:r w:rsidR="00D56170" w:rsidRPr="00CC0810">
        <w:rPr>
          <w:rFonts w:ascii="Arial" w:hAnsi="Arial" w:cs="Arial"/>
          <w:b/>
          <w:color w:val="0070C0"/>
          <w:sz w:val="22"/>
          <w:szCs w:val="22"/>
        </w:rPr>
        <w:t xml:space="preserve">návrhu </w:t>
      </w:r>
      <w:r w:rsidR="007C6750" w:rsidRPr="00CC0810">
        <w:rPr>
          <w:rFonts w:ascii="Arial" w:hAnsi="Arial" w:cs="Arial"/>
          <w:b/>
          <w:color w:val="0070C0"/>
          <w:sz w:val="22"/>
          <w:szCs w:val="22"/>
        </w:rPr>
        <w:t>P</w:t>
      </w:r>
      <w:r w:rsidR="00D56170" w:rsidRPr="00CC0810">
        <w:rPr>
          <w:rFonts w:ascii="Arial" w:hAnsi="Arial" w:cs="Arial"/>
          <w:b/>
          <w:color w:val="0070C0"/>
          <w:sz w:val="22"/>
          <w:szCs w:val="22"/>
        </w:rPr>
        <w:t>rogramu</w:t>
      </w:r>
      <w:r w:rsidRPr="00CC0810">
        <w:rPr>
          <w:rFonts w:ascii="Arial" w:hAnsi="Arial" w:cs="Arial"/>
          <w:b/>
          <w:color w:val="0070C0"/>
          <w:sz w:val="22"/>
          <w:szCs w:val="22"/>
        </w:rPr>
        <w:t xml:space="preserve"> Radou</w:t>
      </w:r>
    </w:p>
    <w:p w14:paraId="7EC94672" w14:textId="047F5929" w:rsidR="00BA3705" w:rsidRPr="00CC0810" w:rsidRDefault="00A53EFE" w:rsidP="00D56170">
      <w:pPr>
        <w:pStyle w:val="Zkladntext2"/>
        <w:spacing w:after="120"/>
        <w:ind w:left="708"/>
        <w:jc w:val="both"/>
        <w:rPr>
          <w:rFonts w:ascii="Arial" w:hAnsi="Arial" w:cs="Arial"/>
          <w:sz w:val="22"/>
          <w:szCs w:val="22"/>
        </w:rPr>
      </w:pPr>
      <w:r w:rsidRPr="00CC0810">
        <w:rPr>
          <w:rFonts w:ascii="Arial" w:hAnsi="Arial" w:cs="Arial"/>
          <w:sz w:val="22"/>
          <w:szCs w:val="22"/>
        </w:rPr>
        <w:t xml:space="preserve">Rada posoudila návrh </w:t>
      </w:r>
      <w:r w:rsidR="007C6750" w:rsidRPr="00CC0810">
        <w:rPr>
          <w:rFonts w:ascii="Arial" w:hAnsi="Arial" w:cs="Arial"/>
          <w:sz w:val="22"/>
          <w:szCs w:val="22"/>
        </w:rPr>
        <w:t>P</w:t>
      </w:r>
      <w:r w:rsidRPr="00CC0810">
        <w:rPr>
          <w:rFonts w:ascii="Arial" w:hAnsi="Arial" w:cs="Arial"/>
          <w:sz w:val="22"/>
          <w:szCs w:val="22"/>
        </w:rPr>
        <w:t>rogramu podle</w:t>
      </w:r>
      <w:r w:rsidR="00BA3705" w:rsidRPr="00CC0810">
        <w:rPr>
          <w:rFonts w:ascii="Arial" w:hAnsi="Arial" w:cs="Arial"/>
          <w:sz w:val="22"/>
          <w:szCs w:val="22"/>
        </w:rPr>
        <w:t xml:space="preserve"> následujících dokumentů:</w:t>
      </w:r>
    </w:p>
    <w:p w14:paraId="0AA07353" w14:textId="25850EA0" w:rsidR="00A07E2A" w:rsidRPr="00CC0810" w:rsidRDefault="00601C5B"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z</w:t>
      </w:r>
      <w:r w:rsidR="00BA3705" w:rsidRPr="00CC0810">
        <w:rPr>
          <w:rFonts w:ascii="Arial" w:hAnsi="Arial" w:cs="Arial"/>
          <w:sz w:val="22"/>
          <w:szCs w:val="22"/>
        </w:rPr>
        <w:t xml:space="preserve">ákona č. 130/2002 </w:t>
      </w:r>
      <w:r w:rsidR="009850CE" w:rsidRPr="00CC0810">
        <w:rPr>
          <w:rFonts w:ascii="Arial" w:hAnsi="Arial" w:cs="Arial"/>
          <w:sz w:val="22"/>
          <w:szCs w:val="22"/>
        </w:rPr>
        <w:t xml:space="preserve">Sb., </w:t>
      </w:r>
      <w:r w:rsidR="00BA3705" w:rsidRPr="00CC0810">
        <w:rPr>
          <w:rFonts w:ascii="Arial" w:hAnsi="Arial" w:cs="Arial"/>
          <w:sz w:val="22"/>
          <w:szCs w:val="22"/>
        </w:rPr>
        <w:t>o podpoře výzkumu, experimentálního vývoje  a inovací z</w:t>
      </w:r>
      <w:r w:rsidR="00582E5C">
        <w:rPr>
          <w:rFonts w:ascii="Arial" w:hAnsi="Arial" w:cs="Arial"/>
          <w:sz w:val="22"/>
          <w:szCs w:val="22"/>
        </w:rPr>
        <w:t> </w:t>
      </w:r>
      <w:r w:rsidR="00BA3705" w:rsidRPr="00CC0810">
        <w:rPr>
          <w:rFonts w:ascii="Arial" w:hAnsi="Arial" w:cs="Arial"/>
          <w:sz w:val="22"/>
          <w:szCs w:val="22"/>
        </w:rPr>
        <w:t>veřejných prostředků a o změně některých souvisejících zákonů, ve znění pozdějších předpisů</w:t>
      </w:r>
      <w:r w:rsidRPr="00CC0810">
        <w:rPr>
          <w:rFonts w:ascii="Arial" w:hAnsi="Arial" w:cs="Arial"/>
          <w:sz w:val="22"/>
          <w:szCs w:val="22"/>
        </w:rPr>
        <w:t xml:space="preserve">), </w:t>
      </w:r>
      <w:r w:rsidR="00BA3705" w:rsidRPr="00CC0810">
        <w:rPr>
          <w:rFonts w:ascii="Arial" w:hAnsi="Arial" w:cs="Arial"/>
          <w:sz w:val="22"/>
          <w:szCs w:val="22"/>
        </w:rPr>
        <w:t xml:space="preserve">(dále jen </w:t>
      </w:r>
      <w:r w:rsidR="00934BD4" w:rsidRPr="00CC0810">
        <w:rPr>
          <w:rFonts w:ascii="Arial" w:hAnsi="Arial" w:cs="Arial"/>
          <w:sz w:val="22"/>
          <w:szCs w:val="22"/>
        </w:rPr>
        <w:t>„</w:t>
      </w:r>
      <w:r w:rsidR="00BA3705" w:rsidRPr="00CC0810">
        <w:rPr>
          <w:rFonts w:ascii="Arial" w:hAnsi="Arial" w:cs="Arial"/>
          <w:sz w:val="22"/>
          <w:szCs w:val="22"/>
        </w:rPr>
        <w:t xml:space="preserve">zákon č. 130/2002 </w:t>
      </w:r>
      <w:r w:rsidR="00A07E2A" w:rsidRPr="00CC0810">
        <w:rPr>
          <w:rFonts w:ascii="Arial" w:hAnsi="Arial" w:cs="Arial"/>
          <w:sz w:val="22"/>
          <w:szCs w:val="22"/>
        </w:rPr>
        <w:t>Sb</w:t>
      </w:r>
      <w:r w:rsidRPr="00CC0810">
        <w:rPr>
          <w:rFonts w:ascii="Arial" w:hAnsi="Arial" w:cs="Arial"/>
          <w:sz w:val="22"/>
          <w:szCs w:val="22"/>
        </w:rPr>
        <w:t>.</w:t>
      </w:r>
      <w:r w:rsidR="00934BD4" w:rsidRPr="00CC0810">
        <w:rPr>
          <w:rFonts w:ascii="Arial" w:hAnsi="Arial" w:cs="Arial"/>
          <w:sz w:val="22"/>
          <w:szCs w:val="22"/>
        </w:rPr>
        <w:t>“</w:t>
      </w:r>
      <w:r w:rsidRPr="00CC0810">
        <w:rPr>
          <w:rFonts w:ascii="Arial" w:hAnsi="Arial" w:cs="Arial"/>
          <w:sz w:val="22"/>
          <w:szCs w:val="22"/>
        </w:rPr>
        <w:t>),</w:t>
      </w:r>
    </w:p>
    <w:p w14:paraId="4874E23C" w14:textId="3BBD08AE" w:rsidR="00BA3705" w:rsidRPr="00CC0810" w:rsidRDefault="00A07E2A"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M</w:t>
      </w:r>
      <w:r w:rsidR="00765BA0" w:rsidRPr="00CC0810">
        <w:rPr>
          <w:rFonts w:ascii="Arial" w:eastAsiaTheme="minorHAnsi" w:hAnsi="Arial" w:cs="Arial"/>
          <w:color w:val="000000"/>
          <w:sz w:val="22"/>
          <w:szCs w:val="22"/>
          <w:lang w:eastAsia="en-US"/>
        </w:rPr>
        <w:t>etodik</w:t>
      </w:r>
      <w:r w:rsidR="00BA3705" w:rsidRPr="00CC0810">
        <w:rPr>
          <w:rFonts w:ascii="Arial" w:eastAsiaTheme="minorHAnsi" w:hAnsi="Arial" w:cs="Arial"/>
          <w:color w:val="000000"/>
          <w:sz w:val="22"/>
          <w:szCs w:val="22"/>
          <w:lang w:eastAsia="en-US"/>
        </w:rPr>
        <w:t>y</w:t>
      </w:r>
      <w:r w:rsidR="00765BA0" w:rsidRPr="00CC0810">
        <w:rPr>
          <w:rFonts w:ascii="Arial" w:eastAsiaTheme="minorHAnsi" w:hAnsi="Arial" w:cs="Arial"/>
          <w:color w:val="000000"/>
          <w:sz w:val="22"/>
          <w:szCs w:val="22"/>
          <w:lang w:eastAsia="en-US"/>
        </w:rPr>
        <w:t xml:space="preserve"> hodnocení výzkumných organizací a hodnocení programů účelové podpory výzkumu, vývoje a inovací</w:t>
      </w:r>
      <w:r w:rsidR="009850CE" w:rsidRPr="00CC0810">
        <w:rPr>
          <w:rFonts w:ascii="Arial" w:eastAsiaTheme="minorHAnsi" w:hAnsi="Arial" w:cs="Arial"/>
          <w:color w:val="000000"/>
          <w:sz w:val="22"/>
          <w:szCs w:val="22"/>
          <w:lang w:eastAsia="en-US"/>
        </w:rPr>
        <w:t>,</w:t>
      </w:r>
      <w:r w:rsidR="00765BA0" w:rsidRPr="00CC0810">
        <w:rPr>
          <w:rFonts w:ascii="Arial" w:eastAsiaTheme="minorHAnsi" w:hAnsi="Arial" w:cs="Arial"/>
          <w:color w:val="000000"/>
          <w:sz w:val="22"/>
          <w:szCs w:val="22"/>
          <w:lang w:eastAsia="en-US"/>
        </w:rPr>
        <w:t xml:space="preserve"> schválen</w:t>
      </w:r>
      <w:r w:rsidRPr="00CC0810">
        <w:rPr>
          <w:rFonts w:ascii="Arial" w:eastAsiaTheme="minorHAnsi" w:hAnsi="Arial" w:cs="Arial"/>
          <w:color w:val="000000"/>
          <w:sz w:val="22"/>
          <w:szCs w:val="22"/>
          <w:lang w:eastAsia="en-US"/>
        </w:rPr>
        <w:t>é</w:t>
      </w:r>
      <w:r w:rsidR="00765BA0" w:rsidRPr="00CC0810">
        <w:rPr>
          <w:rFonts w:ascii="Arial" w:eastAsiaTheme="minorHAnsi" w:hAnsi="Arial" w:cs="Arial"/>
          <w:color w:val="000000"/>
          <w:sz w:val="22"/>
          <w:szCs w:val="22"/>
          <w:lang w:eastAsia="en-US"/>
        </w:rPr>
        <w:t xml:space="preserve"> usnesením vlády ze dne 8</w:t>
      </w:r>
      <w:r w:rsidRPr="00CC0810">
        <w:rPr>
          <w:rFonts w:ascii="Arial" w:eastAsiaTheme="minorHAnsi" w:hAnsi="Arial" w:cs="Arial"/>
          <w:color w:val="000000"/>
          <w:sz w:val="22"/>
          <w:szCs w:val="22"/>
          <w:lang w:eastAsia="en-US"/>
        </w:rPr>
        <w:t>. února</w:t>
      </w:r>
      <w:r w:rsidR="00765BA0" w:rsidRPr="00CC0810">
        <w:rPr>
          <w:rFonts w:ascii="Arial" w:eastAsiaTheme="minorHAnsi" w:hAnsi="Arial" w:cs="Arial"/>
          <w:color w:val="000000"/>
          <w:sz w:val="22"/>
          <w:szCs w:val="22"/>
          <w:lang w:eastAsia="en-US"/>
        </w:rPr>
        <w:t xml:space="preserve"> 2017 č. 107 (</w:t>
      </w:r>
      <w:r w:rsidR="00934BD4" w:rsidRPr="00CC0810">
        <w:rPr>
          <w:rFonts w:ascii="Arial" w:eastAsiaTheme="minorHAnsi" w:hAnsi="Arial" w:cs="Arial"/>
          <w:color w:val="000000"/>
          <w:sz w:val="22"/>
          <w:szCs w:val="22"/>
          <w:lang w:eastAsia="en-US"/>
        </w:rPr>
        <w:t>dále jen „</w:t>
      </w:r>
      <w:r w:rsidR="00765BA0" w:rsidRPr="00CC0810">
        <w:rPr>
          <w:rFonts w:ascii="Arial" w:eastAsiaTheme="minorHAnsi" w:hAnsi="Arial" w:cs="Arial"/>
          <w:color w:val="000000"/>
          <w:sz w:val="22"/>
          <w:szCs w:val="22"/>
          <w:lang w:eastAsia="en-US"/>
        </w:rPr>
        <w:t>Metodika M17+</w:t>
      </w:r>
      <w:r w:rsidR="00934BD4" w:rsidRPr="00CC0810">
        <w:rPr>
          <w:rFonts w:ascii="Arial" w:eastAsiaTheme="minorHAnsi" w:hAnsi="Arial" w:cs="Arial"/>
          <w:color w:val="000000"/>
          <w:sz w:val="22"/>
          <w:szCs w:val="22"/>
          <w:lang w:eastAsia="en-US"/>
        </w:rPr>
        <w:t>“</w:t>
      </w:r>
      <w:r w:rsidR="00765BA0" w:rsidRPr="00CC0810">
        <w:rPr>
          <w:rFonts w:ascii="Arial" w:eastAsiaTheme="minorHAnsi" w:hAnsi="Arial" w:cs="Arial"/>
          <w:color w:val="000000"/>
          <w:sz w:val="22"/>
          <w:szCs w:val="22"/>
          <w:lang w:eastAsia="en-US"/>
        </w:rPr>
        <w:t>)</w:t>
      </w:r>
      <w:r w:rsidR="00BA3705" w:rsidRPr="00CC0810">
        <w:rPr>
          <w:rFonts w:ascii="Arial" w:eastAsiaTheme="minorHAnsi" w:hAnsi="Arial" w:cs="Arial"/>
          <w:color w:val="000000"/>
          <w:sz w:val="22"/>
          <w:szCs w:val="22"/>
          <w:lang w:eastAsia="en-US"/>
        </w:rPr>
        <w:t>,</w:t>
      </w:r>
    </w:p>
    <w:p w14:paraId="471802A5" w14:textId="749B0C5F" w:rsidR="00765BA0" w:rsidRPr="00CC0810" w:rsidRDefault="00765BA0" w:rsidP="002A40D7">
      <w:pPr>
        <w:pStyle w:val="Zkladntext2"/>
        <w:numPr>
          <w:ilvl w:val="0"/>
          <w:numId w:val="8"/>
        </w:numPr>
        <w:spacing w:after="120"/>
        <w:jc w:val="both"/>
        <w:rPr>
          <w:rFonts w:ascii="Arial" w:hAnsi="Arial" w:cs="Arial"/>
          <w:sz w:val="22"/>
          <w:szCs w:val="22"/>
        </w:rPr>
      </w:pPr>
      <w:r w:rsidRPr="00CC0810">
        <w:rPr>
          <w:rFonts w:ascii="Arial" w:eastAsiaTheme="minorHAnsi" w:hAnsi="Arial" w:cs="Arial"/>
          <w:color w:val="000000"/>
          <w:sz w:val="22"/>
          <w:szCs w:val="22"/>
          <w:lang w:eastAsia="en-US"/>
        </w:rPr>
        <w:t>Základní</w:t>
      </w:r>
      <w:r w:rsidR="00934BD4" w:rsidRPr="00CC0810">
        <w:rPr>
          <w:rFonts w:ascii="Arial" w:eastAsiaTheme="minorHAnsi" w:hAnsi="Arial" w:cs="Arial"/>
          <w:color w:val="000000"/>
          <w:sz w:val="22"/>
          <w:szCs w:val="22"/>
          <w:lang w:eastAsia="en-US"/>
        </w:rPr>
        <w:t>ch</w:t>
      </w:r>
      <w:r w:rsidRPr="00CC0810">
        <w:rPr>
          <w:rFonts w:ascii="Arial" w:eastAsiaTheme="minorHAnsi" w:hAnsi="Arial" w:cs="Arial"/>
          <w:color w:val="000000"/>
          <w:sz w:val="22"/>
          <w:szCs w:val="22"/>
          <w:lang w:eastAsia="en-US"/>
        </w:rPr>
        <w:t xml:space="preserve"> princip</w:t>
      </w:r>
      <w:r w:rsidR="00934BD4" w:rsidRPr="00CC0810">
        <w:rPr>
          <w:rFonts w:ascii="Arial" w:eastAsiaTheme="minorHAnsi" w:hAnsi="Arial" w:cs="Arial"/>
          <w:color w:val="000000"/>
          <w:sz w:val="22"/>
          <w:szCs w:val="22"/>
          <w:lang w:eastAsia="en-US"/>
        </w:rPr>
        <w:t>ů</w:t>
      </w:r>
      <w:r w:rsidRPr="00CC0810">
        <w:rPr>
          <w:rFonts w:ascii="Arial" w:eastAsiaTheme="minorHAnsi" w:hAnsi="Arial" w:cs="Arial"/>
          <w:color w:val="000000"/>
          <w:sz w:val="22"/>
          <w:szCs w:val="22"/>
          <w:lang w:eastAsia="en-US"/>
        </w:rPr>
        <w:t xml:space="preserve"> přípravy a hodnocení programů a skupin grantových projektů výzkumu, vývoje a inovací (pří</w:t>
      </w:r>
      <w:r w:rsidR="00A07E2A" w:rsidRPr="00CC0810">
        <w:rPr>
          <w:rFonts w:ascii="Arial" w:eastAsiaTheme="minorHAnsi" w:hAnsi="Arial" w:cs="Arial"/>
          <w:color w:val="000000"/>
          <w:sz w:val="22"/>
          <w:szCs w:val="22"/>
          <w:lang w:eastAsia="en-US"/>
        </w:rPr>
        <w:t>loha k usnesení vlády ze dne 13. k</w:t>
      </w:r>
      <w:r w:rsidR="00582E5C">
        <w:rPr>
          <w:rFonts w:ascii="Arial" w:eastAsiaTheme="minorHAnsi" w:hAnsi="Arial" w:cs="Arial"/>
          <w:color w:val="000000"/>
          <w:sz w:val="22"/>
          <w:szCs w:val="22"/>
          <w:lang w:eastAsia="en-US"/>
        </w:rPr>
        <w:t>větna 2015 č. </w:t>
      </w:r>
      <w:r w:rsidRPr="00CC0810">
        <w:rPr>
          <w:rFonts w:ascii="Arial" w:eastAsiaTheme="minorHAnsi" w:hAnsi="Arial" w:cs="Arial"/>
          <w:color w:val="000000"/>
          <w:sz w:val="22"/>
          <w:szCs w:val="22"/>
          <w:lang w:eastAsia="en-US"/>
        </w:rPr>
        <w:t>351)</w:t>
      </w:r>
      <w:r w:rsidR="00394A60" w:rsidRPr="00CC0810">
        <w:rPr>
          <w:rFonts w:ascii="Arial" w:eastAsiaTheme="minorHAnsi" w:hAnsi="Arial" w:cs="Arial"/>
          <w:color w:val="000000"/>
          <w:sz w:val="22"/>
          <w:szCs w:val="22"/>
          <w:lang w:eastAsia="en-US"/>
        </w:rPr>
        <w:t xml:space="preserve">, </w:t>
      </w:r>
      <w:r w:rsidR="00934BD4" w:rsidRPr="00CC0810">
        <w:rPr>
          <w:rFonts w:ascii="Arial" w:eastAsiaTheme="minorHAnsi" w:hAnsi="Arial" w:cs="Arial"/>
          <w:color w:val="000000"/>
          <w:sz w:val="22"/>
          <w:szCs w:val="22"/>
          <w:lang w:eastAsia="en-US"/>
        </w:rPr>
        <w:t>(</w:t>
      </w:r>
      <w:r w:rsidR="00394A60" w:rsidRPr="00CC0810">
        <w:rPr>
          <w:rFonts w:ascii="Arial" w:eastAsiaTheme="minorHAnsi" w:hAnsi="Arial" w:cs="Arial"/>
          <w:color w:val="000000"/>
          <w:sz w:val="22"/>
          <w:szCs w:val="22"/>
          <w:lang w:eastAsia="en-US"/>
        </w:rPr>
        <w:t>dále jen „Principy“)</w:t>
      </w:r>
      <w:r w:rsidR="009850CE" w:rsidRPr="00CC0810">
        <w:rPr>
          <w:rFonts w:ascii="Arial" w:eastAsiaTheme="minorHAnsi" w:hAnsi="Arial" w:cs="Arial"/>
          <w:color w:val="000000"/>
          <w:sz w:val="22"/>
          <w:szCs w:val="22"/>
          <w:lang w:eastAsia="en-US"/>
        </w:rPr>
        <w:t>,</w:t>
      </w:r>
    </w:p>
    <w:p w14:paraId="7F2A4E87" w14:textId="77777777" w:rsidR="00BA3705" w:rsidRPr="00CC0810" w:rsidRDefault="00BA3705"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Národní politik</w:t>
      </w:r>
      <w:r w:rsidR="00934BD4" w:rsidRPr="00CC0810">
        <w:rPr>
          <w:rFonts w:ascii="Arial" w:hAnsi="Arial" w:cs="Arial"/>
          <w:sz w:val="22"/>
          <w:szCs w:val="22"/>
        </w:rPr>
        <w:t>y</w:t>
      </w:r>
      <w:r w:rsidRPr="00CC0810">
        <w:rPr>
          <w:rFonts w:ascii="Arial" w:hAnsi="Arial" w:cs="Arial"/>
          <w:sz w:val="22"/>
          <w:szCs w:val="22"/>
        </w:rPr>
        <w:t xml:space="preserve"> výzkumu, vývoje a inovací</w:t>
      </w:r>
      <w:r w:rsidR="00934BD4" w:rsidRPr="00CC0810">
        <w:rPr>
          <w:rFonts w:ascii="Arial" w:hAnsi="Arial" w:cs="Arial"/>
          <w:sz w:val="22"/>
          <w:szCs w:val="22"/>
        </w:rPr>
        <w:t xml:space="preserve"> České republiky 2021+</w:t>
      </w:r>
      <w:r w:rsidRPr="00CC0810">
        <w:rPr>
          <w:rFonts w:ascii="Arial" w:hAnsi="Arial" w:cs="Arial"/>
          <w:sz w:val="22"/>
          <w:szCs w:val="22"/>
        </w:rPr>
        <w:t xml:space="preserve"> (</w:t>
      </w:r>
      <w:r w:rsidR="00934BD4" w:rsidRPr="00CC0810">
        <w:rPr>
          <w:rFonts w:ascii="Arial" w:hAnsi="Arial" w:cs="Arial"/>
          <w:sz w:val="22"/>
          <w:szCs w:val="22"/>
        </w:rPr>
        <w:t>dále jen „</w:t>
      </w:r>
      <w:r w:rsidRPr="00CC0810">
        <w:rPr>
          <w:rFonts w:ascii="Arial" w:hAnsi="Arial" w:cs="Arial"/>
          <w:sz w:val="22"/>
          <w:szCs w:val="22"/>
        </w:rPr>
        <w:t xml:space="preserve">NP </w:t>
      </w:r>
      <w:proofErr w:type="spellStart"/>
      <w:r w:rsidRPr="00CC0810">
        <w:rPr>
          <w:rFonts w:ascii="Arial" w:hAnsi="Arial" w:cs="Arial"/>
          <w:sz w:val="22"/>
          <w:szCs w:val="22"/>
        </w:rPr>
        <w:t>VaVaI</w:t>
      </w:r>
      <w:proofErr w:type="spellEnd"/>
      <w:r w:rsidRPr="00CC0810">
        <w:rPr>
          <w:rFonts w:ascii="Arial" w:hAnsi="Arial" w:cs="Arial"/>
          <w:sz w:val="22"/>
          <w:szCs w:val="22"/>
        </w:rPr>
        <w:t xml:space="preserve"> 2021+</w:t>
      </w:r>
      <w:r w:rsidR="00934BD4" w:rsidRPr="00CC0810">
        <w:rPr>
          <w:rFonts w:ascii="Arial" w:hAnsi="Arial" w:cs="Arial"/>
          <w:sz w:val="22"/>
          <w:szCs w:val="22"/>
        </w:rPr>
        <w:t>“</w:t>
      </w:r>
      <w:r w:rsidRPr="00CC0810">
        <w:rPr>
          <w:rFonts w:ascii="Arial" w:hAnsi="Arial" w:cs="Arial"/>
          <w:sz w:val="22"/>
          <w:szCs w:val="22"/>
        </w:rPr>
        <w:t>), schválen</w:t>
      </w:r>
      <w:r w:rsidR="00934BD4" w:rsidRPr="00CC0810">
        <w:rPr>
          <w:rFonts w:ascii="Arial" w:hAnsi="Arial" w:cs="Arial"/>
          <w:sz w:val="22"/>
          <w:szCs w:val="22"/>
        </w:rPr>
        <w:t>é</w:t>
      </w:r>
      <w:r w:rsidRPr="00CC0810">
        <w:rPr>
          <w:rFonts w:ascii="Arial" w:hAnsi="Arial" w:cs="Arial"/>
          <w:sz w:val="22"/>
          <w:szCs w:val="22"/>
        </w:rPr>
        <w:t xml:space="preserve"> usnesením vlády ze dne 20. července 2020 č. 759,</w:t>
      </w:r>
    </w:p>
    <w:p w14:paraId="1513820A" w14:textId="711CD13A" w:rsidR="00BA3705" w:rsidRPr="00CC0810" w:rsidRDefault="00C029AC" w:rsidP="002A40D7">
      <w:pPr>
        <w:pStyle w:val="Odstavecseseznamem"/>
        <w:numPr>
          <w:ilvl w:val="0"/>
          <w:numId w:val="8"/>
        </w:numPr>
        <w:spacing w:after="120"/>
        <w:ind w:left="1066" w:hanging="357"/>
        <w:contextualSpacing w:val="0"/>
        <w:jc w:val="both"/>
        <w:rPr>
          <w:rFonts w:ascii="Arial" w:hAnsi="Arial" w:cs="Arial"/>
          <w:sz w:val="22"/>
          <w:szCs w:val="22"/>
        </w:rPr>
      </w:pPr>
      <w:r w:rsidRPr="00CC0810">
        <w:rPr>
          <w:rFonts w:ascii="Arial" w:hAnsi="Arial" w:cs="Arial"/>
          <w:sz w:val="22"/>
          <w:szCs w:val="22"/>
        </w:rPr>
        <w:t>N</w:t>
      </w:r>
      <w:r w:rsidR="00BA3705" w:rsidRPr="00CC0810">
        <w:rPr>
          <w:rFonts w:ascii="Arial" w:hAnsi="Arial" w:cs="Arial"/>
          <w:sz w:val="22"/>
          <w:szCs w:val="22"/>
        </w:rPr>
        <w:t>árodní</w:t>
      </w:r>
      <w:r w:rsidR="00934BD4" w:rsidRPr="00CC0810">
        <w:rPr>
          <w:rFonts w:ascii="Arial" w:hAnsi="Arial" w:cs="Arial"/>
          <w:sz w:val="22"/>
          <w:szCs w:val="22"/>
        </w:rPr>
        <w:t>ch</w:t>
      </w:r>
      <w:r w:rsidR="00BA3705" w:rsidRPr="00CC0810">
        <w:rPr>
          <w:rFonts w:ascii="Arial" w:hAnsi="Arial" w:cs="Arial"/>
          <w:sz w:val="22"/>
          <w:szCs w:val="22"/>
        </w:rPr>
        <w:t xml:space="preserve"> priorit orientovaného vý</w:t>
      </w:r>
      <w:r w:rsidR="00DE22D0" w:rsidRPr="00CC0810">
        <w:rPr>
          <w:rFonts w:ascii="Arial" w:hAnsi="Arial" w:cs="Arial"/>
          <w:sz w:val="22"/>
          <w:szCs w:val="22"/>
        </w:rPr>
        <w:t>zkumu, experimentálního vývoje a </w:t>
      </w:r>
      <w:r w:rsidR="00BA3705" w:rsidRPr="00CC0810">
        <w:rPr>
          <w:rFonts w:ascii="Arial" w:hAnsi="Arial" w:cs="Arial"/>
          <w:sz w:val="22"/>
          <w:szCs w:val="22"/>
        </w:rPr>
        <w:t>inovací</w:t>
      </w:r>
      <w:r w:rsidR="009850CE" w:rsidRPr="00CC0810">
        <w:rPr>
          <w:rFonts w:ascii="Arial" w:hAnsi="Arial" w:cs="Arial"/>
          <w:sz w:val="22"/>
          <w:szCs w:val="22"/>
        </w:rPr>
        <w:t>,</w:t>
      </w:r>
      <w:r w:rsidRPr="00CC0810">
        <w:rPr>
          <w:rFonts w:ascii="Arial" w:hAnsi="Arial" w:cs="Arial"/>
          <w:sz w:val="22"/>
          <w:szCs w:val="22"/>
        </w:rPr>
        <w:t xml:space="preserve"> schválený</w:t>
      </w:r>
      <w:r w:rsidR="00934BD4" w:rsidRPr="00CC0810">
        <w:rPr>
          <w:rFonts w:ascii="Arial" w:hAnsi="Arial" w:cs="Arial"/>
          <w:sz w:val="22"/>
          <w:szCs w:val="22"/>
        </w:rPr>
        <w:t>ch</w:t>
      </w:r>
      <w:r w:rsidRPr="00CC0810">
        <w:rPr>
          <w:rFonts w:ascii="Arial" w:hAnsi="Arial" w:cs="Arial"/>
          <w:sz w:val="22"/>
          <w:szCs w:val="22"/>
        </w:rPr>
        <w:t xml:space="preserve"> </w:t>
      </w:r>
      <w:r w:rsidR="00DE22D0" w:rsidRPr="00CC0810">
        <w:rPr>
          <w:rFonts w:ascii="Arial" w:hAnsi="Arial" w:cs="Arial"/>
          <w:sz w:val="22"/>
          <w:szCs w:val="22"/>
        </w:rPr>
        <w:t>usnesením</w:t>
      </w:r>
      <w:r w:rsidRPr="00CC0810">
        <w:rPr>
          <w:rFonts w:ascii="Arial" w:hAnsi="Arial" w:cs="Arial"/>
          <w:sz w:val="22"/>
          <w:szCs w:val="22"/>
        </w:rPr>
        <w:t xml:space="preserve"> vlády ze dne 19. července 2012 č. 552</w:t>
      </w:r>
      <w:r w:rsidR="00341788" w:rsidRPr="00CC0810">
        <w:rPr>
          <w:rFonts w:ascii="Arial" w:hAnsi="Arial" w:cs="Arial"/>
          <w:sz w:val="22"/>
          <w:szCs w:val="22"/>
        </w:rPr>
        <w:t>,</w:t>
      </w:r>
    </w:p>
    <w:p w14:paraId="287069D0" w14:textId="73A5740E" w:rsidR="00DF7F81" w:rsidRPr="00CC0810" w:rsidRDefault="00DF7F81" w:rsidP="00C646E3">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sz w:val="22"/>
          <w:szCs w:val="22"/>
          <w:lang w:eastAsia="en-US"/>
        </w:rPr>
      </w:pPr>
      <w:r w:rsidRPr="00CC0810">
        <w:rPr>
          <w:rFonts w:ascii="Arial" w:hAnsi="Arial" w:cs="Arial"/>
          <w:sz w:val="22"/>
          <w:szCs w:val="22"/>
        </w:rPr>
        <w:t xml:space="preserve">Nařízení Komise (EU) č. 651/2014 ze </w:t>
      </w:r>
      <w:r w:rsidR="00341788" w:rsidRPr="00CC0810">
        <w:rPr>
          <w:rFonts w:ascii="Arial" w:hAnsi="Arial" w:cs="Arial"/>
          <w:sz w:val="22"/>
          <w:szCs w:val="22"/>
        </w:rPr>
        <w:t>dne 17. června 2014, kterým se</w:t>
      </w:r>
      <w:r w:rsidRPr="00CC0810">
        <w:rPr>
          <w:rFonts w:ascii="Arial" w:hAnsi="Arial" w:cs="Arial"/>
          <w:sz w:val="22"/>
          <w:szCs w:val="22"/>
        </w:rPr>
        <w:t xml:space="preserve"> </w:t>
      </w:r>
      <w:r w:rsidR="00341788" w:rsidRPr="00CC0810">
        <w:rPr>
          <w:rFonts w:ascii="Arial" w:hAnsi="Arial" w:cs="Arial"/>
          <w:sz w:val="22"/>
          <w:szCs w:val="22"/>
        </w:rPr>
        <w:t>v </w:t>
      </w:r>
      <w:r w:rsidR="00582E5C">
        <w:rPr>
          <w:rFonts w:ascii="Arial" w:hAnsi="Arial" w:cs="Arial"/>
          <w:sz w:val="22"/>
          <w:szCs w:val="22"/>
        </w:rPr>
        <w:t>souladu s </w:t>
      </w:r>
      <w:r w:rsidRPr="00CC0810">
        <w:rPr>
          <w:rFonts w:ascii="Arial" w:hAnsi="Arial" w:cs="Arial"/>
          <w:sz w:val="22"/>
          <w:szCs w:val="22"/>
        </w:rPr>
        <w:t>články 107 a 108 Smlouvy prohlašují určité ka</w:t>
      </w:r>
      <w:r w:rsidR="00582E5C">
        <w:rPr>
          <w:rFonts w:ascii="Arial" w:hAnsi="Arial" w:cs="Arial"/>
          <w:sz w:val="22"/>
          <w:szCs w:val="22"/>
        </w:rPr>
        <w:t>tegorie podpory za slučitelné s </w:t>
      </w:r>
      <w:r w:rsidRPr="00CC0810">
        <w:rPr>
          <w:rFonts w:ascii="Arial" w:hAnsi="Arial" w:cs="Arial"/>
          <w:sz w:val="22"/>
          <w:szCs w:val="22"/>
        </w:rPr>
        <w:t>vnitřním trhem – L 187/1 (</w:t>
      </w:r>
      <w:r w:rsidR="00601C5B" w:rsidRPr="00CC0810">
        <w:rPr>
          <w:rFonts w:ascii="Arial" w:hAnsi="Arial" w:cs="Arial"/>
          <w:sz w:val="22"/>
          <w:szCs w:val="22"/>
        </w:rPr>
        <w:t>dále jen „Nařízení Komise (EU)“</w:t>
      </w:r>
      <w:r w:rsidR="007A2117" w:rsidRPr="00CC0810">
        <w:rPr>
          <w:rFonts w:ascii="Arial" w:hAnsi="Arial" w:cs="Arial"/>
          <w:sz w:val="22"/>
          <w:szCs w:val="22"/>
        </w:rPr>
        <w:t>)</w:t>
      </w:r>
      <w:r w:rsidRPr="00CC0810">
        <w:rPr>
          <w:rFonts w:ascii="Arial" w:hAnsi="Arial" w:cs="Arial"/>
          <w:sz w:val="22"/>
          <w:szCs w:val="22"/>
        </w:rPr>
        <w:t xml:space="preserve"> </w:t>
      </w:r>
      <w:r w:rsidR="00601C5B" w:rsidRPr="00CC0810">
        <w:rPr>
          <w:rFonts w:ascii="Arial" w:hAnsi="Arial" w:cs="Arial"/>
          <w:sz w:val="22"/>
          <w:szCs w:val="22"/>
        </w:rPr>
        <w:t>a </w:t>
      </w:r>
      <w:r w:rsidRPr="00CC0810">
        <w:rPr>
          <w:rFonts w:ascii="Arial" w:hAnsi="Arial" w:cs="Arial"/>
          <w:sz w:val="22"/>
          <w:szCs w:val="22"/>
        </w:rPr>
        <w:t>Sdělení</w:t>
      </w:r>
      <w:r w:rsidR="007A2117" w:rsidRPr="00CC0810">
        <w:rPr>
          <w:rFonts w:ascii="Arial" w:hAnsi="Arial" w:cs="Arial"/>
          <w:sz w:val="22"/>
          <w:szCs w:val="22"/>
        </w:rPr>
        <w:t>m</w:t>
      </w:r>
      <w:r w:rsidRPr="00CC0810">
        <w:rPr>
          <w:rFonts w:ascii="Arial" w:hAnsi="Arial" w:cs="Arial"/>
          <w:sz w:val="22"/>
          <w:szCs w:val="22"/>
        </w:rPr>
        <w:t xml:space="preserve"> Komise – Rámec pro státní podporu výzkumu, vývoje a inovací - 2014/C 198/01 (dále jen „Rámec“)</w:t>
      </w:r>
      <w:r w:rsidR="00C646E3">
        <w:rPr>
          <w:rFonts w:ascii="Arial" w:hAnsi="Arial" w:cs="Arial"/>
          <w:sz w:val="22"/>
          <w:szCs w:val="22"/>
        </w:rPr>
        <w:t xml:space="preserve"> </w:t>
      </w:r>
      <w:r w:rsidR="00C646E3" w:rsidRPr="00C646E3">
        <w:rPr>
          <w:rFonts w:ascii="Arial" w:hAnsi="Arial" w:cs="Arial"/>
          <w:sz w:val="22"/>
          <w:szCs w:val="22"/>
        </w:rPr>
        <w:t>v revidované podobě Sdělení komise C(2022) 7388 ze dne 19. října 2022</w:t>
      </w:r>
      <w:r w:rsidRPr="00CC0810">
        <w:rPr>
          <w:rFonts w:ascii="Arial" w:hAnsi="Arial" w:cs="Arial"/>
          <w:sz w:val="22"/>
          <w:szCs w:val="22"/>
        </w:rPr>
        <w:t>.</w:t>
      </w:r>
    </w:p>
    <w:p w14:paraId="0DE18232" w14:textId="77777777" w:rsidR="00341788" w:rsidRPr="00CC0810" w:rsidRDefault="00D56170" w:rsidP="00DC37F8">
      <w:pPr>
        <w:pStyle w:val="Odstavecseseznamem"/>
        <w:keepNext/>
        <w:numPr>
          <w:ilvl w:val="0"/>
          <w:numId w:val="1"/>
        </w:numPr>
        <w:spacing w:after="120"/>
        <w:ind w:left="726"/>
        <w:contextualSpacing w:val="0"/>
        <w:jc w:val="both"/>
        <w:rPr>
          <w:rFonts w:ascii="Arial" w:hAnsi="Arial" w:cs="Arial"/>
          <w:b/>
          <w:color w:val="0070C0"/>
          <w:sz w:val="22"/>
          <w:szCs w:val="22"/>
        </w:rPr>
      </w:pPr>
      <w:r w:rsidRPr="00CC0810">
        <w:rPr>
          <w:rFonts w:ascii="Arial" w:hAnsi="Arial" w:cs="Arial"/>
          <w:b/>
          <w:color w:val="0070C0"/>
          <w:sz w:val="22"/>
          <w:szCs w:val="22"/>
        </w:rPr>
        <w:t xml:space="preserve">Soulad se zákonem </w:t>
      </w:r>
      <w:r w:rsidR="00934BD4" w:rsidRPr="00CC0810">
        <w:rPr>
          <w:rFonts w:ascii="Arial" w:hAnsi="Arial" w:cs="Arial"/>
          <w:b/>
          <w:color w:val="0070C0"/>
          <w:sz w:val="22"/>
          <w:szCs w:val="22"/>
        </w:rPr>
        <w:t xml:space="preserve">č. </w:t>
      </w:r>
      <w:r w:rsidR="00DC37F8" w:rsidRPr="00CC0810">
        <w:rPr>
          <w:rFonts w:ascii="Arial" w:hAnsi="Arial" w:cs="Arial"/>
          <w:b/>
          <w:color w:val="0070C0"/>
          <w:sz w:val="22"/>
          <w:szCs w:val="22"/>
        </w:rPr>
        <w:t>130/2002 Sb.</w:t>
      </w:r>
    </w:p>
    <w:p w14:paraId="1F4C71F0" w14:textId="4F63EAF3" w:rsidR="00D56170" w:rsidRPr="00CC0810" w:rsidRDefault="00D56170" w:rsidP="00DC37F8">
      <w:pPr>
        <w:pStyle w:val="Odstavecseseznamem"/>
        <w:keepNext/>
        <w:spacing w:after="120"/>
        <w:ind w:left="726"/>
        <w:contextualSpacing w:val="0"/>
        <w:jc w:val="both"/>
        <w:rPr>
          <w:rFonts w:ascii="Arial" w:hAnsi="Arial" w:cs="Arial"/>
          <w:sz w:val="22"/>
          <w:szCs w:val="22"/>
        </w:rPr>
      </w:pPr>
      <w:r w:rsidRPr="00CC0810">
        <w:rPr>
          <w:rFonts w:ascii="Arial" w:hAnsi="Arial" w:cs="Arial"/>
          <w:sz w:val="22"/>
          <w:szCs w:val="22"/>
        </w:rPr>
        <w:t xml:space="preserve">Rada hodnotí náležitosti </w:t>
      </w:r>
      <w:r w:rsidR="007C6750" w:rsidRPr="00CC0810">
        <w:rPr>
          <w:rFonts w:ascii="Arial" w:hAnsi="Arial" w:cs="Arial"/>
          <w:sz w:val="22"/>
          <w:szCs w:val="22"/>
        </w:rPr>
        <w:t>P</w:t>
      </w:r>
      <w:r w:rsidRPr="00CC0810">
        <w:rPr>
          <w:rFonts w:ascii="Arial" w:hAnsi="Arial" w:cs="Arial"/>
          <w:sz w:val="22"/>
          <w:szCs w:val="22"/>
        </w:rPr>
        <w:t xml:space="preserve">rogramu ve smyslu § 5 odst. 2 zákona </w:t>
      </w:r>
      <w:r w:rsidR="00934BD4" w:rsidRPr="00CC0810">
        <w:rPr>
          <w:rFonts w:ascii="Arial" w:hAnsi="Arial" w:cs="Arial"/>
          <w:sz w:val="22"/>
          <w:szCs w:val="22"/>
        </w:rPr>
        <w:t xml:space="preserve">č. </w:t>
      </w:r>
      <w:r w:rsidR="00DC37F8" w:rsidRPr="00CC0810">
        <w:rPr>
          <w:rFonts w:ascii="Arial" w:hAnsi="Arial" w:cs="Arial"/>
          <w:sz w:val="22"/>
          <w:szCs w:val="22"/>
        </w:rPr>
        <w:t>130/2002 Sb.</w:t>
      </w:r>
      <w:r w:rsidRPr="00CC0810">
        <w:rPr>
          <w:rFonts w:ascii="Arial" w:hAnsi="Arial" w:cs="Arial"/>
          <w:sz w:val="22"/>
          <w:szCs w:val="22"/>
        </w:rPr>
        <w:t xml:space="preserve"> </w:t>
      </w:r>
      <w:r w:rsidR="00E046B1" w:rsidRPr="00CC0810">
        <w:rPr>
          <w:rFonts w:ascii="Arial" w:hAnsi="Arial" w:cs="Arial"/>
          <w:sz w:val="22"/>
          <w:szCs w:val="22"/>
        </w:rPr>
        <w:t>na nové programy výzkumu</w:t>
      </w:r>
      <w:r w:rsidR="00582E5C">
        <w:rPr>
          <w:rFonts w:ascii="Arial" w:hAnsi="Arial" w:cs="Arial"/>
          <w:sz w:val="22"/>
          <w:szCs w:val="22"/>
        </w:rPr>
        <w:t>,</w:t>
      </w:r>
      <w:r w:rsidR="00341788" w:rsidRPr="00CC0810">
        <w:rPr>
          <w:rFonts w:ascii="Arial" w:hAnsi="Arial" w:cs="Arial"/>
          <w:sz w:val="22"/>
          <w:szCs w:val="22"/>
        </w:rPr>
        <w:t> </w:t>
      </w:r>
      <w:r w:rsidR="00E046B1" w:rsidRPr="00CC0810">
        <w:rPr>
          <w:rFonts w:ascii="Arial" w:hAnsi="Arial" w:cs="Arial"/>
          <w:sz w:val="22"/>
          <w:szCs w:val="22"/>
        </w:rPr>
        <w:t>vývoje</w:t>
      </w:r>
      <w:r w:rsidR="00D229BC">
        <w:rPr>
          <w:rFonts w:ascii="Arial" w:hAnsi="Arial" w:cs="Arial"/>
          <w:sz w:val="22"/>
          <w:szCs w:val="22"/>
        </w:rPr>
        <w:t xml:space="preserve"> a inovací</w:t>
      </w:r>
      <w:r w:rsidR="00E046B1" w:rsidRPr="00CC0810">
        <w:rPr>
          <w:rFonts w:ascii="Arial" w:hAnsi="Arial" w:cs="Arial"/>
          <w:sz w:val="22"/>
          <w:szCs w:val="22"/>
        </w:rPr>
        <w:t xml:space="preserve"> </w:t>
      </w:r>
      <w:r w:rsidRPr="00CC0810">
        <w:rPr>
          <w:rFonts w:ascii="Arial" w:hAnsi="Arial" w:cs="Arial"/>
          <w:sz w:val="22"/>
          <w:szCs w:val="22"/>
        </w:rPr>
        <w:t>takto:</w:t>
      </w:r>
    </w:p>
    <w:p w14:paraId="52BBB963" w14:textId="77777777" w:rsidR="00D56170" w:rsidRPr="00854494" w:rsidRDefault="00D56170" w:rsidP="002A40D7">
      <w:pPr>
        <w:pStyle w:val="Zkladntext2"/>
        <w:keepNext/>
        <w:numPr>
          <w:ilvl w:val="0"/>
          <w:numId w:val="6"/>
        </w:numPr>
        <w:spacing w:after="120"/>
        <w:jc w:val="both"/>
        <w:rPr>
          <w:rFonts w:ascii="Arial" w:hAnsi="Arial" w:cs="Arial"/>
          <w:i/>
          <w:sz w:val="22"/>
          <w:szCs w:val="22"/>
          <w:u w:val="single"/>
        </w:rPr>
      </w:pPr>
      <w:r w:rsidRPr="00854494">
        <w:rPr>
          <w:rFonts w:ascii="Arial" w:hAnsi="Arial" w:cs="Arial"/>
          <w:i/>
          <w:sz w:val="22"/>
          <w:szCs w:val="22"/>
          <w:u w:val="single"/>
        </w:rPr>
        <w:t>Identifikační údaje Programu, členění na podprogramy, termín vyhlášení a doba trvání:</w:t>
      </w:r>
    </w:p>
    <w:p w14:paraId="06C3E375" w14:textId="283DDDAC" w:rsidR="00D56170" w:rsidRPr="00854494" w:rsidRDefault="00D56170" w:rsidP="00854494">
      <w:pPr>
        <w:autoSpaceDE w:val="0"/>
        <w:autoSpaceDN w:val="0"/>
        <w:adjustRightInd w:val="0"/>
        <w:spacing w:after="120"/>
        <w:ind w:left="709"/>
        <w:rPr>
          <w:rFonts w:ascii="Arial" w:hAnsi="Arial" w:cs="Arial"/>
          <w:i/>
          <w:sz w:val="22"/>
          <w:szCs w:val="22"/>
          <w:highlight w:val="yellow"/>
        </w:rPr>
      </w:pPr>
      <w:r w:rsidRPr="00854494">
        <w:rPr>
          <w:rFonts w:ascii="Arial" w:hAnsi="Arial" w:cs="Arial"/>
          <w:sz w:val="22"/>
          <w:szCs w:val="22"/>
        </w:rPr>
        <w:t>Název Programu je</w:t>
      </w:r>
      <w:r w:rsidR="00854494" w:rsidRPr="00854494">
        <w:rPr>
          <w:rFonts w:ascii="Arial" w:hAnsi="Arial" w:cs="Arial"/>
          <w:sz w:val="22"/>
          <w:szCs w:val="22"/>
        </w:rPr>
        <w:t xml:space="preserve"> </w:t>
      </w:r>
      <w:r w:rsidR="00854494" w:rsidRPr="00854494">
        <w:rPr>
          <w:rFonts w:ascii="Arial" w:hAnsi="Arial" w:cs="Arial"/>
          <w:i/>
          <w:sz w:val="22"/>
          <w:szCs w:val="22"/>
        </w:rPr>
        <w:t xml:space="preserve">Skupina grantových projektů </w:t>
      </w:r>
      <w:r w:rsidR="00854494">
        <w:rPr>
          <w:rFonts w:ascii="Arial" w:hAnsi="Arial" w:cs="Arial"/>
          <w:i/>
          <w:sz w:val="22"/>
          <w:szCs w:val="22"/>
        </w:rPr>
        <w:t>„</w:t>
      </w:r>
      <w:r w:rsidR="00854494" w:rsidRPr="00854494">
        <w:rPr>
          <w:rFonts w:ascii="Arial" w:hAnsi="Arial" w:cs="Arial"/>
          <w:i/>
          <w:sz w:val="22"/>
          <w:szCs w:val="22"/>
        </w:rPr>
        <w:t>Návratové granty“</w:t>
      </w:r>
      <w:r w:rsidR="00B30A40" w:rsidRPr="00854494">
        <w:rPr>
          <w:rFonts w:ascii="Arial" w:hAnsi="Arial" w:cs="Arial"/>
          <w:i/>
          <w:sz w:val="22"/>
          <w:szCs w:val="22"/>
        </w:rPr>
        <w:t>,</w:t>
      </w:r>
    </w:p>
    <w:p w14:paraId="23F9C6D6" w14:textId="6D9ECA2D" w:rsidR="00D56170" w:rsidRPr="00854494" w:rsidRDefault="00D56170" w:rsidP="002A40D7">
      <w:pPr>
        <w:pStyle w:val="Default"/>
        <w:numPr>
          <w:ilvl w:val="0"/>
          <w:numId w:val="5"/>
        </w:numPr>
        <w:spacing w:after="120"/>
        <w:jc w:val="both"/>
        <w:rPr>
          <w:rFonts w:ascii="Arial" w:hAnsi="Arial" w:cs="Arial"/>
          <w:sz w:val="22"/>
          <w:szCs w:val="22"/>
        </w:rPr>
      </w:pPr>
      <w:r w:rsidRPr="00854494">
        <w:rPr>
          <w:rFonts w:ascii="Arial" w:hAnsi="Arial" w:cs="Arial"/>
          <w:sz w:val="22"/>
          <w:szCs w:val="22"/>
        </w:rPr>
        <w:t xml:space="preserve">Rada přiděluje </w:t>
      </w:r>
      <w:r w:rsidR="007C6750" w:rsidRPr="00854494">
        <w:rPr>
          <w:rFonts w:ascii="Arial" w:hAnsi="Arial" w:cs="Arial"/>
          <w:sz w:val="22"/>
          <w:szCs w:val="22"/>
        </w:rPr>
        <w:t>P</w:t>
      </w:r>
      <w:r w:rsidRPr="00854494">
        <w:rPr>
          <w:rFonts w:ascii="Arial" w:hAnsi="Arial" w:cs="Arial"/>
          <w:sz w:val="22"/>
          <w:szCs w:val="22"/>
        </w:rPr>
        <w:t xml:space="preserve">rogramu pro účely evidence v informačním systému výzkumu, experimentálního vývoje a inovací identifikační kód: </w:t>
      </w:r>
      <w:r w:rsidR="00B30A40" w:rsidRPr="00854494">
        <w:rPr>
          <w:rFonts w:ascii="Arial" w:hAnsi="Arial" w:cs="Arial"/>
          <w:sz w:val="22"/>
          <w:szCs w:val="22"/>
        </w:rPr>
        <w:t>„</w:t>
      </w:r>
      <w:r w:rsidR="00854494" w:rsidRPr="00854494">
        <w:rPr>
          <w:rFonts w:ascii="Arial" w:hAnsi="Arial" w:cs="Arial"/>
          <w:sz w:val="22"/>
          <w:szCs w:val="22"/>
        </w:rPr>
        <w:t>G</w:t>
      </w:r>
      <w:r w:rsidR="004F7B50" w:rsidRPr="00854494">
        <w:rPr>
          <w:rFonts w:ascii="Arial" w:hAnsi="Arial" w:cs="Arial"/>
          <w:sz w:val="22"/>
          <w:szCs w:val="22"/>
        </w:rPr>
        <w:t>Y</w:t>
      </w:r>
      <w:r w:rsidR="000900A3" w:rsidRPr="00854494">
        <w:rPr>
          <w:rFonts w:ascii="Arial" w:hAnsi="Arial" w:cs="Arial"/>
          <w:sz w:val="22"/>
          <w:szCs w:val="22"/>
        </w:rPr>
        <w:t>“</w:t>
      </w:r>
      <w:r w:rsidRPr="00854494">
        <w:rPr>
          <w:rFonts w:ascii="Arial" w:hAnsi="Arial" w:cs="Arial"/>
          <w:sz w:val="22"/>
          <w:szCs w:val="22"/>
        </w:rPr>
        <w:t>,</w:t>
      </w:r>
    </w:p>
    <w:p w14:paraId="0D2219FD" w14:textId="51056B13" w:rsidR="00854494" w:rsidRPr="003861FB" w:rsidRDefault="00854494" w:rsidP="00854494">
      <w:pPr>
        <w:pStyle w:val="Odstavecseseznamem"/>
        <w:numPr>
          <w:ilvl w:val="0"/>
          <w:numId w:val="5"/>
        </w:numPr>
        <w:autoSpaceDE w:val="0"/>
        <w:autoSpaceDN w:val="0"/>
        <w:adjustRightInd w:val="0"/>
        <w:spacing w:after="120"/>
        <w:contextualSpacing w:val="0"/>
        <w:rPr>
          <w:rFonts w:ascii="Arial" w:eastAsiaTheme="minorHAnsi" w:hAnsi="Arial" w:cs="Arial"/>
          <w:sz w:val="22"/>
          <w:szCs w:val="22"/>
          <w:lang w:eastAsia="en-US"/>
        </w:rPr>
      </w:pPr>
      <w:r w:rsidRPr="003861FB">
        <w:rPr>
          <w:rFonts w:ascii="Arial" w:hAnsi="Arial" w:cs="Arial"/>
          <w:sz w:val="22"/>
          <w:szCs w:val="22"/>
        </w:rPr>
        <w:t>Poskytovatelem podpory je Grantová agentura České republiky (dále</w:t>
      </w:r>
      <w:r w:rsidR="003861FB" w:rsidRPr="003861FB">
        <w:rPr>
          <w:rFonts w:ascii="Arial" w:hAnsi="Arial" w:cs="Arial"/>
          <w:sz w:val="22"/>
          <w:szCs w:val="22"/>
        </w:rPr>
        <w:t xml:space="preserve"> jen „GA ČR“),</w:t>
      </w:r>
    </w:p>
    <w:p w14:paraId="50C1D83C" w14:textId="1DF0ED07" w:rsidR="00D56170" w:rsidRPr="003861FB" w:rsidRDefault="003861FB" w:rsidP="003861FB">
      <w:pPr>
        <w:pStyle w:val="Odstavecseseznamem"/>
        <w:numPr>
          <w:ilvl w:val="0"/>
          <w:numId w:val="5"/>
        </w:numPr>
        <w:autoSpaceDE w:val="0"/>
        <w:autoSpaceDN w:val="0"/>
        <w:adjustRightInd w:val="0"/>
        <w:spacing w:after="120"/>
        <w:contextualSpacing w:val="0"/>
        <w:rPr>
          <w:rFonts w:ascii="Arial" w:eastAsiaTheme="minorHAnsi" w:hAnsi="Arial" w:cs="Arial"/>
          <w:sz w:val="22"/>
          <w:szCs w:val="22"/>
          <w:lang w:eastAsia="en-US"/>
        </w:rPr>
      </w:pPr>
      <w:r w:rsidRPr="003861FB">
        <w:rPr>
          <w:rFonts w:ascii="Arial" w:hAnsi="Arial" w:cs="Arial"/>
          <w:sz w:val="22"/>
          <w:szCs w:val="22"/>
        </w:rPr>
        <w:t>doba trvání skupiny grantových projektů je plánována na dobu neurčitou</w:t>
      </w:r>
      <w:r w:rsidR="00C768D9" w:rsidRPr="003861FB">
        <w:rPr>
          <w:rFonts w:ascii="Arial" w:hAnsi="Arial" w:cs="Arial"/>
          <w:sz w:val="22"/>
          <w:szCs w:val="22"/>
        </w:rPr>
        <w:t>.</w:t>
      </w:r>
    </w:p>
    <w:p w14:paraId="3ED0B2B0" w14:textId="78F1507D" w:rsidR="00B30A40" w:rsidRPr="00986B9D" w:rsidRDefault="00EF378F" w:rsidP="00986B9D">
      <w:pPr>
        <w:autoSpaceDE w:val="0"/>
        <w:autoSpaceDN w:val="0"/>
        <w:adjustRightInd w:val="0"/>
        <w:spacing w:after="120"/>
        <w:ind w:left="357"/>
        <w:jc w:val="both"/>
        <w:rPr>
          <w:rFonts w:ascii="Arial" w:hAnsi="Arial" w:cs="Arial"/>
          <w:sz w:val="22"/>
          <w:szCs w:val="22"/>
        </w:rPr>
      </w:pPr>
      <w:r w:rsidRPr="00EF378F">
        <w:rPr>
          <w:rFonts w:ascii="Arial" w:hAnsi="Arial" w:cs="Arial"/>
          <w:sz w:val="22"/>
          <w:szCs w:val="22"/>
        </w:rPr>
        <w:t xml:space="preserve">Podpora skupiny grantových projektů </w:t>
      </w:r>
      <w:r w:rsidR="00AD5972">
        <w:rPr>
          <w:rFonts w:ascii="Arial" w:hAnsi="Arial" w:cs="Arial"/>
          <w:sz w:val="22"/>
          <w:szCs w:val="22"/>
        </w:rPr>
        <w:t>„</w:t>
      </w:r>
      <w:r w:rsidRPr="00EF378F">
        <w:rPr>
          <w:rFonts w:ascii="Arial" w:hAnsi="Arial" w:cs="Arial"/>
          <w:sz w:val="22"/>
          <w:szCs w:val="22"/>
        </w:rPr>
        <w:t>Návratové granty</w:t>
      </w:r>
      <w:r w:rsidR="00AD5972">
        <w:rPr>
          <w:rFonts w:ascii="Arial" w:hAnsi="Arial" w:cs="Arial"/>
          <w:sz w:val="22"/>
          <w:szCs w:val="22"/>
        </w:rPr>
        <w:t>“</w:t>
      </w:r>
      <w:r w:rsidRPr="00EF378F">
        <w:rPr>
          <w:rFonts w:ascii="Arial" w:hAnsi="Arial" w:cs="Arial"/>
          <w:sz w:val="22"/>
          <w:szCs w:val="22"/>
        </w:rPr>
        <w:t xml:space="preserve"> začne být poskytována v souladu s Koncepcí činnosti Grantové agentury České republiky 2021+ (schválenou usnesením vlády ze dne 15. listopadu 2021 č. 1021) nejdříve od roku 2026, a to pro projekty vybrané v rámci soutěže vyhlášené v roce 2025. Následně se v případě dostatku finančních prostředků předpokládá vyhlášení veřejné soutěže pro tuto skupinu grantových projektů každý rok. </w:t>
      </w:r>
      <w:r>
        <w:rPr>
          <w:rFonts w:ascii="Arial" w:hAnsi="Arial" w:cs="Arial"/>
          <w:sz w:val="22"/>
          <w:szCs w:val="22"/>
        </w:rPr>
        <w:t>S</w:t>
      </w:r>
      <w:r w:rsidRPr="00EF378F">
        <w:rPr>
          <w:rFonts w:ascii="Arial" w:hAnsi="Arial" w:cs="Arial"/>
          <w:sz w:val="22"/>
          <w:szCs w:val="22"/>
        </w:rPr>
        <w:t xml:space="preserve">kupiny grantových projektů </w:t>
      </w:r>
      <w:r w:rsidR="00AD5972">
        <w:rPr>
          <w:rFonts w:ascii="Arial" w:hAnsi="Arial" w:cs="Arial"/>
          <w:sz w:val="22"/>
          <w:szCs w:val="22"/>
        </w:rPr>
        <w:t>„</w:t>
      </w:r>
      <w:r w:rsidRPr="00EF378F">
        <w:rPr>
          <w:rFonts w:ascii="Arial" w:hAnsi="Arial" w:cs="Arial"/>
          <w:sz w:val="22"/>
          <w:szCs w:val="22"/>
        </w:rPr>
        <w:t>Návratové granty</w:t>
      </w:r>
      <w:r w:rsidR="00AD5972">
        <w:rPr>
          <w:rFonts w:ascii="Arial" w:hAnsi="Arial" w:cs="Arial"/>
          <w:sz w:val="22"/>
          <w:szCs w:val="22"/>
        </w:rPr>
        <w:t>“</w:t>
      </w:r>
      <w:r w:rsidRPr="00EF378F">
        <w:rPr>
          <w:rFonts w:ascii="Arial" w:hAnsi="Arial" w:cs="Arial"/>
          <w:sz w:val="22"/>
          <w:szCs w:val="22"/>
        </w:rPr>
        <w:t xml:space="preserve"> </w:t>
      </w:r>
      <w:r>
        <w:rPr>
          <w:rFonts w:ascii="Arial" w:hAnsi="Arial" w:cs="Arial"/>
          <w:sz w:val="22"/>
          <w:szCs w:val="22"/>
        </w:rPr>
        <w:t>nemá podprogramy.</w:t>
      </w:r>
    </w:p>
    <w:p w14:paraId="79835BAF" w14:textId="3F6C7C0D" w:rsidR="00D56170" w:rsidRPr="00492D41" w:rsidRDefault="00D56170" w:rsidP="002A40D7">
      <w:pPr>
        <w:pStyle w:val="Zkladntext2"/>
        <w:keepNext/>
        <w:numPr>
          <w:ilvl w:val="0"/>
          <w:numId w:val="6"/>
        </w:numPr>
        <w:spacing w:after="120"/>
        <w:jc w:val="both"/>
        <w:rPr>
          <w:rFonts w:ascii="Arial" w:hAnsi="Arial" w:cs="Arial"/>
          <w:i/>
          <w:sz w:val="22"/>
          <w:szCs w:val="22"/>
          <w:u w:val="single"/>
        </w:rPr>
      </w:pPr>
      <w:r w:rsidRPr="00492D41">
        <w:rPr>
          <w:rFonts w:ascii="Arial" w:hAnsi="Arial" w:cs="Arial"/>
          <w:i/>
          <w:sz w:val="22"/>
          <w:szCs w:val="22"/>
          <w:u w:val="single"/>
        </w:rPr>
        <w:lastRenderedPageBreak/>
        <w:t xml:space="preserve">Celkové výdaje na uskutečnění </w:t>
      </w:r>
      <w:r w:rsidR="007C6750" w:rsidRPr="00492D41">
        <w:rPr>
          <w:rFonts w:ascii="Arial" w:hAnsi="Arial" w:cs="Arial"/>
          <w:i/>
          <w:sz w:val="22"/>
          <w:szCs w:val="22"/>
          <w:u w:val="single"/>
        </w:rPr>
        <w:t>P</w:t>
      </w:r>
      <w:r w:rsidRPr="00492D41">
        <w:rPr>
          <w:rFonts w:ascii="Arial" w:hAnsi="Arial" w:cs="Arial"/>
          <w:i/>
          <w:sz w:val="22"/>
          <w:szCs w:val="22"/>
          <w:u w:val="single"/>
        </w:rPr>
        <w:t>rogramu, členění v jednotlivých letech:</w:t>
      </w:r>
    </w:p>
    <w:p w14:paraId="7C764B02" w14:textId="74D6F638" w:rsidR="00986B9D" w:rsidRPr="00986B9D" w:rsidRDefault="00986B9D" w:rsidP="00986B9D">
      <w:pPr>
        <w:autoSpaceDE w:val="0"/>
        <w:autoSpaceDN w:val="0"/>
        <w:adjustRightInd w:val="0"/>
        <w:jc w:val="both"/>
        <w:rPr>
          <w:rFonts w:ascii="Arial" w:hAnsi="Arial" w:cs="Arial"/>
          <w:sz w:val="22"/>
          <w:szCs w:val="22"/>
        </w:rPr>
      </w:pPr>
      <w:r w:rsidRPr="00986B9D">
        <w:rPr>
          <w:rFonts w:ascii="Arial" w:hAnsi="Arial" w:cs="Arial"/>
          <w:sz w:val="22"/>
          <w:szCs w:val="22"/>
        </w:rPr>
        <w:t>Celkové výdaje na novou skupinu grantových projektů se</w:t>
      </w:r>
      <w:r>
        <w:rPr>
          <w:rFonts w:ascii="Arial" w:hAnsi="Arial" w:cs="Arial"/>
          <w:sz w:val="22"/>
          <w:szCs w:val="22"/>
        </w:rPr>
        <w:t xml:space="preserve"> předpokládají v objemu cca 100 mil. </w:t>
      </w:r>
      <w:r w:rsidRPr="00986B9D">
        <w:rPr>
          <w:rFonts w:ascii="Arial" w:hAnsi="Arial" w:cs="Arial"/>
          <w:sz w:val="22"/>
          <w:szCs w:val="22"/>
        </w:rPr>
        <w:t xml:space="preserve">Kč ročně s postupným nárůstem objemu podpory – v </w:t>
      </w:r>
      <w:r>
        <w:rPr>
          <w:rFonts w:ascii="Arial" w:hAnsi="Arial" w:cs="Arial"/>
          <w:sz w:val="22"/>
          <w:szCs w:val="22"/>
        </w:rPr>
        <w:t>prvním roce 2026 cca 50 mil. </w:t>
      </w:r>
      <w:r w:rsidRPr="00986B9D">
        <w:rPr>
          <w:rFonts w:ascii="Arial" w:hAnsi="Arial" w:cs="Arial"/>
          <w:sz w:val="22"/>
          <w:szCs w:val="22"/>
        </w:rPr>
        <w:t xml:space="preserve">Kč, ve druhém roce 2027 a v dalších letech cca 100 mil. Kč. V případě, že by zákonem stanovené výdaje nebyly schváleny v této výši, tak by GA ČR </w:t>
      </w:r>
      <w:r w:rsidR="00C646E3">
        <w:rPr>
          <w:rFonts w:ascii="Arial" w:hAnsi="Arial" w:cs="Arial"/>
          <w:sz w:val="22"/>
          <w:szCs w:val="22"/>
        </w:rPr>
        <w:t>v</w:t>
      </w:r>
      <w:r w:rsidRPr="00986B9D">
        <w:rPr>
          <w:rFonts w:ascii="Arial" w:hAnsi="Arial" w:cs="Arial"/>
          <w:sz w:val="22"/>
          <w:szCs w:val="22"/>
        </w:rPr>
        <w:t>eřejnou soutěž vyhlásila pouze do výše schválených prostředků.</w:t>
      </w:r>
    </w:p>
    <w:p w14:paraId="61288F3A" w14:textId="77777777" w:rsidR="00986B9D" w:rsidRPr="00986B9D" w:rsidRDefault="00986B9D" w:rsidP="00986B9D">
      <w:pPr>
        <w:autoSpaceDE w:val="0"/>
        <w:autoSpaceDN w:val="0"/>
        <w:adjustRightInd w:val="0"/>
        <w:jc w:val="both"/>
        <w:rPr>
          <w:rFonts w:ascii="Arial" w:hAnsi="Arial" w:cs="Arial"/>
          <w:sz w:val="22"/>
          <w:szCs w:val="22"/>
        </w:rPr>
      </w:pPr>
    </w:p>
    <w:p w14:paraId="1951EDB3" w14:textId="7931E374" w:rsidR="00AF3F92" w:rsidRDefault="00986B9D" w:rsidP="00986B9D">
      <w:pPr>
        <w:autoSpaceDE w:val="0"/>
        <w:autoSpaceDN w:val="0"/>
        <w:adjustRightInd w:val="0"/>
        <w:jc w:val="both"/>
        <w:rPr>
          <w:rFonts w:ascii="Arial" w:hAnsi="Arial" w:cs="Arial"/>
          <w:sz w:val="22"/>
          <w:szCs w:val="22"/>
        </w:rPr>
      </w:pPr>
      <w:r w:rsidRPr="00986B9D">
        <w:rPr>
          <w:rFonts w:ascii="Arial" w:hAnsi="Arial" w:cs="Arial"/>
          <w:sz w:val="22"/>
          <w:szCs w:val="22"/>
        </w:rPr>
        <w:t>Předpokládanou průměrnou výši celkových výdajů v jednotlivých letech přehledně znázorňuje následující tabulka (v mil. Kč). Podíl výdajů státního rozp</w:t>
      </w:r>
      <w:r>
        <w:rPr>
          <w:rFonts w:ascii="Arial" w:hAnsi="Arial" w:cs="Arial"/>
          <w:sz w:val="22"/>
          <w:szCs w:val="22"/>
        </w:rPr>
        <w:t>očtu na celkových výdajích je u </w:t>
      </w:r>
      <w:r w:rsidRPr="00986B9D">
        <w:rPr>
          <w:rFonts w:ascii="Arial" w:hAnsi="Arial" w:cs="Arial"/>
          <w:sz w:val="22"/>
          <w:szCs w:val="22"/>
        </w:rPr>
        <w:t xml:space="preserve">projektů základního výzkumu v souladu se Zákonem a Rámcem až 100 %.  </w:t>
      </w:r>
    </w:p>
    <w:p w14:paraId="276ADCB4" w14:textId="7C737856" w:rsidR="00986B9D" w:rsidRDefault="00986B9D" w:rsidP="00986B9D">
      <w:pPr>
        <w:autoSpaceDE w:val="0"/>
        <w:autoSpaceDN w:val="0"/>
        <w:adjustRightInd w:val="0"/>
        <w:rPr>
          <w:rFonts w:ascii="Arial" w:hAnsi="Arial" w:cs="Arial"/>
          <w:sz w:val="22"/>
          <w:szCs w:val="22"/>
        </w:rPr>
      </w:pPr>
    </w:p>
    <w:p w14:paraId="587D336B" w14:textId="77777777" w:rsidR="00986B9D" w:rsidRPr="0056171A" w:rsidRDefault="00986B9D" w:rsidP="00986B9D">
      <w:pPr>
        <w:jc w:val="both"/>
        <w:rPr>
          <w:rFonts w:ascii="Arial" w:hAnsi="Arial" w:cs="Arial"/>
          <w:color w:val="000000" w:themeColor="text1"/>
          <w:sz w:val="22"/>
          <w:szCs w:val="22"/>
        </w:rPr>
      </w:pPr>
    </w:p>
    <w:tbl>
      <w:tblPr>
        <w:tblW w:w="9350" w:type="dxa"/>
        <w:tblCellMar>
          <w:left w:w="70" w:type="dxa"/>
          <w:right w:w="70" w:type="dxa"/>
        </w:tblCellMar>
        <w:tblLook w:val="04A0" w:firstRow="1" w:lastRow="0" w:firstColumn="1" w:lastColumn="0" w:noHBand="0" w:noVBand="1"/>
      </w:tblPr>
      <w:tblGrid>
        <w:gridCol w:w="2547"/>
        <w:gridCol w:w="680"/>
        <w:gridCol w:w="680"/>
        <w:gridCol w:w="680"/>
        <w:gridCol w:w="680"/>
        <w:gridCol w:w="680"/>
        <w:gridCol w:w="680"/>
        <w:gridCol w:w="680"/>
        <w:gridCol w:w="680"/>
        <w:gridCol w:w="680"/>
        <w:gridCol w:w="683"/>
      </w:tblGrid>
      <w:tr w:rsidR="00986B9D" w14:paraId="3365A574" w14:textId="77777777" w:rsidTr="00240E73">
        <w:trPr>
          <w:trHeight w:val="300"/>
        </w:trPr>
        <w:tc>
          <w:tcPr>
            <w:tcW w:w="9350" w:type="dxa"/>
            <w:gridSpan w:val="11"/>
            <w:tcBorders>
              <w:top w:val="single" w:sz="4" w:space="0" w:color="auto"/>
              <w:left w:val="single" w:sz="4" w:space="0" w:color="auto"/>
              <w:bottom w:val="single" w:sz="4" w:space="0" w:color="auto"/>
              <w:right w:val="single" w:sz="4" w:space="0" w:color="000000"/>
            </w:tcBorders>
            <w:shd w:val="clear" w:color="000000" w:fill="BFBFBF"/>
            <w:vAlign w:val="center"/>
            <w:hideMark/>
          </w:tcPr>
          <w:p w14:paraId="562A64B0" w14:textId="77777777" w:rsidR="00986B9D" w:rsidRPr="0056171A" w:rsidRDefault="00986B9D" w:rsidP="00240E73">
            <w:pPr>
              <w:jc w:val="center"/>
              <w:rPr>
                <w:rFonts w:ascii="Arial" w:hAnsi="Arial" w:cs="Arial"/>
                <w:b/>
                <w:bCs/>
                <w:color w:val="000000"/>
                <w:sz w:val="22"/>
                <w:szCs w:val="22"/>
              </w:rPr>
            </w:pPr>
            <w:r w:rsidRPr="0056171A">
              <w:rPr>
                <w:rFonts w:ascii="Arial" w:hAnsi="Arial" w:cs="Arial"/>
                <w:b/>
                <w:bCs/>
                <w:color w:val="000000"/>
                <w:sz w:val="22"/>
                <w:szCs w:val="22"/>
              </w:rPr>
              <w:t>Předpokládané roční výdaje projektů Návratové granty v mil. Kč</w:t>
            </w:r>
          </w:p>
        </w:tc>
      </w:tr>
      <w:tr w:rsidR="00986B9D" w14:paraId="29A3DEC5"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5D893419" w14:textId="77777777" w:rsidR="00986B9D" w:rsidRPr="0056171A" w:rsidRDefault="00986B9D" w:rsidP="00240E73">
            <w:pPr>
              <w:rPr>
                <w:rFonts w:ascii="Arial" w:hAnsi="Arial" w:cs="Arial"/>
                <w:b/>
                <w:bCs/>
                <w:color w:val="000000"/>
                <w:sz w:val="22"/>
                <w:szCs w:val="22"/>
              </w:rPr>
            </w:pPr>
            <w:r w:rsidRPr="0056171A">
              <w:rPr>
                <w:rFonts w:ascii="Arial" w:hAnsi="Arial" w:cs="Arial"/>
                <w:b/>
                <w:bCs/>
                <w:color w:val="000000"/>
                <w:sz w:val="22"/>
                <w:szCs w:val="22"/>
              </w:rPr>
              <w:t>Roky zahájení řešení projektů</w:t>
            </w:r>
          </w:p>
        </w:tc>
        <w:tc>
          <w:tcPr>
            <w:tcW w:w="680" w:type="dxa"/>
            <w:tcBorders>
              <w:top w:val="nil"/>
              <w:left w:val="nil"/>
              <w:bottom w:val="single" w:sz="4" w:space="0" w:color="auto"/>
              <w:right w:val="single" w:sz="4" w:space="0" w:color="auto"/>
            </w:tcBorders>
            <w:shd w:val="clear" w:color="auto" w:fill="auto"/>
            <w:noWrap/>
            <w:vAlign w:val="center"/>
            <w:hideMark/>
          </w:tcPr>
          <w:p w14:paraId="73A07E91"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14:paraId="6F24788F"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14:paraId="6531F7C3"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14:paraId="48FAF0BF"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14:paraId="5DF2A15B"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w:t>
            </w:r>
            <w:r>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14:paraId="40251552"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14:paraId="69AFCEE4"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14:paraId="18A0F472"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14:paraId="71CE774D"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4</w:t>
            </w:r>
          </w:p>
        </w:tc>
        <w:tc>
          <w:tcPr>
            <w:tcW w:w="680" w:type="dxa"/>
            <w:tcBorders>
              <w:top w:val="nil"/>
              <w:left w:val="nil"/>
              <w:bottom w:val="single" w:sz="4" w:space="0" w:color="auto"/>
              <w:right w:val="single" w:sz="4" w:space="0" w:color="auto"/>
            </w:tcBorders>
            <w:shd w:val="clear" w:color="auto" w:fill="auto"/>
            <w:vAlign w:val="center"/>
            <w:hideMark/>
          </w:tcPr>
          <w:p w14:paraId="18C3C687" w14:textId="77777777" w:rsidR="00986B9D" w:rsidRPr="0056171A" w:rsidRDefault="00986B9D" w:rsidP="00240E73">
            <w:pPr>
              <w:jc w:val="right"/>
              <w:rPr>
                <w:rFonts w:ascii="Arial" w:hAnsi="Arial" w:cs="Arial"/>
                <w:b/>
                <w:bCs/>
                <w:color w:val="000000"/>
                <w:sz w:val="22"/>
                <w:szCs w:val="22"/>
              </w:rPr>
            </w:pPr>
            <w:r w:rsidRPr="0056171A">
              <w:rPr>
                <w:rFonts w:ascii="Arial" w:hAnsi="Arial" w:cs="Arial"/>
                <w:b/>
                <w:bCs/>
                <w:color w:val="000000"/>
                <w:sz w:val="22"/>
                <w:szCs w:val="22"/>
              </w:rPr>
              <w:t>…</w:t>
            </w:r>
          </w:p>
        </w:tc>
      </w:tr>
      <w:tr w:rsidR="00986B9D" w14:paraId="6D9BA75E"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EA5E81D"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14:paraId="0DC64B0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0B38D84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1ECE175A"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63629F5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98725D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30C4930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00489A0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7C48EFE0"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5276A9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430578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0C2A93DC"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770B79D"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14:paraId="0A40BC4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082E89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692301E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7F0C517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69ECAB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4D422E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394BCFE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C72F46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11620E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8FA0F5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00C760FE"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87714F2"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14:paraId="6B6B605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115B5D3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914EE8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3310D86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284A324C"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41784967"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3EA4CC4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33ECF0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B98778A"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32EAD9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5A2CE32E"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7BE09489"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14:paraId="71AF48AC"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6C83F26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1CF8613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FB6738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157B58F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380FC6E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04F66D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128F96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BF5DB0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1E1B01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48A976EC"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714357B"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w:t>
            </w:r>
            <w:r>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14:paraId="2D54540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172847B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F531F2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32DEEA7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CD4D1C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7B80D29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181C3BD5"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0E3024C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7FFF4A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159AF5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1E83E9A6"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8442A68"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14:paraId="5A1B961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6F5B01E5"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116497D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5B21F170"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403849D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4A75125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084CB87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024E986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C39B76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D3ED525"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2CCF8459"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5A74CDC"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14:paraId="3E3C7FA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31FAA49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7898DD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31398D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51DC712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0EE1D1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9DFDEF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3C79861E"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1D1B055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30A7B4CA"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2B42688D"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0151171"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14:paraId="334ADDF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5A3306C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296FDC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2592385F"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75896B3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33E289C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4CD442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1BB8AD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32CA46A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14:paraId="15063C4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7575A2F6"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DB1A205"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12A16785"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550D1AA7"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2C4617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14:paraId="72DCFD0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2E4093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142D08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B45EE49"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64D31EF0"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1256D4C7"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14:paraId="282D85E0"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w:t>
            </w:r>
          </w:p>
        </w:tc>
      </w:tr>
      <w:tr w:rsidR="00986B9D" w14:paraId="69D25837"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CF9A73C" w14:textId="77777777" w:rsidR="00986B9D" w:rsidRPr="0056171A" w:rsidRDefault="00986B9D" w:rsidP="00240E73">
            <w:pPr>
              <w:jc w:val="both"/>
              <w:rPr>
                <w:rFonts w:ascii="Arial" w:hAnsi="Arial" w:cs="Arial"/>
                <w:b/>
                <w:bCs/>
                <w:color w:val="000000"/>
                <w:sz w:val="22"/>
                <w:szCs w:val="22"/>
              </w:rPr>
            </w:pPr>
            <w:r w:rsidRPr="0056171A">
              <w:rPr>
                <w:rFonts w:ascii="Arial" w:hAnsi="Arial" w:cs="Arial"/>
                <w:b/>
                <w:bCs/>
                <w:color w:val="000000"/>
                <w:sz w:val="22"/>
                <w:szCs w:val="22"/>
              </w:rPr>
              <w:t>Celkem</w:t>
            </w:r>
          </w:p>
        </w:tc>
        <w:tc>
          <w:tcPr>
            <w:tcW w:w="680" w:type="dxa"/>
            <w:tcBorders>
              <w:top w:val="nil"/>
              <w:left w:val="nil"/>
              <w:bottom w:val="single" w:sz="4" w:space="0" w:color="auto"/>
              <w:right w:val="single" w:sz="4" w:space="0" w:color="auto"/>
            </w:tcBorders>
            <w:shd w:val="clear" w:color="auto" w:fill="auto"/>
            <w:noWrap/>
            <w:vAlign w:val="center"/>
            <w:hideMark/>
          </w:tcPr>
          <w:p w14:paraId="509189FA"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7A672C3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6317FF23"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2AA3D4BB"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6A24DCC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2337A0A2"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281A198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0C513B9D"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2368B008"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14:paraId="0235ED04"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0</w:t>
            </w:r>
          </w:p>
        </w:tc>
      </w:tr>
      <w:tr w:rsidR="00986B9D" w14:paraId="57D5F413" w14:textId="77777777" w:rsidTr="00240E73">
        <w:trPr>
          <w:trHeight w:val="283"/>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58F24CD" w14:textId="77777777" w:rsidR="00986B9D" w:rsidRPr="0056171A" w:rsidRDefault="00986B9D" w:rsidP="00240E73">
            <w:pPr>
              <w:rPr>
                <w:rFonts w:ascii="Arial" w:hAnsi="Arial" w:cs="Arial"/>
                <w:color w:val="000000"/>
                <w:sz w:val="22"/>
                <w:szCs w:val="22"/>
              </w:rPr>
            </w:pPr>
            <w:bookmarkStart w:id="0" w:name="RANGE!A26"/>
            <w:r w:rsidRPr="0056171A">
              <w:rPr>
                <w:rFonts w:ascii="Arial" w:hAnsi="Arial" w:cs="Arial"/>
                <w:color w:val="000000"/>
                <w:sz w:val="22"/>
                <w:szCs w:val="22"/>
              </w:rPr>
              <w:t>Celkem včetně inflace</w:t>
            </w:r>
            <w:bookmarkEnd w:id="0"/>
            <w:r>
              <w:rPr>
                <w:rStyle w:val="Znakapoznpodarou"/>
                <w:rFonts w:ascii="Arial" w:hAnsi="Arial" w:cs="Arial"/>
                <w:color w:val="000000"/>
                <w:sz w:val="22"/>
                <w:szCs w:val="22"/>
              </w:rPr>
              <w:footnoteReference w:id="1"/>
            </w:r>
          </w:p>
        </w:tc>
        <w:tc>
          <w:tcPr>
            <w:tcW w:w="680" w:type="dxa"/>
            <w:tcBorders>
              <w:top w:val="nil"/>
              <w:left w:val="nil"/>
              <w:bottom w:val="single" w:sz="4" w:space="0" w:color="auto"/>
              <w:right w:val="single" w:sz="4" w:space="0" w:color="auto"/>
            </w:tcBorders>
            <w:shd w:val="clear" w:color="auto" w:fill="auto"/>
            <w:noWrap/>
            <w:vAlign w:val="center"/>
            <w:hideMark/>
          </w:tcPr>
          <w:p w14:paraId="1F83AFC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14:paraId="19FA4C71"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102</w:t>
            </w:r>
          </w:p>
        </w:tc>
        <w:tc>
          <w:tcPr>
            <w:tcW w:w="680" w:type="dxa"/>
            <w:tcBorders>
              <w:top w:val="nil"/>
              <w:left w:val="nil"/>
              <w:bottom w:val="single" w:sz="4" w:space="0" w:color="auto"/>
              <w:right w:val="single" w:sz="4" w:space="0" w:color="auto"/>
            </w:tcBorders>
            <w:shd w:val="clear" w:color="auto" w:fill="auto"/>
            <w:noWrap/>
            <w:vAlign w:val="center"/>
            <w:hideMark/>
          </w:tcPr>
          <w:p w14:paraId="32534FE9"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104</w:t>
            </w:r>
          </w:p>
        </w:tc>
        <w:tc>
          <w:tcPr>
            <w:tcW w:w="680" w:type="dxa"/>
            <w:tcBorders>
              <w:top w:val="nil"/>
              <w:left w:val="nil"/>
              <w:bottom w:val="single" w:sz="4" w:space="0" w:color="auto"/>
              <w:right w:val="single" w:sz="4" w:space="0" w:color="auto"/>
            </w:tcBorders>
            <w:shd w:val="clear" w:color="auto" w:fill="auto"/>
            <w:noWrap/>
            <w:vAlign w:val="center"/>
            <w:hideMark/>
          </w:tcPr>
          <w:p w14:paraId="412D74B6"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106</w:t>
            </w:r>
          </w:p>
        </w:tc>
        <w:tc>
          <w:tcPr>
            <w:tcW w:w="680" w:type="dxa"/>
            <w:tcBorders>
              <w:top w:val="nil"/>
              <w:left w:val="nil"/>
              <w:bottom w:val="single" w:sz="4" w:space="0" w:color="auto"/>
              <w:right w:val="single" w:sz="4" w:space="0" w:color="auto"/>
            </w:tcBorders>
            <w:shd w:val="clear" w:color="auto" w:fill="auto"/>
            <w:noWrap/>
            <w:vAlign w:val="center"/>
            <w:hideMark/>
          </w:tcPr>
          <w:p w14:paraId="07E34682"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107</w:t>
            </w:r>
          </w:p>
        </w:tc>
        <w:tc>
          <w:tcPr>
            <w:tcW w:w="680" w:type="dxa"/>
            <w:tcBorders>
              <w:top w:val="nil"/>
              <w:left w:val="nil"/>
              <w:bottom w:val="single" w:sz="4" w:space="0" w:color="auto"/>
              <w:right w:val="single" w:sz="4" w:space="0" w:color="auto"/>
            </w:tcBorders>
            <w:shd w:val="clear" w:color="auto" w:fill="auto"/>
            <w:noWrap/>
            <w:vAlign w:val="center"/>
            <w:hideMark/>
          </w:tcPr>
          <w:p w14:paraId="35149B48"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109</w:t>
            </w:r>
          </w:p>
        </w:tc>
        <w:tc>
          <w:tcPr>
            <w:tcW w:w="680" w:type="dxa"/>
            <w:tcBorders>
              <w:top w:val="nil"/>
              <w:left w:val="nil"/>
              <w:bottom w:val="single" w:sz="4" w:space="0" w:color="auto"/>
              <w:right w:val="single" w:sz="4" w:space="0" w:color="auto"/>
            </w:tcBorders>
            <w:shd w:val="clear" w:color="auto" w:fill="auto"/>
            <w:noWrap/>
            <w:vAlign w:val="center"/>
            <w:hideMark/>
          </w:tcPr>
          <w:p w14:paraId="7295D984"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111</w:t>
            </w:r>
          </w:p>
        </w:tc>
        <w:tc>
          <w:tcPr>
            <w:tcW w:w="680" w:type="dxa"/>
            <w:tcBorders>
              <w:top w:val="nil"/>
              <w:left w:val="nil"/>
              <w:bottom w:val="single" w:sz="4" w:space="0" w:color="auto"/>
              <w:right w:val="single" w:sz="4" w:space="0" w:color="auto"/>
            </w:tcBorders>
            <w:shd w:val="clear" w:color="auto" w:fill="auto"/>
            <w:noWrap/>
            <w:vAlign w:val="center"/>
            <w:hideMark/>
          </w:tcPr>
          <w:p w14:paraId="79C69E47"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112</w:t>
            </w:r>
          </w:p>
        </w:tc>
        <w:tc>
          <w:tcPr>
            <w:tcW w:w="680" w:type="dxa"/>
            <w:tcBorders>
              <w:top w:val="nil"/>
              <w:left w:val="nil"/>
              <w:bottom w:val="single" w:sz="4" w:space="0" w:color="auto"/>
              <w:right w:val="single" w:sz="4" w:space="0" w:color="auto"/>
            </w:tcBorders>
            <w:shd w:val="clear" w:color="auto" w:fill="auto"/>
            <w:noWrap/>
            <w:vAlign w:val="center"/>
            <w:hideMark/>
          </w:tcPr>
          <w:p w14:paraId="53B2F76A" w14:textId="77777777" w:rsidR="00986B9D" w:rsidRPr="0056171A" w:rsidRDefault="00986B9D" w:rsidP="00240E73">
            <w:pPr>
              <w:jc w:val="right"/>
              <w:rPr>
                <w:rFonts w:ascii="Arial" w:hAnsi="Arial" w:cs="Arial"/>
                <w:sz w:val="22"/>
                <w:szCs w:val="22"/>
              </w:rPr>
            </w:pPr>
            <w:r w:rsidRPr="0056171A">
              <w:rPr>
                <w:rFonts w:ascii="Arial" w:hAnsi="Arial" w:cs="Arial"/>
                <w:sz w:val="22"/>
                <w:szCs w:val="22"/>
              </w:rPr>
              <w:t>114</w:t>
            </w:r>
          </w:p>
        </w:tc>
        <w:tc>
          <w:tcPr>
            <w:tcW w:w="680" w:type="dxa"/>
            <w:tcBorders>
              <w:top w:val="nil"/>
              <w:left w:val="nil"/>
              <w:bottom w:val="single" w:sz="4" w:space="0" w:color="auto"/>
              <w:right w:val="single" w:sz="4" w:space="0" w:color="auto"/>
            </w:tcBorders>
            <w:shd w:val="clear" w:color="auto" w:fill="auto"/>
            <w:noWrap/>
            <w:vAlign w:val="center"/>
            <w:hideMark/>
          </w:tcPr>
          <w:p w14:paraId="13CA6D76" w14:textId="77777777" w:rsidR="00986B9D" w:rsidRPr="0056171A" w:rsidRDefault="00986B9D" w:rsidP="00240E73">
            <w:pPr>
              <w:jc w:val="right"/>
              <w:rPr>
                <w:rFonts w:ascii="Arial" w:hAnsi="Arial" w:cs="Arial"/>
                <w:color w:val="000000"/>
                <w:sz w:val="22"/>
                <w:szCs w:val="22"/>
              </w:rPr>
            </w:pPr>
            <w:r w:rsidRPr="0056171A">
              <w:rPr>
                <w:rFonts w:ascii="Arial" w:hAnsi="Arial" w:cs="Arial"/>
                <w:color w:val="000000"/>
                <w:sz w:val="22"/>
                <w:szCs w:val="22"/>
              </w:rPr>
              <w:t>0</w:t>
            </w:r>
          </w:p>
        </w:tc>
      </w:tr>
    </w:tbl>
    <w:p w14:paraId="4251AE15" w14:textId="7E4E41C7" w:rsidR="00986B9D" w:rsidRDefault="00986B9D" w:rsidP="00986B9D">
      <w:pPr>
        <w:autoSpaceDE w:val="0"/>
        <w:autoSpaceDN w:val="0"/>
        <w:adjustRightInd w:val="0"/>
        <w:rPr>
          <w:rFonts w:ascii="Arial" w:hAnsi="Arial" w:cs="Arial"/>
          <w:sz w:val="22"/>
          <w:szCs w:val="22"/>
        </w:rPr>
      </w:pPr>
    </w:p>
    <w:p w14:paraId="028C9A9B" w14:textId="596254EB" w:rsidR="00AF3F92" w:rsidRPr="00A97358" w:rsidRDefault="00AF3F92" w:rsidP="00D56170">
      <w:pPr>
        <w:autoSpaceDE w:val="0"/>
        <w:autoSpaceDN w:val="0"/>
        <w:adjustRightInd w:val="0"/>
        <w:rPr>
          <w:rFonts w:eastAsiaTheme="minorHAnsi"/>
          <w:color w:val="000000"/>
          <w:sz w:val="22"/>
          <w:szCs w:val="22"/>
          <w:highlight w:val="yellow"/>
          <w:lang w:eastAsia="en-US"/>
        </w:rPr>
      </w:pPr>
    </w:p>
    <w:p w14:paraId="2BFCD3ED" w14:textId="348CDEAB" w:rsidR="00AF3F92" w:rsidRPr="00394153" w:rsidRDefault="00AF3F92" w:rsidP="00D56170">
      <w:pPr>
        <w:autoSpaceDE w:val="0"/>
        <w:autoSpaceDN w:val="0"/>
        <w:adjustRightInd w:val="0"/>
        <w:rPr>
          <w:rFonts w:eastAsiaTheme="minorHAnsi"/>
          <w:color w:val="000000"/>
          <w:sz w:val="22"/>
          <w:szCs w:val="22"/>
          <w:lang w:eastAsia="en-US"/>
        </w:rPr>
      </w:pPr>
    </w:p>
    <w:p w14:paraId="59B119EC" w14:textId="57C694DB" w:rsidR="00D56170" w:rsidRPr="00394153" w:rsidRDefault="00D56170" w:rsidP="002A40D7">
      <w:pPr>
        <w:pStyle w:val="Zkladntext2"/>
        <w:numPr>
          <w:ilvl w:val="0"/>
          <w:numId w:val="6"/>
        </w:numPr>
        <w:spacing w:after="120"/>
        <w:jc w:val="both"/>
        <w:rPr>
          <w:rFonts w:ascii="Arial" w:hAnsi="Arial" w:cs="Arial"/>
          <w:i/>
          <w:sz w:val="22"/>
          <w:szCs w:val="22"/>
          <w:u w:val="single"/>
        </w:rPr>
      </w:pPr>
      <w:r w:rsidRPr="00394153">
        <w:rPr>
          <w:rFonts w:ascii="Arial" w:eastAsiaTheme="minorHAnsi" w:hAnsi="Arial" w:cs="Arial"/>
          <w:i/>
          <w:sz w:val="22"/>
          <w:szCs w:val="22"/>
          <w:u w:val="single"/>
          <w:lang w:eastAsia="en-US"/>
        </w:rPr>
        <w:t>Vymezení způsobilých nákladů, nejvyšší povolen</w:t>
      </w:r>
      <w:r w:rsidR="007551A8" w:rsidRPr="00394153">
        <w:rPr>
          <w:rFonts w:ascii="Arial" w:eastAsiaTheme="minorHAnsi" w:hAnsi="Arial" w:cs="Arial"/>
          <w:i/>
          <w:sz w:val="22"/>
          <w:szCs w:val="22"/>
          <w:u w:val="single"/>
          <w:lang w:eastAsia="en-US"/>
        </w:rPr>
        <w:t>á</w:t>
      </w:r>
      <w:r w:rsidRPr="00394153">
        <w:rPr>
          <w:rFonts w:ascii="Arial" w:eastAsiaTheme="minorHAnsi" w:hAnsi="Arial" w:cs="Arial"/>
          <w:i/>
          <w:sz w:val="22"/>
          <w:szCs w:val="22"/>
          <w:u w:val="single"/>
          <w:lang w:eastAsia="en-US"/>
        </w:rPr>
        <w:t xml:space="preserve"> intenzita podpory a její odůvodnění a další povinnosti stanovené přímo použitelnými předpisy Evropské unie:</w:t>
      </w:r>
    </w:p>
    <w:p w14:paraId="3EB5C9D1" w14:textId="215C9D75" w:rsidR="00394153" w:rsidRPr="00394153" w:rsidRDefault="00394153" w:rsidP="00394153">
      <w:pPr>
        <w:pStyle w:val="Zkladntext2"/>
        <w:spacing w:after="120"/>
        <w:jc w:val="both"/>
        <w:rPr>
          <w:rFonts w:ascii="Arial" w:hAnsi="Arial" w:cs="Arial"/>
          <w:i/>
          <w:sz w:val="22"/>
          <w:szCs w:val="22"/>
          <w:u w:val="single"/>
        </w:rPr>
      </w:pPr>
      <w:r w:rsidRPr="00394153">
        <w:rPr>
          <w:rFonts w:ascii="Arial" w:hAnsi="Arial" w:cs="Arial"/>
          <w:sz w:val="22"/>
          <w:szCs w:val="22"/>
        </w:rPr>
        <w:t xml:space="preserve">Příjemcem podpory v rámci této skupiny grantových projektů Návratové granty může být </w:t>
      </w:r>
      <w:r>
        <w:rPr>
          <w:rFonts w:ascii="Arial" w:hAnsi="Arial" w:cs="Arial"/>
          <w:sz w:val="22"/>
          <w:szCs w:val="22"/>
        </w:rPr>
        <w:t>v </w:t>
      </w:r>
      <w:r w:rsidRPr="00394153">
        <w:rPr>
          <w:rFonts w:ascii="Arial" w:hAnsi="Arial" w:cs="Arial"/>
          <w:sz w:val="22"/>
          <w:szCs w:val="22"/>
        </w:rPr>
        <w:t>souladu s § 2 odst. 2 písm. b) Zákona uchazeč o grant z řad organizačních složek státu nebo organizačních jednotek ministerstva zabývající se výzkumem a vývojem, a dále z řad právnických osob se sídlem v České republice, který splní p</w:t>
      </w:r>
      <w:r w:rsidR="007E7867">
        <w:rPr>
          <w:rFonts w:ascii="Arial" w:hAnsi="Arial" w:cs="Arial"/>
          <w:sz w:val="22"/>
          <w:szCs w:val="22"/>
        </w:rPr>
        <w:t>odmínky způsobilosti uchazeče o </w:t>
      </w:r>
      <w:r w:rsidRPr="00394153">
        <w:rPr>
          <w:rFonts w:ascii="Arial" w:hAnsi="Arial" w:cs="Arial"/>
          <w:sz w:val="22"/>
          <w:szCs w:val="22"/>
        </w:rPr>
        <w:t>podporu, a který byl vybrán ve Veřejné soutěži. Fyzické osoby se příjemci podpory v této skupině projektů stát nemohou</w:t>
      </w:r>
      <w:r w:rsidRPr="00C646E3">
        <w:rPr>
          <w:rFonts w:ascii="Arial" w:hAnsi="Arial" w:cs="Arial"/>
          <w:sz w:val="22"/>
          <w:szCs w:val="22"/>
        </w:rPr>
        <w:t>.</w:t>
      </w:r>
      <w:r w:rsidRPr="00394153">
        <w:rPr>
          <w:rFonts w:ascii="Arial" w:hAnsi="Arial" w:cs="Arial"/>
          <w:i/>
          <w:sz w:val="22"/>
          <w:szCs w:val="22"/>
          <w:u w:val="single"/>
        </w:rPr>
        <w:t xml:space="preserve"> </w:t>
      </w:r>
    </w:p>
    <w:p w14:paraId="7283B7B1" w14:textId="12533670" w:rsidR="00394153" w:rsidRPr="00394153" w:rsidRDefault="00394153" w:rsidP="00394153">
      <w:pPr>
        <w:pStyle w:val="Zkladntext2"/>
        <w:spacing w:after="120"/>
        <w:jc w:val="both"/>
        <w:rPr>
          <w:rFonts w:ascii="Arial" w:hAnsi="Arial" w:cs="Arial"/>
          <w:i/>
          <w:sz w:val="22"/>
          <w:szCs w:val="22"/>
          <w:u w:val="single"/>
        </w:rPr>
      </w:pPr>
      <w:r w:rsidRPr="00394153">
        <w:rPr>
          <w:rFonts w:ascii="Arial" w:hAnsi="Arial" w:cs="Arial"/>
          <w:sz w:val="22"/>
          <w:szCs w:val="22"/>
        </w:rPr>
        <w:t>Podle čl. 1 odst. 4 písm. a) a c) Nařízení je vyloučeno vyplacení jednotlivé podpory ve prospěch podniku, vůči němuž byl v návaznosti na rozhodnutí Evropské komise, na základě kterého/jímž byla podpora obdržená od poskytovatele z České republ</w:t>
      </w:r>
      <w:r>
        <w:rPr>
          <w:rFonts w:ascii="Arial" w:hAnsi="Arial" w:cs="Arial"/>
          <w:sz w:val="22"/>
          <w:szCs w:val="22"/>
        </w:rPr>
        <w:t>iky prohlášena za protiprávní a </w:t>
      </w:r>
      <w:r w:rsidRPr="00394153">
        <w:rPr>
          <w:rFonts w:ascii="Arial" w:hAnsi="Arial" w:cs="Arial"/>
          <w:sz w:val="22"/>
          <w:szCs w:val="22"/>
        </w:rPr>
        <w:t xml:space="preserve">neslučitelnou s vnitřním trhem, vystaven inkasní příkaz, </w:t>
      </w:r>
      <w:r w:rsidR="007E7867">
        <w:rPr>
          <w:rFonts w:ascii="Arial" w:hAnsi="Arial" w:cs="Arial"/>
          <w:sz w:val="22"/>
          <w:szCs w:val="22"/>
        </w:rPr>
        <w:t>který je nesplacený a podniku v </w:t>
      </w:r>
      <w:r w:rsidRPr="00394153">
        <w:rPr>
          <w:rFonts w:ascii="Arial" w:hAnsi="Arial" w:cs="Arial"/>
          <w:sz w:val="22"/>
          <w:szCs w:val="22"/>
        </w:rPr>
        <w:t>obtížích ve smyslu článku 2 odst. 18 Nařízení. V souladu s čl. 1 odst. 5 a) Nařízení je požadováno, aby měl příjemce k okamžiku vyplacení podpory v České republice provozovnu či pobočku.</w:t>
      </w:r>
      <w:r w:rsidRPr="00394153">
        <w:rPr>
          <w:rFonts w:ascii="Arial" w:hAnsi="Arial" w:cs="Arial"/>
          <w:i/>
          <w:sz w:val="22"/>
          <w:szCs w:val="22"/>
          <w:u w:val="single"/>
        </w:rPr>
        <w:t xml:space="preserve"> </w:t>
      </w:r>
    </w:p>
    <w:p w14:paraId="03398DD4" w14:textId="11AF28D4" w:rsidR="00394153" w:rsidRPr="00394153" w:rsidRDefault="00394153" w:rsidP="00394153">
      <w:pPr>
        <w:pStyle w:val="Zkladntext2"/>
        <w:spacing w:after="120"/>
        <w:jc w:val="both"/>
        <w:rPr>
          <w:rFonts w:ascii="Arial" w:hAnsi="Arial" w:cs="Arial"/>
          <w:sz w:val="22"/>
          <w:szCs w:val="22"/>
        </w:rPr>
      </w:pPr>
      <w:r w:rsidRPr="00394153">
        <w:rPr>
          <w:rFonts w:ascii="Arial" w:hAnsi="Arial" w:cs="Arial"/>
          <w:sz w:val="22"/>
          <w:szCs w:val="22"/>
        </w:rPr>
        <w:t xml:space="preserve">Intenzita podpory na základní výzkum poskytovaná podnikům dle čl. 25 Nařízení smí být nejvýše 100 % způsobilých nákladů projektu. Intenzita podpory na základní výzkum </w:t>
      </w:r>
      <w:r w:rsidRPr="00394153">
        <w:rPr>
          <w:rFonts w:ascii="Arial" w:hAnsi="Arial" w:cs="Arial"/>
          <w:sz w:val="22"/>
          <w:szCs w:val="22"/>
        </w:rPr>
        <w:lastRenderedPageBreak/>
        <w:t>poskytovaná výzkumným organizacím a výzkumným infrastrukturám dle bodu 19. Rámce smí být nejvýše 100 % způsobilých nákladů projektu.</w:t>
      </w:r>
    </w:p>
    <w:p w14:paraId="78F8D68D" w14:textId="5C3B8611" w:rsidR="004938DB" w:rsidRPr="00A97358" w:rsidRDefault="00394153" w:rsidP="00394153">
      <w:pPr>
        <w:pStyle w:val="Zkladntext2"/>
        <w:spacing w:after="120"/>
        <w:jc w:val="both"/>
        <w:rPr>
          <w:rFonts w:ascii="Arial" w:hAnsi="Arial" w:cs="Arial"/>
          <w:sz w:val="22"/>
          <w:szCs w:val="22"/>
          <w:highlight w:val="yellow"/>
        </w:rPr>
      </w:pPr>
      <w:r w:rsidRPr="00394153">
        <w:rPr>
          <w:rFonts w:ascii="Arial" w:hAnsi="Arial" w:cs="Arial"/>
          <w:sz w:val="22"/>
          <w:szCs w:val="22"/>
        </w:rPr>
        <w:t>Finanční podpora bude grantovým projektům Návratové granty udělována na základě konkrétních návrhů projektů vypracovaných potenciálními řešiteli těchto projektů, tj. vědeckými pracovníky, kteří k datu vyhlášení veřejné soutěže řádně ukončili doktorské studium, tj. získali akademický titul Ph.D., přičemž doba od jeho získání ke stejn</w:t>
      </w:r>
      <w:r w:rsidR="007E7867">
        <w:rPr>
          <w:rFonts w:ascii="Arial" w:hAnsi="Arial" w:cs="Arial"/>
          <w:sz w:val="22"/>
          <w:szCs w:val="22"/>
        </w:rPr>
        <w:t>ému datu nesmí být delší než 10 </w:t>
      </w:r>
      <w:r w:rsidRPr="00394153">
        <w:rPr>
          <w:rFonts w:ascii="Arial" w:hAnsi="Arial" w:cs="Arial"/>
          <w:sz w:val="22"/>
          <w:szCs w:val="22"/>
        </w:rPr>
        <w:t>let, a řešení projektu naváže na kariérní přestávku v délce trvání od 1 do 5 let. Bližší podmínky pro navrhovat</w:t>
      </w:r>
      <w:r>
        <w:rPr>
          <w:rFonts w:ascii="Arial" w:hAnsi="Arial" w:cs="Arial"/>
          <w:sz w:val="22"/>
          <w:szCs w:val="22"/>
        </w:rPr>
        <w:t>ele jsou vymezeny v čl. 9 předkládaného</w:t>
      </w:r>
      <w:r w:rsidRPr="00394153">
        <w:rPr>
          <w:rFonts w:ascii="Arial" w:hAnsi="Arial" w:cs="Arial"/>
          <w:sz w:val="22"/>
          <w:szCs w:val="22"/>
        </w:rPr>
        <w:t xml:space="preserve"> materiálu.</w:t>
      </w:r>
    </w:p>
    <w:p w14:paraId="26AD2212" w14:textId="77777777" w:rsidR="00451C82" w:rsidRPr="00A97358" w:rsidRDefault="00451C82" w:rsidP="003E3468">
      <w:pPr>
        <w:pStyle w:val="Zkladntext2"/>
        <w:spacing w:after="120"/>
        <w:ind w:left="720"/>
        <w:jc w:val="both"/>
        <w:rPr>
          <w:rFonts w:ascii="Arial" w:hAnsi="Arial" w:cs="Arial"/>
          <w:sz w:val="22"/>
          <w:szCs w:val="22"/>
          <w:highlight w:val="yellow"/>
        </w:rPr>
      </w:pPr>
    </w:p>
    <w:p w14:paraId="5C0BC348" w14:textId="3912A2D4" w:rsidR="00F34FCE" w:rsidRPr="00F34FCE" w:rsidRDefault="00F34FCE" w:rsidP="00F34FCE">
      <w:pPr>
        <w:pStyle w:val="Odstavecseseznamem"/>
        <w:numPr>
          <w:ilvl w:val="0"/>
          <w:numId w:val="6"/>
        </w:numPr>
        <w:jc w:val="both"/>
        <w:rPr>
          <w:rFonts w:ascii="Arial" w:eastAsiaTheme="minorHAnsi" w:hAnsi="Arial" w:cs="Arial"/>
          <w:i/>
          <w:sz w:val="22"/>
          <w:szCs w:val="22"/>
          <w:u w:val="single"/>
          <w:lang w:eastAsia="en-US"/>
        </w:rPr>
      </w:pPr>
      <w:r w:rsidRPr="00F34FCE">
        <w:rPr>
          <w:rFonts w:ascii="Arial" w:eastAsiaTheme="minorHAnsi" w:hAnsi="Arial" w:cs="Arial"/>
          <w:i/>
          <w:sz w:val="22"/>
          <w:szCs w:val="22"/>
          <w:u w:val="single"/>
          <w:lang w:eastAsia="en-US"/>
        </w:rPr>
        <w:t>Specifikace cílů Programu, jejich odůvodnění a způsob dosažení, přínosy a očekávané výsledky, srovnání se současným stavem v České republice a zahraničí</w:t>
      </w:r>
      <w:r>
        <w:rPr>
          <w:rFonts w:ascii="Arial" w:eastAsiaTheme="minorHAnsi" w:hAnsi="Arial" w:cs="Arial"/>
          <w:i/>
          <w:sz w:val="22"/>
          <w:szCs w:val="22"/>
          <w:u w:val="single"/>
          <w:lang w:eastAsia="en-US"/>
        </w:rPr>
        <w:t>:</w:t>
      </w:r>
    </w:p>
    <w:p w14:paraId="7D4BD1A2" w14:textId="187156FA" w:rsidR="00D56170" w:rsidRPr="00A97358" w:rsidRDefault="00D56170" w:rsidP="00F34FCE">
      <w:pPr>
        <w:pStyle w:val="Zkladntext2"/>
        <w:spacing w:after="120"/>
        <w:jc w:val="both"/>
        <w:rPr>
          <w:rFonts w:ascii="Arial" w:eastAsiaTheme="minorHAnsi" w:hAnsi="Arial" w:cs="Arial"/>
          <w:i/>
          <w:sz w:val="22"/>
          <w:szCs w:val="22"/>
          <w:highlight w:val="yellow"/>
          <w:u w:val="single"/>
          <w:lang w:eastAsia="en-US"/>
        </w:rPr>
      </w:pPr>
    </w:p>
    <w:p w14:paraId="5A49DF89" w14:textId="77777777" w:rsidR="00DE449B" w:rsidRPr="00DE449B" w:rsidRDefault="00DE449B" w:rsidP="00DE449B">
      <w:pPr>
        <w:pStyle w:val="Zkladntext2"/>
        <w:spacing w:after="120"/>
        <w:jc w:val="both"/>
        <w:rPr>
          <w:rFonts w:ascii="Arial" w:hAnsi="Arial" w:cs="Arial"/>
          <w:sz w:val="22"/>
          <w:szCs w:val="22"/>
        </w:rPr>
      </w:pPr>
      <w:r w:rsidRPr="00DE449B">
        <w:rPr>
          <w:rFonts w:ascii="Arial" w:hAnsi="Arial" w:cs="Arial"/>
          <w:sz w:val="22"/>
          <w:szCs w:val="22"/>
        </w:rPr>
        <w:t xml:space="preserve">Hlavním cílem GA ČR pro následující roky je v maximální možné míře vytvářet podmínky pro excelentní výzkum ve všech vědních oblastech a v návaznosti na současný systém zlepšovat podmínky pro podporu grantových projektů základního výzkumu. </w:t>
      </w:r>
    </w:p>
    <w:p w14:paraId="3CB49629" w14:textId="059BF27B" w:rsidR="00DE449B" w:rsidRPr="00DE449B" w:rsidRDefault="00C52E25" w:rsidP="00DE449B">
      <w:pPr>
        <w:pStyle w:val="Zkladntext2"/>
        <w:spacing w:after="120"/>
        <w:jc w:val="both"/>
        <w:rPr>
          <w:rFonts w:ascii="Arial" w:hAnsi="Arial" w:cs="Arial"/>
          <w:sz w:val="22"/>
          <w:szCs w:val="22"/>
        </w:rPr>
      </w:pPr>
      <w:r>
        <w:rPr>
          <w:rFonts w:ascii="Arial" w:hAnsi="Arial" w:cs="Arial"/>
          <w:sz w:val="22"/>
          <w:szCs w:val="22"/>
        </w:rPr>
        <w:t>Návratové granty jsou zaměřeny</w:t>
      </w:r>
      <w:r w:rsidR="00DE449B" w:rsidRPr="00DE449B">
        <w:rPr>
          <w:rFonts w:ascii="Arial" w:hAnsi="Arial" w:cs="Arial"/>
          <w:sz w:val="22"/>
          <w:szCs w:val="22"/>
        </w:rPr>
        <w:t xml:space="preserve"> na vytvoření příležitosti pro vědce </w:t>
      </w:r>
      <w:r w:rsidR="00506DBD">
        <w:rPr>
          <w:rFonts w:ascii="Arial" w:hAnsi="Arial" w:cs="Arial"/>
          <w:sz w:val="22"/>
          <w:szCs w:val="22"/>
        </w:rPr>
        <w:t>a vědkyně po kariérní přestáv</w:t>
      </w:r>
      <w:r w:rsidR="006D10A5">
        <w:rPr>
          <w:rFonts w:ascii="Arial" w:hAnsi="Arial" w:cs="Arial"/>
          <w:sz w:val="22"/>
          <w:szCs w:val="22"/>
        </w:rPr>
        <w:t>ce</w:t>
      </w:r>
      <w:r w:rsidR="00DE449B" w:rsidRPr="00DE449B">
        <w:rPr>
          <w:rFonts w:ascii="Arial" w:hAnsi="Arial" w:cs="Arial"/>
          <w:sz w:val="22"/>
          <w:szCs w:val="22"/>
        </w:rPr>
        <w:t xml:space="preserve"> s cílem umožnit jejich návrat ke vědecké kariéře a </w:t>
      </w:r>
      <w:r>
        <w:rPr>
          <w:rFonts w:ascii="Arial" w:hAnsi="Arial" w:cs="Arial"/>
          <w:sz w:val="22"/>
          <w:szCs w:val="22"/>
        </w:rPr>
        <w:t>tím usnadnit sladění osobního a </w:t>
      </w:r>
      <w:r w:rsidR="00DE449B" w:rsidRPr="00DE449B">
        <w:rPr>
          <w:rFonts w:ascii="Arial" w:hAnsi="Arial" w:cs="Arial"/>
          <w:sz w:val="22"/>
          <w:szCs w:val="22"/>
        </w:rPr>
        <w:t>prof</w:t>
      </w:r>
      <w:r>
        <w:rPr>
          <w:rFonts w:ascii="Arial" w:hAnsi="Arial" w:cs="Arial"/>
          <w:sz w:val="22"/>
          <w:szCs w:val="22"/>
        </w:rPr>
        <w:t>esního života.</w:t>
      </w:r>
    </w:p>
    <w:p w14:paraId="401BD746" w14:textId="3308453E" w:rsidR="00C52E25" w:rsidRDefault="00DE449B" w:rsidP="00DE449B">
      <w:pPr>
        <w:pStyle w:val="Zkladntext2"/>
        <w:spacing w:after="120"/>
        <w:jc w:val="both"/>
        <w:rPr>
          <w:rFonts w:ascii="Arial" w:hAnsi="Arial" w:cs="Arial"/>
          <w:sz w:val="22"/>
          <w:szCs w:val="22"/>
        </w:rPr>
      </w:pPr>
      <w:r w:rsidRPr="00DE449B">
        <w:rPr>
          <w:rFonts w:ascii="Arial" w:hAnsi="Arial" w:cs="Arial"/>
          <w:sz w:val="22"/>
          <w:szCs w:val="22"/>
        </w:rPr>
        <w:t>Pro vědkyně a vědce může být rodičovská dovolená nebo kar</w:t>
      </w:r>
      <w:r w:rsidR="00C52E25">
        <w:rPr>
          <w:rFonts w:ascii="Arial" w:hAnsi="Arial" w:cs="Arial"/>
          <w:sz w:val="22"/>
          <w:szCs w:val="22"/>
        </w:rPr>
        <w:t>iérní přestávka z důvodu péče o </w:t>
      </w:r>
      <w:r w:rsidRPr="00DE449B">
        <w:rPr>
          <w:rFonts w:ascii="Arial" w:hAnsi="Arial" w:cs="Arial"/>
          <w:sz w:val="22"/>
          <w:szCs w:val="22"/>
        </w:rPr>
        <w:t xml:space="preserve">rodinu bariérou při pokračování ve vědecké kariéře. Aby se předešlo ztrátě vysokého potenciálu pro oblast vědy a výzkumu, je důležité vhodně nastavit systém podpory pro tuto specifickou skupinu osob a podpořit vytváření pracovních příležitostí, které odpovídají jejich potřebám. </w:t>
      </w:r>
    </w:p>
    <w:p w14:paraId="2C0E706B" w14:textId="0BBC90CA" w:rsidR="00C52E25" w:rsidRPr="00C52E25" w:rsidRDefault="00C52E25" w:rsidP="00C52E25">
      <w:pPr>
        <w:pStyle w:val="Zkladntext2"/>
        <w:spacing w:after="120"/>
        <w:jc w:val="both"/>
        <w:rPr>
          <w:rFonts w:ascii="Arial" w:hAnsi="Arial" w:cs="Arial"/>
          <w:sz w:val="22"/>
          <w:szCs w:val="22"/>
        </w:rPr>
      </w:pPr>
      <w:r w:rsidRPr="00C52E25">
        <w:rPr>
          <w:rFonts w:ascii="Arial" w:hAnsi="Arial" w:cs="Arial"/>
          <w:sz w:val="22"/>
          <w:szCs w:val="22"/>
        </w:rPr>
        <w:t>Cíl</w:t>
      </w:r>
      <w:r>
        <w:rPr>
          <w:rFonts w:ascii="Arial" w:hAnsi="Arial" w:cs="Arial"/>
          <w:sz w:val="22"/>
          <w:szCs w:val="22"/>
        </w:rPr>
        <w:t>em Návratových grantů</w:t>
      </w:r>
      <w:r w:rsidRPr="00C52E25">
        <w:rPr>
          <w:rFonts w:ascii="Arial" w:hAnsi="Arial" w:cs="Arial"/>
          <w:sz w:val="22"/>
          <w:szCs w:val="22"/>
        </w:rPr>
        <w:t xml:space="preserve"> je naplnění následujících strategických cílů a opatření Národní politiky výzkumu, vývoje a inovací České republiky 2021+ , (dále</w:t>
      </w:r>
      <w:r>
        <w:rPr>
          <w:rFonts w:ascii="Arial" w:hAnsi="Arial" w:cs="Arial"/>
          <w:sz w:val="22"/>
          <w:szCs w:val="22"/>
        </w:rPr>
        <w:t xml:space="preserve"> jen „Národní politika </w:t>
      </w:r>
      <w:proofErr w:type="spellStart"/>
      <w:r>
        <w:rPr>
          <w:rFonts w:ascii="Arial" w:hAnsi="Arial" w:cs="Arial"/>
          <w:sz w:val="22"/>
          <w:szCs w:val="22"/>
        </w:rPr>
        <w:t>VaVaI</w:t>
      </w:r>
      <w:proofErr w:type="spellEnd"/>
      <w:r>
        <w:rPr>
          <w:rFonts w:ascii="Arial" w:hAnsi="Arial" w:cs="Arial"/>
          <w:sz w:val="22"/>
          <w:szCs w:val="22"/>
        </w:rPr>
        <w:t>“):</w:t>
      </w:r>
    </w:p>
    <w:p w14:paraId="4DAC03A1" w14:textId="77777777" w:rsidR="0058584F" w:rsidRDefault="00C52E25" w:rsidP="0058584F">
      <w:pPr>
        <w:pStyle w:val="Zkladntext2"/>
        <w:spacing w:after="120"/>
        <w:jc w:val="both"/>
        <w:rPr>
          <w:rFonts w:ascii="Arial" w:hAnsi="Arial" w:cs="Arial"/>
          <w:sz w:val="22"/>
          <w:szCs w:val="22"/>
        </w:rPr>
      </w:pPr>
      <w:r w:rsidRPr="00C52E25">
        <w:rPr>
          <w:rFonts w:ascii="Arial" w:hAnsi="Arial" w:cs="Arial"/>
          <w:sz w:val="22"/>
          <w:szCs w:val="22"/>
        </w:rPr>
        <w:t>•</w:t>
      </w:r>
      <w:r w:rsidR="006D10A5">
        <w:rPr>
          <w:rFonts w:ascii="Arial" w:hAnsi="Arial" w:cs="Arial"/>
          <w:sz w:val="22"/>
          <w:szCs w:val="22"/>
        </w:rPr>
        <w:t xml:space="preserve"> </w:t>
      </w:r>
      <w:r w:rsidRPr="00C52E25">
        <w:rPr>
          <w:rFonts w:ascii="Arial" w:hAnsi="Arial" w:cs="Arial"/>
          <w:sz w:val="22"/>
          <w:szCs w:val="22"/>
        </w:rPr>
        <w:t>Cíl 2: Podpořit výzkumné organizace ve vytváření mot</w:t>
      </w:r>
      <w:r>
        <w:rPr>
          <w:rFonts w:ascii="Arial" w:hAnsi="Arial" w:cs="Arial"/>
          <w:sz w:val="22"/>
          <w:szCs w:val="22"/>
        </w:rPr>
        <w:t>ivujících pracovních podmínek a </w:t>
      </w:r>
      <w:r w:rsidRPr="00C52E25">
        <w:rPr>
          <w:rFonts w:ascii="Arial" w:hAnsi="Arial" w:cs="Arial"/>
          <w:sz w:val="22"/>
          <w:szCs w:val="22"/>
        </w:rPr>
        <w:t xml:space="preserve">rozvoj potenciálu lidí napříč celým spektrem výzkumu a vývoje </w:t>
      </w:r>
    </w:p>
    <w:p w14:paraId="0A866C57" w14:textId="6B6C8878" w:rsidR="00C52E25" w:rsidRPr="00C52E25" w:rsidRDefault="00C52E25" w:rsidP="0058584F">
      <w:pPr>
        <w:pStyle w:val="Zkladntext2"/>
        <w:numPr>
          <w:ilvl w:val="0"/>
          <w:numId w:val="5"/>
        </w:numPr>
        <w:spacing w:after="120"/>
        <w:jc w:val="both"/>
        <w:rPr>
          <w:rFonts w:ascii="Arial" w:hAnsi="Arial" w:cs="Arial"/>
          <w:sz w:val="22"/>
          <w:szCs w:val="22"/>
        </w:rPr>
      </w:pPr>
      <w:r w:rsidRPr="00C52E25">
        <w:rPr>
          <w:rFonts w:ascii="Arial" w:hAnsi="Arial" w:cs="Arial"/>
          <w:sz w:val="22"/>
          <w:szCs w:val="22"/>
        </w:rPr>
        <w:t>2.4:  Vytvářet podmínky pro kombinaci výzkumné práce a rodičovství a pro uplatnění žen po mateřské a žen či mužů po rodičovské dovolené</w:t>
      </w:r>
    </w:p>
    <w:p w14:paraId="61F705BE" w14:textId="13E77613" w:rsidR="00C52E25" w:rsidRPr="00C52E25" w:rsidRDefault="00C52E25" w:rsidP="00C52E25">
      <w:pPr>
        <w:pStyle w:val="Zkladntext2"/>
        <w:spacing w:after="120"/>
        <w:jc w:val="both"/>
        <w:rPr>
          <w:rFonts w:ascii="Arial" w:hAnsi="Arial" w:cs="Arial"/>
          <w:sz w:val="22"/>
          <w:szCs w:val="22"/>
        </w:rPr>
      </w:pPr>
      <w:r w:rsidRPr="00C52E25">
        <w:rPr>
          <w:rFonts w:ascii="Arial" w:hAnsi="Arial" w:cs="Arial"/>
          <w:sz w:val="22"/>
          <w:szCs w:val="22"/>
        </w:rPr>
        <w:t>•</w:t>
      </w:r>
      <w:r w:rsidR="006D10A5">
        <w:rPr>
          <w:rFonts w:ascii="Arial" w:hAnsi="Arial" w:cs="Arial"/>
          <w:sz w:val="22"/>
          <w:szCs w:val="22"/>
        </w:rPr>
        <w:t xml:space="preserve"> </w:t>
      </w:r>
      <w:r w:rsidRPr="00C52E25">
        <w:rPr>
          <w:rFonts w:ascii="Arial" w:hAnsi="Arial" w:cs="Arial"/>
          <w:sz w:val="22"/>
          <w:szCs w:val="22"/>
        </w:rPr>
        <w:t>Opatření 12: Vytváření podmínek pro kombinaci výzkumné práce a rodičovství a pro uplatnění žen po mateřské dovolené.</w:t>
      </w:r>
    </w:p>
    <w:p w14:paraId="174BB3B6" w14:textId="4B2E124F" w:rsidR="00C52E25" w:rsidRDefault="00C52E25" w:rsidP="00DE449B">
      <w:pPr>
        <w:pStyle w:val="Zkladntext2"/>
        <w:spacing w:after="120"/>
        <w:jc w:val="both"/>
        <w:rPr>
          <w:rFonts w:ascii="Arial" w:hAnsi="Arial" w:cs="Arial"/>
          <w:sz w:val="22"/>
          <w:szCs w:val="22"/>
        </w:rPr>
      </w:pPr>
      <w:r>
        <w:rPr>
          <w:rFonts w:ascii="Arial" w:hAnsi="Arial" w:cs="Arial"/>
          <w:sz w:val="22"/>
          <w:szCs w:val="22"/>
        </w:rPr>
        <w:t>Návratové granty dále pomůžou k naplnění</w:t>
      </w:r>
      <w:r w:rsidRPr="00C52E25">
        <w:rPr>
          <w:rFonts w:ascii="Arial" w:hAnsi="Arial" w:cs="Arial"/>
          <w:sz w:val="22"/>
          <w:szCs w:val="22"/>
        </w:rPr>
        <w:t xml:space="preserve"> strategických cílů a opatření Strategie rovnosti žen a mužů na léta 2021–2030</w:t>
      </w:r>
      <w:r>
        <w:rPr>
          <w:rFonts w:ascii="Arial" w:hAnsi="Arial" w:cs="Arial"/>
          <w:sz w:val="22"/>
          <w:szCs w:val="22"/>
        </w:rPr>
        <w:t>.</w:t>
      </w:r>
    </w:p>
    <w:p w14:paraId="5C154AF1" w14:textId="3F718078" w:rsidR="00D723D5" w:rsidRDefault="00C52E25" w:rsidP="00DE449B">
      <w:pPr>
        <w:pStyle w:val="Zkladntext2"/>
        <w:spacing w:after="120"/>
        <w:jc w:val="both"/>
        <w:rPr>
          <w:rFonts w:ascii="Arial" w:hAnsi="Arial" w:cs="Arial"/>
          <w:sz w:val="22"/>
          <w:szCs w:val="22"/>
        </w:rPr>
      </w:pPr>
      <w:r w:rsidRPr="00C52E25">
        <w:rPr>
          <w:rFonts w:ascii="Arial" w:hAnsi="Arial" w:cs="Arial"/>
          <w:sz w:val="22"/>
          <w:szCs w:val="22"/>
        </w:rPr>
        <w:t>Srovnání současného stavu v České republice a v zahraničí a analýza řešené problematiky</w:t>
      </w:r>
      <w:r>
        <w:rPr>
          <w:rFonts w:ascii="Arial" w:hAnsi="Arial" w:cs="Arial"/>
          <w:sz w:val="22"/>
          <w:szCs w:val="22"/>
        </w:rPr>
        <w:t xml:space="preserve"> je obsaženo v kapitole 13. předkládaného materiálu.</w:t>
      </w:r>
    </w:p>
    <w:p w14:paraId="1E0C0E0E" w14:textId="77777777" w:rsidR="00D5686F" w:rsidRPr="00D723D5" w:rsidRDefault="00D5686F" w:rsidP="00E84C9D">
      <w:pPr>
        <w:pStyle w:val="Odstavecseseznamem"/>
        <w:numPr>
          <w:ilvl w:val="0"/>
          <w:numId w:val="1"/>
        </w:numPr>
        <w:spacing w:after="120"/>
        <w:contextualSpacing w:val="0"/>
        <w:jc w:val="both"/>
        <w:rPr>
          <w:rFonts w:ascii="Arial" w:hAnsi="Arial" w:cs="Arial"/>
          <w:b/>
          <w:color w:val="0070C0"/>
          <w:sz w:val="22"/>
          <w:szCs w:val="22"/>
        </w:rPr>
      </w:pPr>
      <w:r w:rsidRPr="00D723D5">
        <w:rPr>
          <w:rFonts w:ascii="Arial" w:hAnsi="Arial" w:cs="Arial"/>
          <w:b/>
          <w:color w:val="0070C0"/>
          <w:sz w:val="22"/>
          <w:szCs w:val="22"/>
        </w:rPr>
        <w:t>Soulad s pravidly pro veřejnou podporu</w:t>
      </w:r>
    </w:p>
    <w:p w14:paraId="7A65628F" w14:textId="068D7F4F" w:rsidR="00C52E25" w:rsidRPr="00C52E25" w:rsidRDefault="00C52E25" w:rsidP="00C52E25">
      <w:pPr>
        <w:autoSpaceDE w:val="0"/>
        <w:autoSpaceDN w:val="0"/>
        <w:adjustRightInd w:val="0"/>
        <w:spacing w:after="120"/>
        <w:jc w:val="both"/>
        <w:rPr>
          <w:rFonts w:ascii="Arial" w:hAnsi="Arial" w:cs="Arial"/>
          <w:sz w:val="22"/>
          <w:szCs w:val="22"/>
        </w:rPr>
      </w:pPr>
      <w:r w:rsidRPr="00C52E25">
        <w:rPr>
          <w:rFonts w:ascii="Arial" w:hAnsi="Arial" w:cs="Arial"/>
          <w:sz w:val="22"/>
          <w:szCs w:val="22"/>
        </w:rPr>
        <w:t xml:space="preserve">Skupina grantových projektů </w:t>
      </w:r>
      <w:r>
        <w:rPr>
          <w:rFonts w:ascii="Arial" w:hAnsi="Arial" w:cs="Arial"/>
          <w:sz w:val="22"/>
          <w:szCs w:val="22"/>
        </w:rPr>
        <w:t>„</w:t>
      </w:r>
      <w:r w:rsidRPr="00C52E25">
        <w:rPr>
          <w:rFonts w:ascii="Arial" w:hAnsi="Arial" w:cs="Arial"/>
          <w:sz w:val="22"/>
          <w:szCs w:val="22"/>
        </w:rPr>
        <w:t>Návratové granty</w:t>
      </w:r>
      <w:r>
        <w:rPr>
          <w:rFonts w:ascii="Arial" w:hAnsi="Arial" w:cs="Arial"/>
          <w:sz w:val="22"/>
          <w:szCs w:val="22"/>
        </w:rPr>
        <w:t>“</w:t>
      </w:r>
      <w:r w:rsidRPr="00C52E25">
        <w:rPr>
          <w:rFonts w:ascii="Arial" w:hAnsi="Arial" w:cs="Arial"/>
          <w:sz w:val="22"/>
          <w:szCs w:val="22"/>
        </w:rPr>
        <w:t xml:space="preserve"> bude realizována podle:</w:t>
      </w:r>
    </w:p>
    <w:p w14:paraId="1E82F5CC" w14:textId="349EC4C1" w:rsidR="00C52E25" w:rsidRPr="00C52E25" w:rsidRDefault="00C52E25" w:rsidP="00C52E25">
      <w:pPr>
        <w:pStyle w:val="Odstavecseseznamem"/>
        <w:numPr>
          <w:ilvl w:val="0"/>
          <w:numId w:val="5"/>
        </w:numPr>
        <w:autoSpaceDE w:val="0"/>
        <w:autoSpaceDN w:val="0"/>
        <w:adjustRightInd w:val="0"/>
        <w:spacing w:after="120"/>
        <w:jc w:val="both"/>
        <w:rPr>
          <w:rFonts w:ascii="Arial" w:hAnsi="Arial" w:cs="Arial"/>
          <w:sz w:val="22"/>
          <w:szCs w:val="22"/>
        </w:rPr>
      </w:pPr>
      <w:r w:rsidRPr="00C52E25">
        <w:rPr>
          <w:rFonts w:ascii="Arial" w:hAnsi="Arial" w:cs="Arial"/>
          <w:sz w:val="22"/>
          <w:szCs w:val="22"/>
        </w:rPr>
        <w:t>nařízení Komise (EU) č. 651/2014 ze dne 17. čer</w:t>
      </w:r>
      <w:r w:rsidR="007E7867">
        <w:rPr>
          <w:rFonts w:ascii="Arial" w:hAnsi="Arial" w:cs="Arial"/>
          <w:sz w:val="22"/>
          <w:szCs w:val="22"/>
        </w:rPr>
        <w:t>vna 2014, kterým se v souladu s </w:t>
      </w:r>
      <w:r w:rsidRPr="00C52E25">
        <w:rPr>
          <w:rFonts w:ascii="Arial" w:hAnsi="Arial" w:cs="Arial"/>
          <w:sz w:val="22"/>
          <w:szCs w:val="22"/>
        </w:rPr>
        <w:t>články 107 a 108 Smlouvy prohlašují určité kategorie podpory za slučitelné s vnitřním trhem, Úřední věstník EU L 187 ze dne 26. června 2014, v platném znění (dále jen „Nařízení“);</w:t>
      </w:r>
    </w:p>
    <w:p w14:paraId="211C51AD" w14:textId="7395DC74" w:rsidR="00C52E25" w:rsidRPr="00C52E25" w:rsidRDefault="00C52E25" w:rsidP="00C52E25">
      <w:pPr>
        <w:pStyle w:val="Odstavecseseznamem"/>
        <w:numPr>
          <w:ilvl w:val="0"/>
          <w:numId w:val="5"/>
        </w:numPr>
        <w:autoSpaceDE w:val="0"/>
        <w:autoSpaceDN w:val="0"/>
        <w:adjustRightInd w:val="0"/>
        <w:spacing w:after="120"/>
        <w:jc w:val="both"/>
        <w:rPr>
          <w:rFonts w:ascii="Arial" w:hAnsi="Arial" w:cs="Arial"/>
          <w:sz w:val="22"/>
          <w:szCs w:val="22"/>
        </w:rPr>
      </w:pPr>
      <w:r w:rsidRPr="00C52E25">
        <w:rPr>
          <w:rFonts w:ascii="Arial" w:hAnsi="Arial" w:cs="Arial"/>
          <w:sz w:val="22"/>
          <w:szCs w:val="22"/>
        </w:rPr>
        <w:t>zákona č. 130/2002 Sb., o podpoře výzkumu, experimentálního vývoje a inovací z veřejných prostředků a o změně některých souvisejících zákonů (zákon o podpoře výzkumu, experimentálního vývoje a inovací), ve znění pozdějších předpisů (dále jen „Zákon“);</w:t>
      </w:r>
    </w:p>
    <w:p w14:paraId="56762706" w14:textId="635D1277" w:rsidR="00C52E25" w:rsidRPr="00C52E25" w:rsidRDefault="00C52E25" w:rsidP="006D10A5">
      <w:pPr>
        <w:pStyle w:val="Odstavecseseznamem"/>
        <w:numPr>
          <w:ilvl w:val="0"/>
          <w:numId w:val="5"/>
        </w:numPr>
        <w:autoSpaceDE w:val="0"/>
        <w:autoSpaceDN w:val="0"/>
        <w:adjustRightInd w:val="0"/>
        <w:spacing w:after="120"/>
        <w:jc w:val="both"/>
        <w:rPr>
          <w:rFonts w:ascii="Arial" w:hAnsi="Arial" w:cs="Arial"/>
          <w:sz w:val="22"/>
          <w:szCs w:val="22"/>
        </w:rPr>
      </w:pPr>
      <w:r w:rsidRPr="00C52E25">
        <w:rPr>
          <w:rFonts w:ascii="Arial" w:hAnsi="Arial" w:cs="Arial"/>
          <w:sz w:val="22"/>
          <w:szCs w:val="22"/>
        </w:rPr>
        <w:lastRenderedPageBreak/>
        <w:t>sdělení Komise – Rámec pro státní podporu výzkumu, vývoje a inovací, Úřední věstník EU C 198 ze dne 27. června 2014 (dále jen „Rámec“)</w:t>
      </w:r>
      <w:r w:rsidR="006D10A5">
        <w:rPr>
          <w:rFonts w:ascii="Arial" w:hAnsi="Arial" w:cs="Arial"/>
          <w:sz w:val="22"/>
          <w:szCs w:val="22"/>
        </w:rPr>
        <w:t xml:space="preserve"> </w:t>
      </w:r>
      <w:r w:rsidR="006D10A5" w:rsidRPr="006D10A5">
        <w:rPr>
          <w:rFonts w:ascii="Arial" w:hAnsi="Arial" w:cs="Arial"/>
          <w:sz w:val="22"/>
          <w:szCs w:val="22"/>
        </w:rPr>
        <w:t>v revidované podobě Sdělení komise C(2022) 7388 ze dne 19. října 2022</w:t>
      </w:r>
      <w:r w:rsidRPr="00C52E25">
        <w:rPr>
          <w:rFonts w:ascii="Arial" w:hAnsi="Arial" w:cs="Arial"/>
          <w:sz w:val="22"/>
          <w:szCs w:val="22"/>
        </w:rPr>
        <w:t>, a</w:t>
      </w:r>
    </w:p>
    <w:p w14:paraId="0DC3EE78" w14:textId="25E42D1E" w:rsidR="00C52E25" w:rsidRPr="00C52E25" w:rsidRDefault="00C52E25" w:rsidP="00C52E25">
      <w:pPr>
        <w:pStyle w:val="Odstavecseseznamem"/>
        <w:numPr>
          <w:ilvl w:val="0"/>
          <w:numId w:val="5"/>
        </w:numPr>
        <w:autoSpaceDE w:val="0"/>
        <w:autoSpaceDN w:val="0"/>
        <w:adjustRightInd w:val="0"/>
        <w:spacing w:after="120"/>
        <w:jc w:val="both"/>
        <w:rPr>
          <w:rFonts w:ascii="Arial" w:hAnsi="Arial" w:cs="Arial"/>
          <w:sz w:val="22"/>
          <w:szCs w:val="22"/>
        </w:rPr>
      </w:pPr>
      <w:r w:rsidRPr="00C52E25">
        <w:rPr>
          <w:rFonts w:ascii="Arial" w:hAnsi="Arial" w:cs="Arial"/>
          <w:sz w:val="22"/>
          <w:szCs w:val="22"/>
        </w:rPr>
        <w:t>ostatních souvisejících předpisů.</w:t>
      </w:r>
    </w:p>
    <w:p w14:paraId="3AACB93F" w14:textId="6BBB129C" w:rsidR="00D723D5" w:rsidRPr="00D723D5" w:rsidRDefault="00C52E25" w:rsidP="00C52E25">
      <w:pPr>
        <w:autoSpaceDE w:val="0"/>
        <w:autoSpaceDN w:val="0"/>
        <w:adjustRightInd w:val="0"/>
        <w:spacing w:after="120"/>
        <w:jc w:val="both"/>
        <w:rPr>
          <w:rFonts w:ascii="Arial" w:hAnsi="Arial" w:cs="Arial"/>
          <w:sz w:val="22"/>
          <w:szCs w:val="22"/>
        </w:rPr>
      </w:pPr>
      <w:r w:rsidRPr="00C52E25">
        <w:rPr>
          <w:rFonts w:ascii="Arial" w:hAnsi="Arial" w:cs="Arial"/>
          <w:sz w:val="22"/>
          <w:szCs w:val="22"/>
        </w:rPr>
        <w:t>Skupina grantových projektů Návratové granty je vyňata z oznamovací povinnosti podle článku 108 odst. 3 Smlouvy o fungování EU, neboť splňuje podmínky kapitoly I. a článku 25 Nařízení.</w:t>
      </w:r>
    </w:p>
    <w:p w14:paraId="15BC3044" w14:textId="77777777" w:rsidR="00D56170" w:rsidRPr="003E4654" w:rsidRDefault="00D56170" w:rsidP="00341788">
      <w:pPr>
        <w:pStyle w:val="Odstavecseseznamem"/>
        <w:numPr>
          <w:ilvl w:val="0"/>
          <w:numId w:val="1"/>
        </w:numPr>
        <w:spacing w:after="120"/>
        <w:contextualSpacing w:val="0"/>
        <w:jc w:val="both"/>
        <w:rPr>
          <w:rFonts w:ascii="Arial" w:hAnsi="Arial" w:cs="Arial"/>
          <w:b/>
          <w:color w:val="0070C0"/>
          <w:sz w:val="22"/>
          <w:szCs w:val="22"/>
        </w:rPr>
      </w:pPr>
      <w:r w:rsidRPr="003E4654">
        <w:rPr>
          <w:rFonts w:ascii="Arial" w:hAnsi="Arial" w:cs="Arial"/>
          <w:b/>
          <w:color w:val="0070C0"/>
          <w:sz w:val="22"/>
          <w:szCs w:val="22"/>
        </w:rPr>
        <w:t>Souhrnné a věcné zhodnocení materiálu Radou</w:t>
      </w:r>
    </w:p>
    <w:p w14:paraId="73484653" w14:textId="2AEC0345" w:rsidR="00124D03" w:rsidRPr="00124D03" w:rsidRDefault="00124D03" w:rsidP="00520FC1">
      <w:pPr>
        <w:autoSpaceDE w:val="0"/>
        <w:autoSpaceDN w:val="0"/>
        <w:adjustRightInd w:val="0"/>
        <w:spacing w:after="120"/>
        <w:jc w:val="both"/>
        <w:rPr>
          <w:rFonts w:ascii="Arial" w:eastAsiaTheme="minorHAnsi" w:hAnsi="Arial" w:cs="Arial"/>
          <w:bCs/>
          <w:sz w:val="22"/>
          <w:szCs w:val="22"/>
          <w:lang w:eastAsia="en-US"/>
        </w:rPr>
      </w:pPr>
      <w:r w:rsidRPr="00124D03">
        <w:rPr>
          <w:rFonts w:ascii="Arial" w:eastAsiaTheme="minorHAnsi" w:hAnsi="Arial" w:cs="Arial"/>
          <w:bCs/>
          <w:sz w:val="22"/>
          <w:szCs w:val="22"/>
          <w:lang w:eastAsia="en-US"/>
        </w:rPr>
        <w:t xml:space="preserve">Klíčovým problémem, který v ČR brání zapojení žen do výzkumu a jejich udržení se v něm, je nepružnost systému výzkumu a </w:t>
      </w:r>
      <w:r w:rsidR="009D7BC6">
        <w:rPr>
          <w:rFonts w:ascii="Arial" w:eastAsiaTheme="minorHAnsi" w:hAnsi="Arial" w:cs="Arial"/>
          <w:bCs/>
          <w:sz w:val="22"/>
          <w:szCs w:val="22"/>
          <w:lang w:eastAsia="en-US"/>
        </w:rPr>
        <w:t xml:space="preserve">vývoje ve vztahu k rodičovství. </w:t>
      </w:r>
      <w:r w:rsidRPr="00124D03">
        <w:rPr>
          <w:rFonts w:ascii="Arial" w:eastAsiaTheme="minorHAnsi" w:hAnsi="Arial" w:cs="Arial"/>
          <w:bCs/>
          <w:sz w:val="22"/>
          <w:szCs w:val="22"/>
          <w:lang w:eastAsia="en-US"/>
        </w:rPr>
        <w:t xml:space="preserve">Rostoucí podíl absolventek doktorátu ukazuje, že ženy mají zájem ve výzkumu pracovat, problém ale je ženy v systému po doktorátu udržet. V současné době existuje několik zásadních systémových překážek, které je nutné řešit. Důsledkem stávajícího systému je to, že se vědkyně rozhodnou mít méně dětí, nebo z vědy odchází a podíl žen na pozicích vedoucích </w:t>
      </w:r>
      <w:r w:rsidR="009D7BC6">
        <w:rPr>
          <w:rFonts w:ascii="Arial" w:eastAsiaTheme="minorHAnsi" w:hAnsi="Arial" w:cs="Arial"/>
          <w:bCs/>
          <w:sz w:val="22"/>
          <w:szCs w:val="22"/>
          <w:lang w:eastAsia="en-US"/>
        </w:rPr>
        <w:t>vědeckých pracovnic, docentek a </w:t>
      </w:r>
      <w:r w:rsidRPr="00124D03">
        <w:rPr>
          <w:rFonts w:ascii="Arial" w:eastAsiaTheme="minorHAnsi" w:hAnsi="Arial" w:cs="Arial"/>
          <w:bCs/>
          <w:sz w:val="22"/>
          <w:szCs w:val="22"/>
          <w:lang w:eastAsia="en-US"/>
        </w:rPr>
        <w:t xml:space="preserve">profesorek je </w:t>
      </w:r>
      <w:r w:rsidR="00520FC1">
        <w:rPr>
          <w:rFonts w:ascii="Arial" w:eastAsiaTheme="minorHAnsi" w:hAnsi="Arial" w:cs="Arial"/>
          <w:bCs/>
          <w:sz w:val="22"/>
          <w:szCs w:val="22"/>
          <w:lang w:eastAsia="en-US"/>
        </w:rPr>
        <w:t>ve srovnání s muži velmi nízký.</w:t>
      </w:r>
    </w:p>
    <w:p w14:paraId="434A5463" w14:textId="77777777" w:rsidR="00520FC1" w:rsidRDefault="00124D03" w:rsidP="00124D03">
      <w:pPr>
        <w:autoSpaceDE w:val="0"/>
        <w:autoSpaceDN w:val="0"/>
        <w:adjustRightInd w:val="0"/>
        <w:spacing w:after="120"/>
        <w:jc w:val="both"/>
        <w:rPr>
          <w:rFonts w:ascii="Arial" w:eastAsiaTheme="minorHAnsi" w:hAnsi="Arial" w:cs="Arial"/>
          <w:bCs/>
          <w:sz w:val="22"/>
          <w:szCs w:val="22"/>
          <w:lang w:eastAsia="en-US"/>
        </w:rPr>
      </w:pPr>
      <w:r w:rsidRPr="00124D03">
        <w:rPr>
          <w:rFonts w:ascii="Arial" w:eastAsiaTheme="minorHAnsi" w:hAnsi="Arial" w:cs="Arial"/>
          <w:bCs/>
          <w:sz w:val="22"/>
          <w:szCs w:val="22"/>
          <w:lang w:eastAsia="en-US"/>
        </w:rPr>
        <w:t>Kariérní přestávka v důsledku péče o dítě (nebo jiného čle</w:t>
      </w:r>
      <w:r w:rsidR="00520FC1">
        <w:rPr>
          <w:rFonts w:ascii="Arial" w:eastAsiaTheme="minorHAnsi" w:hAnsi="Arial" w:cs="Arial"/>
          <w:bCs/>
          <w:sz w:val="22"/>
          <w:szCs w:val="22"/>
          <w:lang w:eastAsia="en-US"/>
        </w:rPr>
        <w:t>na rodiny/domácnosti) vytváří v </w:t>
      </w:r>
      <w:r w:rsidRPr="00124D03">
        <w:rPr>
          <w:rFonts w:ascii="Arial" w:eastAsiaTheme="minorHAnsi" w:hAnsi="Arial" w:cs="Arial"/>
          <w:bCs/>
          <w:sz w:val="22"/>
          <w:szCs w:val="22"/>
          <w:lang w:eastAsia="en-US"/>
        </w:rPr>
        <w:t>současném vědeckém prostředí zásadní překážku pro kariérní rozvoj či pro pokračování kariéry, a to zejména pro ženy, na které padá v naší společnosti většina povinností spojených s výkonem i managementem péče o rodinné přís</w:t>
      </w:r>
      <w:r>
        <w:rPr>
          <w:rFonts w:ascii="Arial" w:eastAsiaTheme="minorHAnsi" w:hAnsi="Arial" w:cs="Arial"/>
          <w:bCs/>
          <w:sz w:val="22"/>
          <w:szCs w:val="22"/>
          <w:lang w:eastAsia="en-US"/>
        </w:rPr>
        <w:t xml:space="preserve">lušníky/dítě v soukromé sféře. </w:t>
      </w:r>
    </w:p>
    <w:p w14:paraId="07A4AD3D" w14:textId="01C024A4" w:rsidR="00520FC1" w:rsidRDefault="00124D03" w:rsidP="00124D03">
      <w:pPr>
        <w:autoSpaceDE w:val="0"/>
        <w:autoSpaceDN w:val="0"/>
        <w:adjustRightInd w:val="0"/>
        <w:spacing w:after="120"/>
        <w:jc w:val="both"/>
        <w:rPr>
          <w:rFonts w:ascii="Arial" w:eastAsiaTheme="minorHAnsi" w:hAnsi="Arial" w:cs="Arial"/>
          <w:bCs/>
          <w:sz w:val="22"/>
          <w:szCs w:val="22"/>
          <w:lang w:eastAsia="en-US"/>
        </w:rPr>
      </w:pPr>
      <w:r w:rsidRPr="00124D03">
        <w:rPr>
          <w:rFonts w:ascii="Arial" w:eastAsiaTheme="minorHAnsi" w:hAnsi="Arial" w:cs="Arial"/>
          <w:bCs/>
          <w:sz w:val="22"/>
          <w:szCs w:val="22"/>
          <w:lang w:eastAsia="en-US"/>
        </w:rPr>
        <w:t>V souvislosti s významem účelového financování, relativně nízkou dostupností</w:t>
      </w:r>
      <w:r w:rsidR="00520FC1">
        <w:rPr>
          <w:rFonts w:ascii="Arial" w:eastAsiaTheme="minorHAnsi" w:hAnsi="Arial" w:cs="Arial"/>
          <w:bCs/>
          <w:sz w:val="22"/>
          <w:szCs w:val="22"/>
          <w:lang w:eastAsia="en-US"/>
        </w:rPr>
        <w:t xml:space="preserve"> služeb péče zejména v </w:t>
      </w:r>
      <w:r w:rsidRPr="00124D03">
        <w:rPr>
          <w:rFonts w:ascii="Arial" w:eastAsiaTheme="minorHAnsi" w:hAnsi="Arial" w:cs="Arial"/>
          <w:bCs/>
          <w:sz w:val="22"/>
          <w:szCs w:val="22"/>
          <w:lang w:eastAsia="en-US"/>
        </w:rPr>
        <w:t xml:space="preserve">místech, kde se koncentrují výzkumné a vysokoškolské instituce, a ve srovnání se zahraničím dlouhou rodičovskou znamená kariérní přestávka často sníženou možnost zapojit se po návratu do výzkumné činnosti týmu či dokonce riziko úplného ukončení vědecké/výzkumné dráhy. Přestávka zpravidla vede např. ke snížení či pozastavení publikační činnosti, nemožnosti zapojit se do mobility či omezení možnosti získat další financování na výzkumnou práci. Odchody lidí, především vědkyň, z vědy a výzkumu z důvodu nemožnosti návratu či nedostatku příležitostí po kariérní přestávce, znamenají především plýtvání potenciálem, kterému je ovšem možné zamezit. </w:t>
      </w:r>
    </w:p>
    <w:p w14:paraId="1D78ABD2" w14:textId="4C9B4BE4" w:rsidR="00124D03" w:rsidRDefault="00520FC1" w:rsidP="00124D03">
      <w:pPr>
        <w:autoSpaceDE w:val="0"/>
        <w:autoSpaceDN w:val="0"/>
        <w:adjustRightInd w:val="0"/>
        <w:spacing w:after="120"/>
        <w:jc w:val="both"/>
        <w:rPr>
          <w:rFonts w:ascii="Arial" w:eastAsiaTheme="minorHAnsi" w:hAnsi="Arial" w:cs="Arial"/>
          <w:bCs/>
          <w:sz w:val="22"/>
          <w:szCs w:val="22"/>
          <w:highlight w:val="yellow"/>
          <w:lang w:eastAsia="en-US"/>
        </w:rPr>
      </w:pPr>
      <w:r>
        <w:rPr>
          <w:rFonts w:ascii="Arial" w:eastAsiaTheme="minorHAnsi" w:hAnsi="Arial" w:cs="Arial"/>
          <w:bCs/>
          <w:sz w:val="22"/>
          <w:szCs w:val="22"/>
          <w:lang w:eastAsia="en-US"/>
        </w:rPr>
        <w:t>Z výše uvedených důvodů by návratové granty měly přispět ke zlepšení situace</w:t>
      </w:r>
      <w:r w:rsidR="009D7BC6">
        <w:rPr>
          <w:rFonts w:ascii="Arial" w:eastAsiaTheme="minorHAnsi" w:hAnsi="Arial" w:cs="Arial"/>
          <w:bCs/>
          <w:sz w:val="22"/>
          <w:szCs w:val="22"/>
          <w:lang w:eastAsia="en-US"/>
        </w:rPr>
        <w:t xml:space="preserve"> pro návrat</w:t>
      </w:r>
      <w:r w:rsidR="00124D03" w:rsidRPr="00124D03">
        <w:rPr>
          <w:rFonts w:ascii="Arial" w:eastAsiaTheme="minorHAnsi" w:hAnsi="Arial" w:cs="Arial"/>
          <w:bCs/>
          <w:sz w:val="22"/>
          <w:szCs w:val="22"/>
          <w:lang w:eastAsia="en-US"/>
        </w:rPr>
        <w:t xml:space="preserve"> po kari</w:t>
      </w:r>
      <w:r>
        <w:rPr>
          <w:rFonts w:ascii="Arial" w:eastAsiaTheme="minorHAnsi" w:hAnsi="Arial" w:cs="Arial"/>
          <w:bCs/>
          <w:sz w:val="22"/>
          <w:szCs w:val="22"/>
          <w:lang w:eastAsia="en-US"/>
        </w:rPr>
        <w:t>érní přestávce výzkumníků a výzkumnic</w:t>
      </w:r>
      <w:r w:rsidR="009D7BC6">
        <w:rPr>
          <w:rFonts w:ascii="Arial" w:eastAsiaTheme="minorHAnsi" w:hAnsi="Arial" w:cs="Arial"/>
          <w:bCs/>
          <w:sz w:val="22"/>
          <w:szCs w:val="22"/>
          <w:lang w:eastAsia="en-US"/>
        </w:rPr>
        <w:t xml:space="preserve"> do </w:t>
      </w:r>
      <w:r w:rsidR="009D7BC6" w:rsidRPr="009D7BC6">
        <w:rPr>
          <w:rFonts w:ascii="Arial" w:eastAsiaTheme="minorHAnsi" w:hAnsi="Arial" w:cs="Arial"/>
          <w:bCs/>
          <w:sz w:val="22"/>
          <w:szCs w:val="22"/>
          <w:lang w:eastAsia="en-US"/>
        </w:rPr>
        <w:t>výzkumného prostředí v České republice</w:t>
      </w:r>
      <w:r w:rsidR="009D7BC6">
        <w:rPr>
          <w:rFonts w:ascii="Arial" w:eastAsiaTheme="minorHAnsi" w:hAnsi="Arial" w:cs="Arial"/>
          <w:bCs/>
          <w:sz w:val="22"/>
          <w:szCs w:val="22"/>
          <w:lang w:eastAsia="en-US"/>
        </w:rPr>
        <w:t>.</w:t>
      </w:r>
    </w:p>
    <w:p w14:paraId="0F52C440" w14:textId="1FA22C1F" w:rsidR="00451C82" w:rsidRPr="00F22B09" w:rsidRDefault="00451C82" w:rsidP="00451C82">
      <w:pPr>
        <w:keepNext/>
        <w:numPr>
          <w:ilvl w:val="0"/>
          <w:numId w:val="1"/>
        </w:numPr>
        <w:spacing w:after="120"/>
        <w:rPr>
          <w:rFonts w:ascii="Arial" w:hAnsi="Arial" w:cs="Arial"/>
          <w:b/>
          <w:color w:val="0070C0"/>
          <w:sz w:val="22"/>
          <w:szCs w:val="22"/>
        </w:rPr>
      </w:pPr>
      <w:r w:rsidRPr="00F22B09">
        <w:rPr>
          <w:rFonts w:ascii="Arial" w:hAnsi="Arial" w:cs="Arial"/>
          <w:b/>
          <w:color w:val="0070C0"/>
          <w:sz w:val="22"/>
          <w:szCs w:val="22"/>
        </w:rPr>
        <w:t>K materiálu předkládanému na jednání vlády</w:t>
      </w:r>
    </w:p>
    <w:p w14:paraId="2B836752" w14:textId="624F0036" w:rsidR="00451C82" w:rsidRPr="00F22B09" w:rsidRDefault="00451C82" w:rsidP="00294522">
      <w:pPr>
        <w:keepNext/>
        <w:spacing w:after="120"/>
        <w:ind w:left="3"/>
        <w:rPr>
          <w:rFonts w:ascii="Arial" w:eastAsiaTheme="minorHAnsi" w:hAnsi="Arial" w:cs="Arial"/>
          <w:bCs/>
          <w:sz w:val="22"/>
          <w:szCs w:val="22"/>
          <w:lang w:eastAsia="en-US"/>
        </w:rPr>
      </w:pPr>
      <w:r w:rsidRPr="00F22B09">
        <w:rPr>
          <w:rFonts w:ascii="Arial" w:eastAsiaTheme="minorHAnsi" w:hAnsi="Arial" w:cs="Arial"/>
          <w:bCs/>
          <w:sz w:val="22"/>
          <w:szCs w:val="22"/>
          <w:lang w:eastAsia="en-US"/>
        </w:rPr>
        <w:t>Předložený návrh Programu obsahuje všechny náležitosti, které musí být podle Jednacího řádu součástí materiálu předkládaného na jednání vlády.</w:t>
      </w:r>
    </w:p>
    <w:p w14:paraId="01EC6FBC" w14:textId="22B0292C" w:rsidR="004F7B50" w:rsidRPr="00F22B09" w:rsidRDefault="00451C82" w:rsidP="00451C82">
      <w:pPr>
        <w:keepNext/>
        <w:numPr>
          <w:ilvl w:val="0"/>
          <w:numId w:val="1"/>
        </w:numPr>
        <w:spacing w:after="120"/>
        <w:rPr>
          <w:rFonts w:ascii="Arial" w:hAnsi="Arial" w:cs="Arial"/>
          <w:b/>
          <w:color w:val="0070C0"/>
          <w:sz w:val="22"/>
          <w:szCs w:val="22"/>
        </w:rPr>
      </w:pPr>
      <w:r w:rsidRPr="00F22B09">
        <w:rPr>
          <w:rFonts w:ascii="Arial" w:hAnsi="Arial" w:cs="Arial"/>
          <w:b/>
          <w:color w:val="0070C0"/>
          <w:sz w:val="22"/>
          <w:szCs w:val="22"/>
        </w:rPr>
        <w:t>Vyjádření Komise pro hodnocení výsledků a ukončených programů</w:t>
      </w:r>
    </w:p>
    <w:p w14:paraId="5B283F12" w14:textId="06113165" w:rsidR="00451C82" w:rsidRPr="002965D0" w:rsidRDefault="00451C82" w:rsidP="007E1F32">
      <w:pPr>
        <w:keepNext/>
        <w:spacing w:after="120"/>
        <w:ind w:left="3"/>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Komise pro hodnocení výsledků a ukončených programů (dále jen „KHV“) projednala předlo</w:t>
      </w:r>
      <w:r w:rsidR="009D7BC6" w:rsidRPr="002965D0">
        <w:rPr>
          <w:rFonts w:ascii="Arial" w:eastAsiaTheme="minorHAnsi" w:hAnsi="Arial" w:cs="Arial"/>
          <w:bCs/>
          <w:sz w:val="22"/>
          <w:szCs w:val="22"/>
          <w:lang w:eastAsia="en-US"/>
        </w:rPr>
        <w:t>žený návrh Programu dne 6. května</w:t>
      </w:r>
      <w:r w:rsidR="00F22B09" w:rsidRPr="002965D0">
        <w:rPr>
          <w:rFonts w:ascii="Arial" w:eastAsiaTheme="minorHAnsi" w:hAnsi="Arial" w:cs="Arial"/>
          <w:bCs/>
          <w:sz w:val="22"/>
          <w:szCs w:val="22"/>
          <w:lang w:eastAsia="en-US"/>
        </w:rPr>
        <w:t xml:space="preserve"> </w:t>
      </w:r>
      <w:r w:rsidRPr="002965D0">
        <w:rPr>
          <w:rFonts w:ascii="Arial" w:eastAsiaTheme="minorHAnsi" w:hAnsi="Arial" w:cs="Arial"/>
          <w:bCs/>
          <w:sz w:val="22"/>
          <w:szCs w:val="22"/>
          <w:lang w:eastAsia="en-US"/>
        </w:rPr>
        <w:t xml:space="preserve"> 2024 a vydala k němu následující vyjádření:</w:t>
      </w:r>
    </w:p>
    <w:p w14:paraId="528D25AC" w14:textId="6FDFE690"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 xml:space="preserve">Návrh na vytvoření nové skupiny grantových projektů Návratové granty je kvalitně připraven, doplněn dvěma ex ante analýzami, které byly zpracovány v průběhu přípravy projektu a doporučení z obou ex-ante analýz jsou v rámci možností zapracovány do finálního návrhu projektu. Návrh je dále podpořen srovnáním s podobnými programy/projekty v zahraničí a také dotazníkovým šetřením zaměřeným na cílovou skupinu potenciálních řešitelek/řešitelů Návratových grantů. Tyto podpůrné analýzy byly zpracovány NKC – gender a věda. Tyto podpůrné analýzy jednoznačně ukazují, že podobný program je v české prostředí </w:t>
      </w:r>
      <w:proofErr w:type="spellStart"/>
      <w:r w:rsidRPr="002965D0">
        <w:rPr>
          <w:rFonts w:ascii="Arial" w:eastAsiaTheme="minorHAnsi" w:hAnsi="Arial" w:cs="Arial"/>
          <w:bCs/>
          <w:sz w:val="22"/>
          <w:szCs w:val="22"/>
          <w:lang w:eastAsia="en-US"/>
        </w:rPr>
        <w:t>VaV</w:t>
      </w:r>
      <w:proofErr w:type="spellEnd"/>
      <w:r w:rsidRPr="002965D0">
        <w:rPr>
          <w:rFonts w:ascii="Arial" w:eastAsiaTheme="minorHAnsi" w:hAnsi="Arial" w:cs="Arial"/>
          <w:bCs/>
          <w:sz w:val="22"/>
          <w:szCs w:val="22"/>
          <w:lang w:eastAsia="en-US"/>
        </w:rPr>
        <w:t xml:space="preserve"> potřebný.</w:t>
      </w:r>
    </w:p>
    <w:p w14:paraId="0BEB1719" w14:textId="77777777"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Návrh programu předpokládá udělení přibližně 25 grantů každý rok při očekávané úspěšnosti kolem 20 %. Není jasné, z jakých dat tento odhad vychází, jelikož analýza absorpční kapacity cílové skupiny zřejmě nebyla provedena. Jisté odhady je možné stanovit na základě dotazníkového šetření uvedeného v Příloze II, kterého se účastnilo zhruba 100 respondentů, ale toto nelze považovat za analýzu absorpční kapacity cílové skupiny.</w:t>
      </w:r>
    </w:p>
    <w:p w14:paraId="54E1C4DD" w14:textId="7986B392"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lastRenderedPageBreak/>
        <w:t>V rámci navrhovaného systému hodnocení programu lze ocenit snahu měřit dopad přímo na následné zaměstnávání úspěšných řešitelů projektů, ale není stanovena hodnota, kterou poskytovatel považuje za limitní pro úspěšný program. Uvádí se pouze, že bude sledován počet řešitelů/řešitelek, kteří do jednoho roku po skončení projektu získali úvazek alespoň 0.5 ve vědecké instituci. Rovněž není zřejmé, zda jde o úvazek na dobu neurčitou nebo se bude počítat i úvazek limitovaný např. na dobu jednoho roku. Totéž platí pro další sledované parametry jako je například získávání dalších grantů úspěšných řešitelů – co bude považováno za úspěch z hlediska dopadů programu? Taktéž by (a zejména u tohoto typu programu) bylo vhodné v rámci zhodnocení výsledků programu pr</w:t>
      </w:r>
      <w:r w:rsidR="002965D0">
        <w:rPr>
          <w:rFonts w:ascii="Arial" w:eastAsiaTheme="minorHAnsi" w:hAnsi="Arial" w:cs="Arial"/>
          <w:bCs/>
          <w:sz w:val="22"/>
          <w:szCs w:val="22"/>
          <w:lang w:eastAsia="en-US"/>
        </w:rPr>
        <w:t>ovést srovnání mezi úspěšnými a </w:t>
      </w:r>
      <w:r w:rsidRPr="002965D0">
        <w:rPr>
          <w:rFonts w:ascii="Arial" w:eastAsiaTheme="minorHAnsi" w:hAnsi="Arial" w:cs="Arial"/>
          <w:bCs/>
          <w:sz w:val="22"/>
          <w:szCs w:val="22"/>
          <w:lang w:eastAsia="en-US"/>
        </w:rPr>
        <w:t>neúspěšnými žadateli/žadatelkami.</w:t>
      </w:r>
    </w:p>
    <w:p w14:paraId="744A479F" w14:textId="62D27C51"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V rámci analýzy rizik by bylo vhodné rozpracovat p</w:t>
      </w:r>
      <w:r w:rsidR="002965D0">
        <w:rPr>
          <w:rFonts w:ascii="Arial" w:eastAsiaTheme="minorHAnsi" w:hAnsi="Arial" w:cs="Arial"/>
          <w:bCs/>
          <w:sz w:val="22"/>
          <w:szCs w:val="22"/>
          <w:lang w:eastAsia="en-US"/>
        </w:rPr>
        <w:t>roblém potenciálního překryvu s </w:t>
      </w:r>
      <w:r w:rsidRPr="002965D0">
        <w:rPr>
          <w:rFonts w:ascii="Arial" w:eastAsiaTheme="minorHAnsi" w:hAnsi="Arial" w:cs="Arial"/>
          <w:bCs/>
          <w:sz w:val="22"/>
          <w:szCs w:val="22"/>
          <w:lang w:eastAsia="en-US"/>
        </w:rPr>
        <w:t>plánovaným programem v rámci OP JAK. Jak bude řešen případný překryv s tímto programem, případně s jinými programy s podobným zaměřením od jiných poskytovatelů?</w:t>
      </w:r>
    </w:p>
    <w:p w14:paraId="60AA89D5" w14:textId="797F5C42"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V části 9 návrh programu uvádí, že „"K termínu zahájení řešení projektu nesmí mít žadatel/žadatelka na všech vědeckých a akademických institucích součet všech úvazků vyšší než 0,2 (do této výše úvazku se nezapočítává pracovní úvazek sjednaný před nástupem na mateřskou/rodičovskou dovolenou nebo který trvá v průběhu mateřské/rodičovské dovolené)“ Důvod tohoto omezení není zřejmý a v materiálu není nijak</w:t>
      </w:r>
      <w:r w:rsidR="002965D0">
        <w:rPr>
          <w:rFonts w:ascii="Arial" w:eastAsiaTheme="minorHAnsi" w:hAnsi="Arial" w:cs="Arial"/>
          <w:bCs/>
          <w:sz w:val="22"/>
          <w:szCs w:val="22"/>
          <w:lang w:eastAsia="en-US"/>
        </w:rPr>
        <w:t xml:space="preserve"> vysvětlen. Není zřejmé, proč u </w:t>
      </w:r>
      <w:r w:rsidRPr="002965D0">
        <w:rPr>
          <w:rFonts w:ascii="Arial" w:eastAsiaTheme="minorHAnsi" w:hAnsi="Arial" w:cs="Arial"/>
          <w:bCs/>
          <w:sz w:val="22"/>
          <w:szCs w:val="22"/>
          <w:lang w:eastAsia="en-US"/>
        </w:rPr>
        <w:t xml:space="preserve">tohoto programu nestačí obecné pravidlo, že žadatel/žadatelka nesmí mít na grantech GAČR celkový úvazek vyšší než 1.0. Jelikož by tento program měl být otevřen co největšímu počtu žadatelek/žadatelů, kteří se vrací po kariérní přestávce, podobná omezení by měla být v návrhu programu minimalizována, ideálně zcela eliminována. </w:t>
      </w:r>
    </w:p>
    <w:p w14:paraId="09769FF3" w14:textId="77777777" w:rsidR="007E1F32" w:rsidRPr="002965D0"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Předpoklad, že řešitel bude pracovat výhradně na projektu získaném v rámci tohoto programu, může být také pro některé potenciální žadatele limitující, jelikož například pro zaměstnance AV toto neumožňuje zapojení do výuky na VŠ.</w:t>
      </w:r>
    </w:p>
    <w:p w14:paraId="602A407A" w14:textId="37E0B4D1" w:rsidR="007E1F32" w:rsidRPr="007E1F32" w:rsidRDefault="007E1F32" w:rsidP="007E1F32">
      <w:pPr>
        <w:autoSpaceDE w:val="0"/>
        <w:autoSpaceDN w:val="0"/>
        <w:adjustRightInd w:val="0"/>
        <w:spacing w:after="120"/>
        <w:jc w:val="both"/>
        <w:rPr>
          <w:rFonts w:ascii="Arial" w:eastAsiaTheme="minorHAnsi" w:hAnsi="Arial" w:cs="Arial"/>
          <w:bCs/>
          <w:sz w:val="22"/>
          <w:szCs w:val="22"/>
          <w:lang w:eastAsia="en-US"/>
        </w:rPr>
      </w:pPr>
      <w:r w:rsidRPr="002965D0">
        <w:rPr>
          <w:rFonts w:ascii="Arial" w:eastAsiaTheme="minorHAnsi" w:hAnsi="Arial" w:cs="Arial"/>
          <w:bCs/>
          <w:sz w:val="22"/>
          <w:szCs w:val="22"/>
          <w:lang w:eastAsia="en-US"/>
        </w:rPr>
        <w:t>V části 17 je na str. 13 uvedeno, že „do druhého kola smí postoupit &gt;50% projektů”. Zřejmě je zde myšleno &lt;50% projektů.</w:t>
      </w:r>
    </w:p>
    <w:p w14:paraId="243716DC" w14:textId="2BCBC795" w:rsidR="00BC665E" w:rsidRPr="0032360A" w:rsidRDefault="00D56170" w:rsidP="0032360A">
      <w:pPr>
        <w:keepNext/>
        <w:numPr>
          <w:ilvl w:val="0"/>
          <w:numId w:val="1"/>
        </w:numPr>
        <w:spacing w:after="120"/>
        <w:rPr>
          <w:rFonts w:ascii="Arial" w:hAnsi="Arial" w:cs="Arial"/>
          <w:b/>
          <w:color w:val="0070C0"/>
          <w:sz w:val="22"/>
          <w:szCs w:val="22"/>
        </w:rPr>
      </w:pPr>
      <w:r w:rsidRPr="004C4485">
        <w:rPr>
          <w:rFonts w:ascii="Arial" w:hAnsi="Arial" w:cs="Arial"/>
          <w:b/>
          <w:color w:val="0070C0"/>
          <w:sz w:val="22"/>
          <w:szCs w:val="22"/>
        </w:rPr>
        <w:t xml:space="preserve">Připomínky </w:t>
      </w:r>
      <w:r w:rsidR="00A400DD" w:rsidRPr="004C4485">
        <w:rPr>
          <w:rFonts w:ascii="Arial" w:hAnsi="Arial" w:cs="Arial"/>
          <w:b/>
          <w:color w:val="0070C0"/>
          <w:sz w:val="22"/>
          <w:szCs w:val="22"/>
        </w:rPr>
        <w:t xml:space="preserve">Rady </w:t>
      </w:r>
      <w:r w:rsidRPr="004C4485">
        <w:rPr>
          <w:rFonts w:ascii="Arial" w:hAnsi="Arial" w:cs="Arial"/>
          <w:b/>
          <w:color w:val="0070C0"/>
          <w:sz w:val="22"/>
          <w:szCs w:val="22"/>
        </w:rPr>
        <w:t>k</w:t>
      </w:r>
      <w:r w:rsidR="00513865" w:rsidRPr="004C4485">
        <w:rPr>
          <w:rFonts w:ascii="Arial" w:hAnsi="Arial" w:cs="Arial"/>
          <w:b/>
          <w:color w:val="0070C0"/>
          <w:sz w:val="22"/>
          <w:szCs w:val="22"/>
        </w:rPr>
        <w:t> návrhu programu</w:t>
      </w:r>
    </w:p>
    <w:p w14:paraId="61D0B77D" w14:textId="78DBCE45" w:rsidR="00582E5C" w:rsidRPr="008D74A5" w:rsidRDefault="008D74A5" w:rsidP="008D74A5">
      <w:pPr>
        <w:keepNext/>
        <w:jc w:val="both"/>
        <w:rPr>
          <w:rFonts w:ascii="Arial" w:hAnsi="Arial" w:cs="Arial"/>
          <w:b/>
          <w:sz w:val="22"/>
          <w:szCs w:val="22"/>
        </w:rPr>
      </w:pPr>
      <w:r w:rsidRPr="008D74A5">
        <w:rPr>
          <w:rFonts w:ascii="Arial" w:hAnsi="Arial" w:cs="Arial"/>
          <w:b/>
          <w:sz w:val="22"/>
          <w:szCs w:val="22"/>
        </w:rPr>
        <w:t>Zásadní připomínky:</w:t>
      </w:r>
    </w:p>
    <w:p w14:paraId="54ED5D7C" w14:textId="77777777" w:rsidR="0032360A" w:rsidRDefault="0032360A" w:rsidP="008D74A5">
      <w:pPr>
        <w:keepNext/>
        <w:jc w:val="both"/>
        <w:rPr>
          <w:rFonts w:ascii="Arial" w:hAnsi="Arial" w:cs="Arial"/>
          <w:sz w:val="22"/>
          <w:szCs w:val="22"/>
          <w:u w:val="single"/>
        </w:rPr>
      </w:pPr>
    </w:p>
    <w:p w14:paraId="1619C099" w14:textId="44E9B5B9" w:rsidR="008D74A5" w:rsidRPr="004C4485" w:rsidRDefault="003F52B1" w:rsidP="008D74A5">
      <w:pPr>
        <w:keepNext/>
        <w:jc w:val="both"/>
        <w:rPr>
          <w:rFonts w:ascii="Arial" w:hAnsi="Arial" w:cs="Arial"/>
          <w:sz w:val="22"/>
          <w:szCs w:val="22"/>
          <w:u w:val="single"/>
        </w:rPr>
      </w:pPr>
      <w:r w:rsidRPr="004C4485">
        <w:rPr>
          <w:rFonts w:ascii="Arial" w:hAnsi="Arial" w:cs="Arial"/>
          <w:sz w:val="22"/>
          <w:szCs w:val="22"/>
          <w:u w:val="single"/>
        </w:rPr>
        <w:t xml:space="preserve">1. </w:t>
      </w:r>
      <w:r w:rsidR="004C4485">
        <w:rPr>
          <w:rFonts w:ascii="Arial" w:hAnsi="Arial" w:cs="Arial"/>
          <w:sz w:val="22"/>
          <w:szCs w:val="22"/>
          <w:u w:val="single"/>
        </w:rPr>
        <w:t>Připomínka k návrhu U</w:t>
      </w:r>
      <w:r w:rsidR="008D74A5" w:rsidRPr="004C4485">
        <w:rPr>
          <w:rFonts w:ascii="Arial" w:hAnsi="Arial" w:cs="Arial"/>
          <w:sz w:val="22"/>
          <w:szCs w:val="22"/>
          <w:u w:val="single"/>
        </w:rPr>
        <w:t>snesení:</w:t>
      </w:r>
    </w:p>
    <w:p w14:paraId="5EA78511" w14:textId="64D4B7D1" w:rsidR="008D74A5" w:rsidRPr="008D74A5" w:rsidRDefault="008D74A5" w:rsidP="008D74A5">
      <w:pPr>
        <w:keepNext/>
        <w:jc w:val="both"/>
        <w:rPr>
          <w:rFonts w:ascii="Arial" w:hAnsi="Arial" w:cs="Arial"/>
          <w:sz w:val="22"/>
          <w:szCs w:val="22"/>
        </w:rPr>
      </w:pPr>
      <w:r>
        <w:rPr>
          <w:rFonts w:ascii="Arial" w:hAnsi="Arial" w:cs="Arial"/>
          <w:sz w:val="22"/>
          <w:szCs w:val="22"/>
        </w:rPr>
        <w:t>Rada</w:t>
      </w:r>
      <w:r w:rsidRPr="008D74A5">
        <w:rPr>
          <w:rFonts w:ascii="Arial" w:hAnsi="Arial" w:cs="Arial"/>
          <w:sz w:val="22"/>
          <w:szCs w:val="22"/>
        </w:rPr>
        <w:t xml:space="preserve"> žádá doplnit do návrhu usnesení požadavek na předložení průběžného vyhodnocení </w:t>
      </w:r>
      <w:r w:rsidR="00B86543">
        <w:rPr>
          <w:rFonts w:ascii="Arial" w:hAnsi="Arial" w:cs="Arial"/>
          <w:sz w:val="22"/>
          <w:szCs w:val="22"/>
        </w:rPr>
        <w:t>s</w:t>
      </w:r>
      <w:r w:rsidR="00B86543" w:rsidRPr="00B86543">
        <w:rPr>
          <w:rFonts w:ascii="Arial" w:hAnsi="Arial" w:cs="Arial"/>
          <w:sz w:val="22"/>
          <w:szCs w:val="22"/>
        </w:rPr>
        <w:t>kupin</w:t>
      </w:r>
      <w:r w:rsidR="00B86543">
        <w:rPr>
          <w:rFonts w:ascii="Arial" w:hAnsi="Arial" w:cs="Arial"/>
          <w:sz w:val="22"/>
          <w:szCs w:val="22"/>
        </w:rPr>
        <w:t>y</w:t>
      </w:r>
      <w:r w:rsidR="00B86543" w:rsidRPr="00B86543">
        <w:rPr>
          <w:rFonts w:ascii="Arial" w:hAnsi="Arial" w:cs="Arial"/>
          <w:sz w:val="22"/>
          <w:szCs w:val="22"/>
        </w:rPr>
        <w:t xml:space="preserve"> grantových projektů Návratové granty</w:t>
      </w:r>
      <w:r w:rsidRPr="008D74A5">
        <w:rPr>
          <w:rFonts w:ascii="Arial" w:hAnsi="Arial" w:cs="Arial"/>
          <w:sz w:val="22"/>
          <w:szCs w:val="22"/>
        </w:rPr>
        <w:t xml:space="preserve"> Radě pro výzkum, vývoj a inovace, např. v této podobě:</w:t>
      </w:r>
    </w:p>
    <w:p w14:paraId="5BA8C8FF" w14:textId="77777777" w:rsidR="008D74A5" w:rsidRPr="008D74A5" w:rsidRDefault="008D74A5" w:rsidP="008D74A5">
      <w:pPr>
        <w:keepNext/>
        <w:jc w:val="both"/>
        <w:rPr>
          <w:rFonts w:ascii="Arial" w:hAnsi="Arial" w:cs="Arial"/>
          <w:sz w:val="22"/>
          <w:szCs w:val="22"/>
        </w:rPr>
      </w:pPr>
    </w:p>
    <w:p w14:paraId="7533C715" w14:textId="77777777" w:rsidR="008D74A5" w:rsidRPr="008D74A5" w:rsidRDefault="008D74A5" w:rsidP="008D74A5">
      <w:pPr>
        <w:keepNext/>
        <w:jc w:val="both"/>
        <w:rPr>
          <w:rFonts w:ascii="Arial" w:hAnsi="Arial" w:cs="Arial"/>
          <w:sz w:val="22"/>
          <w:szCs w:val="22"/>
        </w:rPr>
      </w:pPr>
      <w:r w:rsidRPr="008D74A5">
        <w:rPr>
          <w:rFonts w:ascii="Arial" w:hAnsi="Arial" w:cs="Arial"/>
          <w:sz w:val="22"/>
          <w:szCs w:val="22"/>
        </w:rPr>
        <w:t>Vláda</w:t>
      </w:r>
    </w:p>
    <w:p w14:paraId="5E6978C6" w14:textId="143BCCB0" w:rsidR="008D74A5" w:rsidRPr="008D74A5" w:rsidRDefault="0058584F" w:rsidP="008D74A5">
      <w:pPr>
        <w:keepNext/>
        <w:jc w:val="both"/>
        <w:rPr>
          <w:rFonts w:ascii="Arial" w:hAnsi="Arial" w:cs="Arial"/>
          <w:sz w:val="22"/>
          <w:szCs w:val="22"/>
        </w:rPr>
      </w:pPr>
      <w:r>
        <w:rPr>
          <w:rFonts w:ascii="Arial" w:hAnsi="Arial" w:cs="Arial"/>
          <w:sz w:val="22"/>
          <w:szCs w:val="22"/>
        </w:rPr>
        <w:t xml:space="preserve">I. </w:t>
      </w:r>
      <w:r w:rsidR="008D74A5" w:rsidRPr="008D74A5">
        <w:rPr>
          <w:rFonts w:ascii="Arial" w:hAnsi="Arial" w:cs="Arial"/>
          <w:b/>
          <w:sz w:val="22"/>
          <w:szCs w:val="22"/>
        </w:rPr>
        <w:t>schvaluje</w:t>
      </w:r>
      <w:r w:rsidR="008D74A5" w:rsidRPr="008D74A5">
        <w:rPr>
          <w:rFonts w:ascii="Arial" w:hAnsi="Arial" w:cs="Arial"/>
          <w:sz w:val="22"/>
          <w:szCs w:val="22"/>
        </w:rPr>
        <w:t xml:space="preserve"> skupinu grantových projektů Návratové granty, uvedenou v části III materiálu s tím, že financování programu bude zajištěno podle možností státního rozpočtu;</w:t>
      </w:r>
    </w:p>
    <w:p w14:paraId="0260DBE7" w14:textId="77777777" w:rsidR="008D74A5" w:rsidRDefault="008D74A5" w:rsidP="008D74A5">
      <w:pPr>
        <w:keepNext/>
        <w:jc w:val="both"/>
        <w:rPr>
          <w:rFonts w:ascii="Arial" w:hAnsi="Arial" w:cs="Arial"/>
          <w:sz w:val="22"/>
          <w:szCs w:val="22"/>
        </w:rPr>
      </w:pPr>
    </w:p>
    <w:p w14:paraId="0F4B1F6C" w14:textId="5F9215F2" w:rsidR="008D74A5" w:rsidRPr="008D74A5" w:rsidRDefault="008D74A5" w:rsidP="008D74A5">
      <w:pPr>
        <w:keepNext/>
        <w:jc w:val="both"/>
        <w:rPr>
          <w:rFonts w:ascii="Arial" w:hAnsi="Arial" w:cs="Arial"/>
          <w:sz w:val="22"/>
          <w:szCs w:val="22"/>
        </w:rPr>
      </w:pPr>
      <w:r w:rsidRPr="008D74A5">
        <w:rPr>
          <w:rFonts w:ascii="Arial" w:hAnsi="Arial" w:cs="Arial"/>
          <w:sz w:val="22"/>
          <w:szCs w:val="22"/>
        </w:rPr>
        <w:t xml:space="preserve">II. </w:t>
      </w:r>
      <w:r w:rsidRPr="008D74A5">
        <w:rPr>
          <w:rFonts w:ascii="Arial" w:hAnsi="Arial" w:cs="Arial"/>
          <w:b/>
          <w:sz w:val="22"/>
          <w:szCs w:val="22"/>
        </w:rPr>
        <w:t xml:space="preserve">ukládá </w:t>
      </w:r>
      <w:r w:rsidRPr="008D74A5">
        <w:rPr>
          <w:rFonts w:ascii="Arial" w:hAnsi="Arial" w:cs="Arial"/>
          <w:sz w:val="22"/>
          <w:szCs w:val="22"/>
        </w:rPr>
        <w:t xml:space="preserve">předsedovi Grantové agentury České republiky </w:t>
      </w:r>
    </w:p>
    <w:p w14:paraId="50011D64" w14:textId="16494B5C" w:rsidR="008D74A5" w:rsidRPr="008D74A5" w:rsidRDefault="008D74A5" w:rsidP="008D74A5">
      <w:pPr>
        <w:keepNext/>
        <w:jc w:val="both"/>
        <w:rPr>
          <w:rFonts w:ascii="Arial" w:hAnsi="Arial" w:cs="Arial"/>
          <w:sz w:val="22"/>
          <w:szCs w:val="22"/>
        </w:rPr>
      </w:pPr>
      <w:r w:rsidRPr="008D74A5">
        <w:rPr>
          <w:rFonts w:ascii="Arial" w:hAnsi="Arial" w:cs="Arial"/>
          <w:sz w:val="22"/>
          <w:szCs w:val="22"/>
        </w:rPr>
        <w:t>1. zajišťovat realizaci skupiny grantových projektů Návratové granty podle bodu I tohoto usnesení;</w:t>
      </w:r>
    </w:p>
    <w:p w14:paraId="74B89E2E" w14:textId="0372825D" w:rsidR="003F52B1" w:rsidRPr="008D74A5" w:rsidRDefault="008D74A5" w:rsidP="008D74A5">
      <w:pPr>
        <w:keepNext/>
        <w:jc w:val="both"/>
        <w:rPr>
          <w:rFonts w:ascii="Arial" w:hAnsi="Arial" w:cs="Arial"/>
          <w:i/>
          <w:sz w:val="22"/>
          <w:szCs w:val="22"/>
          <w:highlight w:val="yellow"/>
        </w:rPr>
      </w:pPr>
      <w:r w:rsidRPr="008D74A5">
        <w:rPr>
          <w:rFonts w:ascii="Arial" w:hAnsi="Arial" w:cs="Arial"/>
          <w:i/>
          <w:sz w:val="22"/>
          <w:szCs w:val="22"/>
        </w:rPr>
        <w:t>2. předložit Radě pro výzkum, vývoj a inovace průběžné vyhodnocení skupiny grantových projektů Návratové granty v termínu stanoveném po</w:t>
      </w:r>
      <w:r w:rsidR="0058584F">
        <w:rPr>
          <w:rFonts w:ascii="Arial" w:hAnsi="Arial" w:cs="Arial"/>
          <w:i/>
          <w:sz w:val="22"/>
          <w:szCs w:val="22"/>
        </w:rPr>
        <w:t xml:space="preserve"> ukončení</w:t>
      </w:r>
      <w:r w:rsidRPr="008D74A5">
        <w:rPr>
          <w:rFonts w:ascii="Arial" w:hAnsi="Arial" w:cs="Arial"/>
          <w:i/>
          <w:sz w:val="22"/>
          <w:szCs w:val="22"/>
        </w:rPr>
        <w:t xml:space="preserve"> prvních třech veřejných soutěžích, nejpozději však do pěti let od vyhlášení první veřejné soutěže.</w:t>
      </w:r>
    </w:p>
    <w:p w14:paraId="0AF4A2BA" w14:textId="3580DA0B" w:rsidR="00BA0B46" w:rsidRDefault="00BA0B46" w:rsidP="008D74A5">
      <w:pPr>
        <w:keepNext/>
        <w:jc w:val="both"/>
        <w:rPr>
          <w:rFonts w:ascii="Arial" w:hAnsi="Arial" w:cs="Arial"/>
          <w:sz w:val="22"/>
          <w:szCs w:val="22"/>
          <w:highlight w:val="yellow"/>
        </w:rPr>
      </w:pPr>
    </w:p>
    <w:p w14:paraId="1061B8E6" w14:textId="77777777" w:rsidR="004C4485" w:rsidRDefault="004C4485" w:rsidP="004C4485">
      <w:pPr>
        <w:keepNext/>
        <w:jc w:val="both"/>
        <w:rPr>
          <w:rFonts w:ascii="Arial" w:hAnsi="Arial" w:cs="Arial"/>
          <w:sz w:val="22"/>
          <w:szCs w:val="22"/>
        </w:rPr>
      </w:pPr>
    </w:p>
    <w:p w14:paraId="3A2873A4" w14:textId="1613CB0F" w:rsidR="004C4485" w:rsidRPr="004C4485" w:rsidRDefault="004C4485" w:rsidP="004C4485">
      <w:pPr>
        <w:keepNext/>
        <w:jc w:val="both"/>
        <w:rPr>
          <w:rFonts w:ascii="Arial" w:hAnsi="Arial" w:cs="Arial"/>
          <w:sz w:val="22"/>
          <w:szCs w:val="22"/>
          <w:u w:val="single"/>
        </w:rPr>
      </w:pPr>
      <w:r w:rsidRPr="004C4485">
        <w:rPr>
          <w:rFonts w:ascii="Arial" w:hAnsi="Arial" w:cs="Arial"/>
          <w:sz w:val="22"/>
          <w:szCs w:val="22"/>
          <w:u w:val="single"/>
        </w:rPr>
        <w:t>2. Připomínka k financování:</w:t>
      </w:r>
    </w:p>
    <w:p w14:paraId="3CE93E75" w14:textId="389B0611" w:rsidR="004C4485" w:rsidRPr="004C4485" w:rsidRDefault="004C4485" w:rsidP="004C4485">
      <w:pPr>
        <w:keepNext/>
        <w:jc w:val="both"/>
        <w:rPr>
          <w:rFonts w:ascii="Arial" w:hAnsi="Arial" w:cs="Arial"/>
          <w:sz w:val="22"/>
          <w:szCs w:val="22"/>
        </w:rPr>
      </w:pPr>
      <w:r w:rsidRPr="004C4485">
        <w:rPr>
          <w:rFonts w:ascii="Arial" w:hAnsi="Arial" w:cs="Arial"/>
          <w:sz w:val="22"/>
          <w:szCs w:val="22"/>
        </w:rPr>
        <w:t>V návrhu nové skupiny grantových projektů je uvažováno s počátkem financování od roku 2026. Ve stávajícím střednědobém výhledu (</w:t>
      </w:r>
      <w:r w:rsidR="00B86543">
        <w:rPr>
          <w:rFonts w:ascii="Arial" w:hAnsi="Arial" w:cs="Arial"/>
          <w:sz w:val="22"/>
          <w:szCs w:val="22"/>
        </w:rPr>
        <w:t>dále jen „</w:t>
      </w:r>
      <w:r w:rsidRPr="004C4485">
        <w:rPr>
          <w:rFonts w:ascii="Arial" w:hAnsi="Arial" w:cs="Arial"/>
          <w:sz w:val="22"/>
          <w:szCs w:val="22"/>
        </w:rPr>
        <w:t>SDV</w:t>
      </w:r>
      <w:r w:rsidR="00B86543">
        <w:rPr>
          <w:rFonts w:ascii="Arial" w:hAnsi="Arial" w:cs="Arial"/>
          <w:sz w:val="22"/>
          <w:szCs w:val="22"/>
        </w:rPr>
        <w:t>“</w:t>
      </w:r>
      <w:r w:rsidRPr="004C4485">
        <w:rPr>
          <w:rFonts w:ascii="Arial" w:hAnsi="Arial" w:cs="Arial"/>
          <w:sz w:val="22"/>
          <w:szCs w:val="22"/>
        </w:rPr>
        <w:t>) výdajů na r</w:t>
      </w:r>
      <w:r w:rsidR="0058584F">
        <w:rPr>
          <w:rFonts w:ascii="Arial" w:hAnsi="Arial" w:cs="Arial"/>
          <w:sz w:val="22"/>
          <w:szCs w:val="22"/>
        </w:rPr>
        <w:t>ok</w:t>
      </w:r>
      <w:r w:rsidRPr="004C4485">
        <w:rPr>
          <w:rFonts w:ascii="Arial" w:hAnsi="Arial" w:cs="Arial"/>
          <w:sz w:val="22"/>
          <w:szCs w:val="22"/>
        </w:rPr>
        <w:t xml:space="preserve"> 2026 (schváleném </w:t>
      </w:r>
      <w:r w:rsidR="002C19CB">
        <w:rPr>
          <w:rFonts w:ascii="Arial" w:hAnsi="Arial" w:cs="Arial"/>
          <w:sz w:val="22"/>
          <w:szCs w:val="22"/>
        </w:rPr>
        <w:t>U</w:t>
      </w:r>
      <w:r w:rsidRPr="004C4485">
        <w:rPr>
          <w:rFonts w:ascii="Arial" w:hAnsi="Arial" w:cs="Arial"/>
          <w:sz w:val="22"/>
          <w:szCs w:val="22"/>
        </w:rPr>
        <w:t>snesením vlády ze dne 27. září 2023 č. 703 k návr</w:t>
      </w:r>
      <w:r w:rsidR="0058584F">
        <w:rPr>
          <w:rFonts w:ascii="Arial" w:hAnsi="Arial" w:cs="Arial"/>
          <w:sz w:val="22"/>
          <w:szCs w:val="22"/>
        </w:rPr>
        <w:t xml:space="preserve">hu zákona o SR ČR na rok 2024 </w:t>
      </w:r>
      <w:r w:rsidR="0058584F">
        <w:rPr>
          <w:rFonts w:ascii="Arial" w:hAnsi="Arial" w:cs="Arial"/>
          <w:sz w:val="22"/>
          <w:szCs w:val="22"/>
        </w:rPr>
        <w:lastRenderedPageBreak/>
        <w:t>a </w:t>
      </w:r>
      <w:r w:rsidRPr="004C4485">
        <w:rPr>
          <w:rFonts w:ascii="Arial" w:hAnsi="Arial" w:cs="Arial"/>
          <w:sz w:val="22"/>
          <w:szCs w:val="22"/>
        </w:rPr>
        <w:t xml:space="preserve">střednědobého výhledu SR ČR na léta 2025 a 2026), není pro tento nový typ projektů prostor. Rada ve svém aktuálně zpracovávaném návrhu výdajů na </w:t>
      </w:r>
      <w:proofErr w:type="spellStart"/>
      <w:r w:rsidRPr="004C4485">
        <w:rPr>
          <w:rFonts w:ascii="Arial" w:hAnsi="Arial" w:cs="Arial"/>
          <w:sz w:val="22"/>
          <w:szCs w:val="22"/>
        </w:rPr>
        <w:t>VaVaI</w:t>
      </w:r>
      <w:proofErr w:type="spellEnd"/>
      <w:r w:rsidRPr="004C4485">
        <w:rPr>
          <w:rFonts w:ascii="Arial" w:hAnsi="Arial" w:cs="Arial"/>
          <w:sz w:val="22"/>
          <w:szCs w:val="22"/>
        </w:rPr>
        <w:t xml:space="preserve"> na roky 2025-2027 navrhuje pro tuto skupinu grantových projektů alokovat v r</w:t>
      </w:r>
      <w:r w:rsidR="00B86543">
        <w:rPr>
          <w:rFonts w:ascii="Arial" w:hAnsi="Arial" w:cs="Arial"/>
          <w:sz w:val="22"/>
          <w:szCs w:val="22"/>
        </w:rPr>
        <w:t>oce</w:t>
      </w:r>
      <w:r w:rsidRPr="004C4485">
        <w:rPr>
          <w:rFonts w:ascii="Arial" w:hAnsi="Arial" w:cs="Arial"/>
          <w:sz w:val="22"/>
          <w:szCs w:val="22"/>
        </w:rPr>
        <w:t xml:space="preserve"> 2026 celkem 80 mil. Kč nad rámec stávajícího SDV (původní požadavek GA ČR z ledna 2024 byl na r</w:t>
      </w:r>
      <w:r w:rsidR="00B86543">
        <w:rPr>
          <w:rFonts w:ascii="Arial" w:hAnsi="Arial" w:cs="Arial"/>
          <w:sz w:val="22"/>
          <w:szCs w:val="22"/>
        </w:rPr>
        <w:t>ok</w:t>
      </w:r>
      <w:r w:rsidRPr="004C4485">
        <w:rPr>
          <w:rFonts w:ascii="Arial" w:hAnsi="Arial" w:cs="Arial"/>
          <w:sz w:val="22"/>
          <w:szCs w:val="22"/>
        </w:rPr>
        <w:t xml:space="preserve"> 2026 ve výši 100 mil. Kč nad rámec stávajícího SDV), stejně tak pro rok 2027.</w:t>
      </w:r>
    </w:p>
    <w:p w14:paraId="03BAD6C8" w14:textId="77777777" w:rsidR="004C4485" w:rsidRPr="004C4485" w:rsidRDefault="004C4485" w:rsidP="004C4485">
      <w:pPr>
        <w:keepNext/>
        <w:jc w:val="both"/>
        <w:rPr>
          <w:rFonts w:ascii="Arial" w:hAnsi="Arial" w:cs="Arial"/>
          <w:sz w:val="22"/>
          <w:szCs w:val="22"/>
        </w:rPr>
      </w:pPr>
    </w:p>
    <w:p w14:paraId="5B0DED36" w14:textId="03D43290" w:rsidR="004C4485" w:rsidRPr="004C4485" w:rsidRDefault="004C4485" w:rsidP="004C4485">
      <w:pPr>
        <w:keepNext/>
        <w:jc w:val="both"/>
        <w:rPr>
          <w:rFonts w:ascii="Arial" w:hAnsi="Arial" w:cs="Arial"/>
          <w:sz w:val="22"/>
          <w:szCs w:val="22"/>
        </w:rPr>
      </w:pPr>
      <w:r w:rsidRPr="004C4485">
        <w:rPr>
          <w:rFonts w:ascii="Arial" w:hAnsi="Arial" w:cs="Arial"/>
          <w:sz w:val="22"/>
          <w:szCs w:val="22"/>
        </w:rPr>
        <w:t xml:space="preserve">Poskytovatel v materiálu v bodě </w:t>
      </w:r>
      <w:r w:rsidR="00B86543" w:rsidRPr="0058584F">
        <w:rPr>
          <w:rFonts w:ascii="Arial" w:hAnsi="Arial" w:cs="Arial"/>
          <w:i/>
          <w:sz w:val="22"/>
          <w:szCs w:val="22"/>
        </w:rPr>
        <w:t>„</w:t>
      </w:r>
      <w:r w:rsidRPr="0058584F">
        <w:rPr>
          <w:rFonts w:ascii="Arial" w:hAnsi="Arial" w:cs="Arial"/>
          <w:i/>
          <w:sz w:val="22"/>
          <w:szCs w:val="22"/>
        </w:rPr>
        <w:t>7. Celkové výdaje….</w:t>
      </w:r>
      <w:r w:rsidR="00B86543" w:rsidRPr="0058584F">
        <w:rPr>
          <w:rFonts w:ascii="Arial" w:hAnsi="Arial" w:cs="Arial"/>
          <w:i/>
          <w:sz w:val="22"/>
          <w:szCs w:val="22"/>
        </w:rPr>
        <w:t>“</w:t>
      </w:r>
      <w:r w:rsidRPr="004C4485">
        <w:rPr>
          <w:rFonts w:ascii="Arial" w:hAnsi="Arial" w:cs="Arial"/>
          <w:sz w:val="22"/>
          <w:szCs w:val="22"/>
        </w:rPr>
        <w:t xml:space="preserve"> nicméně uvádí, že:</w:t>
      </w:r>
    </w:p>
    <w:p w14:paraId="1B7E1BD0" w14:textId="77777777" w:rsidR="004C4485" w:rsidRPr="004C4485" w:rsidRDefault="004C4485" w:rsidP="004C4485">
      <w:pPr>
        <w:keepNext/>
        <w:jc w:val="both"/>
        <w:rPr>
          <w:rFonts w:ascii="Arial" w:hAnsi="Arial" w:cs="Arial"/>
          <w:i/>
          <w:sz w:val="22"/>
          <w:szCs w:val="22"/>
        </w:rPr>
      </w:pPr>
    </w:p>
    <w:p w14:paraId="4052213C" w14:textId="3439765A" w:rsidR="004C4485" w:rsidRPr="004C4485" w:rsidRDefault="004C4485" w:rsidP="004C4485">
      <w:pPr>
        <w:keepNext/>
        <w:jc w:val="both"/>
        <w:rPr>
          <w:rFonts w:ascii="Arial" w:hAnsi="Arial" w:cs="Arial"/>
          <w:i/>
          <w:sz w:val="22"/>
          <w:szCs w:val="22"/>
        </w:rPr>
      </w:pPr>
      <w:r w:rsidRPr="004C4485">
        <w:rPr>
          <w:rFonts w:ascii="Arial" w:hAnsi="Arial" w:cs="Arial"/>
          <w:i/>
          <w:sz w:val="22"/>
          <w:szCs w:val="22"/>
        </w:rPr>
        <w:t xml:space="preserve">„Navržené výdaje státního rozpočtu musí být zabezpečeny v souladu s limity celkových výdajů na podporu výzkumu, experimentálního vývoje a inovací schválených vládou na příslušná období </w:t>
      </w:r>
      <w:r w:rsidRPr="004C4485">
        <w:rPr>
          <w:rFonts w:ascii="Arial" w:hAnsi="Arial" w:cs="Arial"/>
          <w:b/>
          <w:i/>
          <w:sz w:val="22"/>
          <w:szCs w:val="22"/>
        </w:rPr>
        <w:t>bez zvýšených nároků na státní rozpočet.</w:t>
      </w:r>
      <w:r w:rsidRPr="004C4485">
        <w:rPr>
          <w:rFonts w:ascii="Arial" w:hAnsi="Arial" w:cs="Arial"/>
          <w:i/>
          <w:sz w:val="22"/>
          <w:szCs w:val="22"/>
        </w:rPr>
        <w:t xml:space="preserve"> Prostředky na tuto skupinu grantových projektů budou poskytovány ve schválené výši.“</w:t>
      </w:r>
    </w:p>
    <w:p w14:paraId="3299B999" w14:textId="77777777" w:rsidR="004C4485" w:rsidRPr="004C4485" w:rsidRDefault="004C4485" w:rsidP="004C4485">
      <w:pPr>
        <w:keepNext/>
        <w:jc w:val="both"/>
        <w:rPr>
          <w:rFonts w:ascii="Arial" w:hAnsi="Arial" w:cs="Arial"/>
          <w:sz w:val="22"/>
          <w:szCs w:val="22"/>
        </w:rPr>
      </w:pPr>
    </w:p>
    <w:p w14:paraId="29D1D4DD" w14:textId="63C90A37" w:rsidR="004C4485" w:rsidRPr="004C4485" w:rsidRDefault="004C4485" w:rsidP="004C4485">
      <w:pPr>
        <w:keepNext/>
        <w:jc w:val="both"/>
        <w:rPr>
          <w:rFonts w:ascii="Arial" w:hAnsi="Arial" w:cs="Arial"/>
          <w:sz w:val="22"/>
          <w:szCs w:val="22"/>
        </w:rPr>
      </w:pPr>
      <w:r w:rsidRPr="004C4485">
        <w:rPr>
          <w:rFonts w:ascii="Arial" w:hAnsi="Arial" w:cs="Arial"/>
          <w:sz w:val="22"/>
          <w:szCs w:val="22"/>
        </w:rPr>
        <w:t>V materiálu je dále současně uvedeno:</w:t>
      </w:r>
    </w:p>
    <w:p w14:paraId="6E6555F6" w14:textId="77777777" w:rsidR="004C4485" w:rsidRPr="004C4485" w:rsidRDefault="004C4485" w:rsidP="004C4485">
      <w:pPr>
        <w:keepNext/>
        <w:jc w:val="both"/>
        <w:rPr>
          <w:rFonts w:ascii="Arial" w:hAnsi="Arial" w:cs="Arial"/>
          <w:i/>
          <w:sz w:val="22"/>
          <w:szCs w:val="22"/>
        </w:rPr>
      </w:pPr>
    </w:p>
    <w:p w14:paraId="71DFE27F" w14:textId="088B987B" w:rsidR="004C4485" w:rsidRPr="004C4485" w:rsidRDefault="004C4485" w:rsidP="004C4485">
      <w:pPr>
        <w:keepNext/>
        <w:jc w:val="both"/>
        <w:rPr>
          <w:rFonts w:ascii="Arial" w:hAnsi="Arial" w:cs="Arial"/>
          <w:i/>
          <w:sz w:val="22"/>
          <w:szCs w:val="22"/>
        </w:rPr>
      </w:pPr>
      <w:r w:rsidRPr="004C4485">
        <w:rPr>
          <w:rFonts w:ascii="Arial" w:hAnsi="Arial" w:cs="Arial"/>
          <w:i/>
          <w:sz w:val="22"/>
          <w:szCs w:val="22"/>
        </w:rPr>
        <w:t>„V případě, že by zákonem stanovené výdaje nebyly schváleny v této výši, tak by GA ČR Veřejnou soutěž vyhlásila pouze do výše schválených prostředků.“</w:t>
      </w:r>
    </w:p>
    <w:p w14:paraId="6B8BCA7F" w14:textId="77777777" w:rsidR="004C4485" w:rsidRPr="004C4485" w:rsidRDefault="004C4485" w:rsidP="004C4485">
      <w:pPr>
        <w:keepNext/>
        <w:jc w:val="both"/>
        <w:rPr>
          <w:rFonts w:ascii="Arial" w:hAnsi="Arial" w:cs="Arial"/>
          <w:sz w:val="22"/>
          <w:szCs w:val="22"/>
        </w:rPr>
      </w:pPr>
    </w:p>
    <w:p w14:paraId="35011587" w14:textId="461B5E58" w:rsidR="004C4485" w:rsidRPr="004C4485" w:rsidRDefault="004C4485" w:rsidP="004C4485">
      <w:pPr>
        <w:keepNext/>
        <w:jc w:val="both"/>
        <w:rPr>
          <w:rFonts w:ascii="Arial" w:hAnsi="Arial" w:cs="Arial"/>
          <w:b/>
          <w:sz w:val="22"/>
          <w:szCs w:val="22"/>
        </w:rPr>
      </w:pPr>
      <w:r w:rsidRPr="004C4485">
        <w:rPr>
          <w:rFonts w:ascii="Arial" w:hAnsi="Arial" w:cs="Arial"/>
          <w:sz w:val="22"/>
          <w:szCs w:val="22"/>
        </w:rPr>
        <w:t xml:space="preserve">Rada žádá o upřesnění informace, jak má chápat výše uvedenou poznámku, že </w:t>
      </w:r>
      <w:r w:rsidRPr="004C4485">
        <w:rPr>
          <w:rFonts w:ascii="Arial" w:hAnsi="Arial" w:cs="Arial"/>
          <w:b/>
          <w:sz w:val="22"/>
          <w:szCs w:val="22"/>
        </w:rPr>
        <w:t>navržené výdaje musí být zabezpečeny bez zvýšených nároků na státní rozpočet</w:t>
      </w:r>
      <w:r w:rsidR="00B86543">
        <w:rPr>
          <w:rFonts w:ascii="Arial" w:hAnsi="Arial" w:cs="Arial"/>
          <w:b/>
          <w:sz w:val="22"/>
          <w:szCs w:val="22"/>
        </w:rPr>
        <w:t>,</w:t>
      </w:r>
      <w:r w:rsidRPr="004C4485">
        <w:rPr>
          <w:rFonts w:ascii="Arial" w:hAnsi="Arial" w:cs="Arial"/>
          <w:sz w:val="22"/>
          <w:szCs w:val="22"/>
        </w:rPr>
        <w:t xml:space="preserve"> a zda tak poskytovatel žádá o zajištění financování nové skupiny grantových projektů nad rámec schváleného limitu účelové podpory GA ČR na r</w:t>
      </w:r>
      <w:r w:rsidR="00B86543">
        <w:rPr>
          <w:rFonts w:ascii="Arial" w:hAnsi="Arial" w:cs="Arial"/>
          <w:sz w:val="22"/>
          <w:szCs w:val="22"/>
        </w:rPr>
        <w:t>ok</w:t>
      </w:r>
      <w:r w:rsidRPr="004C4485">
        <w:rPr>
          <w:rFonts w:ascii="Arial" w:hAnsi="Arial" w:cs="Arial"/>
          <w:sz w:val="22"/>
          <w:szCs w:val="22"/>
        </w:rPr>
        <w:t xml:space="preserve"> 2026, nebo počítá se zajištěním financování v rámci schválených výdajů státního rozpočtu na </w:t>
      </w:r>
      <w:proofErr w:type="spellStart"/>
      <w:r w:rsidRPr="004C4485">
        <w:rPr>
          <w:rFonts w:ascii="Arial" w:hAnsi="Arial" w:cs="Arial"/>
          <w:sz w:val="22"/>
          <w:szCs w:val="22"/>
        </w:rPr>
        <w:t>VaVaI</w:t>
      </w:r>
      <w:proofErr w:type="spellEnd"/>
      <w:r w:rsidRPr="004C4485">
        <w:rPr>
          <w:rFonts w:ascii="Arial" w:hAnsi="Arial" w:cs="Arial"/>
          <w:sz w:val="22"/>
          <w:szCs w:val="22"/>
        </w:rPr>
        <w:t>. Rada upozorňuje, že existuje riziko, že její finální návrh na navýšení výdajů ve střednědobém horizontu nebude vládou schválen.</w:t>
      </w:r>
    </w:p>
    <w:p w14:paraId="1CA980B9" w14:textId="77777777" w:rsidR="004C4485" w:rsidRPr="004C4485" w:rsidRDefault="004C4485" w:rsidP="004C4485">
      <w:pPr>
        <w:keepNext/>
        <w:jc w:val="both"/>
        <w:rPr>
          <w:rFonts w:ascii="Arial" w:hAnsi="Arial" w:cs="Arial"/>
          <w:sz w:val="22"/>
          <w:szCs w:val="22"/>
        </w:rPr>
      </w:pPr>
    </w:p>
    <w:p w14:paraId="2B39A03B" w14:textId="5E15180F" w:rsidR="004C4485" w:rsidRDefault="004C4485" w:rsidP="008D74A5">
      <w:pPr>
        <w:keepNext/>
        <w:jc w:val="both"/>
        <w:rPr>
          <w:rFonts w:ascii="Arial" w:hAnsi="Arial" w:cs="Arial"/>
          <w:sz w:val="22"/>
          <w:szCs w:val="22"/>
        </w:rPr>
      </w:pPr>
      <w:r w:rsidRPr="004C4485">
        <w:rPr>
          <w:rFonts w:ascii="Arial" w:hAnsi="Arial" w:cs="Arial"/>
          <w:sz w:val="22"/>
          <w:szCs w:val="22"/>
        </w:rPr>
        <w:t>Rada současně upozorňuje, že schválení nové skupiny grantových projektů vládou neznamená automaticky nárok na její finanční zajištění ze státního rozpočtu v navržených objemech. Financování bude zajištěno dle možností státního rozpočtu.</w:t>
      </w:r>
    </w:p>
    <w:p w14:paraId="6A48CF1D" w14:textId="59E8B851" w:rsidR="00952624" w:rsidRDefault="00952624" w:rsidP="008D74A5">
      <w:pPr>
        <w:keepNext/>
        <w:jc w:val="both"/>
        <w:rPr>
          <w:rFonts w:ascii="Arial" w:hAnsi="Arial" w:cs="Arial"/>
          <w:sz w:val="22"/>
          <w:szCs w:val="22"/>
        </w:rPr>
      </w:pPr>
    </w:p>
    <w:p w14:paraId="4FF3D74A" w14:textId="387C4F89" w:rsidR="001E716B" w:rsidRDefault="001E716B" w:rsidP="008D74A5">
      <w:pPr>
        <w:keepNext/>
        <w:jc w:val="both"/>
        <w:rPr>
          <w:rFonts w:ascii="Arial" w:hAnsi="Arial" w:cs="Arial"/>
          <w:sz w:val="22"/>
          <w:szCs w:val="22"/>
          <w:u w:val="single"/>
        </w:rPr>
      </w:pPr>
      <w:r>
        <w:rPr>
          <w:rFonts w:ascii="Arial" w:hAnsi="Arial" w:cs="Arial"/>
          <w:sz w:val="22"/>
          <w:szCs w:val="22"/>
          <w:u w:val="single"/>
        </w:rPr>
        <w:t>3</w:t>
      </w:r>
      <w:r w:rsidRPr="004C4485">
        <w:rPr>
          <w:rFonts w:ascii="Arial" w:hAnsi="Arial" w:cs="Arial"/>
          <w:sz w:val="22"/>
          <w:szCs w:val="22"/>
          <w:u w:val="single"/>
        </w:rPr>
        <w:t>. Připomínka k</w:t>
      </w:r>
      <w:r>
        <w:rPr>
          <w:rFonts w:ascii="Arial" w:hAnsi="Arial" w:cs="Arial"/>
          <w:sz w:val="22"/>
          <w:szCs w:val="22"/>
          <w:u w:val="single"/>
        </w:rPr>
        <w:t> době trvání programu:</w:t>
      </w:r>
    </w:p>
    <w:p w14:paraId="140407A6" w14:textId="2FF467E8" w:rsidR="001E716B" w:rsidRDefault="001E716B" w:rsidP="008D74A5">
      <w:pPr>
        <w:keepNext/>
        <w:jc w:val="both"/>
        <w:rPr>
          <w:rFonts w:ascii="Arial" w:hAnsi="Arial" w:cs="Arial"/>
          <w:sz w:val="22"/>
          <w:szCs w:val="22"/>
        </w:rPr>
      </w:pPr>
      <w:r w:rsidRPr="001E716B">
        <w:rPr>
          <w:rFonts w:ascii="Arial" w:hAnsi="Arial" w:cs="Arial"/>
          <w:sz w:val="22"/>
          <w:szCs w:val="22"/>
        </w:rPr>
        <w:t xml:space="preserve">Rada žádá o </w:t>
      </w:r>
      <w:r>
        <w:rPr>
          <w:rFonts w:ascii="Arial" w:hAnsi="Arial" w:cs="Arial"/>
          <w:sz w:val="22"/>
          <w:szCs w:val="22"/>
        </w:rPr>
        <w:t>úpravu doby trvání programu na dobu určitou, a to v souladu s běžnou praxí u obdobných programů účelové podpory.</w:t>
      </w:r>
    </w:p>
    <w:p w14:paraId="7B84B07E" w14:textId="3483163B" w:rsidR="001E716B" w:rsidRDefault="001E716B" w:rsidP="008D74A5">
      <w:pPr>
        <w:keepNext/>
        <w:jc w:val="both"/>
        <w:rPr>
          <w:rFonts w:ascii="Arial" w:hAnsi="Arial" w:cs="Arial"/>
          <w:sz w:val="22"/>
          <w:szCs w:val="22"/>
        </w:rPr>
      </w:pPr>
    </w:p>
    <w:p w14:paraId="2E729C2E" w14:textId="692ADFD7" w:rsidR="001E716B" w:rsidRDefault="001E716B" w:rsidP="001E716B">
      <w:pPr>
        <w:keepNext/>
        <w:jc w:val="both"/>
        <w:rPr>
          <w:rFonts w:ascii="Arial" w:hAnsi="Arial" w:cs="Arial"/>
          <w:sz w:val="22"/>
          <w:szCs w:val="22"/>
          <w:u w:val="single"/>
        </w:rPr>
      </w:pPr>
      <w:r>
        <w:rPr>
          <w:rFonts w:ascii="Arial" w:hAnsi="Arial" w:cs="Arial"/>
          <w:sz w:val="22"/>
          <w:szCs w:val="22"/>
          <w:u w:val="single"/>
        </w:rPr>
        <w:t>4</w:t>
      </w:r>
      <w:r w:rsidRPr="004C4485">
        <w:rPr>
          <w:rFonts w:ascii="Arial" w:hAnsi="Arial" w:cs="Arial"/>
          <w:sz w:val="22"/>
          <w:szCs w:val="22"/>
          <w:u w:val="single"/>
        </w:rPr>
        <w:t>. Připomínka k</w:t>
      </w:r>
      <w:r>
        <w:rPr>
          <w:rFonts w:ascii="Arial" w:hAnsi="Arial" w:cs="Arial"/>
          <w:sz w:val="22"/>
          <w:szCs w:val="22"/>
          <w:u w:val="single"/>
        </w:rPr>
        <w:t> rozpočtu programu:</w:t>
      </w:r>
    </w:p>
    <w:p w14:paraId="2D23E1A7" w14:textId="5A6E7661" w:rsidR="001E716B" w:rsidRDefault="001E716B" w:rsidP="008D74A5">
      <w:pPr>
        <w:keepNext/>
        <w:jc w:val="both"/>
        <w:rPr>
          <w:rFonts w:ascii="Arial" w:hAnsi="Arial" w:cs="Arial"/>
          <w:sz w:val="22"/>
          <w:szCs w:val="22"/>
        </w:rPr>
      </w:pPr>
      <w:r>
        <w:rPr>
          <w:rFonts w:ascii="Arial" w:hAnsi="Arial" w:cs="Arial"/>
          <w:sz w:val="22"/>
          <w:szCs w:val="22"/>
        </w:rPr>
        <w:t xml:space="preserve">Rada žádá o vysvětlení, co je myšleno formulací </w:t>
      </w:r>
      <w:r w:rsidRPr="001E716B">
        <w:rPr>
          <w:rFonts w:ascii="Arial" w:hAnsi="Arial" w:cs="Arial"/>
          <w:i/>
          <w:sz w:val="22"/>
          <w:szCs w:val="22"/>
        </w:rPr>
        <w:t>„…s ohledem na skutečnost naléhavého zájmu.“</w:t>
      </w:r>
      <w:r>
        <w:rPr>
          <w:rFonts w:ascii="Arial" w:hAnsi="Arial" w:cs="Arial"/>
          <w:sz w:val="22"/>
          <w:szCs w:val="22"/>
        </w:rPr>
        <w:t xml:space="preserve"> na str. 3.</w:t>
      </w:r>
    </w:p>
    <w:p w14:paraId="78E2DE47" w14:textId="77777777" w:rsidR="001E716B" w:rsidRPr="001E716B" w:rsidRDefault="001E716B" w:rsidP="008D74A5">
      <w:pPr>
        <w:keepNext/>
        <w:jc w:val="both"/>
        <w:rPr>
          <w:rFonts w:ascii="Arial" w:hAnsi="Arial" w:cs="Arial"/>
          <w:sz w:val="22"/>
          <w:szCs w:val="22"/>
        </w:rPr>
      </w:pPr>
    </w:p>
    <w:p w14:paraId="2B5A1873" w14:textId="7503857F" w:rsidR="001E716B" w:rsidRDefault="001E716B" w:rsidP="001E716B">
      <w:pPr>
        <w:keepNext/>
        <w:jc w:val="both"/>
        <w:rPr>
          <w:rFonts w:ascii="Arial" w:hAnsi="Arial" w:cs="Arial"/>
          <w:sz w:val="22"/>
          <w:szCs w:val="22"/>
          <w:u w:val="single"/>
        </w:rPr>
      </w:pPr>
      <w:r>
        <w:rPr>
          <w:rFonts w:ascii="Arial" w:hAnsi="Arial" w:cs="Arial"/>
          <w:sz w:val="22"/>
          <w:szCs w:val="22"/>
          <w:u w:val="single"/>
        </w:rPr>
        <w:t>5</w:t>
      </w:r>
      <w:r w:rsidRPr="004C4485">
        <w:rPr>
          <w:rFonts w:ascii="Arial" w:hAnsi="Arial" w:cs="Arial"/>
          <w:sz w:val="22"/>
          <w:szCs w:val="22"/>
          <w:u w:val="single"/>
        </w:rPr>
        <w:t>. Připomínka k</w:t>
      </w:r>
      <w:r>
        <w:rPr>
          <w:rFonts w:ascii="Arial" w:hAnsi="Arial" w:cs="Arial"/>
          <w:sz w:val="22"/>
          <w:szCs w:val="22"/>
          <w:u w:val="single"/>
        </w:rPr>
        <w:t> rozpočtu programu:</w:t>
      </w:r>
    </w:p>
    <w:p w14:paraId="578BCEDC" w14:textId="0A2C7FAF" w:rsidR="00B675ED" w:rsidRDefault="001E716B" w:rsidP="00BA65B3">
      <w:pPr>
        <w:keepNext/>
        <w:jc w:val="both"/>
        <w:rPr>
          <w:rFonts w:ascii="Arial" w:hAnsi="Arial" w:cs="Arial"/>
          <w:sz w:val="22"/>
          <w:szCs w:val="22"/>
        </w:rPr>
      </w:pPr>
      <w:r w:rsidRPr="001E716B">
        <w:rPr>
          <w:rFonts w:ascii="Arial" w:hAnsi="Arial" w:cs="Arial"/>
          <w:sz w:val="22"/>
          <w:szCs w:val="22"/>
        </w:rPr>
        <w:t>Rada žádá</w:t>
      </w:r>
      <w:r>
        <w:rPr>
          <w:rFonts w:ascii="Arial" w:hAnsi="Arial" w:cs="Arial"/>
          <w:sz w:val="22"/>
          <w:szCs w:val="22"/>
        </w:rPr>
        <w:t xml:space="preserve"> o odstranění celého odstavce „</w:t>
      </w:r>
      <w:r w:rsidRPr="001E716B">
        <w:rPr>
          <w:rFonts w:ascii="Arial" w:hAnsi="Arial" w:cs="Arial"/>
          <w:sz w:val="22"/>
          <w:szCs w:val="22"/>
        </w:rPr>
        <w:t>Odhadované náklady v institucionálních prostředcích na Návratové granty</w:t>
      </w:r>
      <w:r>
        <w:rPr>
          <w:rFonts w:ascii="Arial" w:hAnsi="Arial" w:cs="Arial"/>
          <w:sz w:val="22"/>
          <w:szCs w:val="22"/>
        </w:rPr>
        <w:t xml:space="preserve">“ na str. 3, jelikož je dané otázkou tvorby rozpočtu na </w:t>
      </w:r>
      <w:proofErr w:type="spellStart"/>
      <w:r>
        <w:rPr>
          <w:rFonts w:ascii="Arial" w:hAnsi="Arial" w:cs="Arial"/>
          <w:sz w:val="22"/>
          <w:szCs w:val="22"/>
        </w:rPr>
        <w:t>VaVaI</w:t>
      </w:r>
      <w:proofErr w:type="spellEnd"/>
      <w:r>
        <w:rPr>
          <w:rFonts w:ascii="Arial" w:hAnsi="Arial" w:cs="Arial"/>
          <w:sz w:val="22"/>
          <w:szCs w:val="22"/>
        </w:rPr>
        <w:t>, nikoli znění programu účelové podpory.</w:t>
      </w:r>
    </w:p>
    <w:p w14:paraId="682B21BB" w14:textId="479EF048" w:rsidR="001E716B" w:rsidRDefault="001E716B" w:rsidP="00BA65B3">
      <w:pPr>
        <w:keepNext/>
        <w:jc w:val="both"/>
        <w:rPr>
          <w:rFonts w:ascii="Arial" w:hAnsi="Arial" w:cs="Arial"/>
          <w:sz w:val="22"/>
          <w:szCs w:val="22"/>
        </w:rPr>
      </w:pPr>
    </w:p>
    <w:p w14:paraId="29E99AF9" w14:textId="63501D88" w:rsidR="001E716B" w:rsidRDefault="001E716B" w:rsidP="001E716B">
      <w:pPr>
        <w:keepNext/>
        <w:jc w:val="both"/>
        <w:rPr>
          <w:rFonts w:ascii="Arial" w:hAnsi="Arial" w:cs="Arial"/>
          <w:sz w:val="22"/>
          <w:szCs w:val="22"/>
          <w:u w:val="single"/>
        </w:rPr>
      </w:pPr>
      <w:r>
        <w:rPr>
          <w:rFonts w:ascii="Arial" w:hAnsi="Arial" w:cs="Arial"/>
          <w:sz w:val="22"/>
          <w:szCs w:val="22"/>
          <w:u w:val="single"/>
        </w:rPr>
        <w:t>6</w:t>
      </w:r>
      <w:r w:rsidRPr="004C4485">
        <w:rPr>
          <w:rFonts w:ascii="Arial" w:hAnsi="Arial" w:cs="Arial"/>
          <w:sz w:val="22"/>
          <w:szCs w:val="22"/>
          <w:u w:val="single"/>
        </w:rPr>
        <w:t>. Připomínka k</w:t>
      </w:r>
      <w:r>
        <w:rPr>
          <w:rFonts w:ascii="Arial" w:hAnsi="Arial" w:cs="Arial"/>
          <w:sz w:val="22"/>
          <w:szCs w:val="22"/>
          <w:u w:val="single"/>
        </w:rPr>
        <w:t> hodnocení výsledků projektů:</w:t>
      </w:r>
    </w:p>
    <w:p w14:paraId="3774E288" w14:textId="5331EF96" w:rsidR="001E716B" w:rsidRPr="001E716B" w:rsidRDefault="001E716B" w:rsidP="00BA65B3">
      <w:pPr>
        <w:keepNext/>
        <w:jc w:val="both"/>
        <w:rPr>
          <w:rFonts w:ascii="Arial" w:hAnsi="Arial" w:cs="Arial"/>
          <w:sz w:val="22"/>
          <w:szCs w:val="22"/>
        </w:rPr>
      </w:pPr>
      <w:r>
        <w:rPr>
          <w:rFonts w:ascii="Arial" w:hAnsi="Arial" w:cs="Arial"/>
          <w:sz w:val="22"/>
          <w:szCs w:val="22"/>
        </w:rPr>
        <w:t>Rada žádá o vysvětlení, jak se případné nesplnění níže uvedeného kritéria</w:t>
      </w:r>
      <w:r w:rsidR="0032360A">
        <w:rPr>
          <w:rFonts w:ascii="Arial" w:hAnsi="Arial" w:cs="Arial"/>
          <w:sz w:val="22"/>
          <w:szCs w:val="22"/>
        </w:rPr>
        <w:t xml:space="preserve"> na straně 14 v kapitole </w:t>
      </w:r>
      <w:r w:rsidR="0032360A" w:rsidRPr="0032360A">
        <w:rPr>
          <w:rFonts w:ascii="Arial" w:hAnsi="Arial" w:cs="Arial"/>
          <w:i/>
          <w:sz w:val="22"/>
          <w:szCs w:val="22"/>
        </w:rPr>
        <w:t>„19. Hodnocení výsledků projektů (ex post)“</w:t>
      </w:r>
      <w:r w:rsidR="0032360A">
        <w:rPr>
          <w:rFonts w:ascii="Arial" w:hAnsi="Arial" w:cs="Arial"/>
          <w:sz w:val="22"/>
          <w:szCs w:val="22"/>
        </w:rPr>
        <w:t xml:space="preserve"> projeví v hodnocení projektu, jelikož tím může být ovlivněna absorpční kapacita.</w:t>
      </w:r>
    </w:p>
    <w:p w14:paraId="7CE8C04C" w14:textId="2A3A42BA" w:rsidR="001E716B" w:rsidRDefault="001E716B" w:rsidP="00BA65B3">
      <w:pPr>
        <w:keepNext/>
        <w:jc w:val="both"/>
        <w:rPr>
          <w:rFonts w:ascii="Arial" w:hAnsi="Arial" w:cs="Arial"/>
          <w:sz w:val="22"/>
          <w:szCs w:val="22"/>
          <w:highlight w:val="yellow"/>
        </w:rPr>
      </w:pPr>
    </w:p>
    <w:p w14:paraId="181EA600" w14:textId="79C5DF2E" w:rsidR="001E716B" w:rsidRPr="0032360A" w:rsidRDefault="0032360A" w:rsidP="00BA65B3">
      <w:pPr>
        <w:keepNext/>
        <w:jc w:val="both"/>
        <w:rPr>
          <w:rFonts w:ascii="Arial" w:hAnsi="Arial" w:cs="Arial"/>
          <w:i/>
          <w:sz w:val="22"/>
          <w:szCs w:val="22"/>
        </w:rPr>
      </w:pPr>
      <w:r w:rsidRPr="0032360A">
        <w:rPr>
          <w:rFonts w:ascii="Arial" w:hAnsi="Arial" w:cs="Arial"/>
          <w:i/>
          <w:sz w:val="22"/>
          <w:szCs w:val="22"/>
        </w:rPr>
        <w:t>GA ČR hodnotí závěrečnou zprávu a postup při řešení grantového projektu podle těchto hlavních kritérií:</w:t>
      </w:r>
    </w:p>
    <w:p w14:paraId="370FEA16" w14:textId="4776B57D" w:rsidR="0032360A" w:rsidRPr="0032360A" w:rsidRDefault="0032360A" w:rsidP="00BA65B3">
      <w:pPr>
        <w:keepNext/>
        <w:jc w:val="both"/>
        <w:rPr>
          <w:rFonts w:ascii="Arial" w:hAnsi="Arial" w:cs="Arial"/>
          <w:i/>
          <w:sz w:val="22"/>
          <w:szCs w:val="22"/>
        </w:rPr>
      </w:pPr>
      <w:r w:rsidRPr="0032360A">
        <w:rPr>
          <w:rFonts w:ascii="Arial" w:hAnsi="Arial" w:cs="Arial"/>
          <w:i/>
          <w:sz w:val="22"/>
          <w:szCs w:val="22"/>
        </w:rPr>
        <w:t>…</w:t>
      </w:r>
    </w:p>
    <w:p w14:paraId="301D4684" w14:textId="208C0373" w:rsidR="0032360A" w:rsidRPr="0032360A" w:rsidRDefault="0032360A" w:rsidP="0032360A">
      <w:pPr>
        <w:pStyle w:val="Odstavecseseznamem"/>
        <w:keepNext/>
        <w:numPr>
          <w:ilvl w:val="0"/>
          <w:numId w:val="5"/>
        </w:numPr>
        <w:jc w:val="both"/>
        <w:rPr>
          <w:rFonts w:ascii="Arial" w:hAnsi="Arial" w:cs="Arial"/>
          <w:i/>
          <w:sz w:val="22"/>
          <w:szCs w:val="22"/>
        </w:rPr>
      </w:pPr>
      <w:r w:rsidRPr="0032360A">
        <w:rPr>
          <w:rFonts w:ascii="Arial" w:hAnsi="Arial" w:cs="Arial"/>
          <w:i/>
          <w:sz w:val="22"/>
          <w:szCs w:val="22"/>
        </w:rPr>
        <w:t xml:space="preserve">zda byla poskytnuta pracovní příležitost ve vědě pro řešitele/řešitelku bezprostředně po kariérní přestávce a umožněno znovu „nastartovat“ jeho/její kariéru a její další rozvoj, tj. zda řešitel do roku po skončení řešení projektu získá úvazek ve výši </w:t>
      </w:r>
      <w:r w:rsidRPr="0032360A">
        <w:rPr>
          <w:rFonts w:ascii="Arial" w:hAnsi="Arial" w:cs="Arial"/>
          <w:i/>
          <w:sz w:val="22"/>
          <w:szCs w:val="22"/>
        </w:rPr>
        <w:lastRenderedPageBreak/>
        <w:t>minimálně 0,5 na vědecké či akademické instituci a/nebo další projekt, jehož součástí je jeho mzda;</w:t>
      </w:r>
    </w:p>
    <w:p w14:paraId="061BC048" w14:textId="3CE1E1C6" w:rsidR="001E716B" w:rsidRPr="0032360A" w:rsidRDefault="0032360A" w:rsidP="00BA65B3">
      <w:pPr>
        <w:keepNext/>
        <w:jc w:val="both"/>
        <w:rPr>
          <w:rFonts w:ascii="Arial" w:hAnsi="Arial" w:cs="Arial"/>
          <w:i/>
          <w:sz w:val="22"/>
          <w:szCs w:val="22"/>
        </w:rPr>
      </w:pPr>
      <w:r w:rsidRPr="0032360A">
        <w:rPr>
          <w:rFonts w:ascii="Arial" w:hAnsi="Arial" w:cs="Arial"/>
          <w:i/>
          <w:sz w:val="22"/>
          <w:szCs w:val="22"/>
        </w:rPr>
        <w:t>…</w:t>
      </w:r>
    </w:p>
    <w:p w14:paraId="4D3DFAB0" w14:textId="6A049E46" w:rsidR="001E716B" w:rsidRDefault="001E716B" w:rsidP="00BA65B3">
      <w:pPr>
        <w:keepNext/>
        <w:jc w:val="both"/>
        <w:rPr>
          <w:rFonts w:ascii="Arial" w:hAnsi="Arial" w:cs="Arial"/>
          <w:sz w:val="22"/>
          <w:szCs w:val="22"/>
          <w:highlight w:val="yellow"/>
        </w:rPr>
      </w:pPr>
    </w:p>
    <w:p w14:paraId="4E38D180" w14:textId="3DAB5F3A" w:rsidR="005D5C82" w:rsidRDefault="005D5C82" w:rsidP="00BA65B3">
      <w:pPr>
        <w:keepNext/>
        <w:jc w:val="both"/>
        <w:rPr>
          <w:rFonts w:ascii="Arial" w:hAnsi="Arial" w:cs="Arial"/>
          <w:sz w:val="22"/>
          <w:szCs w:val="22"/>
          <w:highlight w:val="yellow"/>
        </w:rPr>
      </w:pPr>
      <w:r>
        <w:rPr>
          <w:rFonts w:ascii="Arial" w:hAnsi="Arial" w:cs="Arial"/>
          <w:sz w:val="22"/>
          <w:szCs w:val="22"/>
          <w:u w:val="single"/>
        </w:rPr>
        <w:t>7</w:t>
      </w:r>
      <w:r w:rsidRPr="004C4485">
        <w:rPr>
          <w:rFonts w:ascii="Arial" w:hAnsi="Arial" w:cs="Arial"/>
          <w:sz w:val="22"/>
          <w:szCs w:val="22"/>
          <w:u w:val="single"/>
        </w:rPr>
        <w:t>. Připomínka k</w:t>
      </w:r>
      <w:r>
        <w:rPr>
          <w:rFonts w:ascii="Arial" w:hAnsi="Arial" w:cs="Arial"/>
          <w:sz w:val="22"/>
          <w:szCs w:val="22"/>
          <w:u w:val="single"/>
        </w:rPr>
        <w:t> přenosu grantového projektu:</w:t>
      </w:r>
    </w:p>
    <w:p w14:paraId="18815520" w14:textId="3FD180E9" w:rsidR="005D5C82" w:rsidRDefault="005D5C82" w:rsidP="00BA65B3">
      <w:pPr>
        <w:keepNext/>
        <w:jc w:val="both"/>
        <w:rPr>
          <w:rFonts w:ascii="Arial" w:hAnsi="Arial" w:cs="Arial"/>
          <w:sz w:val="22"/>
          <w:szCs w:val="22"/>
          <w:highlight w:val="yellow"/>
        </w:rPr>
      </w:pPr>
      <w:r w:rsidRPr="005D5C82">
        <w:rPr>
          <w:rFonts w:ascii="Arial" w:hAnsi="Arial" w:cs="Arial"/>
          <w:sz w:val="22"/>
          <w:szCs w:val="22"/>
        </w:rPr>
        <w:t>Rada žádá o bližší vysvětlení zákonného souladu se zákonem 130/2002 Sb. u institutu přenosu grantového projektu popsaného v kapitole 8.</w:t>
      </w:r>
      <w:r>
        <w:rPr>
          <w:rFonts w:ascii="Arial" w:hAnsi="Arial" w:cs="Arial"/>
          <w:sz w:val="22"/>
          <w:szCs w:val="22"/>
        </w:rPr>
        <w:t xml:space="preserve"> </w:t>
      </w:r>
      <w:r w:rsidRPr="005D5C82">
        <w:rPr>
          <w:rFonts w:ascii="Arial" w:hAnsi="Arial" w:cs="Arial"/>
          <w:sz w:val="22"/>
          <w:szCs w:val="22"/>
        </w:rPr>
        <w:t>Příjemci podpory a možnost jejich změny</w:t>
      </w:r>
      <w:r>
        <w:rPr>
          <w:rFonts w:ascii="Arial" w:hAnsi="Arial" w:cs="Arial"/>
          <w:sz w:val="22"/>
          <w:szCs w:val="22"/>
        </w:rPr>
        <w:t>.</w:t>
      </w:r>
    </w:p>
    <w:p w14:paraId="0D4E4C2D" w14:textId="436E28B4" w:rsidR="001C3A6D" w:rsidRPr="00BA65B3" w:rsidRDefault="001C3A6D" w:rsidP="00BA65B3">
      <w:pPr>
        <w:keepNext/>
        <w:jc w:val="both"/>
        <w:rPr>
          <w:rFonts w:ascii="Arial" w:hAnsi="Arial" w:cs="Arial"/>
          <w:sz w:val="22"/>
          <w:szCs w:val="22"/>
          <w:highlight w:val="yellow"/>
        </w:rPr>
      </w:pPr>
    </w:p>
    <w:p w14:paraId="7989D80B" w14:textId="77777777" w:rsidR="00D56170" w:rsidRPr="003F52B1" w:rsidRDefault="00D56170" w:rsidP="00917ED0">
      <w:pPr>
        <w:keepNext/>
        <w:numPr>
          <w:ilvl w:val="0"/>
          <w:numId w:val="1"/>
        </w:numPr>
        <w:spacing w:before="240" w:after="120"/>
        <w:rPr>
          <w:rFonts w:ascii="Arial" w:hAnsi="Arial" w:cs="Arial"/>
          <w:b/>
          <w:color w:val="0070C0"/>
          <w:sz w:val="22"/>
          <w:szCs w:val="22"/>
        </w:rPr>
      </w:pPr>
      <w:r w:rsidRPr="003F52B1">
        <w:rPr>
          <w:rFonts w:ascii="Arial" w:hAnsi="Arial" w:cs="Arial"/>
          <w:b/>
          <w:color w:val="0070C0"/>
          <w:sz w:val="22"/>
          <w:szCs w:val="22"/>
        </w:rPr>
        <w:t>Závěr</w:t>
      </w:r>
    </w:p>
    <w:p w14:paraId="1A868408" w14:textId="0517E1C1" w:rsidR="00D56170" w:rsidRPr="003F52B1" w:rsidRDefault="00451C82" w:rsidP="000D7EFD">
      <w:pPr>
        <w:pStyle w:val="Zkladntext2"/>
        <w:spacing w:after="120"/>
        <w:jc w:val="both"/>
        <w:rPr>
          <w:rFonts w:ascii="Arial" w:hAnsi="Arial" w:cs="Arial"/>
          <w:sz w:val="22"/>
          <w:szCs w:val="22"/>
        </w:rPr>
      </w:pPr>
      <w:bookmarkStart w:id="1" w:name="OLE_LINK1"/>
      <w:r w:rsidRPr="003F52B1">
        <w:rPr>
          <w:rFonts w:ascii="Arial" w:hAnsi="Arial" w:cs="Arial"/>
          <w:b/>
          <w:sz w:val="22"/>
          <w:szCs w:val="22"/>
        </w:rPr>
        <w:t xml:space="preserve">Rada souhlasí s návrhem </w:t>
      </w:r>
      <w:r w:rsidR="00AA27E3" w:rsidRPr="003F52B1">
        <w:rPr>
          <w:rFonts w:ascii="Arial" w:hAnsi="Arial" w:cs="Arial"/>
          <w:b/>
          <w:sz w:val="22"/>
          <w:szCs w:val="22"/>
        </w:rPr>
        <w:t>Skupiny grantových projektů Návratové granty</w:t>
      </w:r>
      <w:r w:rsidRPr="003F52B1">
        <w:rPr>
          <w:rFonts w:ascii="Arial" w:hAnsi="Arial" w:cs="Arial"/>
          <w:b/>
          <w:sz w:val="22"/>
          <w:szCs w:val="22"/>
        </w:rPr>
        <w:t xml:space="preserve"> po za</w:t>
      </w:r>
      <w:r w:rsidR="00756D0F" w:rsidRPr="003F52B1">
        <w:rPr>
          <w:rFonts w:ascii="Arial" w:hAnsi="Arial" w:cs="Arial"/>
          <w:b/>
          <w:sz w:val="22"/>
          <w:szCs w:val="22"/>
        </w:rPr>
        <w:t>pracování připomínek Rady a KHV a žádá</w:t>
      </w:r>
      <w:r w:rsidR="003F52B1" w:rsidRPr="003F52B1">
        <w:rPr>
          <w:rFonts w:ascii="Arial" w:hAnsi="Arial" w:cs="Arial"/>
          <w:b/>
          <w:sz w:val="22"/>
          <w:szCs w:val="22"/>
        </w:rPr>
        <w:t xml:space="preserve"> GA</w:t>
      </w:r>
      <w:r w:rsidR="000D7EFD">
        <w:rPr>
          <w:rFonts w:ascii="Arial" w:hAnsi="Arial" w:cs="Arial"/>
          <w:b/>
          <w:sz w:val="22"/>
          <w:szCs w:val="22"/>
        </w:rPr>
        <w:t> </w:t>
      </w:r>
      <w:r w:rsidR="003F52B1" w:rsidRPr="003F52B1">
        <w:rPr>
          <w:rFonts w:ascii="Arial" w:hAnsi="Arial" w:cs="Arial"/>
          <w:b/>
          <w:sz w:val="22"/>
          <w:szCs w:val="22"/>
        </w:rPr>
        <w:t>ČR</w:t>
      </w:r>
      <w:r w:rsidR="00756D0F" w:rsidRPr="003F52B1">
        <w:rPr>
          <w:rFonts w:ascii="Arial" w:hAnsi="Arial" w:cs="Arial"/>
          <w:b/>
          <w:sz w:val="22"/>
          <w:szCs w:val="22"/>
        </w:rPr>
        <w:t xml:space="preserve"> o zaslání vypořádání připomínek Rady a KHV </w:t>
      </w:r>
      <w:r w:rsidR="003F52B1" w:rsidRPr="003F52B1">
        <w:rPr>
          <w:rFonts w:ascii="Arial" w:hAnsi="Arial" w:cs="Arial"/>
          <w:b/>
          <w:sz w:val="22"/>
          <w:szCs w:val="22"/>
        </w:rPr>
        <w:t xml:space="preserve">před předložením návrhu Skupiny grantových projektů Návratové granty </w:t>
      </w:r>
      <w:r w:rsidR="00756D0F" w:rsidRPr="003F52B1">
        <w:rPr>
          <w:rFonts w:ascii="Arial" w:hAnsi="Arial" w:cs="Arial"/>
          <w:b/>
          <w:sz w:val="22"/>
          <w:szCs w:val="22"/>
        </w:rPr>
        <w:t xml:space="preserve"> do meziresortního připomínkového řízení.</w:t>
      </w:r>
    </w:p>
    <w:p w14:paraId="3583E3F9" w14:textId="77777777" w:rsidR="00D56170" w:rsidRPr="00A97358" w:rsidRDefault="00D56170" w:rsidP="00D56170">
      <w:pPr>
        <w:pStyle w:val="Zkladntext"/>
        <w:jc w:val="both"/>
        <w:rPr>
          <w:sz w:val="22"/>
          <w:szCs w:val="22"/>
          <w:highlight w:val="yellow"/>
        </w:rPr>
      </w:pPr>
    </w:p>
    <w:p w14:paraId="1FCDA2B9" w14:textId="77777777" w:rsidR="00D56170" w:rsidRPr="00A97358" w:rsidRDefault="00D56170" w:rsidP="00D56170">
      <w:pPr>
        <w:pStyle w:val="Zkladntext"/>
        <w:jc w:val="both"/>
        <w:rPr>
          <w:sz w:val="22"/>
          <w:szCs w:val="22"/>
          <w:highlight w:val="yellow"/>
        </w:rPr>
      </w:pPr>
    </w:p>
    <w:p w14:paraId="2EE84FD3" w14:textId="7E38E05C" w:rsidR="00D56170" w:rsidRPr="00CC0810" w:rsidRDefault="00D56170" w:rsidP="00D56170">
      <w:pPr>
        <w:pStyle w:val="Zkladntext"/>
        <w:jc w:val="both"/>
        <w:rPr>
          <w:rFonts w:ascii="Arial" w:hAnsi="Arial" w:cs="Arial"/>
          <w:sz w:val="22"/>
          <w:szCs w:val="22"/>
        </w:rPr>
      </w:pPr>
      <w:r w:rsidRPr="003B4B10">
        <w:rPr>
          <w:rFonts w:ascii="Arial" w:hAnsi="Arial" w:cs="Arial"/>
          <w:sz w:val="22"/>
          <w:szCs w:val="22"/>
        </w:rPr>
        <w:t xml:space="preserve">V Praze dne </w:t>
      </w:r>
      <w:r w:rsidR="003B4B10" w:rsidRPr="003B4B10">
        <w:rPr>
          <w:rFonts w:ascii="Arial" w:hAnsi="Arial" w:cs="Arial"/>
          <w:sz w:val="22"/>
          <w:szCs w:val="22"/>
        </w:rPr>
        <w:t>31. května</w:t>
      </w:r>
      <w:r w:rsidRPr="003B4B10">
        <w:rPr>
          <w:rFonts w:ascii="Arial" w:hAnsi="Arial" w:cs="Arial"/>
          <w:sz w:val="22"/>
          <w:szCs w:val="22"/>
        </w:rPr>
        <w:t xml:space="preserve"> 20</w:t>
      </w:r>
      <w:bookmarkEnd w:id="1"/>
      <w:r w:rsidR="007634FA" w:rsidRPr="003B4B10">
        <w:rPr>
          <w:rFonts w:ascii="Arial" w:hAnsi="Arial" w:cs="Arial"/>
          <w:sz w:val="22"/>
          <w:szCs w:val="22"/>
        </w:rPr>
        <w:t>24</w:t>
      </w:r>
    </w:p>
    <w:p w14:paraId="214B2978" w14:textId="77777777" w:rsidR="005E4F01" w:rsidRPr="00CC0810" w:rsidRDefault="005E4F01" w:rsidP="00D56170">
      <w:pPr>
        <w:rPr>
          <w:sz w:val="22"/>
          <w:szCs w:val="22"/>
        </w:rPr>
      </w:pPr>
    </w:p>
    <w:sectPr w:rsidR="005E4F01" w:rsidRPr="00CC0810"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74720" w14:textId="77777777" w:rsidR="00430B46" w:rsidRDefault="00430B46" w:rsidP="008F77F6">
      <w:r>
        <w:separator/>
      </w:r>
    </w:p>
  </w:endnote>
  <w:endnote w:type="continuationSeparator" w:id="0">
    <w:p w14:paraId="7B5A21F7" w14:textId="77777777" w:rsidR="00430B46" w:rsidRDefault="00430B4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D1593" w14:textId="77777777" w:rsidR="000E3EE3" w:rsidRDefault="000E3EE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499DF0D3" w:rsidR="008B3A53" w:rsidRPr="00CC370F" w:rsidRDefault="00430B46"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0E3EE3">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0E3EE3">
          <w:rPr>
            <w:rFonts w:ascii="Arial" w:hAnsi="Arial" w:cs="Arial"/>
            <w:noProof/>
            <w:sz w:val="18"/>
            <w:szCs w:val="18"/>
          </w:rPr>
          <w:t>7</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2F3B24D5" w:rsidR="00D56170" w:rsidRPr="00CC370F" w:rsidRDefault="00430B46"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0E3EE3">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0E3EE3">
          <w:rPr>
            <w:rFonts w:ascii="Arial" w:hAnsi="Arial" w:cs="Arial"/>
            <w:noProof/>
            <w:sz w:val="18"/>
            <w:szCs w:val="18"/>
          </w:rPr>
          <w:t>7</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81465" w14:textId="77777777" w:rsidR="00430B46" w:rsidRDefault="00430B46" w:rsidP="008F77F6">
      <w:r>
        <w:separator/>
      </w:r>
    </w:p>
  </w:footnote>
  <w:footnote w:type="continuationSeparator" w:id="0">
    <w:p w14:paraId="49E4AC0A" w14:textId="77777777" w:rsidR="00430B46" w:rsidRDefault="00430B46" w:rsidP="008F77F6">
      <w:r>
        <w:continuationSeparator/>
      </w:r>
    </w:p>
  </w:footnote>
  <w:footnote w:id="1">
    <w:p w14:paraId="46015D2F" w14:textId="77777777" w:rsidR="00986B9D" w:rsidRDefault="00986B9D" w:rsidP="00986B9D">
      <w:pPr>
        <w:pStyle w:val="Textpoznpodarou"/>
      </w:pPr>
      <w:r>
        <w:rPr>
          <w:rStyle w:val="Znakapoznpodarou"/>
        </w:rPr>
        <w:footnoteRef/>
      </w:r>
      <w:r>
        <w:t xml:space="preserve"> </w:t>
      </w:r>
      <w:r w:rsidRPr="00B60124">
        <w:t>Míra inflace je pouze orientační a vychází z predikce ČNB pro rok 2025.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F6477" w14:textId="77777777" w:rsidR="000E3EE3" w:rsidRDefault="000E3EE3">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5A2301C0" w:rsidR="00292257" w:rsidRPr="003C2A8E" w:rsidRDefault="00343A36" w:rsidP="00DE0660">
          <w:pPr>
            <w:pStyle w:val="Zhlav"/>
            <w:jc w:val="center"/>
            <w:rPr>
              <w:rFonts w:ascii="Arial" w:hAnsi="Arial" w:cs="Arial"/>
              <w:b/>
              <w:color w:val="0070C0"/>
              <w:sz w:val="28"/>
              <w:szCs w:val="28"/>
            </w:rPr>
          </w:pPr>
          <w:r>
            <w:rPr>
              <w:rFonts w:ascii="Arial" w:hAnsi="Arial" w:cs="Arial"/>
              <w:b/>
              <w:color w:val="0070C0"/>
              <w:sz w:val="28"/>
              <w:szCs w:val="28"/>
            </w:rPr>
            <w:t>401</w:t>
          </w:r>
          <w:r w:rsidR="00D56170">
            <w:rPr>
              <w:rFonts w:ascii="Arial" w:hAnsi="Arial" w:cs="Arial"/>
              <w:b/>
              <w:color w:val="0070C0"/>
              <w:sz w:val="28"/>
              <w:szCs w:val="28"/>
            </w:rPr>
            <w:t>/</w:t>
          </w:r>
          <w:r w:rsidR="00292257" w:rsidRPr="007B6586">
            <w:rPr>
              <w:rFonts w:ascii="Arial" w:hAnsi="Arial" w:cs="Arial"/>
              <w:b/>
              <w:color w:val="0070C0"/>
              <w:sz w:val="28"/>
              <w:szCs w:val="28"/>
            </w:rPr>
            <w:t>A</w:t>
          </w:r>
          <w:r w:rsidR="000E3EE3">
            <w:rPr>
              <w:rFonts w:ascii="Arial" w:hAnsi="Arial" w:cs="Arial"/>
              <w:b/>
              <w:color w:val="0070C0"/>
              <w:sz w:val="28"/>
              <w:szCs w:val="28"/>
            </w:rPr>
            <w:t>5</w:t>
          </w:r>
          <w:bookmarkStart w:id="2" w:name="_GoBack"/>
          <w:bookmarkEnd w:id="2"/>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3"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5"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0"/>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0"/>
  </w:num>
  <w:num w:numId="5">
    <w:abstractNumId w:val="3"/>
  </w:num>
  <w:num w:numId="6">
    <w:abstractNumId w:val="1"/>
  </w:num>
  <w:num w:numId="7">
    <w:abstractNumId w:val="8"/>
  </w:num>
  <w:num w:numId="8">
    <w:abstractNumId w:val="12"/>
  </w:num>
  <w:num w:numId="9">
    <w:abstractNumId w:val="5"/>
  </w:num>
  <w:num w:numId="10">
    <w:abstractNumId w:val="9"/>
  </w:num>
  <w:num w:numId="11">
    <w:abstractNumId w:val="11"/>
  </w:num>
  <w:num w:numId="12">
    <w:abstractNumId w:val="2"/>
  </w:num>
  <w:num w:numId="13">
    <w:abstractNumId w:val="4"/>
  </w:num>
  <w:num w:numId="1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6FF5"/>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D7EFD"/>
    <w:rsid w:val="000E2ABD"/>
    <w:rsid w:val="000E2DE2"/>
    <w:rsid w:val="000E3EE3"/>
    <w:rsid w:val="000E775B"/>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4D03"/>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E6F"/>
    <w:rsid w:val="001A385B"/>
    <w:rsid w:val="001B2AB5"/>
    <w:rsid w:val="001B2C32"/>
    <w:rsid w:val="001B4AE4"/>
    <w:rsid w:val="001B7F9C"/>
    <w:rsid w:val="001C0C52"/>
    <w:rsid w:val="001C1451"/>
    <w:rsid w:val="001C1730"/>
    <w:rsid w:val="001C3A6D"/>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16B"/>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4E5B"/>
    <w:rsid w:val="00265A36"/>
    <w:rsid w:val="00265C93"/>
    <w:rsid w:val="00267BED"/>
    <w:rsid w:val="00272598"/>
    <w:rsid w:val="002735E0"/>
    <w:rsid w:val="00277193"/>
    <w:rsid w:val="002807F8"/>
    <w:rsid w:val="002845E9"/>
    <w:rsid w:val="0029015F"/>
    <w:rsid w:val="00292257"/>
    <w:rsid w:val="00292D9F"/>
    <w:rsid w:val="002936AE"/>
    <w:rsid w:val="00294522"/>
    <w:rsid w:val="0029560D"/>
    <w:rsid w:val="00295695"/>
    <w:rsid w:val="0029614C"/>
    <w:rsid w:val="002965D0"/>
    <w:rsid w:val="00296A9F"/>
    <w:rsid w:val="002A315B"/>
    <w:rsid w:val="002A3AEC"/>
    <w:rsid w:val="002A40D7"/>
    <w:rsid w:val="002B4879"/>
    <w:rsid w:val="002B7654"/>
    <w:rsid w:val="002C019A"/>
    <w:rsid w:val="002C05DA"/>
    <w:rsid w:val="002C19CB"/>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3DF9"/>
    <w:rsid w:val="002E70A0"/>
    <w:rsid w:val="002F2081"/>
    <w:rsid w:val="002F3BC4"/>
    <w:rsid w:val="002F530A"/>
    <w:rsid w:val="002F5D47"/>
    <w:rsid w:val="002F6A80"/>
    <w:rsid w:val="002F6F8A"/>
    <w:rsid w:val="002F70B2"/>
    <w:rsid w:val="00301405"/>
    <w:rsid w:val="00304B9F"/>
    <w:rsid w:val="00311735"/>
    <w:rsid w:val="003121C0"/>
    <w:rsid w:val="00312655"/>
    <w:rsid w:val="00315D81"/>
    <w:rsid w:val="00316FC8"/>
    <w:rsid w:val="003179DD"/>
    <w:rsid w:val="00322103"/>
    <w:rsid w:val="0032360A"/>
    <w:rsid w:val="00323BCF"/>
    <w:rsid w:val="00327391"/>
    <w:rsid w:val="003277E9"/>
    <w:rsid w:val="00327F1A"/>
    <w:rsid w:val="00330034"/>
    <w:rsid w:val="00330CA0"/>
    <w:rsid w:val="00330D60"/>
    <w:rsid w:val="00333174"/>
    <w:rsid w:val="00337A87"/>
    <w:rsid w:val="00341398"/>
    <w:rsid w:val="00341788"/>
    <w:rsid w:val="00343A36"/>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61FB"/>
    <w:rsid w:val="00387B05"/>
    <w:rsid w:val="0039336F"/>
    <w:rsid w:val="00394153"/>
    <w:rsid w:val="00394907"/>
    <w:rsid w:val="00394A60"/>
    <w:rsid w:val="00394B19"/>
    <w:rsid w:val="0039784B"/>
    <w:rsid w:val="00397E39"/>
    <w:rsid w:val="003A2D00"/>
    <w:rsid w:val="003A3070"/>
    <w:rsid w:val="003A3519"/>
    <w:rsid w:val="003B2937"/>
    <w:rsid w:val="003B4B10"/>
    <w:rsid w:val="003B6AB8"/>
    <w:rsid w:val="003B6FA5"/>
    <w:rsid w:val="003C2A8E"/>
    <w:rsid w:val="003C6A3A"/>
    <w:rsid w:val="003D331F"/>
    <w:rsid w:val="003D4AC4"/>
    <w:rsid w:val="003D789A"/>
    <w:rsid w:val="003E23D7"/>
    <w:rsid w:val="003E29D1"/>
    <w:rsid w:val="003E3468"/>
    <w:rsid w:val="003E4654"/>
    <w:rsid w:val="003E5E28"/>
    <w:rsid w:val="003E64BF"/>
    <w:rsid w:val="003E7490"/>
    <w:rsid w:val="003F1ED0"/>
    <w:rsid w:val="003F1FC8"/>
    <w:rsid w:val="003F52B1"/>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3A12"/>
    <w:rsid w:val="0042600A"/>
    <w:rsid w:val="00427151"/>
    <w:rsid w:val="00430B46"/>
    <w:rsid w:val="004348D9"/>
    <w:rsid w:val="00441023"/>
    <w:rsid w:val="00441B95"/>
    <w:rsid w:val="0044233D"/>
    <w:rsid w:val="00450C4F"/>
    <w:rsid w:val="00451C82"/>
    <w:rsid w:val="004556AE"/>
    <w:rsid w:val="004571D0"/>
    <w:rsid w:val="00462DFB"/>
    <w:rsid w:val="004636DD"/>
    <w:rsid w:val="00465972"/>
    <w:rsid w:val="0046659E"/>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2D41"/>
    <w:rsid w:val="004938DB"/>
    <w:rsid w:val="004A0728"/>
    <w:rsid w:val="004A1DA6"/>
    <w:rsid w:val="004A2EA2"/>
    <w:rsid w:val="004A31B5"/>
    <w:rsid w:val="004A4BBD"/>
    <w:rsid w:val="004B01E2"/>
    <w:rsid w:val="004B2C2B"/>
    <w:rsid w:val="004B333D"/>
    <w:rsid w:val="004B398E"/>
    <w:rsid w:val="004B446B"/>
    <w:rsid w:val="004C3729"/>
    <w:rsid w:val="004C4485"/>
    <w:rsid w:val="004D4FB8"/>
    <w:rsid w:val="004D5EDD"/>
    <w:rsid w:val="004D6655"/>
    <w:rsid w:val="004E0690"/>
    <w:rsid w:val="004F3897"/>
    <w:rsid w:val="004F4C1C"/>
    <w:rsid w:val="004F556C"/>
    <w:rsid w:val="004F5E61"/>
    <w:rsid w:val="004F70A7"/>
    <w:rsid w:val="004F7B50"/>
    <w:rsid w:val="005007BB"/>
    <w:rsid w:val="0050093F"/>
    <w:rsid w:val="00502882"/>
    <w:rsid w:val="00506DBD"/>
    <w:rsid w:val="00510445"/>
    <w:rsid w:val="00510F08"/>
    <w:rsid w:val="0051163E"/>
    <w:rsid w:val="005132DA"/>
    <w:rsid w:val="00513865"/>
    <w:rsid w:val="0051425F"/>
    <w:rsid w:val="00515CDD"/>
    <w:rsid w:val="00520728"/>
    <w:rsid w:val="00520AC1"/>
    <w:rsid w:val="00520F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584F"/>
    <w:rsid w:val="005862F8"/>
    <w:rsid w:val="0058713F"/>
    <w:rsid w:val="005902B3"/>
    <w:rsid w:val="00595DC1"/>
    <w:rsid w:val="005963DB"/>
    <w:rsid w:val="00597898"/>
    <w:rsid w:val="005A7F32"/>
    <w:rsid w:val="005B3E64"/>
    <w:rsid w:val="005B4135"/>
    <w:rsid w:val="005B644A"/>
    <w:rsid w:val="005B6556"/>
    <w:rsid w:val="005C1664"/>
    <w:rsid w:val="005C3E1F"/>
    <w:rsid w:val="005C5DB1"/>
    <w:rsid w:val="005D0A23"/>
    <w:rsid w:val="005D238A"/>
    <w:rsid w:val="005D39CC"/>
    <w:rsid w:val="005D4B41"/>
    <w:rsid w:val="005D4D5A"/>
    <w:rsid w:val="005D5C82"/>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D10A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01A5"/>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B6586"/>
    <w:rsid w:val="007C0810"/>
    <w:rsid w:val="007C09AC"/>
    <w:rsid w:val="007C1F8C"/>
    <w:rsid w:val="007C51CB"/>
    <w:rsid w:val="007C562F"/>
    <w:rsid w:val="007C6205"/>
    <w:rsid w:val="007C6750"/>
    <w:rsid w:val="007D1B7A"/>
    <w:rsid w:val="007D1FA5"/>
    <w:rsid w:val="007D3045"/>
    <w:rsid w:val="007D6473"/>
    <w:rsid w:val="007D7669"/>
    <w:rsid w:val="007D7DAE"/>
    <w:rsid w:val="007E0AD0"/>
    <w:rsid w:val="007E0E3E"/>
    <w:rsid w:val="007E1F32"/>
    <w:rsid w:val="007E44B6"/>
    <w:rsid w:val="007E4690"/>
    <w:rsid w:val="007E55F2"/>
    <w:rsid w:val="007E5E41"/>
    <w:rsid w:val="007E66C5"/>
    <w:rsid w:val="007E7867"/>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531B"/>
    <w:rsid w:val="008374EA"/>
    <w:rsid w:val="008416B2"/>
    <w:rsid w:val="00847D0C"/>
    <w:rsid w:val="00850700"/>
    <w:rsid w:val="00850745"/>
    <w:rsid w:val="008512A8"/>
    <w:rsid w:val="0085232E"/>
    <w:rsid w:val="00852594"/>
    <w:rsid w:val="00852719"/>
    <w:rsid w:val="0085388D"/>
    <w:rsid w:val="00854494"/>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4A5"/>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7ED0"/>
    <w:rsid w:val="00920952"/>
    <w:rsid w:val="00920D4A"/>
    <w:rsid w:val="0092187D"/>
    <w:rsid w:val="00923F26"/>
    <w:rsid w:val="00926863"/>
    <w:rsid w:val="0093089A"/>
    <w:rsid w:val="009328D9"/>
    <w:rsid w:val="00934BD4"/>
    <w:rsid w:val="00941EA3"/>
    <w:rsid w:val="00942429"/>
    <w:rsid w:val="0094295B"/>
    <w:rsid w:val="0094416A"/>
    <w:rsid w:val="00951C38"/>
    <w:rsid w:val="00952624"/>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6B9D"/>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5C10"/>
    <w:rsid w:val="009C6650"/>
    <w:rsid w:val="009D15D9"/>
    <w:rsid w:val="009D1BE0"/>
    <w:rsid w:val="009D1DC8"/>
    <w:rsid w:val="009D3FC8"/>
    <w:rsid w:val="009D414A"/>
    <w:rsid w:val="009D4C0A"/>
    <w:rsid w:val="009D66AA"/>
    <w:rsid w:val="009D7BC6"/>
    <w:rsid w:val="009E6E0B"/>
    <w:rsid w:val="009E777A"/>
    <w:rsid w:val="009E787E"/>
    <w:rsid w:val="009F5211"/>
    <w:rsid w:val="009F6828"/>
    <w:rsid w:val="00A00F56"/>
    <w:rsid w:val="00A04286"/>
    <w:rsid w:val="00A053C4"/>
    <w:rsid w:val="00A07E2A"/>
    <w:rsid w:val="00A07E44"/>
    <w:rsid w:val="00A12489"/>
    <w:rsid w:val="00A13DD5"/>
    <w:rsid w:val="00A14D35"/>
    <w:rsid w:val="00A16460"/>
    <w:rsid w:val="00A16E9E"/>
    <w:rsid w:val="00A22273"/>
    <w:rsid w:val="00A244F6"/>
    <w:rsid w:val="00A30498"/>
    <w:rsid w:val="00A3090E"/>
    <w:rsid w:val="00A31635"/>
    <w:rsid w:val="00A35C53"/>
    <w:rsid w:val="00A400DD"/>
    <w:rsid w:val="00A40E47"/>
    <w:rsid w:val="00A454B4"/>
    <w:rsid w:val="00A46558"/>
    <w:rsid w:val="00A47B0E"/>
    <w:rsid w:val="00A509CE"/>
    <w:rsid w:val="00A52DCD"/>
    <w:rsid w:val="00A53EFE"/>
    <w:rsid w:val="00A62454"/>
    <w:rsid w:val="00A6280A"/>
    <w:rsid w:val="00A62839"/>
    <w:rsid w:val="00A63C68"/>
    <w:rsid w:val="00A66127"/>
    <w:rsid w:val="00A674A7"/>
    <w:rsid w:val="00A707D6"/>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97358"/>
    <w:rsid w:val="00AA092A"/>
    <w:rsid w:val="00AA1306"/>
    <w:rsid w:val="00AA27E3"/>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5972"/>
    <w:rsid w:val="00AD608D"/>
    <w:rsid w:val="00AE28CA"/>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35E9"/>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543"/>
    <w:rsid w:val="00B8682E"/>
    <w:rsid w:val="00B8788B"/>
    <w:rsid w:val="00B91917"/>
    <w:rsid w:val="00B92BC6"/>
    <w:rsid w:val="00B93517"/>
    <w:rsid w:val="00B93C97"/>
    <w:rsid w:val="00B94122"/>
    <w:rsid w:val="00B96008"/>
    <w:rsid w:val="00B9623D"/>
    <w:rsid w:val="00BA0B46"/>
    <w:rsid w:val="00BA1D20"/>
    <w:rsid w:val="00BA2396"/>
    <w:rsid w:val="00BA3359"/>
    <w:rsid w:val="00BA3705"/>
    <w:rsid w:val="00BA43F2"/>
    <w:rsid w:val="00BA441F"/>
    <w:rsid w:val="00BA65B3"/>
    <w:rsid w:val="00BA7304"/>
    <w:rsid w:val="00BB2D38"/>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2E25"/>
    <w:rsid w:val="00C54500"/>
    <w:rsid w:val="00C56F9A"/>
    <w:rsid w:val="00C61FF9"/>
    <w:rsid w:val="00C626BA"/>
    <w:rsid w:val="00C62FF2"/>
    <w:rsid w:val="00C632D7"/>
    <w:rsid w:val="00C646E3"/>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615D1"/>
    <w:rsid w:val="00D62011"/>
    <w:rsid w:val="00D632DE"/>
    <w:rsid w:val="00D64B3A"/>
    <w:rsid w:val="00D65334"/>
    <w:rsid w:val="00D711E5"/>
    <w:rsid w:val="00D723D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449B"/>
    <w:rsid w:val="00DE55E7"/>
    <w:rsid w:val="00DE61CE"/>
    <w:rsid w:val="00DF2D10"/>
    <w:rsid w:val="00DF4E40"/>
    <w:rsid w:val="00DF7708"/>
    <w:rsid w:val="00DF7F81"/>
    <w:rsid w:val="00E02D21"/>
    <w:rsid w:val="00E033E0"/>
    <w:rsid w:val="00E04019"/>
    <w:rsid w:val="00E046B1"/>
    <w:rsid w:val="00E047DF"/>
    <w:rsid w:val="00E04F9B"/>
    <w:rsid w:val="00E062EB"/>
    <w:rsid w:val="00E12B15"/>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86C"/>
    <w:rsid w:val="00ED2AAD"/>
    <w:rsid w:val="00ED4F7E"/>
    <w:rsid w:val="00ED6B77"/>
    <w:rsid w:val="00EE1B5C"/>
    <w:rsid w:val="00EF0396"/>
    <w:rsid w:val="00EF378F"/>
    <w:rsid w:val="00EF432F"/>
    <w:rsid w:val="00F0128E"/>
    <w:rsid w:val="00F021B4"/>
    <w:rsid w:val="00F02379"/>
    <w:rsid w:val="00F0322E"/>
    <w:rsid w:val="00F04601"/>
    <w:rsid w:val="00F05AAC"/>
    <w:rsid w:val="00F1028B"/>
    <w:rsid w:val="00F10DE4"/>
    <w:rsid w:val="00F133AD"/>
    <w:rsid w:val="00F15401"/>
    <w:rsid w:val="00F20310"/>
    <w:rsid w:val="00F21CA9"/>
    <w:rsid w:val="00F22B09"/>
    <w:rsid w:val="00F23E2A"/>
    <w:rsid w:val="00F246CC"/>
    <w:rsid w:val="00F26965"/>
    <w:rsid w:val="00F306C5"/>
    <w:rsid w:val="00F310C7"/>
    <w:rsid w:val="00F312A4"/>
    <w:rsid w:val="00F34B69"/>
    <w:rsid w:val="00F34FCE"/>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8724C"/>
    <w:rsid w:val="00F90345"/>
    <w:rsid w:val="00F91D06"/>
    <w:rsid w:val="00F93CBF"/>
    <w:rsid w:val="00F9473D"/>
    <w:rsid w:val="00F94E45"/>
    <w:rsid w:val="00F956AA"/>
    <w:rsid w:val="00F95FED"/>
    <w:rsid w:val="00F9777C"/>
    <w:rsid w:val="00FA0345"/>
    <w:rsid w:val="00FA15D5"/>
    <w:rsid w:val="00FA18D2"/>
    <w:rsid w:val="00FA2778"/>
    <w:rsid w:val="00FA2E86"/>
    <w:rsid w:val="00FA5C62"/>
    <w:rsid w:val="00FA691E"/>
    <w:rsid w:val="00FB058D"/>
    <w:rsid w:val="00FB1855"/>
    <w:rsid w:val="00FB3DD3"/>
    <w:rsid w:val="00FB4178"/>
    <w:rsid w:val="00FB6313"/>
    <w:rsid w:val="00FB64CF"/>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26E3-8956-4136-AD9F-91E844CD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2813</Words>
  <Characters>16600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3</cp:revision>
  <cp:lastPrinted>2021-02-03T12:53:00Z</cp:lastPrinted>
  <dcterms:created xsi:type="dcterms:W3CDTF">2024-05-17T09:51:00Z</dcterms:created>
  <dcterms:modified xsi:type="dcterms:W3CDTF">2024-05-21T12:44:00Z</dcterms:modified>
</cp:coreProperties>
</file>