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E27D" w14:textId="77777777" w:rsidR="00DD79C7" w:rsidRPr="00DD79C7" w:rsidRDefault="00DD79C7" w:rsidP="00DD79C7">
      <w:pPr>
        <w:pStyle w:val="Bezmezer"/>
        <w:jc w:val="right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bookmarkStart w:id="0" w:name="_Hlk174613815"/>
    </w:p>
    <w:p w14:paraId="4274D7A3" w14:textId="2CFE5582"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4B0B4E">
        <w:rPr>
          <w:rFonts w:ascii="Arial" w:hAnsi="Arial" w:cs="Arial"/>
          <w:bCs/>
          <w:noProof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14:paraId="1781649B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bookmarkEnd w:id="0"/>
    <w:p w14:paraId="5D51065B" w14:textId="5F3C1742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Ministerstvo průmyslu a obchodu předkládá „Hospodářskou strategii České republiky“ (</w:t>
      </w:r>
      <w:r>
        <w:rPr>
          <w:rFonts w:ascii="Arial" w:hAnsi="Arial" w:cs="Arial"/>
          <w:bCs/>
          <w:sz w:val="22"/>
          <w:szCs w:val="22"/>
        </w:rPr>
        <w:t>dá</w:t>
      </w:r>
      <w:r w:rsidRPr="004B0B4E">
        <w:rPr>
          <w:rFonts w:ascii="Arial" w:hAnsi="Arial" w:cs="Arial"/>
          <w:bCs/>
          <w:sz w:val="22"/>
          <w:szCs w:val="22"/>
        </w:rPr>
        <w:t>le jen „HS ČR“) na základě usnesení vlády České republiky č. 54/2020 k projednání vládě ČR. HS ČR má sloužit jako základní pilíř pro formování hospodářské politiky státu na dalších 10 až 15 let. Cílem tvorby dokumentu je ukončit absenci ucelené hospodářské strategie</w:t>
      </w:r>
      <w:r>
        <w:rPr>
          <w:rFonts w:ascii="Arial" w:hAnsi="Arial" w:cs="Arial"/>
          <w:bCs/>
          <w:sz w:val="22"/>
          <w:szCs w:val="22"/>
        </w:rPr>
        <w:t>.</w:t>
      </w:r>
      <w:r w:rsidRPr="004B0B4E">
        <w:rPr>
          <w:rFonts w:ascii="Arial" w:hAnsi="Arial" w:cs="Arial"/>
          <w:bCs/>
          <w:sz w:val="22"/>
          <w:szCs w:val="22"/>
        </w:rPr>
        <w:t xml:space="preserve"> HS ČR obsahuje základní směry politiky státu v oblasti hospodářství a stane se svorníkem mezi dílčími navazujícími ekonomickými strategiemi a politikami České republiky.</w:t>
      </w:r>
    </w:p>
    <w:p w14:paraId="086DC9C6" w14:textId="77777777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Předkládaný materiál je výsledkem spolupráce hospodářských resortů. Dokument byl průběžně konzultován s a dalšími zainteresovanými subjekty z řad svazů, oborů a asociací.</w:t>
      </w:r>
    </w:p>
    <w:p w14:paraId="76E255F1" w14:textId="06E841ED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 xml:space="preserve">HS ČR </w:t>
      </w:r>
      <w:r>
        <w:rPr>
          <w:rFonts w:ascii="Arial" w:hAnsi="Arial" w:cs="Arial"/>
          <w:bCs/>
          <w:sz w:val="22"/>
          <w:szCs w:val="22"/>
        </w:rPr>
        <w:t xml:space="preserve">částečně navazuje a v modifikované podobě integruje nedokončená opatření </w:t>
      </w:r>
      <w:r w:rsidRPr="004B0B4E">
        <w:rPr>
          <w:rFonts w:ascii="Arial" w:hAnsi="Arial" w:cs="Arial"/>
          <w:bCs/>
          <w:sz w:val="22"/>
          <w:szCs w:val="22"/>
        </w:rPr>
        <w:t>„Inovační strategi</w:t>
      </w:r>
      <w:r>
        <w:rPr>
          <w:rFonts w:ascii="Arial" w:hAnsi="Arial" w:cs="Arial"/>
          <w:bCs/>
          <w:sz w:val="22"/>
          <w:szCs w:val="22"/>
        </w:rPr>
        <w:t>e</w:t>
      </w:r>
      <w:r w:rsidRPr="004B0B4E">
        <w:rPr>
          <w:rFonts w:ascii="Arial" w:hAnsi="Arial" w:cs="Arial"/>
          <w:bCs/>
          <w:sz w:val="22"/>
          <w:szCs w:val="22"/>
        </w:rPr>
        <w:t xml:space="preserve"> České republiky 2019-2030“, která byla schválena usnesením vlády ČR ze dne 4.</w:t>
      </w:r>
      <w:r>
        <w:rPr>
          <w:rFonts w:ascii="Arial" w:hAnsi="Arial" w:cs="Arial"/>
          <w:bCs/>
          <w:sz w:val="22"/>
          <w:szCs w:val="22"/>
        </w:rPr>
        <w:t> </w:t>
      </w:r>
      <w:r w:rsidRPr="004B0B4E">
        <w:rPr>
          <w:rFonts w:ascii="Arial" w:hAnsi="Arial" w:cs="Arial"/>
          <w:bCs/>
          <w:sz w:val="22"/>
          <w:szCs w:val="22"/>
        </w:rPr>
        <w:t xml:space="preserve">února 2019 č. 104. Tento strategický rámcový plán předurčoval vládní politiku v oblasti výzkumu, vývoje a inovací, a měl pomoci České republice se během dvanácti let posunout mezi nejinovativnější země Evropy. Po propuknutí epidemie koronaviru však byly koordinační aktivity utlumeny a hlavní úsilí směřovalo k operativnímu vyrovnávání se s pandemickou situací a strategickým krokům pro obnovu ekonomiky po pandemii prostřednictvím Národního plánu obnovy. </w:t>
      </w:r>
    </w:p>
    <w:p w14:paraId="6407F469" w14:textId="7446257A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Přestože aktivity v oblasti Inovační strategie ČR byly v zásadě realizovány</w:t>
      </w:r>
      <w:r>
        <w:rPr>
          <w:rFonts w:ascii="Arial" w:hAnsi="Arial" w:cs="Arial"/>
          <w:bCs/>
          <w:sz w:val="22"/>
          <w:szCs w:val="22"/>
        </w:rPr>
        <w:t xml:space="preserve"> a do velké míry naplněny</w:t>
      </w:r>
      <w:r w:rsidRPr="004B0B4E">
        <w:rPr>
          <w:rFonts w:ascii="Arial" w:hAnsi="Arial" w:cs="Arial"/>
          <w:bCs/>
          <w:sz w:val="22"/>
          <w:szCs w:val="22"/>
        </w:rPr>
        <w:t>, zůstává inovační výkonnost české ekonomiky omezená. Nejčastěji používané indikátory</w:t>
      </w:r>
      <w:r>
        <w:rPr>
          <w:rFonts w:ascii="Arial" w:hAnsi="Arial" w:cs="Arial"/>
          <w:bCs/>
          <w:sz w:val="22"/>
          <w:szCs w:val="22"/>
        </w:rPr>
        <w:t xml:space="preserve"> inovační výkonnosti</w:t>
      </w:r>
      <w:r w:rsidRPr="004B0B4E">
        <w:rPr>
          <w:rFonts w:ascii="Arial" w:hAnsi="Arial" w:cs="Arial"/>
          <w:bCs/>
          <w:sz w:val="22"/>
          <w:szCs w:val="22"/>
        </w:rPr>
        <w:t xml:space="preserve"> ukazují, že Česká republika patří k zemím, které nejsou premianty, má však potenciál stát se jedním z inovačních lídrů. Podpora a rozvoj inovací je jednou z hlavních investic do prosperity a konkurenceschopnosti České republiky, a navíc výrazně ovlivňuje kvalitu života obyvatel. Výzkumné a inovační aktivity jsou </w:t>
      </w:r>
      <w:r>
        <w:rPr>
          <w:rFonts w:ascii="Arial" w:hAnsi="Arial" w:cs="Arial"/>
          <w:bCs/>
          <w:sz w:val="22"/>
          <w:szCs w:val="22"/>
        </w:rPr>
        <w:t xml:space="preserve">jedním z výchozích </w:t>
      </w:r>
      <w:r w:rsidRPr="004B0B4E">
        <w:rPr>
          <w:rFonts w:ascii="Arial" w:hAnsi="Arial" w:cs="Arial"/>
          <w:bCs/>
          <w:sz w:val="22"/>
          <w:szCs w:val="22"/>
        </w:rPr>
        <w:t>předpokl</w:t>
      </w:r>
      <w:r>
        <w:rPr>
          <w:rFonts w:ascii="Arial" w:hAnsi="Arial" w:cs="Arial"/>
          <w:bCs/>
          <w:sz w:val="22"/>
          <w:szCs w:val="22"/>
        </w:rPr>
        <w:t>adů</w:t>
      </w:r>
      <w:r w:rsidRPr="004B0B4E">
        <w:rPr>
          <w:rFonts w:ascii="Arial" w:hAnsi="Arial" w:cs="Arial"/>
          <w:bCs/>
          <w:sz w:val="22"/>
          <w:szCs w:val="22"/>
        </w:rPr>
        <w:t xml:space="preserve"> pro budování ekonomiky s vyšší přidanou hodnotou, pro materiálově i energeticky udržitelné hospodářství, pro cílený technologický pokrok i pro adaptaci společnosti na jeho přínosy i rizika. HS ČR proto přebírá nedokončené aktivity z Inovační strategie a rozšíří je o nové projekty. </w:t>
      </w:r>
    </w:p>
    <w:p w14:paraId="2C3CDA5F" w14:textId="77777777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Česká ekonomika stojí před řadou výzev, mezi které patří klimatické změny, digitalizace, stárnutí populace, nové technologie, rostoucí význam služeb a další. HS ČR na tyto potřeby reaguje a za pomoci synergických a průřezových opatření má ambici zvýšit konkurenceschopnost české ekonomiky generováním vyšší přidané hodnoty a zlepšit kvalitu života občanů. Na základě toho byl stanoven vrcholový cíl v podobě dosáhnutí dlouhodobě udržitelného růstu českého hospodářství založeného na konkurenceschopnosti a vysoké přidané hodnotě.</w:t>
      </w:r>
    </w:p>
    <w:p w14:paraId="35922B48" w14:textId="77777777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 xml:space="preserve">HS ČR klade důraz na dlouhodobou udržitelnost, a to nejen v kontextu udržitelného rovnovážného hospodářského růstu, ale i z hlediska sociální a environmentální odpovědnosti a zdravých veřejných financí.  </w:t>
      </w:r>
    </w:p>
    <w:p w14:paraId="4393288C" w14:textId="7DD5AEE9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HS ČR je rozčleněna do tří hlavních kapitol. Analytická část popisuje vývoj a strukturu ekonomiky České republiky s cílem upozornit na silné a slabé stránky domácí ekonomiky</w:t>
      </w:r>
      <w:r>
        <w:rPr>
          <w:rFonts w:ascii="Arial" w:hAnsi="Arial" w:cs="Arial"/>
          <w:bCs/>
          <w:sz w:val="22"/>
          <w:szCs w:val="22"/>
        </w:rPr>
        <w:t>.</w:t>
      </w:r>
      <w:r w:rsidRPr="004B0B4E">
        <w:rPr>
          <w:rFonts w:ascii="Arial" w:hAnsi="Arial" w:cs="Arial"/>
          <w:bCs/>
          <w:sz w:val="22"/>
          <w:szCs w:val="22"/>
        </w:rPr>
        <w:t xml:space="preserve"> Tato část se věnuje obecně i trhu práce a jeho struktuře, která je z hlediska budoucího ekonomického růstu zásadní. Část kapitoly se věnuje také trhu práce a jeho struktuře, která je </w:t>
      </w:r>
      <w:r w:rsidRPr="004B0B4E">
        <w:rPr>
          <w:rFonts w:ascii="Arial" w:hAnsi="Arial" w:cs="Arial"/>
          <w:bCs/>
          <w:sz w:val="22"/>
          <w:szCs w:val="22"/>
        </w:rPr>
        <w:lastRenderedPageBreak/>
        <w:t>z hlediska budoucího ekonomického růstu zásadní. V kapitole je analyzována mj. i regionální konvergence a socioekonomický pohled. Analytickou část doprovází grafický přehled, který vystihuje zásadní jevy české ekonomiky a poskytuje mezinárodní srovnání.</w:t>
      </w:r>
    </w:p>
    <w:p w14:paraId="7F874FF5" w14:textId="7B912721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Druhá kapitola</w:t>
      </w:r>
      <w:r>
        <w:rPr>
          <w:rFonts w:ascii="Arial" w:hAnsi="Arial" w:cs="Arial"/>
          <w:bCs/>
          <w:sz w:val="22"/>
          <w:szCs w:val="22"/>
        </w:rPr>
        <w:t xml:space="preserve"> stanovuje hlavní strategický cíl a </w:t>
      </w:r>
      <w:r w:rsidRPr="004B0B4E">
        <w:rPr>
          <w:rFonts w:ascii="Arial" w:hAnsi="Arial" w:cs="Arial"/>
          <w:bCs/>
          <w:sz w:val="22"/>
          <w:szCs w:val="22"/>
        </w:rPr>
        <w:t>vymezuje klíčové oblasti</w:t>
      </w:r>
      <w:r>
        <w:rPr>
          <w:rFonts w:ascii="Arial" w:hAnsi="Arial" w:cs="Arial"/>
          <w:bCs/>
          <w:sz w:val="22"/>
          <w:szCs w:val="22"/>
        </w:rPr>
        <w:t>, ve kterých formuluje hlavní opatření pro naplnění cíle strategie</w:t>
      </w:r>
      <w:r w:rsidRPr="004B0B4E">
        <w:rPr>
          <w:rFonts w:ascii="Arial" w:hAnsi="Arial" w:cs="Arial"/>
          <w:bCs/>
          <w:sz w:val="22"/>
          <w:szCs w:val="22"/>
        </w:rPr>
        <w:t xml:space="preserve">. Oblasti jsou rozděleny </w:t>
      </w:r>
      <w:r>
        <w:rPr>
          <w:rFonts w:ascii="Arial" w:hAnsi="Arial" w:cs="Arial"/>
          <w:bCs/>
          <w:sz w:val="22"/>
          <w:szCs w:val="22"/>
        </w:rPr>
        <w:t>čtyř částí</w:t>
      </w:r>
      <w:r w:rsidRPr="004B0B4E">
        <w:rPr>
          <w:rFonts w:ascii="Arial" w:hAnsi="Arial" w:cs="Arial"/>
          <w:bCs/>
          <w:sz w:val="22"/>
          <w:szCs w:val="22"/>
        </w:rPr>
        <w:t xml:space="preserve">. První je lidský kapitál a produktivita, kam patří vzdělávání, trh práce a zdraví; výzkum, vývoj a inovace; digitalizace; fungující a efektivní regulace a podnikatelské prostředí a kvalita veřejných institucí. Druhá část se věnuje strategické infrastruktuře, kam je zařazena energetická, dopravní a digitální infrastruktura a ekonomická a surovinová bezpečnost. </w:t>
      </w:r>
      <w:r>
        <w:rPr>
          <w:rFonts w:ascii="Arial" w:hAnsi="Arial" w:cs="Arial"/>
          <w:bCs/>
          <w:sz w:val="22"/>
          <w:szCs w:val="22"/>
        </w:rPr>
        <w:t xml:space="preserve">Třetí je věnována </w:t>
      </w:r>
      <w:proofErr w:type="spellStart"/>
      <w:r>
        <w:rPr>
          <w:rFonts w:ascii="Arial" w:hAnsi="Arial" w:cs="Arial"/>
          <w:bCs/>
          <w:sz w:val="22"/>
          <w:szCs w:val="22"/>
        </w:rPr>
        <w:t>industralizaci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s přidanou hodnotou, která se zaměřuje </w:t>
      </w:r>
      <w:r w:rsidRPr="004B0B4E">
        <w:rPr>
          <w:rFonts w:ascii="Arial" w:hAnsi="Arial" w:cs="Arial"/>
          <w:bCs/>
          <w:sz w:val="22"/>
          <w:szCs w:val="22"/>
        </w:rPr>
        <w:t>na rozvoj technologicky vyspělých odvětví a podporu inovací ve stávajících průmyslových sektorech s cílem zvýšit přidanou hodnotu a konkurenceschopnost českých produktů</w:t>
      </w:r>
      <w:r>
        <w:rPr>
          <w:rFonts w:ascii="Arial" w:hAnsi="Arial" w:cs="Arial"/>
          <w:bCs/>
          <w:sz w:val="22"/>
          <w:szCs w:val="22"/>
        </w:rPr>
        <w:t xml:space="preserve"> a dává je do souvislosti s hospodářskou politikou Evropské unie. Čtvrtá část se věnuje oblasti financování s důrazy na </w:t>
      </w:r>
      <w:r w:rsidRPr="004B0B4E">
        <w:rPr>
          <w:rFonts w:ascii="Arial" w:hAnsi="Arial" w:cs="Arial"/>
          <w:bCs/>
          <w:sz w:val="22"/>
          <w:szCs w:val="22"/>
        </w:rPr>
        <w:t>zajištění dostupného kapitálu pro strategické investice, využití evropských fondů a národních rozpočtů pro udržitelný rozvoj a stabilizaci veřejných financí.</w:t>
      </w:r>
    </w:p>
    <w:p w14:paraId="051366B0" w14:textId="7BDFE7C3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 xml:space="preserve">Třetí kapitola představuje způsob provádění včetně indikátorů, které budou sledovány a vyhodnocovány pro </w:t>
      </w:r>
      <w:r>
        <w:rPr>
          <w:rFonts w:ascii="Arial" w:hAnsi="Arial" w:cs="Arial"/>
          <w:bCs/>
          <w:sz w:val="22"/>
          <w:szCs w:val="22"/>
        </w:rPr>
        <w:t>vyhodnocení pokroku v plnění strategie</w:t>
      </w:r>
      <w:r w:rsidRPr="004B0B4E">
        <w:rPr>
          <w:rFonts w:ascii="Arial" w:hAnsi="Arial" w:cs="Arial"/>
          <w:bCs/>
          <w:sz w:val="22"/>
          <w:szCs w:val="22"/>
        </w:rPr>
        <w:t xml:space="preserve">. V návaznosti na schválení dokumentu bude připraven a vládě k projednání předložen implementační plán, který určí mechanismus sledování a interakce HS ČR a jednotlivých resortních strategií. Zároveň upřesní způsob implementace některých opatření definovaných touto strategií, pro které neexistuje v současné době příslušný prováděcí mechanismus. U všech národních strategických dokumentů, které mají strukturální dopad na dlouhodobý rozvoj České republiky a její konkurenceschopnost, bude hodnocen soulad s cíli HS ČR. </w:t>
      </w:r>
    </w:p>
    <w:p w14:paraId="54572B01" w14:textId="61420AF7" w:rsidR="004B0B4E" w:rsidRPr="004B0B4E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 xml:space="preserve">Vzhledem k dlouhému horizontu strategie je nezbytné, aby byla flexibilní a schopná reagovat na měnící se podmínky a výzvy, jak na národní, tak na mezinárodní úrovni. </w:t>
      </w:r>
      <w:r>
        <w:rPr>
          <w:rFonts w:ascii="Arial" w:hAnsi="Arial" w:cs="Arial"/>
          <w:bCs/>
          <w:sz w:val="22"/>
          <w:szCs w:val="22"/>
        </w:rPr>
        <w:t xml:space="preserve">Implementační plán </w:t>
      </w:r>
      <w:r w:rsidRPr="004B0B4E">
        <w:rPr>
          <w:rFonts w:ascii="Arial" w:hAnsi="Arial" w:cs="Arial"/>
          <w:bCs/>
          <w:sz w:val="22"/>
          <w:szCs w:val="22"/>
        </w:rPr>
        <w:t xml:space="preserve">HS ČR proto nebude statickým </w:t>
      </w:r>
      <w:r>
        <w:rPr>
          <w:rFonts w:ascii="Arial" w:hAnsi="Arial" w:cs="Arial"/>
          <w:bCs/>
          <w:sz w:val="22"/>
          <w:szCs w:val="22"/>
        </w:rPr>
        <w:t>dokumentem</w:t>
      </w:r>
      <w:r w:rsidRPr="004B0B4E">
        <w:rPr>
          <w:rFonts w:ascii="Arial" w:hAnsi="Arial" w:cs="Arial"/>
          <w:bCs/>
          <w:sz w:val="22"/>
          <w:szCs w:val="22"/>
        </w:rPr>
        <w:t xml:space="preserve">, ale bude pravidelně aktualizován a přizpůsobován aktuálním potřebám a situaci. </w:t>
      </w:r>
    </w:p>
    <w:p w14:paraId="59FD405C" w14:textId="3DAB930D" w:rsidR="00582DE9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Předkládaný materiál je dlouhodobým strategickým výhledem a jako takový implikuje použití různých nástrojů vč. nástrojů rozpočtových. Samotný strategický rámec neurčuje závaznou alokaci prostředků.</w:t>
      </w:r>
    </w:p>
    <w:p w14:paraId="5D2BBFBD" w14:textId="3A8E8B0C" w:rsidR="00CB0575" w:rsidRDefault="00CB0575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CB0575">
        <w:rPr>
          <w:rFonts w:ascii="Arial" w:hAnsi="Arial" w:cs="Arial"/>
          <w:bCs/>
          <w:sz w:val="22"/>
          <w:szCs w:val="22"/>
        </w:rPr>
        <w:t>Jednací řád vlády ukládá posoudit u všech materiálů dopad na rovnost žen a mužů a dopad na rodiny.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0575">
        <w:rPr>
          <w:rFonts w:ascii="Arial" w:hAnsi="Arial" w:cs="Arial"/>
          <w:bCs/>
          <w:sz w:val="22"/>
          <w:szCs w:val="22"/>
        </w:rPr>
        <w:t>Materiál není věnován primárně rovnosti žen a mužů</w:t>
      </w:r>
      <w:r>
        <w:rPr>
          <w:rFonts w:ascii="Arial" w:hAnsi="Arial" w:cs="Arial"/>
          <w:bCs/>
          <w:sz w:val="22"/>
          <w:szCs w:val="22"/>
        </w:rPr>
        <w:t>.</w:t>
      </w:r>
      <w:r w:rsidRPr="00CB0575">
        <w:rPr>
          <w:rFonts w:ascii="Arial" w:hAnsi="Arial" w:cs="Arial"/>
          <w:bCs/>
          <w:sz w:val="22"/>
          <w:szCs w:val="22"/>
        </w:rPr>
        <w:t xml:space="preserve"> Materiál nemá na rovnost žen a mužů přímý dopad, protože jde o strategický rámec, který </w:t>
      </w:r>
      <w:r>
        <w:rPr>
          <w:rFonts w:ascii="Arial" w:hAnsi="Arial" w:cs="Arial"/>
          <w:bCs/>
          <w:sz w:val="22"/>
          <w:szCs w:val="22"/>
        </w:rPr>
        <w:t>bude naplňován implementačním plánem</w:t>
      </w:r>
      <w:r w:rsidRPr="00CB0575">
        <w:rPr>
          <w:rFonts w:ascii="Arial" w:hAnsi="Arial" w:cs="Arial"/>
          <w:bCs/>
          <w:sz w:val="22"/>
          <w:szCs w:val="22"/>
        </w:rPr>
        <w:t xml:space="preserve">, příp. jinými opatřeními. Může mít ale dopad nepřímý. Materiál </w:t>
      </w:r>
      <w:r>
        <w:rPr>
          <w:rFonts w:ascii="Arial" w:hAnsi="Arial" w:cs="Arial"/>
          <w:bCs/>
          <w:sz w:val="22"/>
          <w:szCs w:val="22"/>
        </w:rPr>
        <w:t xml:space="preserve">se věnuje otázce zapojení mladých žen na trh práce, kde ve vytvoření vhodných podmínek vidí příležitost k dalšímu posílení hospodářského růstu. Ostatní oblasti strategie nemají vazbu na problematiku rovnosti žen a mužů. </w:t>
      </w:r>
    </w:p>
    <w:p w14:paraId="34D3DD12" w14:textId="4AEE7DE5" w:rsidR="00CB0575" w:rsidRDefault="00CB0575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Materiál byl projednán Radou pro výzkum vývoj a inovace dne [</w:t>
      </w:r>
      <w:r>
        <w:rPr>
          <w:rFonts w:ascii="Arial" w:hAnsi="Arial" w:cs="Arial"/>
          <w:b/>
          <w:sz w:val="22"/>
          <w:szCs w:val="22"/>
        </w:rPr>
        <w:t>_</w:t>
      </w:r>
      <w:r w:rsidRPr="00CB0575">
        <w:rPr>
          <w:rFonts w:ascii="Arial" w:hAnsi="Arial" w:cs="Arial"/>
          <w:bCs/>
          <w:sz w:val="22"/>
          <w:szCs w:val="22"/>
        </w:rPr>
        <w:t>]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106838CE" w14:textId="06B6E606" w:rsidR="00CB0575" w:rsidRDefault="00CB0575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Materiál byl projednán Předsednictvem Rady hospodářské a sociální dohody dne [</w:t>
      </w:r>
      <w:r>
        <w:rPr>
          <w:rFonts w:ascii="Arial" w:hAnsi="Arial" w:cs="Arial"/>
          <w:b/>
          <w:sz w:val="22"/>
          <w:szCs w:val="22"/>
        </w:rPr>
        <w:t>_</w:t>
      </w:r>
      <w:r w:rsidRPr="00CB0575">
        <w:rPr>
          <w:rFonts w:ascii="Arial" w:hAnsi="Arial" w:cs="Arial"/>
          <w:bCs/>
          <w:sz w:val="22"/>
          <w:szCs w:val="22"/>
        </w:rPr>
        <w:t>]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7A353415" w14:textId="2FBD5F15" w:rsidR="004B0B4E" w:rsidRPr="00582DE9" w:rsidRDefault="004B0B4E" w:rsidP="004B0B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B0B4E">
        <w:rPr>
          <w:rFonts w:ascii="Arial" w:hAnsi="Arial" w:cs="Arial"/>
          <w:bCs/>
          <w:sz w:val="22"/>
          <w:szCs w:val="22"/>
        </w:rPr>
        <w:t>Meziresortní připomínkové řízení k materiálu proběhlo ve dnech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B0575">
        <w:rPr>
          <w:rFonts w:ascii="Arial" w:hAnsi="Arial" w:cs="Arial"/>
          <w:bCs/>
          <w:sz w:val="22"/>
          <w:szCs w:val="22"/>
        </w:rPr>
        <w:t>[</w:t>
      </w:r>
      <w:r w:rsidR="00CB0575">
        <w:rPr>
          <w:rFonts w:ascii="Arial" w:hAnsi="Arial" w:cs="Arial"/>
          <w:b/>
          <w:sz w:val="22"/>
          <w:szCs w:val="22"/>
        </w:rPr>
        <w:t>_</w:t>
      </w:r>
      <w:r w:rsidR="00CB0575" w:rsidRPr="00CB0575">
        <w:rPr>
          <w:rFonts w:ascii="Arial" w:hAnsi="Arial" w:cs="Arial"/>
          <w:bCs/>
          <w:sz w:val="22"/>
          <w:szCs w:val="22"/>
        </w:rPr>
        <w:t>]</w:t>
      </w:r>
      <w:r w:rsidRPr="004B0B4E">
        <w:rPr>
          <w:rFonts w:ascii="Arial" w:hAnsi="Arial" w:cs="Arial"/>
          <w:bCs/>
          <w:sz w:val="22"/>
          <w:szCs w:val="22"/>
        </w:rPr>
        <w:t>.</w:t>
      </w:r>
    </w:p>
    <w:sectPr w:rsidR="004B0B4E" w:rsidRPr="00582DE9" w:rsidSect="00582DE9">
      <w:footerReference w:type="default" r:id="rId6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80DE" w14:textId="77777777" w:rsidR="00F40E18" w:rsidRDefault="00F40E18">
      <w:r>
        <w:separator/>
      </w:r>
    </w:p>
  </w:endnote>
  <w:endnote w:type="continuationSeparator" w:id="0">
    <w:p w14:paraId="665CA439" w14:textId="77777777" w:rsidR="00F40E18" w:rsidRDefault="00F4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AEBB" w14:textId="77777777"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AF026" w14:textId="77777777" w:rsidR="00F40E18" w:rsidRDefault="00F40E18">
      <w:r>
        <w:separator/>
      </w:r>
    </w:p>
  </w:footnote>
  <w:footnote w:type="continuationSeparator" w:id="0">
    <w:p w14:paraId="598598AC" w14:textId="77777777" w:rsidR="00F40E18" w:rsidRDefault="00F40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E18"/>
    <w:rsid w:val="000353F8"/>
    <w:rsid w:val="000368B3"/>
    <w:rsid w:val="00036A33"/>
    <w:rsid w:val="000438F0"/>
    <w:rsid w:val="000A09A4"/>
    <w:rsid w:val="000C6DE7"/>
    <w:rsid w:val="000E0B3C"/>
    <w:rsid w:val="000E170B"/>
    <w:rsid w:val="0017769F"/>
    <w:rsid w:val="00193610"/>
    <w:rsid w:val="001B7406"/>
    <w:rsid w:val="001E0BBF"/>
    <w:rsid w:val="00216D41"/>
    <w:rsid w:val="002331DE"/>
    <w:rsid w:val="00240B7D"/>
    <w:rsid w:val="002440BD"/>
    <w:rsid w:val="002A672E"/>
    <w:rsid w:val="002B6C17"/>
    <w:rsid w:val="002C0431"/>
    <w:rsid w:val="00302C09"/>
    <w:rsid w:val="003130CC"/>
    <w:rsid w:val="00342072"/>
    <w:rsid w:val="00361DDC"/>
    <w:rsid w:val="00371422"/>
    <w:rsid w:val="003A59AF"/>
    <w:rsid w:val="003A6008"/>
    <w:rsid w:val="003F0CA0"/>
    <w:rsid w:val="0040404C"/>
    <w:rsid w:val="00406C16"/>
    <w:rsid w:val="00421876"/>
    <w:rsid w:val="00422CA2"/>
    <w:rsid w:val="004B0B4E"/>
    <w:rsid w:val="00517DCD"/>
    <w:rsid w:val="00524757"/>
    <w:rsid w:val="00543A82"/>
    <w:rsid w:val="005476CA"/>
    <w:rsid w:val="00560822"/>
    <w:rsid w:val="0056661A"/>
    <w:rsid w:val="00574B2B"/>
    <w:rsid w:val="00582DE9"/>
    <w:rsid w:val="005A6304"/>
    <w:rsid w:val="006858E5"/>
    <w:rsid w:val="00696458"/>
    <w:rsid w:val="006A0C51"/>
    <w:rsid w:val="006D0316"/>
    <w:rsid w:val="006E70BC"/>
    <w:rsid w:val="007A0E35"/>
    <w:rsid w:val="007F16DF"/>
    <w:rsid w:val="007F2667"/>
    <w:rsid w:val="00804CE1"/>
    <w:rsid w:val="0085300A"/>
    <w:rsid w:val="0088578D"/>
    <w:rsid w:val="00887ECA"/>
    <w:rsid w:val="008B13A3"/>
    <w:rsid w:val="008B303C"/>
    <w:rsid w:val="008C1953"/>
    <w:rsid w:val="008E5504"/>
    <w:rsid w:val="008F6257"/>
    <w:rsid w:val="00942359"/>
    <w:rsid w:val="00944039"/>
    <w:rsid w:val="00990E91"/>
    <w:rsid w:val="009C78D1"/>
    <w:rsid w:val="009F4360"/>
    <w:rsid w:val="00A0291F"/>
    <w:rsid w:val="00A21197"/>
    <w:rsid w:val="00A8681C"/>
    <w:rsid w:val="00A90BF6"/>
    <w:rsid w:val="00A97659"/>
    <w:rsid w:val="00AB5907"/>
    <w:rsid w:val="00AC4CBB"/>
    <w:rsid w:val="00B30632"/>
    <w:rsid w:val="00B52072"/>
    <w:rsid w:val="00BE6F48"/>
    <w:rsid w:val="00C066CA"/>
    <w:rsid w:val="00C110F9"/>
    <w:rsid w:val="00C35A3D"/>
    <w:rsid w:val="00C83033"/>
    <w:rsid w:val="00C95DCC"/>
    <w:rsid w:val="00C9742C"/>
    <w:rsid w:val="00CB0575"/>
    <w:rsid w:val="00CB4C0B"/>
    <w:rsid w:val="00CE46C7"/>
    <w:rsid w:val="00D8204E"/>
    <w:rsid w:val="00D9250E"/>
    <w:rsid w:val="00DA3CB5"/>
    <w:rsid w:val="00DA45D9"/>
    <w:rsid w:val="00DD79C7"/>
    <w:rsid w:val="00E0734D"/>
    <w:rsid w:val="00E553A4"/>
    <w:rsid w:val="00E757D9"/>
    <w:rsid w:val="00EB11BC"/>
    <w:rsid w:val="00ED4EBD"/>
    <w:rsid w:val="00F05218"/>
    <w:rsid w:val="00F40E18"/>
    <w:rsid w:val="00FD45EB"/>
    <w:rsid w:val="00FE27E8"/>
    <w:rsid w:val="00FF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27A197B2"/>
  <w15:chartTrackingRefBased/>
  <w15:docId w15:val="{D539900D-5EAC-48BA-85B6-794F220B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0</TotalTime>
  <Pages>2</Pages>
  <Words>906</Words>
  <Characters>5643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PA</dc:creator>
  <cp:keywords/>
  <cp:lastModifiedBy>Přibylová Veronika</cp:lastModifiedBy>
  <cp:revision>2</cp:revision>
  <cp:lastPrinted>2024-08-16T10:26:00Z</cp:lastPrinted>
  <dcterms:created xsi:type="dcterms:W3CDTF">2024-08-16T10:26:00Z</dcterms:created>
  <dcterms:modified xsi:type="dcterms:W3CDTF">2024-08-16T10:26:00Z</dcterms:modified>
</cp:coreProperties>
</file>