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DFDC" w14:textId="77777777" w:rsidR="00321B9D" w:rsidRDefault="00321B9D" w:rsidP="00321B9D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</w:p>
    <w:p w14:paraId="5F26CDF1" w14:textId="41F716CE" w:rsidR="00321B9D" w:rsidRDefault="00524390" w:rsidP="008160BD">
      <w:pPr>
        <w:jc w:val="center"/>
        <w:rPr>
          <w:rFonts w:ascii="Arial" w:eastAsiaTheme="majorEastAsia" w:hAnsi="Arial" w:cs="Arial"/>
          <w:b/>
          <w:bCs/>
          <w:color w:val="0070C0"/>
          <w:sz w:val="28"/>
          <w:szCs w:val="28"/>
        </w:rPr>
      </w:pPr>
      <w:r w:rsidRPr="00524390">
        <w:rPr>
          <w:rFonts w:ascii="Arial" w:eastAsiaTheme="majorEastAsia" w:hAnsi="Arial" w:cs="Arial"/>
          <w:b/>
          <w:bCs/>
          <w:color w:val="0070C0"/>
          <w:sz w:val="28"/>
          <w:szCs w:val="28"/>
        </w:rPr>
        <w:t>Informace o prodloužení licence k analytickému nástroji InCites Benchmarking &amp; Analytics na období 2025-2027 v rámci projektu CzechElib</w:t>
      </w:r>
    </w:p>
    <w:p w14:paraId="1C0642B5" w14:textId="37E4A2D6" w:rsidR="00125C1A" w:rsidRPr="00491769" w:rsidRDefault="00524390" w:rsidP="004651CD">
      <w:pPr>
        <w:tabs>
          <w:tab w:val="left" w:pos="6690"/>
          <w:tab w:val="left" w:pos="7695"/>
        </w:tabs>
        <w:spacing w:after="240"/>
        <w:jc w:val="both"/>
        <w:rPr>
          <w:rFonts w:ascii="Arial" w:hAnsi="Arial" w:cs="Arial"/>
          <w:bCs/>
        </w:rPr>
      </w:pPr>
      <w:r w:rsidRPr="00125C1A">
        <w:rPr>
          <w:rFonts w:ascii="Arial" w:hAnsi="Arial" w:cs="Arial"/>
          <w:b/>
          <w:bCs/>
        </w:rPr>
        <w:t>Aplikace InCites Benchmarking &amp; Analytics je analytický nástroj, který na základě citací publikací indexovaných na Web of Science provádí analýzy produktivity, dopadu vědeckých výstupů a benchmarking pomocí kvantitativních ukazatelů.</w:t>
      </w:r>
      <w:r w:rsidRPr="002B2732">
        <w:rPr>
          <w:rFonts w:ascii="Arial" w:hAnsi="Arial" w:cs="Arial"/>
          <w:bCs/>
        </w:rPr>
        <w:t xml:space="preserve"> InCites umožňuje realizovat pokročilé analýzy publikačních aktivit a dopadu výzkumné práce na úrovni jednotlivců, týmů, pracovišť, institucí a jednotlivých oborů. InCites využívá více bibliometrických (srovnávacích) indikátorů než umožňuje WoS, vytváří tabulkové a grafické výstupy. InCites umožňuje realizovat bibliometrické analýzy směřující k (1) zmapování publikační a výzkumné strategie, (2) srovnání publikačního</w:t>
      </w:r>
      <w:r w:rsidR="00A051A7">
        <w:rPr>
          <w:rFonts w:ascii="Arial" w:hAnsi="Arial" w:cs="Arial"/>
          <w:bCs/>
        </w:rPr>
        <w:t xml:space="preserve"> výkonu se světovým průměrem, v </w:t>
      </w:r>
      <w:r w:rsidRPr="002B2732">
        <w:rPr>
          <w:rFonts w:ascii="Arial" w:hAnsi="Arial" w:cs="Arial"/>
          <w:bCs/>
        </w:rPr>
        <w:t>rámci EU, ČR či vybraných států, (3) sledování a hodnocení mezinárodní spolupráce (dle spolupracujících států, organizací, počtu společných publikací, počtu vysoce citovaných dokumentů</w:t>
      </w:r>
      <w:r w:rsidR="00125C1A">
        <w:rPr>
          <w:rFonts w:ascii="Arial" w:hAnsi="Arial" w:cs="Arial"/>
          <w:bCs/>
        </w:rPr>
        <w:t>, počtu publikací vzniklých při </w:t>
      </w:r>
      <w:r w:rsidRPr="002B2732">
        <w:rPr>
          <w:rFonts w:ascii="Arial" w:hAnsi="Arial" w:cs="Arial"/>
          <w:bCs/>
        </w:rPr>
        <w:t>spoluprá</w:t>
      </w:r>
      <w:r>
        <w:rPr>
          <w:rFonts w:ascii="Arial" w:hAnsi="Arial" w:cs="Arial"/>
          <w:bCs/>
        </w:rPr>
        <w:t>ci se soukromým sektorem apod.)</w:t>
      </w:r>
      <w:r w:rsidR="004651CD">
        <w:rPr>
          <w:rFonts w:ascii="Arial" w:hAnsi="Arial" w:cs="Arial"/>
          <w:bCs/>
        </w:rPr>
        <w:t>.</w:t>
      </w:r>
    </w:p>
    <w:p w14:paraId="1EB61D03" w14:textId="5947CDF9" w:rsidR="00524390" w:rsidRPr="00125C1A" w:rsidRDefault="00125C1A" w:rsidP="004651CD">
      <w:pPr>
        <w:tabs>
          <w:tab w:val="left" w:pos="6690"/>
          <w:tab w:val="left" w:pos="7695"/>
        </w:tabs>
        <w:spacing w:after="240"/>
        <w:jc w:val="both"/>
        <w:rPr>
          <w:rFonts w:ascii="Arial" w:hAnsi="Arial" w:cs="Arial"/>
        </w:rPr>
      </w:pPr>
      <w:r w:rsidRPr="00125C1A">
        <w:rPr>
          <w:rFonts w:ascii="Arial" w:hAnsi="Arial" w:cs="Arial"/>
          <w:bCs/>
          <w:szCs w:val="24"/>
        </w:rPr>
        <w:t>P</w:t>
      </w:r>
      <w:r w:rsidR="00524390" w:rsidRPr="00125C1A">
        <w:rPr>
          <w:rFonts w:ascii="Arial" w:hAnsi="Arial" w:cs="Arial"/>
          <w:bCs/>
        </w:rPr>
        <w:t xml:space="preserve">řístup ke klíčovému analytickému nástroji InCites Benchmarking &amp; Analytics je </w:t>
      </w:r>
      <w:r w:rsidR="00524390" w:rsidRPr="00125C1A">
        <w:rPr>
          <w:rFonts w:ascii="Arial" w:hAnsi="Arial" w:cs="Arial"/>
          <w:b/>
          <w:bCs/>
        </w:rPr>
        <w:t>nezbytný pro plnění níže uvedených zákonných povinností, pro zachování odborné úrovně připravovaných analýz a podkladů nezastupitelných pro kvalitní řízení systému VaVaI</w:t>
      </w:r>
      <w:r w:rsidR="00524390" w:rsidRPr="00125C1A">
        <w:rPr>
          <w:rFonts w:ascii="Arial" w:hAnsi="Arial" w:cs="Arial"/>
          <w:bCs/>
        </w:rPr>
        <w:t>. (InCites umožň</w:t>
      </w:r>
      <w:r w:rsidRPr="00125C1A">
        <w:rPr>
          <w:rFonts w:ascii="Arial" w:hAnsi="Arial" w:cs="Arial"/>
          <w:bCs/>
        </w:rPr>
        <w:t>uje analýzy vědeckého výkonu na </w:t>
      </w:r>
      <w:r w:rsidR="00524390" w:rsidRPr="00125C1A">
        <w:rPr>
          <w:rFonts w:ascii="Arial" w:hAnsi="Arial" w:cs="Arial"/>
          <w:bCs/>
        </w:rPr>
        <w:t>úrovni jednotlivců, pracovišť, fakult, výzkumných organizací i celých států).</w:t>
      </w:r>
      <w:r>
        <w:rPr>
          <w:rFonts w:ascii="Arial" w:hAnsi="Arial" w:cs="Arial"/>
        </w:rPr>
        <w:t xml:space="preserve"> </w:t>
      </w:r>
      <w:r w:rsidR="00524390" w:rsidRPr="00125C1A">
        <w:rPr>
          <w:rFonts w:ascii="Arial" w:hAnsi="Arial" w:cs="Arial"/>
          <w:bCs/>
        </w:rPr>
        <w:t xml:space="preserve">Rada pro výzkum, vývoj a inovace (dále jen „Rada“) resp. Oddělení hodnocení výzkumných organizací každoročně provádí </w:t>
      </w:r>
      <w:r w:rsidR="00524390" w:rsidRPr="00125C1A">
        <w:rPr>
          <w:rFonts w:ascii="Arial" w:hAnsi="Arial" w:cs="Arial"/>
          <w:b/>
          <w:bCs/>
        </w:rPr>
        <w:t>hodnocení výzkumných organizací</w:t>
      </w:r>
      <w:r w:rsidR="00524390" w:rsidRPr="00125C1A">
        <w:rPr>
          <w:rFonts w:ascii="Arial" w:hAnsi="Arial" w:cs="Arial"/>
          <w:bCs/>
        </w:rPr>
        <w:t xml:space="preserve"> a ukončených programů podle Metodiky hodnocení výsledků výzkumných organizací a výsledků ukončených programů schválené usnesením vlády ze dne 8. února 2017 č. 107, jak vyplývá z § 35 odst. 2 písm. d) zákona </w:t>
      </w:r>
      <w:r w:rsidR="007F7789">
        <w:rPr>
          <w:rFonts w:ascii="Arial" w:hAnsi="Arial" w:cs="Arial"/>
          <w:bCs/>
        </w:rPr>
        <w:t xml:space="preserve">č. 130/2002 Sb. </w:t>
      </w:r>
      <w:r w:rsidR="00524390" w:rsidRPr="00125C1A">
        <w:rPr>
          <w:rFonts w:ascii="Arial" w:hAnsi="Arial" w:cs="Arial"/>
          <w:bCs/>
        </w:rPr>
        <w:t>o podpoře výzkumu, experimentálního vývoje a inovací</w:t>
      </w:r>
      <w:r w:rsidR="007F7789">
        <w:rPr>
          <w:rFonts w:ascii="Arial" w:hAnsi="Arial" w:cs="Arial"/>
          <w:bCs/>
        </w:rPr>
        <w:t>, ve znění pozdějších předpisů (dále jen „zákon“)</w:t>
      </w:r>
      <w:r w:rsidR="00524390" w:rsidRPr="00125C1A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V</w:t>
      </w:r>
      <w:r w:rsidR="00524390" w:rsidRPr="00125C1A">
        <w:rPr>
          <w:rFonts w:ascii="Arial" w:hAnsi="Arial" w:cs="Arial"/>
          <w:bCs/>
        </w:rPr>
        <w:t xml:space="preserve"> rámci činnosti Odděl</w:t>
      </w:r>
      <w:r>
        <w:rPr>
          <w:rFonts w:ascii="Arial" w:hAnsi="Arial" w:cs="Arial"/>
          <w:bCs/>
        </w:rPr>
        <w:t>ení analýz, finančního řízení a </w:t>
      </w:r>
      <w:r w:rsidR="00524390" w:rsidRPr="00125C1A">
        <w:rPr>
          <w:rFonts w:ascii="Arial" w:hAnsi="Arial" w:cs="Arial"/>
          <w:bCs/>
        </w:rPr>
        <w:t xml:space="preserve">koordinace výzkumu, vývoje a inovací je využíván analytický nástroj InCites pro přípravu dokumentu </w:t>
      </w:r>
      <w:r w:rsidR="00524390" w:rsidRPr="00125C1A">
        <w:rPr>
          <w:rFonts w:ascii="Arial" w:hAnsi="Arial" w:cs="Arial"/>
          <w:b/>
          <w:bCs/>
        </w:rPr>
        <w:t>Analýza stavu výzkumu, vývoje a inovací v ČR a jejich srovnání se zahraničím</w:t>
      </w:r>
      <w:r w:rsidR="00524390" w:rsidRPr="00125C1A">
        <w:rPr>
          <w:rFonts w:ascii="Arial" w:hAnsi="Arial" w:cs="Arial"/>
          <w:bCs/>
        </w:rPr>
        <w:t xml:space="preserve">, jak vyplývá z § 35 odst. 2 písm. g) zákona. Dále je také využíván pro </w:t>
      </w:r>
      <w:r w:rsidR="00524390" w:rsidRPr="00125C1A">
        <w:rPr>
          <w:rFonts w:ascii="Arial" w:hAnsi="Arial" w:cs="Arial"/>
          <w:b/>
          <w:bCs/>
        </w:rPr>
        <w:t>ad hoc analýzy dle zadání Rady</w:t>
      </w:r>
      <w:r w:rsidR="00524390" w:rsidRPr="00125C1A">
        <w:rPr>
          <w:rFonts w:ascii="Arial" w:hAnsi="Arial" w:cs="Arial"/>
          <w:bCs/>
        </w:rPr>
        <w:t>.</w:t>
      </w:r>
    </w:p>
    <w:p w14:paraId="041419E6" w14:textId="32B5A851" w:rsidR="00524390" w:rsidRPr="00524390" w:rsidRDefault="00125C1A" w:rsidP="004651CD">
      <w:pPr>
        <w:tabs>
          <w:tab w:val="left" w:pos="6690"/>
        </w:tabs>
        <w:spacing w:after="240"/>
        <w:jc w:val="both"/>
        <w:rPr>
          <w:rFonts w:ascii="Arial" w:hAnsi="Arial" w:cs="Arial"/>
        </w:rPr>
      </w:pPr>
      <w:r w:rsidRPr="00125C1A">
        <w:rPr>
          <w:rFonts w:ascii="Arial" w:hAnsi="Arial" w:cs="Arial"/>
          <w:b/>
          <w:bCs/>
        </w:rPr>
        <w:t>Pořízení licence k analytickému nástroji</w:t>
      </w:r>
      <w:r w:rsidRPr="00125C1A">
        <w:rPr>
          <w:rFonts w:ascii="Arial" w:hAnsi="Arial" w:cs="Arial"/>
          <w:bCs/>
        </w:rPr>
        <w:t xml:space="preserve"> InCites Benchmarking &amp; Analytics společnosti Clarivate Analytics (US) LLC bude realizováno na období 2025-2027 v rámci projektu CzechElib, </w:t>
      </w:r>
      <w:r w:rsidR="007F7789">
        <w:rPr>
          <w:rFonts w:ascii="Arial" w:hAnsi="Arial" w:cs="Arial"/>
          <w:bCs/>
        </w:rPr>
        <w:t xml:space="preserve">ve kterém </w:t>
      </w:r>
      <w:r w:rsidRPr="00125C1A">
        <w:rPr>
          <w:rFonts w:ascii="Arial" w:hAnsi="Arial" w:cs="Arial"/>
          <w:bCs/>
        </w:rPr>
        <w:t>Národní technická knihovna (NTK) figuruje jako centrální zadavatel.</w:t>
      </w:r>
      <w:r w:rsidRPr="00125C1A">
        <w:rPr>
          <w:rFonts w:ascii="Arial" w:hAnsi="Arial" w:cs="Arial"/>
          <w:b/>
          <w:bCs/>
        </w:rPr>
        <w:t xml:space="preserve"> </w:t>
      </w:r>
      <w:r w:rsidRPr="00125C1A">
        <w:rPr>
          <w:rFonts w:ascii="Arial" w:hAnsi="Arial" w:cs="Arial"/>
          <w:bCs/>
        </w:rPr>
        <w:t xml:space="preserve">Projekt umožní </w:t>
      </w:r>
      <w:r w:rsidRPr="00125C1A">
        <w:rPr>
          <w:rFonts w:ascii="Arial" w:hAnsi="Arial" w:cs="Arial"/>
          <w:b/>
          <w:bCs/>
        </w:rPr>
        <w:t>Úřadu vlády ČR</w:t>
      </w:r>
      <w:r w:rsidRPr="00125C1A">
        <w:rPr>
          <w:rFonts w:ascii="Arial" w:hAnsi="Arial" w:cs="Arial"/>
          <w:bCs/>
        </w:rPr>
        <w:t xml:space="preserve"> přístup k nástroji InCites Benchmarking &amp; Analytics </w:t>
      </w:r>
      <w:r w:rsidRPr="00125C1A">
        <w:rPr>
          <w:rFonts w:ascii="Arial" w:hAnsi="Arial" w:cs="Arial"/>
          <w:b/>
          <w:bCs/>
        </w:rPr>
        <w:t>za zvýhodněných podmínek díky finančnímu příspěvku v rámci projektu</w:t>
      </w:r>
      <w:r w:rsidRPr="00125C1A">
        <w:rPr>
          <w:rFonts w:ascii="Arial" w:hAnsi="Arial" w:cs="Arial"/>
          <w:bCs/>
        </w:rPr>
        <w:t xml:space="preserve">. </w:t>
      </w:r>
      <w:r w:rsidRPr="00125C1A">
        <w:rPr>
          <w:rFonts w:ascii="Arial" w:hAnsi="Arial" w:cs="Arial"/>
          <w:b/>
          <w:bCs/>
        </w:rPr>
        <w:t>Přístup ke zdrojům Scopus je v letech 2023–2027 díky projektu zdarma</w:t>
      </w:r>
      <w:r w:rsidRPr="00125C1A">
        <w:rPr>
          <w:rFonts w:ascii="Arial" w:hAnsi="Arial" w:cs="Arial"/>
          <w:bCs/>
        </w:rPr>
        <w:t xml:space="preserve">. NTK </w:t>
      </w:r>
      <w:r w:rsidRPr="00125C1A">
        <w:rPr>
          <w:rFonts w:ascii="Arial" w:hAnsi="Arial" w:cs="Arial"/>
        </w:rPr>
        <w:t>realizuje Individuální projekt systémový „Národní centrum pro elektronické informační zdroje – CzechElib“ (dále jen „projekt“), který je spolufinancován z projektu sdílených činností „Národní centrum pro informační podporu výzkumu, vývoje a inovací“ (NCIP VaVaI 2023-2027). V rámci projektu je vytvořeno národní centrum CzechElib, které zajišťuje centrální nákup a zpřístupnění klíčových elektronických informačních zdrojů</w:t>
      </w:r>
      <w:r w:rsidR="007F7789">
        <w:rPr>
          <w:rFonts w:ascii="Arial" w:hAnsi="Arial" w:cs="Arial"/>
        </w:rPr>
        <w:t xml:space="preserve"> (EIZ)</w:t>
      </w:r>
      <w:r w:rsidRPr="00125C1A">
        <w:rPr>
          <w:rFonts w:ascii="Arial" w:hAnsi="Arial" w:cs="Arial"/>
        </w:rPr>
        <w:t xml:space="preserve"> pro celou výzkumnou a vzdělávací sféru v ČR. NTK plní roli centrálního zadavatele ve smyslu § 9 odst. 1 písm. a) zákona č. 134/2016 Sb., o zadávání veřejných zakázek, ve znění pozdějších předpisů. Výhodou projektu je přenos </w:t>
      </w:r>
      <w:r w:rsidRPr="00125C1A">
        <w:rPr>
          <w:rFonts w:ascii="Arial" w:hAnsi="Arial" w:cs="Arial"/>
        </w:rPr>
        <w:lastRenderedPageBreak/>
        <w:t>administrace veřejných zakázek na NTK a finanční podpora z projektu na pořizované EIZ.</w:t>
      </w:r>
      <w:r>
        <w:rPr>
          <w:rFonts w:ascii="Arial" w:hAnsi="Arial" w:cs="Arial"/>
        </w:rPr>
        <w:t xml:space="preserve"> </w:t>
      </w:r>
      <w:r w:rsidR="004651CD">
        <w:rPr>
          <w:rFonts w:ascii="Arial" w:hAnsi="Arial" w:cs="Arial"/>
        </w:rPr>
        <w:t>Úřad vlády ČR je do projektu zapojen</w:t>
      </w:r>
      <w:r w:rsidR="00524390" w:rsidRPr="00CD6B5A">
        <w:rPr>
          <w:rFonts w:ascii="Arial" w:hAnsi="Arial" w:cs="Arial"/>
        </w:rPr>
        <w:t xml:space="preserve"> </w:t>
      </w:r>
      <w:r w:rsidR="004651CD">
        <w:rPr>
          <w:rFonts w:ascii="Arial" w:hAnsi="Arial" w:cs="Arial"/>
        </w:rPr>
        <w:t>od roku</w:t>
      </w:r>
      <w:r w:rsidR="00524390" w:rsidRPr="00CD6B5A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14:paraId="50641C62" w14:textId="284196FC" w:rsidR="00524390" w:rsidRPr="00357C6B" w:rsidRDefault="00524390" w:rsidP="004651C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FF5C50">
        <w:rPr>
          <w:rFonts w:ascii="Arial" w:hAnsi="Arial" w:cs="Arial"/>
          <w:b/>
          <w:bCs/>
        </w:rPr>
        <w:t>Předpokládaná</w:t>
      </w:r>
      <w:r>
        <w:rPr>
          <w:rFonts w:ascii="Arial" w:hAnsi="Arial" w:cs="Arial"/>
          <w:b/>
          <w:bCs/>
        </w:rPr>
        <w:t xml:space="preserve"> maximální </w:t>
      </w:r>
      <w:r w:rsidRPr="00FF5C50">
        <w:rPr>
          <w:rFonts w:ascii="Arial" w:hAnsi="Arial" w:cs="Arial"/>
          <w:b/>
          <w:bCs/>
        </w:rPr>
        <w:t>hodnota části veřejné zakázky</w:t>
      </w:r>
      <w:r w:rsidRPr="00FF5C50">
        <w:rPr>
          <w:rFonts w:ascii="Arial" w:hAnsi="Arial" w:cs="Arial"/>
          <w:bCs/>
        </w:rPr>
        <w:t xml:space="preserve">, kterou hodlá Úřad vlády ČR realizovat prostřednictvím NTK na základě smlouvy o centralizovaném zadávání </w:t>
      </w:r>
      <w:r w:rsidRPr="00EE29E2">
        <w:rPr>
          <w:rFonts w:ascii="Arial" w:hAnsi="Arial" w:cs="Arial"/>
          <w:bCs/>
        </w:rPr>
        <w:t xml:space="preserve">činí </w:t>
      </w:r>
      <w:r w:rsidR="004651CD">
        <w:rPr>
          <w:rFonts w:ascii="Arial" w:hAnsi="Arial" w:cs="Arial"/>
          <w:b/>
        </w:rPr>
        <w:t>156 </w:t>
      </w:r>
      <w:r w:rsidRPr="00EE29E2">
        <w:rPr>
          <w:rFonts w:ascii="Arial" w:hAnsi="Arial" w:cs="Arial"/>
          <w:b/>
        </w:rPr>
        <w:t>246,85 USD</w:t>
      </w:r>
      <w:r w:rsidRPr="00EE29E2">
        <w:rPr>
          <w:rFonts w:ascii="Arial" w:hAnsi="Arial" w:cs="Arial"/>
          <w:b/>
          <w:bCs/>
        </w:rPr>
        <w:t xml:space="preserve"> bez </w:t>
      </w:r>
      <w:r w:rsidRPr="0098259F">
        <w:rPr>
          <w:rFonts w:ascii="Arial" w:hAnsi="Arial" w:cs="Arial"/>
          <w:b/>
          <w:bCs/>
        </w:rPr>
        <w:t>DPH</w:t>
      </w:r>
      <w:r w:rsidRPr="0098259F">
        <w:rPr>
          <w:rFonts w:ascii="Arial" w:hAnsi="Arial" w:cs="Arial"/>
          <w:bCs/>
        </w:rPr>
        <w:t>, tj. 3</w:t>
      </w:r>
      <w:r>
        <w:rPr>
          <w:rFonts w:ascii="Arial" w:hAnsi="Arial" w:cs="Arial"/>
          <w:bCs/>
        </w:rPr>
        <w:t xml:space="preserve"> </w:t>
      </w:r>
      <w:r w:rsidRPr="0098259F">
        <w:rPr>
          <w:rFonts w:ascii="Arial" w:hAnsi="Arial" w:cs="Arial"/>
          <w:bCs/>
        </w:rPr>
        <w:t>613 208,40 CZK (</w:t>
      </w:r>
      <w:r w:rsidRPr="007A36BE">
        <w:rPr>
          <w:rFonts w:ascii="Arial" w:hAnsi="Arial" w:cs="Arial"/>
          <w:bCs/>
        </w:rPr>
        <w:t>kurz CZK/USD k 17. 7. 2024).</w:t>
      </w:r>
      <w:r w:rsidR="004651CD">
        <w:rPr>
          <w:rFonts w:ascii="Arial" w:hAnsi="Arial" w:cs="Arial"/>
          <w:bCs/>
        </w:rPr>
        <w:t xml:space="preserve"> Jedná se o </w:t>
      </w:r>
      <w:r w:rsidRPr="00FF5C50">
        <w:rPr>
          <w:rFonts w:ascii="Arial" w:hAnsi="Arial" w:cs="Arial"/>
          <w:bCs/>
        </w:rPr>
        <w:t xml:space="preserve">poplatek za licence na používání </w:t>
      </w:r>
      <w:r>
        <w:rPr>
          <w:rFonts w:ascii="Arial" w:hAnsi="Arial" w:cs="Arial"/>
          <w:bCs/>
        </w:rPr>
        <w:t>aplikace InCites Benchmarking &amp; </w:t>
      </w:r>
      <w:r w:rsidRPr="00FF5C50">
        <w:rPr>
          <w:rFonts w:ascii="Arial" w:hAnsi="Arial" w:cs="Arial"/>
          <w:bCs/>
        </w:rPr>
        <w:t>Analytics v </w:t>
      </w:r>
      <w:r>
        <w:rPr>
          <w:rFonts w:ascii="Arial" w:hAnsi="Arial" w:cs="Arial"/>
          <w:bCs/>
        </w:rPr>
        <w:t>období</w:t>
      </w:r>
      <w:r w:rsidRPr="00FF5C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2025-2027</w:t>
      </w:r>
      <w:r w:rsidRPr="00FF5C50">
        <w:rPr>
          <w:rFonts w:ascii="Arial" w:hAnsi="Arial" w:cs="Arial"/>
          <w:bCs/>
        </w:rPr>
        <w:t xml:space="preserve">. </w:t>
      </w:r>
      <w:r w:rsidRPr="00CE0960">
        <w:rPr>
          <w:rFonts w:ascii="Arial" w:hAnsi="Arial" w:cs="Arial"/>
          <w:bCs/>
        </w:rPr>
        <w:t xml:space="preserve">Očekáváná finanční podpora z projektu CzechElib se bude v letech 2025–2027 postupně </w:t>
      </w:r>
      <w:r w:rsidRPr="007A36BE">
        <w:rPr>
          <w:rFonts w:ascii="Arial" w:hAnsi="Arial" w:cs="Arial"/>
          <w:bCs/>
        </w:rPr>
        <w:t>snižovat. Od roku 2025 je analytický nástroj InCites přesunut do kategorie podpory „Ostatní EIZ“, který má nižší podíl podpory. V</w:t>
      </w:r>
      <w:r w:rsidRPr="00357C6B">
        <w:rPr>
          <w:rFonts w:ascii="Arial" w:hAnsi="Arial" w:cs="Arial"/>
          <w:bCs/>
        </w:rPr>
        <w:t xml:space="preserve"> roce 2025 </w:t>
      </w:r>
      <w:r w:rsidR="00BE0432">
        <w:rPr>
          <w:rFonts w:ascii="Arial" w:hAnsi="Arial" w:cs="Arial"/>
          <w:bCs/>
        </w:rPr>
        <w:t xml:space="preserve">je </w:t>
      </w:r>
      <w:r w:rsidRPr="00357C6B">
        <w:rPr>
          <w:rFonts w:ascii="Arial" w:hAnsi="Arial" w:cs="Arial"/>
          <w:bCs/>
        </w:rPr>
        <w:t xml:space="preserve">zajištěna finanční podpora z projektu CzechElib ve výši </w:t>
      </w:r>
      <w:r w:rsidRPr="007A4771">
        <w:rPr>
          <w:rFonts w:ascii="Arial" w:hAnsi="Arial" w:cs="Arial"/>
          <w:bCs/>
        </w:rPr>
        <w:t xml:space="preserve">45 % poplatku. </w:t>
      </w:r>
      <w:r w:rsidRPr="007A4771">
        <w:rPr>
          <w:rFonts w:ascii="Arial" w:hAnsi="Arial" w:cs="Arial"/>
          <w:b/>
          <w:bCs/>
        </w:rPr>
        <w:t>Úřad vlády ČR tak bude hradit</w:t>
      </w:r>
      <w:r w:rsidRPr="007A4771">
        <w:rPr>
          <w:rFonts w:ascii="Arial" w:hAnsi="Arial" w:cs="Arial"/>
          <w:bCs/>
        </w:rPr>
        <w:t xml:space="preserve"> </w:t>
      </w:r>
      <w:r w:rsidRPr="007A4771">
        <w:rPr>
          <w:rFonts w:ascii="Arial" w:hAnsi="Arial" w:cs="Arial"/>
          <w:b/>
          <w:bCs/>
        </w:rPr>
        <w:t>pouze 55 % poplatku, tj. 48 066,15 USD bez DPH</w:t>
      </w:r>
      <w:r w:rsidRPr="007A4771">
        <w:rPr>
          <w:rFonts w:ascii="Arial" w:hAnsi="Arial" w:cs="Arial"/>
          <w:bCs/>
        </w:rPr>
        <w:t>, tj. 1</w:t>
      </w:r>
      <w:r>
        <w:rPr>
          <w:rFonts w:ascii="Arial" w:hAnsi="Arial" w:cs="Arial"/>
          <w:bCs/>
        </w:rPr>
        <w:t> </w:t>
      </w:r>
      <w:r w:rsidRPr="007A4771">
        <w:rPr>
          <w:rFonts w:ascii="Arial" w:hAnsi="Arial" w:cs="Arial"/>
          <w:bCs/>
        </w:rPr>
        <w:t>111 529,72</w:t>
      </w:r>
      <w:r>
        <w:rPr>
          <w:rFonts w:ascii="Arial" w:hAnsi="Arial" w:cs="Arial"/>
          <w:bCs/>
        </w:rPr>
        <w:t xml:space="preserve"> </w:t>
      </w:r>
      <w:r w:rsidR="004651CD">
        <w:rPr>
          <w:rFonts w:ascii="Arial" w:hAnsi="Arial" w:cs="Arial"/>
          <w:bCs/>
        </w:rPr>
        <w:t>CZK bez DPH (kurz CZK/USD k 17. </w:t>
      </w:r>
      <w:r w:rsidRPr="007A36BE">
        <w:rPr>
          <w:rFonts w:ascii="Arial" w:hAnsi="Arial" w:cs="Arial"/>
          <w:bCs/>
        </w:rPr>
        <w:t>7. 2024).</w:t>
      </w:r>
      <w:r w:rsidRPr="00CE0960">
        <w:rPr>
          <w:rFonts w:ascii="Arial" w:hAnsi="Arial" w:cs="Arial"/>
          <w:bCs/>
        </w:rPr>
        <w:t xml:space="preserve"> </w:t>
      </w:r>
      <w:r w:rsidRPr="00357C6B">
        <w:rPr>
          <w:rFonts w:ascii="Arial" w:hAnsi="Arial" w:cs="Arial"/>
          <w:bCs/>
        </w:rPr>
        <w:t xml:space="preserve">V roce 2026 </w:t>
      </w:r>
      <w:r w:rsidR="00BE0432">
        <w:rPr>
          <w:rFonts w:ascii="Arial" w:hAnsi="Arial" w:cs="Arial"/>
          <w:bCs/>
        </w:rPr>
        <w:t>je z</w:t>
      </w:r>
      <w:r w:rsidRPr="00357C6B">
        <w:rPr>
          <w:rFonts w:ascii="Arial" w:hAnsi="Arial" w:cs="Arial"/>
          <w:bCs/>
        </w:rPr>
        <w:t>ajištěna finanční podpora z projektu CzechElib ve</w:t>
      </w:r>
      <w:r w:rsidRPr="00CE0960">
        <w:rPr>
          <w:rFonts w:ascii="Arial" w:hAnsi="Arial" w:cs="Arial"/>
          <w:bCs/>
        </w:rPr>
        <w:t xml:space="preserve"> </w:t>
      </w:r>
      <w:r w:rsidRPr="003F72CD">
        <w:rPr>
          <w:rFonts w:ascii="Arial" w:hAnsi="Arial" w:cs="Arial"/>
          <w:bCs/>
        </w:rPr>
        <w:t xml:space="preserve">výši 42,5 % poplatku. </w:t>
      </w:r>
      <w:r w:rsidRPr="003F72CD">
        <w:rPr>
          <w:rFonts w:ascii="Arial" w:hAnsi="Arial" w:cs="Arial"/>
          <w:b/>
          <w:bCs/>
        </w:rPr>
        <w:t>Úřad vlády ČR tak bude hradit</w:t>
      </w:r>
      <w:r w:rsidRPr="003F72CD">
        <w:rPr>
          <w:rFonts w:ascii="Arial" w:hAnsi="Arial" w:cs="Arial"/>
          <w:bCs/>
        </w:rPr>
        <w:t xml:space="preserve"> </w:t>
      </w:r>
      <w:r w:rsidRPr="003F72CD">
        <w:rPr>
          <w:rFonts w:ascii="Arial" w:hAnsi="Arial" w:cs="Arial"/>
          <w:b/>
          <w:bCs/>
        </w:rPr>
        <w:t>pouze 57,5 % poplatku, tj. 52 009,90 USD bez DPH</w:t>
      </w:r>
      <w:r w:rsidRPr="003F72CD">
        <w:rPr>
          <w:rFonts w:ascii="Arial" w:hAnsi="Arial" w:cs="Arial"/>
          <w:bCs/>
        </w:rPr>
        <w:t>, tj. 1</w:t>
      </w:r>
      <w:r>
        <w:rPr>
          <w:rFonts w:ascii="Arial" w:hAnsi="Arial" w:cs="Arial"/>
          <w:bCs/>
        </w:rPr>
        <w:t xml:space="preserve"> </w:t>
      </w:r>
      <w:r w:rsidRPr="003F72CD">
        <w:rPr>
          <w:rFonts w:ascii="Arial" w:hAnsi="Arial" w:cs="Arial"/>
          <w:bCs/>
        </w:rPr>
        <w:t>202 728,94</w:t>
      </w:r>
      <w:r w:rsidRPr="007A36BE">
        <w:rPr>
          <w:rFonts w:ascii="Arial" w:hAnsi="Arial" w:cs="Arial"/>
          <w:bCs/>
        </w:rPr>
        <w:t xml:space="preserve"> CZK bez DPH (kurz CZK/USD k 17. 7. 2024). V</w:t>
      </w:r>
      <w:r w:rsidRPr="00FF5C50">
        <w:rPr>
          <w:rFonts w:ascii="Arial" w:hAnsi="Arial" w:cs="Arial"/>
          <w:bCs/>
        </w:rPr>
        <w:t xml:space="preserve"> roce </w:t>
      </w:r>
      <w:r>
        <w:rPr>
          <w:rFonts w:ascii="Arial" w:hAnsi="Arial" w:cs="Arial"/>
          <w:bCs/>
        </w:rPr>
        <w:t>2027</w:t>
      </w:r>
      <w:r w:rsidR="00BE0432">
        <w:rPr>
          <w:rFonts w:ascii="Arial" w:hAnsi="Arial" w:cs="Arial"/>
          <w:bCs/>
        </w:rPr>
        <w:t xml:space="preserve"> je z</w:t>
      </w:r>
      <w:r w:rsidRPr="003F72CD">
        <w:rPr>
          <w:rFonts w:ascii="Arial" w:hAnsi="Arial" w:cs="Arial"/>
          <w:bCs/>
        </w:rPr>
        <w:t xml:space="preserve">ajištěna finanční podpora z projektu CzechElib ve výši 40 % poplatku. </w:t>
      </w:r>
      <w:r w:rsidRPr="003F72CD">
        <w:rPr>
          <w:rFonts w:ascii="Arial" w:hAnsi="Arial" w:cs="Arial"/>
          <w:b/>
          <w:bCs/>
        </w:rPr>
        <w:t>Úřad vlády ČR tak bude hradit</w:t>
      </w:r>
      <w:r w:rsidRPr="003F72CD">
        <w:rPr>
          <w:rFonts w:ascii="Arial" w:hAnsi="Arial" w:cs="Arial"/>
          <w:bCs/>
        </w:rPr>
        <w:t xml:space="preserve"> </w:t>
      </w:r>
      <w:r w:rsidRPr="003F72CD">
        <w:rPr>
          <w:rFonts w:ascii="Arial" w:hAnsi="Arial" w:cs="Arial"/>
          <w:b/>
          <w:bCs/>
        </w:rPr>
        <w:t>pouze 60 % poplatku, tj. 56 170,80 USD bez DPH</w:t>
      </w:r>
      <w:r w:rsidRPr="003F72CD">
        <w:rPr>
          <w:rFonts w:ascii="Arial" w:hAnsi="Arial" w:cs="Arial"/>
          <w:bCs/>
        </w:rPr>
        <w:t>, tj. 1 298 949,75</w:t>
      </w:r>
      <w:r w:rsidRPr="003F72CD">
        <w:rPr>
          <w:rFonts w:ascii="Arial" w:hAnsi="Arial" w:cs="Arial"/>
          <w:bCs/>
        </w:rPr>
        <w:t xml:space="preserve">‬ CZK bez DPH (kurz CZK/USD k 17. 7. 2024).   </w:t>
      </w:r>
    </w:p>
    <w:p w14:paraId="54710EF1" w14:textId="7632154E" w:rsidR="00524390" w:rsidRDefault="00524390" w:rsidP="004651CD">
      <w:pPr>
        <w:spacing w:before="60" w:after="240"/>
        <w:jc w:val="both"/>
        <w:rPr>
          <w:rFonts w:ascii="Arial" w:hAnsi="Arial" w:cs="Arial"/>
        </w:rPr>
      </w:pPr>
      <w:r w:rsidRPr="003F72CD">
        <w:rPr>
          <w:rFonts w:ascii="Arial" w:hAnsi="Arial" w:cs="Arial"/>
        </w:rPr>
        <w:t xml:space="preserve">Po přepočtu bezpečným kurzem roku 2024 odhadovaná celková cena </w:t>
      </w:r>
      <w:r w:rsidRPr="003F72CD">
        <w:rPr>
          <w:rFonts w:ascii="Arial" w:hAnsi="Arial" w:cs="Arial"/>
          <w:b/>
        </w:rPr>
        <w:t>v CZK včetně DPH</w:t>
      </w:r>
      <w:r w:rsidRPr="003F72CD">
        <w:rPr>
          <w:rFonts w:ascii="Arial" w:hAnsi="Arial" w:cs="Arial"/>
        </w:rPr>
        <w:t xml:space="preserve"> </w:t>
      </w:r>
      <w:r w:rsidR="004651CD">
        <w:rPr>
          <w:rFonts w:ascii="Arial" w:hAnsi="Arial" w:cs="Arial"/>
          <w:b/>
        </w:rPr>
        <w:t>za </w:t>
      </w:r>
      <w:r w:rsidRPr="003F72CD">
        <w:rPr>
          <w:rFonts w:ascii="Arial" w:hAnsi="Arial" w:cs="Arial"/>
          <w:b/>
        </w:rPr>
        <w:t>období 2025-2027</w:t>
      </w:r>
      <w:r w:rsidRPr="003F72CD">
        <w:rPr>
          <w:rFonts w:ascii="Arial" w:hAnsi="Arial" w:cs="Arial"/>
        </w:rPr>
        <w:t xml:space="preserve"> činí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4 464 053,</w:t>
      </w:r>
      <w:r w:rsidRPr="003F72CD">
        <w:rPr>
          <w:rFonts w:ascii="Arial" w:hAnsi="Arial" w:cs="Arial"/>
          <w:b/>
        </w:rPr>
        <w:t>79 CZK</w:t>
      </w:r>
      <w:r w:rsidR="004651CD">
        <w:rPr>
          <w:rFonts w:ascii="Arial" w:hAnsi="Arial" w:cs="Arial"/>
        </w:rPr>
        <w:t>.</w:t>
      </w:r>
    </w:p>
    <w:p w14:paraId="49F5AD4D" w14:textId="7749FACA" w:rsidR="00524390" w:rsidRPr="0081540D" w:rsidRDefault="00524390" w:rsidP="004651CD">
      <w:pPr>
        <w:tabs>
          <w:tab w:val="left" w:pos="6690"/>
        </w:tabs>
        <w:spacing w:after="240"/>
        <w:jc w:val="both"/>
        <w:rPr>
          <w:rFonts w:ascii="Arial" w:hAnsi="Arial" w:cs="Arial"/>
          <w:bCs/>
        </w:rPr>
      </w:pPr>
      <w:r w:rsidRPr="00FF5C50">
        <w:rPr>
          <w:rFonts w:ascii="Arial" w:hAnsi="Arial" w:cs="Arial"/>
          <w:b/>
          <w:bCs/>
          <w:szCs w:val="24"/>
        </w:rPr>
        <w:t>Odůvodnění dodržení principů 3E</w:t>
      </w:r>
      <w:r w:rsidR="007F7789">
        <w:rPr>
          <w:rFonts w:ascii="Arial" w:hAnsi="Arial" w:cs="Arial"/>
          <w:b/>
          <w:bCs/>
          <w:szCs w:val="24"/>
        </w:rPr>
        <w:t>:</w:t>
      </w:r>
      <w:r w:rsidRPr="00FF5C50">
        <w:rPr>
          <w:rFonts w:ascii="Arial" w:hAnsi="Arial" w:cs="Arial"/>
          <w:bCs/>
          <w:szCs w:val="24"/>
        </w:rPr>
        <w:t xml:space="preserve"> </w:t>
      </w:r>
      <w:r w:rsidR="007F7789">
        <w:rPr>
          <w:rFonts w:ascii="Arial" w:hAnsi="Arial" w:cs="Arial"/>
          <w:bCs/>
          <w:szCs w:val="24"/>
        </w:rPr>
        <w:t>c</w:t>
      </w:r>
      <w:bookmarkStart w:id="0" w:name="_GoBack"/>
      <w:bookmarkEnd w:id="0"/>
      <w:r w:rsidRPr="00FF5C50">
        <w:rPr>
          <w:rFonts w:ascii="Arial" w:hAnsi="Arial" w:cs="Arial"/>
          <w:bCs/>
          <w:szCs w:val="24"/>
        </w:rPr>
        <w:t>ena plnění je v místě a čase obvyklá.</w:t>
      </w:r>
      <w:r w:rsidRPr="00FF5C50">
        <w:rPr>
          <w:rFonts w:ascii="Arial" w:hAnsi="Arial" w:cs="Arial"/>
          <w:b/>
          <w:bCs/>
          <w:szCs w:val="24"/>
        </w:rPr>
        <w:t xml:space="preserve"> </w:t>
      </w:r>
      <w:r w:rsidRPr="00FF5C50">
        <w:rPr>
          <w:rFonts w:ascii="Arial" w:hAnsi="Arial" w:cs="Arial"/>
          <w:bCs/>
          <w:szCs w:val="24"/>
        </w:rPr>
        <w:t>NTK jako centrální zadavatel zajišťuje</w:t>
      </w:r>
      <w:r w:rsidRPr="00FF5C50">
        <w:rPr>
          <w:rFonts w:ascii="Arial" w:hAnsi="Arial" w:cs="Arial"/>
          <w:b/>
          <w:bCs/>
          <w:szCs w:val="24"/>
        </w:rPr>
        <w:t xml:space="preserve"> </w:t>
      </w:r>
      <w:r w:rsidRPr="00FF5C50">
        <w:rPr>
          <w:rFonts w:ascii="Arial" w:hAnsi="Arial" w:cs="Arial"/>
          <w:bCs/>
          <w:szCs w:val="24"/>
        </w:rPr>
        <w:t>centrální nákup EIZ.</w:t>
      </w:r>
      <w:r w:rsidRPr="00FF5C50">
        <w:rPr>
          <w:rFonts w:ascii="Arial" w:hAnsi="Arial" w:cs="Arial"/>
          <w:b/>
          <w:bCs/>
          <w:szCs w:val="24"/>
        </w:rPr>
        <w:t xml:space="preserve"> </w:t>
      </w:r>
      <w:r w:rsidRPr="00FF5C50">
        <w:rPr>
          <w:rFonts w:ascii="Arial" w:hAnsi="Arial" w:cs="Arial"/>
          <w:shd w:val="clear" w:color="auto" w:fill="FFFFFF"/>
        </w:rPr>
        <w:t xml:space="preserve">Díky centralizaci </w:t>
      </w:r>
      <w:r w:rsidR="00125C1A">
        <w:rPr>
          <w:rFonts w:ascii="Arial" w:hAnsi="Arial" w:cs="Arial"/>
          <w:shd w:val="clear" w:color="auto" w:fill="FFFFFF"/>
        </w:rPr>
        <w:t>know-how, vyjednávání, nákupu a </w:t>
      </w:r>
      <w:r w:rsidRPr="00FF5C50">
        <w:rPr>
          <w:rFonts w:ascii="Arial" w:hAnsi="Arial" w:cs="Arial"/>
          <w:shd w:val="clear" w:color="auto" w:fill="FFFFFF"/>
        </w:rPr>
        <w:t xml:space="preserve">správy zdrojů dochází k výraznému snížení administrativní zátěže pro </w:t>
      </w:r>
      <w:r w:rsidRPr="00950BCE">
        <w:rPr>
          <w:rFonts w:ascii="Arial" w:hAnsi="Arial" w:cs="Arial"/>
          <w:b/>
          <w:shd w:val="clear" w:color="auto" w:fill="FFFFFF"/>
        </w:rPr>
        <w:t>Úřad vlády ČR</w:t>
      </w:r>
      <w:r w:rsidRPr="00FF5C50">
        <w:rPr>
          <w:rFonts w:ascii="Arial" w:hAnsi="Arial" w:cs="Arial"/>
          <w:shd w:val="clear" w:color="auto" w:fill="FFFFFF"/>
        </w:rPr>
        <w:t xml:space="preserve"> a je vytvořena silnější vyjednávací pozice vůči dodavatelům EIZ, která umožňuje finanční úsporu a účelné, hospodárné a efektivní vynaložení veřejných prostředků.</w:t>
      </w:r>
    </w:p>
    <w:sectPr w:rsidR="00524390" w:rsidRPr="008154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070D7" w16cex:dateUtc="2024-08-21T11:57:00Z"/>
  <w16cex:commentExtensible w16cex:durableId="2A7070EA" w16cex:dateUtc="2024-08-21T11:58:00Z"/>
  <w16cex:commentExtensible w16cex:durableId="2A70710D" w16cex:dateUtc="2024-08-21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1759" w16cid:durableId="2A7070D7"/>
  <w16cid:commentId w16cid:paraId="33E4476D" w16cid:durableId="2A7070EA"/>
  <w16cid:commentId w16cid:paraId="15C7FD47" w16cid:durableId="2A7071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3B6ED" w14:textId="77777777" w:rsidR="002C0C69" w:rsidRDefault="002C0C69" w:rsidP="00EF2156">
      <w:pPr>
        <w:spacing w:after="0" w:line="240" w:lineRule="auto"/>
      </w:pPr>
      <w:r>
        <w:separator/>
      </w:r>
    </w:p>
  </w:endnote>
  <w:endnote w:type="continuationSeparator" w:id="0">
    <w:p w14:paraId="510ACCB2" w14:textId="77777777" w:rsidR="002C0C69" w:rsidRDefault="002C0C69" w:rsidP="00E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5311" w14:textId="2E9BAEE0" w:rsidR="00B45418" w:rsidRDefault="00B45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3E40" w14:textId="77777777" w:rsidR="002C0C69" w:rsidRDefault="002C0C69" w:rsidP="00EF2156">
      <w:pPr>
        <w:spacing w:after="0" w:line="240" w:lineRule="auto"/>
      </w:pPr>
      <w:r>
        <w:separator/>
      </w:r>
    </w:p>
  </w:footnote>
  <w:footnote w:type="continuationSeparator" w:id="0">
    <w:p w14:paraId="07B9764B" w14:textId="77777777" w:rsidR="002C0C69" w:rsidRDefault="002C0C69" w:rsidP="00E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5B6A45" w14:paraId="372BB95A" w14:textId="77777777" w:rsidTr="00703BA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14:paraId="3489E12B" w14:textId="77777777" w:rsidR="005B6A45" w:rsidRDefault="005B6A45">
          <w:pPr>
            <w:pStyle w:val="Zhlav"/>
            <w:rPr>
              <w:rFonts w:ascii="Arial" w:eastAsia="Times New Roman" w:hAnsi="Arial" w:cs="Arial"/>
              <w:b/>
              <w:color w:val="0B38B5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61B28F2" wp14:editId="6AFEC2D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63B2">
            <w:rPr>
              <w:rFonts w:ascii="Arial" w:hAnsi="Arial" w:cs="Arial"/>
              <w:b/>
            </w:rPr>
            <w:t>9</w:t>
          </w:r>
          <w:r>
            <w:rPr>
              <w:rFonts w:ascii="Arial" w:hAnsi="Arial" w:cs="Arial"/>
              <w:b/>
            </w:rPr>
            <w:t xml:space="preserve"> 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DB3E2" w:themeFill="text2" w:themeFillTint="66"/>
          <w:vAlign w:val="center"/>
          <w:hideMark/>
        </w:tcPr>
        <w:p w14:paraId="288FFEB9" w14:textId="06C05242" w:rsidR="005B6A45" w:rsidRPr="00321B9D" w:rsidRDefault="00900A35" w:rsidP="00943B51">
          <w:pPr>
            <w:pStyle w:val="Zhlav"/>
            <w:jc w:val="center"/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403</w:t>
          </w:r>
          <w:r w:rsidR="00AC5232" w:rsidRPr="00866CE0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/</w:t>
          </w:r>
          <w:r w:rsidR="005F6B2B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C4</w:t>
          </w:r>
        </w:p>
      </w:tc>
    </w:tr>
  </w:tbl>
  <w:p w14:paraId="237289BD" w14:textId="77777777" w:rsidR="00EF2156" w:rsidRPr="00EF2156" w:rsidRDefault="00EF2156" w:rsidP="00666567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5D"/>
    <w:multiLevelType w:val="hybridMultilevel"/>
    <w:tmpl w:val="762AA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2E02"/>
    <w:multiLevelType w:val="hybridMultilevel"/>
    <w:tmpl w:val="5C42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C5C"/>
    <w:multiLevelType w:val="hybridMultilevel"/>
    <w:tmpl w:val="7944C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2DDB"/>
    <w:multiLevelType w:val="hybridMultilevel"/>
    <w:tmpl w:val="D7B0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3994"/>
    <w:multiLevelType w:val="hybridMultilevel"/>
    <w:tmpl w:val="5EE0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17F31"/>
    <w:multiLevelType w:val="hybridMultilevel"/>
    <w:tmpl w:val="D7E2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5A87"/>
    <w:multiLevelType w:val="hybridMultilevel"/>
    <w:tmpl w:val="4BD2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622E1"/>
    <w:multiLevelType w:val="hybridMultilevel"/>
    <w:tmpl w:val="9F1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1977"/>
    <w:multiLevelType w:val="hybridMultilevel"/>
    <w:tmpl w:val="28C6A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5793"/>
    <w:multiLevelType w:val="hybridMultilevel"/>
    <w:tmpl w:val="0A62BF3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92"/>
    <w:rsid w:val="00006A2C"/>
    <w:rsid w:val="000449D6"/>
    <w:rsid w:val="00052716"/>
    <w:rsid w:val="00065858"/>
    <w:rsid w:val="000832AB"/>
    <w:rsid w:val="000934A4"/>
    <w:rsid w:val="000A2326"/>
    <w:rsid w:val="000A3FDF"/>
    <w:rsid w:val="000B4960"/>
    <w:rsid w:val="000B530D"/>
    <w:rsid w:val="000C5BAC"/>
    <w:rsid w:val="000E4C77"/>
    <w:rsid w:val="000E6F92"/>
    <w:rsid w:val="00100236"/>
    <w:rsid w:val="00107FC6"/>
    <w:rsid w:val="0011767D"/>
    <w:rsid w:val="00124CB3"/>
    <w:rsid w:val="00125C1A"/>
    <w:rsid w:val="00177B38"/>
    <w:rsid w:val="001965E8"/>
    <w:rsid w:val="001A74BE"/>
    <w:rsid w:val="001C772A"/>
    <w:rsid w:val="001D37A2"/>
    <w:rsid w:val="001E31F1"/>
    <w:rsid w:val="001E62E8"/>
    <w:rsid w:val="001E69B3"/>
    <w:rsid w:val="001F255F"/>
    <w:rsid w:val="001F4338"/>
    <w:rsid w:val="0021623D"/>
    <w:rsid w:val="00220F43"/>
    <w:rsid w:val="00226A0F"/>
    <w:rsid w:val="00243536"/>
    <w:rsid w:val="0025292F"/>
    <w:rsid w:val="00255213"/>
    <w:rsid w:val="002662A2"/>
    <w:rsid w:val="00267E23"/>
    <w:rsid w:val="0027272E"/>
    <w:rsid w:val="002739D5"/>
    <w:rsid w:val="00276329"/>
    <w:rsid w:val="00287EC8"/>
    <w:rsid w:val="00291677"/>
    <w:rsid w:val="002963F3"/>
    <w:rsid w:val="002C0C69"/>
    <w:rsid w:val="0030131D"/>
    <w:rsid w:val="00310D92"/>
    <w:rsid w:val="0032060E"/>
    <w:rsid w:val="00321B9D"/>
    <w:rsid w:val="00324B17"/>
    <w:rsid w:val="00334DB4"/>
    <w:rsid w:val="00341442"/>
    <w:rsid w:val="0034577D"/>
    <w:rsid w:val="00347D59"/>
    <w:rsid w:val="003516F3"/>
    <w:rsid w:val="003552E6"/>
    <w:rsid w:val="0035598D"/>
    <w:rsid w:val="00367340"/>
    <w:rsid w:val="00371923"/>
    <w:rsid w:val="003737B0"/>
    <w:rsid w:val="00387E19"/>
    <w:rsid w:val="00392C41"/>
    <w:rsid w:val="00394B50"/>
    <w:rsid w:val="00395D8C"/>
    <w:rsid w:val="003A5184"/>
    <w:rsid w:val="003A5904"/>
    <w:rsid w:val="003B2E70"/>
    <w:rsid w:val="003D190A"/>
    <w:rsid w:val="003D7389"/>
    <w:rsid w:val="003E7352"/>
    <w:rsid w:val="003F2521"/>
    <w:rsid w:val="003F3C2C"/>
    <w:rsid w:val="003F6D55"/>
    <w:rsid w:val="004116E3"/>
    <w:rsid w:val="00417BED"/>
    <w:rsid w:val="00420E14"/>
    <w:rsid w:val="00422E40"/>
    <w:rsid w:val="00426E07"/>
    <w:rsid w:val="004651CD"/>
    <w:rsid w:val="004838EA"/>
    <w:rsid w:val="004A7116"/>
    <w:rsid w:val="004D34DF"/>
    <w:rsid w:val="004E4F1A"/>
    <w:rsid w:val="004F5138"/>
    <w:rsid w:val="0050220B"/>
    <w:rsid w:val="0050560C"/>
    <w:rsid w:val="00505736"/>
    <w:rsid w:val="0050762C"/>
    <w:rsid w:val="00515F3B"/>
    <w:rsid w:val="005221B1"/>
    <w:rsid w:val="00524390"/>
    <w:rsid w:val="005257AA"/>
    <w:rsid w:val="00542819"/>
    <w:rsid w:val="00547751"/>
    <w:rsid w:val="00550B4A"/>
    <w:rsid w:val="00550D0C"/>
    <w:rsid w:val="00551289"/>
    <w:rsid w:val="00553E8A"/>
    <w:rsid w:val="00564DBE"/>
    <w:rsid w:val="00572642"/>
    <w:rsid w:val="005A4A81"/>
    <w:rsid w:val="005B4B3C"/>
    <w:rsid w:val="005B6A45"/>
    <w:rsid w:val="005C5695"/>
    <w:rsid w:val="005F6B2B"/>
    <w:rsid w:val="0061747E"/>
    <w:rsid w:val="00621736"/>
    <w:rsid w:val="006267A2"/>
    <w:rsid w:val="00655348"/>
    <w:rsid w:val="00655F75"/>
    <w:rsid w:val="00666567"/>
    <w:rsid w:val="0067059C"/>
    <w:rsid w:val="00684AA9"/>
    <w:rsid w:val="006A4BE7"/>
    <w:rsid w:val="006B35BE"/>
    <w:rsid w:val="006B6B46"/>
    <w:rsid w:val="006C081C"/>
    <w:rsid w:val="006C2201"/>
    <w:rsid w:val="006D581B"/>
    <w:rsid w:val="006D5B8D"/>
    <w:rsid w:val="006E34D6"/>
    <w:rsid w:val="006E58AF"/>
    <w:rsid w:val="006E7916"/>
    <w:rsid w:val="00703BAD"/>
    <w:rsid w:val="007131D9"/>
    <w:rsid w:val="0072362E"/>
    <w:rsid w:val="007507D0"/>
    <w:rsid w:val="00773775"/>
    <w:rsid w:val="00792399"/>
    <w:rsid w:val="0079580C"/>
    <w:rsid w:val="007A6631"/>
    <w:rsid w:val="007B6C06"/>
    <w:rsid w:val="007C4B2A"/>
    <w:rsid w:val="007C5F34"/>
    <w:rsid w:val="007D0185"/>
    <w:rsid w:val="007F7789"/>
    <w:rsid w:val="0081127B"/>
    <w:rsid w:val="008160BD"/>
    <w:rsid w:val="00817585"/>
    <w:rsid w:val="00817DB7"/>
    <w:rsid w:val="00824AAB"/>
    <w:rsid w:val="00827C15"/>
    <w:rsid w:val="008421F0"/>
    <w:rsid w:val="00854342"/>
    <w:rsid w:val="00861CCC"/>
    <w:rsid w:val="00862C36"/>
    <w:rsid w:val="008659A5"/>
    <w:rsid w:val="00866CE0"/>
    <w:rsid w:val="00866D79"/>
    <w:rsid w:val="00870B0C"/>
    <w:rsid w:val="00877BEB"/>
    <w:rsid w:val="00880FC1"/>
    <w:rsid w:val="008C0202"/>
    <w:rsid w:val="008C373E"/>
    <w:rsid w:val="008D2370"/>
    <w:rsid w:val="008E4C38"/>
    <w:rsid w:val="008F1E6A"/>
    <w:rsid w:val="00900A35"/>
    <w:rsid w:val="00924DC9"/>
    <w:rsid w:val="00943B51"/>
    <w:rsid w:val="0094415D"/>
    <w:rsid w:val="0094649C"/>
    <w:rsid w:val="00950A59"/>
    <w:rsid w:val="009534E9"/>
    <w:rsid w:val="00963EE7"/>
    <w:rsid w:val="00970AE7"/>
    <w:rsid w:val="00981C84"/>
    <w:rsid w:val="009A3806"/>
    <w:rsid w:val="009B0A43"/>
    <w:rsid w:val="009B380F"/>
    <w:rsid w:val="009B3D60"/>
    <w:rsid w:val="009D0D76"/>
    <w:rsid w:val="009E0822"/>
    <w:rsid w:val="009F78CD"/>
    <w:rsid w:val="00A051A7"/>
    <w:rsid w:val="00A264A2"/>
    <w:rsid w:val="00A419DD"/>
    <w:rsid w:val="00A70D94"/>
    <w:rsid w:val="00A71148"/>
    <w:rsid w:val="00A855EE"/>
    <w:rsid w:val="00A900FC"/>
    <w:rsid w:val="00A97B40"/>
    <w:rsid w:val="00AA5200"/>
    <w:rsid w:val="00AA582F"/>
    <w:rsid w:val="00AB07F1"/>
    <w:rsid w:val="00AC1295"/>
    <w:rsid w:val="00AC1E11"/>
    <w:rsid w:val="00AC5232"/>
    <w:rsid w:val="00AE1056"/>
    <w:rsid w:val="00AE17F1"/>
    <w:rsid w:val="00AE2D86"/>
    <w:rsid w:val="00AE4A9A"/>
    <w:rsid w:val="00AE7575"/>
    <w:rsid w:val="00AF43AE"/>
    <w:rsid w:val="00B34A7D"/>
    <w:rsid w:val="00B426FA"/>
    <w:rsid w:val="00B45418"/>
    <w:rsid w:val="00B45934"/>
    <w:rsid w:val="00B77021"/>
    <w:rsid w:val="00B856A3"/>
    <w:rsid w:val="00BA110F"/>
    <w:rsid w:val="00BA6F04"/>
    <w:rsid w:val="00BC6D12"/>
    <w:rsid w:val="00BE0432"/>
    <w:rsid w:val="00BE1514"/>
    <w:rsid w:val="00BE6369"/>
    <w:rsid w:val="00C02739"/>
    <w:rsid w:val="00C04192"/>
    <w:rsid w:val="00C21731"/>
    <w:rsid w:val="00C268A1"/>
    <w:rsid w:val="00C278FE"/>
    <w:rsid w:val="00C40AAD"/>
    <w:rsid w:val="00C41A90"/>
    <w:rsid w:val="00C50625"/>
    <w:rsid w:val="00C577D4"/>
    <w:rsid w:val="00C73D62"/>
    <w:rsid w:val="00C82137"/>
    <w:rsid w:val="00CA081A"/>
    <w:rsid w:val="00CA4BCE"/>
    <w:rsid w:val="00CB2E6A"/>
    <w:rsid w:val="00CB4E71"/>
    <w:rsid w:val="00CD7A12"/>
    <w:rsid w:val="00CE3661"/>
    <w:rsid w:val="00CE57DD"/>
    <w:rsid w:val="00CF086A"/>
    <w:rsid w:val="00CF0F00"/>
    <w:rsid w:val="00D251A6"/>
    <w:rsid w:val="00D314D4"/>
    <w:rsid w:val="00D4502A"/>
    <w:rsid w:val="00D50AB1"/>
    <w:rsid w:val="00D52B06"/>
    <w:rsid w:val="00D67F40"/>
    <w:rsid w:val="00D77DF7"/>
    <w:rsid w:val="00D853D5"/>
    <w:rsid w:val="00D953F8"/>
    <w:rsid w:val="00DB0CC6"/>
    <w:rsid w:val="00DB5750"/>
    <w:rsid w:val="00DE1083"/>
    <w:rsid w:val="00DE54DA"/>
    <w:rsid w:val="00DE5969"/>
    <w:rsid w:val="00DF45EF"/>
    <w:rsid w:val="00E052C0"/>
    <w:rsid w:val="00E15127"/>
    <w:rsid w:val="00E17734"/>
    <w:rsid w:val="00E25736"/>
    <w:rsid w:val="00E25BF1"/>
    <w:rsid w:val="00E30EC4"/>
    <w:rsid w:val="00E36456"/>
    <w:rsid w:val="00E527AC"/>
    <w:rsid w:val="00E545B8"/>
    <w:rsid w:val="00E63A45"/>
    <w:rsid w:val="00E70DCD"/>
    <w:rsid w:val="00E75E15"/>
    <w:rsid w:val="00E76610"/>
    <w:rsid w:val="00E820AF"/>
    <w:rsid w:val="00E938A9"/>
    <w:rsid w:val="00EA25C0"/>
    <w:rsid w:val="00EA5F46"/>
    <w:rsid w:val="00EB1FB0"/>
    <w:rsid w:val="00EB5269"/>
    <w:rsid w:val="00EC1E70"/>
    <w:rsid w:val="00EE63B2"/>
    <w:rsid w:val="00EF2156"/>
    <w:rsid w:val="00EF4721"/>
    <w:rsid w:val="00F02BAB"/>
    <w:rsid w:val="00F14767"/>
    <w:rsid w:val="00F1738A"/>
    <w:rsid w:val="00F249EE"/>
    <w:rsid w:val="00F26FD4"/>
    <w:rsid w:val="00F27476"/>
    <w:rsid w:val="00F53EAF"/>
    <w:rsid w:val="00F82316"/>
    <w:rsid w:val="00F94111"/>
    <w:rsid w:val="00F955EB"/>
    <w:rsid w:val="00FB1B27"/>
    <w:rsid w:val="00FB4F50"/>
    <w:rsid w:val="00FD5D68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FC9B"/>
  <w15:docId w15:val="{E08DD712-0922-46D6-81E0-7E645DF1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A081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081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A081A"/>
    <w:rPr>
      <w:vertAlign w:val="superscript"/>
    </w:rPr>
  </w:style>
  <w:style w:type="character" w:styleId="Odkaznakoment">
    <w:name w:val="annotation reference"/>
    <w:rsid w:val="004D34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D34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F778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E129-8588-4ED8-A74A-231259D8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Lucie Rulíková</cp:lastModifiedBy>
  <cp:revision>3</cp:revision>
  <cp:lastPrinted>2020-09-09T14:11:00Z</cp:lastPrinted>
  <dcterms:created xsi:type="dcterms:W3CDTF">2024-08-21T11:59:00Z</dcterms:created>
  <dcterms:modified xsi:type="dcterms:W3CDTF">2024-08-21T12:33:00Z</dcterms:modified>
</cp:coreProperties>
</file>