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05F3A" w14:textId="06C1D6FB" w:rsidR="007006BB" w:rsidRDefault="0008524F" w:rsidP="0008524F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70C0"/>
          <w:sz w:val="28"/>
          <w:szCs w:val="28"/>
        </w:rPr>
      </w:pPr>
      <w:r w:rsidRPr="00BC3DA2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BC3DA2">
        <w:rPr>
          <w:rFonts w:ascii="Arial" w:hAnsi="Arial" w:cs="Arial"/>
          <w:b/>
          <w:color w:val="0070C0"/>
          <w:sz w:val="28"/>
          <w:szCs w:val="28"/>
        </w:rPr>
        <w:t xml:space="preserve">k návrhu </w:t>
      </w:r>
      <w:r>
        <w:rPr>
          <w:rFonts w:ascii="Arial" w:hAnsi="Arial" w:cs="Arial"/>
          <w:b/>
          <w:color w:val="0070C0"/>
          <w:sz w:val="28"/>
          <w:szCs w:val="28"/>
        </w:rPr>
        <w:t>Metodiky</w:t>
      </w:r>
      <w:r w:rsidR="00845FEF" w:rsidRPr="00845FEF">
        <w:rPr>
          <w:rFonts w:ascii="Arial" w:hAnsi="Arial" w:cs="Arial"/>
          <w:b/>
          <w:color w:val="0070C0"/>
          <w:sz w:val="28"/>
          <w:szCs w:val="28"/>
        </w:rPr>
        <w:t xml:space="preserve"> mezinárodního peer-</w:t>
      </w:r>
      <w:proofErr w:type="spellStart"/>
      <w:r w:rsidR="00845FEF" w:rsidRPr="00845FEF">
        <w:rPr>
          <w:rFonts w:ascii="Arial" w:hAnsi="Arial" w:cs="Arial"/>
          <w:b/>
          <w:color w:val="0070C0"/>
          <w:sz w:val="28"/>
          <w:szCs w:val="28"/>
        </w:rPr>
        <w:t>review</w:t>
      </w:r>
      <w:proofErr w:type="spellEnd"/>
      <w:r w:rsidR="00845FEF" w:rsidRPr="00845FEF">
        <w:rPr>
          <w:rFonts w:ascii="Arial" w:hAnsi="Arial" w:cs="Arial"/>
          <w:b/>
          <w:color w:val="0070C0"/>
          <w:sz w:val="28"/>
          <w:szCs w:val="28"/>
        </w:rPr>
        <w:t xml:space="preserve"> hodnocení v</w:t>
      </w:r>
      <w:r w:rsidR="00845FEF">
        <w:rPr>
          <w:rFonts w:ascii="Arial" w:hAnsi="Arial" w:cs="Arial"/>
          <w:b/>
          <w:color w:val="0070C0"/>
          <w:sz w:val="28"/>
          <w:szCs w:val="28"/>
        </w:rPr>
        <w:t>elkých výzkumných infrastruktur ČR</w:t>
      </w:r>
    </w:p>
    <w:p w14:paraId="5561201E" w14:textId="77777777" w:rsidR="00132C7B" w:rsidRPr="007006BB" w:rsidRDefault="00132C7B" w:rsidP="0008524F">
      <w:pPr>
        <w:autoSpaceDE w:val="0"/>
        <w:autoSpaceDN w:val="0"/>
        <w:adjustRightInd w:val="0"/>
        <w:spacing w:before="120" w:after="120"/>
        <w:rPr>
          <w:rFonts w:ascii="Helv" w:eastAsiaTheme="minorHAnsi" w:hAnsi="Helv" w:cs="Helv"/>
          <w:color w:val="000000"/>
          <w:sz w:val="20"/>
          <w:szCs w:val="20"/>
          <w:lang w:eastAsia="en-US"/>
        </w:rPr>
      </w:pPr>
    </w:p>
    <w:p w14:paraId="58D22044" w14:textId="77777777" w:rsidR="00001A17" w:rsidRPr="00E322CA" w:rsidRDefault="00001A17" w:rsidP="00E322CA">
      <w:pPr>
        <w:pStyle w:val="Odstavecseseznamem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b/>
          <w:color w:val="4F81BD" w:themeColor="accent1"/>
        </w:rPr>
      </w:pPr>
      <w:r w:rsidRPr="00E322CA">
        <w:rPr>
          <w:rFonts w:ascii="Arial" w:hAnsi="Arial" w:cs="Arial"/>
          <w:b/>
          <w:color w:val="4F81BD" w:themeColor="accent1"/>
        </w:rPr>
        <w:t>Způsob předložení a projednání návrhu</w:t>
      </w:r>
    </w:p>
    <w:p w14:paraId="102CB5A3" w14:textId="71DBB5AE" w:rsidR="00500218" w:rsidRPr="00CB7339" w:rsidRDefault="00500218" w:rsidP="00CB7339">
      <w:p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Dopisem Ministerstva školství, mládeže a tělovýchovy</w:t>
      </w:r>
      <w:r w:rsidR="007A0A08" w:rsidRPr="00E322CA">
        <w:rPr>
          <w:rFonts w:ascii="Arial" w:hAnsi="Arial" w:cs="Arial"/>
        </w:rPr>
        <w:t xml:space="preserve"> (dále MŠMT)</w:t>
      </w:r>
      <w:r w:rsidRPr="00E322CA">
        <w:rPr>
          <w:rFonts w:ascii="Arial" w:hAnsi="Arial" w:cs="Arial"/>
        </w:rPr>
        <w:t xml:space="preserve"> ze dne </w:t>
      </w:r>
      <w:r w:rsidR="005A341E" w:rsidRPr="00E322CA">
        <w:rPr>
          <w:rFonts w:ascii="Arial" w:hAnsi="Arial" w:cs="Arial"/>
        </w:rPr>
        <w:t xml:space="preserve">15. října 2024 čj. MSMT-15729/2024-3 </w:t>
      </w:r>
      <w:r w:rsidRPr="00E322CA">
        <w:rPr>
          <w:rFonts w:ascii="Arial" w:hAnsi="Arial" w:cs="Arial"/>
        </w:rPr>
        <w:t xml:space="preserve">byl </w:t>
      </w:r>
      <w:r w:rsidR="009C35FD" w:rsidRPr="00E322CA">
        <w:rPr>
          <w:rFonts w:ascii="Arial" w:hAnsi="Arial" w:cs="Arial"/>
        </w:rPr>
        <w:t>Radě pro výzkum,</w:t>
      </w:r>
      <w:r w:rsidRPr="00E322CA">
        <w:rPr>
          <w:rFonts w:ascii="Arial" w:hAnsi="Arial" w:cs="Arial"/>
        </w:rPr>
        <w:t xml:space="preserve"> vývoj i inovace</w:t>
      </w:r>
      <w:r w:rsidR="00B70859" w:rsidRPr="00E322CA">
        <w:rPr>
          <w:rFonts w:ascii="Arial" w:hAnsi="Arial" w:cs="Arial"/>
        </w:rPr>
        <w:t xml:space="preserve"> (dále Rada</w:t>
      </w:r>
      <w:r w:rsidR="001908B2" w:rsidRPr="00E322CA">
        <w:rPr>
          <w:rFonts w:ascii="Arial" w:hAnsi="Arial" w:cs="Arial"/>
        </w:rPr>
        <w:t>, RVVI</w:t>
      </w:r>
      <w:r w:rsidR="00B70859" w:rsidRPr="00E322CA">
        <w:rPr>
          <w:rFonts w:ascii="Arial" w:hAnsi="Arial" w:cs="Arial"/>
        </w:rPr>
        <w:t>)</w:t>
      </w:r>
      <w:r w:rsidRPr="00E322CA">
        <w:rPr>
          <w:rFonts w:ascii="Arial" w:hAnsi="Arial" w:cs="Arial"/>
        </w:rPr>
        <w:t xml:space="preserve"> předložen návrh metodiky mezinárodního peer-</w:t>
      </w:r>
      <w:proofErr w:type="spellStart"/>
      <w:r w:rsidRPr="00E322CA">
        <w:rPr>
          <w:rFonts w:ascii="Arial" w:hAnsi="Arial" w:cs="Arial"/>
        </w:rPr>
        <w:t>review</w:t>
      </w:r>
      <w:proofErr w:type="spellEnd"/>
      <w:r w:rsidRPr="00E322CA">
        <w:rPr>
          <w:rFonts w:ascii="Arial" w:hAnsi="Arial" w:cs="Arial"/>
        </w:rPr>
        <w:t xml:space="preserve"> hodnocení velkých výzkumných infrastruktur ČR</w:t>
      </w:r>
      <w:r w:rsidR="007A0A08" w:rsidRPr="00E322CA">
        <w:rPr>
          <w:rFonts w:ascii="Arial" w:hAnsi="Arial" w:cs="Arial"/>
        </w:rPr>
        <w:t xml:space="preserve"> (dále VVI)</w:t>
      </w:r>
      <w:r w:rsidRPr="00E322CA">
        <w:rPr>
          <w:rFonts w:ascii="Arial" w:hAnsi="Arial" w:cs="Arial"/>
        </w:rPr>
        <w:t>, které se uskuteční v roce 2025</w:t>
      </w:r>
      <w:r w:rsidRPr="00CB7339">
        <w:rPr>
          <w:rFonts w:ascii="Arial" w:hAnsi="Arial" w:cs="Arial"/>
        </w:rPr>
        <w:t xml:space="preserve">. </w:t>
      </w:r>
      <w:r w:rsidR="00E81D91" w:rsidRPr="00E81D91">
        <w:rPr>
          <w:rFonts w:ascii="Arial" w:hAnsi="Arial" w:cs="Arial"/>
        </w:rPr>
        <w:t>Tento materiál není určen  k projednání vládou</w:t>
      </w:r>
      <w:r w:rsidR="00436503">
        <w:rPr>
          <w:rFonts w:ascii="Arial" w:hAnsi="Arial" w:cs="Arial"/>
        </w:rPr>
        <w:t xml:space="preserve">, </w:t>
      </w:r>
      <w:r w:rsidR="00E81D91" w:rsidRPr="00E81D91">
        <w:rPr>
          <w:rFonts w:ascii="Arial" w:hAnsi="Arial" w:cs="Arial"/>
        </w:rPr>
        <w:t xml:space="preserve">MŠMT si pouze vyžádalo </w:t>
      </w:r>
      <w:r w:rsidR="00436503">
        <w:rPr>
          <w:rFonts w:ascii="Arial" w:hAnsi="Arial" w:cs="Arial"/>
        </w:rPr>
        <w:t>toto s</w:t>
      </w:r>
      <w:r w:rsidR="00E81D91" w:rsidRPr="00E81D91">
        <w:rPr>
          <w:rFonts w:ascii="Arial" w:hAnsi="Arial" w:cs="Arial"/>
        </w:rPr>
        <w:t>tanovisko za účelem zapojení Rady již od počátku procesu, který předchází schválení materiálu k financování jednotlivých VVI na jednání vlády.</w:t>
      </w:r>
    </w:p>
    <w:p w14:paraId="1E40D508" w14:textId="77777777" w:rsidR="00B70859" w:rsidRPr="00E322CA" w:rsidRDefault="00500218" w:rsidP="00CB7339">
      <w:p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V návaznosti na schválení velkých výzkumných infrastruktur k jejich financování z</w:t>
      </w:r>
      <w:r w:rsidR="008D6249" w:rsidRPr="00E322CA">
        <w:rPr>
          <w:rFonts w:ascii="Arial" w:hAnsi="Arial" w:cs="Arial"/>
        </w:rPr>
        <w:t> </w:t>
      </w:r>
      <w:r w:rsidRPr="00E322CA">
        <w:rPr>
          <w:rFonts w:ascii="Arial" w:hAnsi="Arial" w:cs="Arial"/>
        </w:rPr>
        <w:t xml:space="preserve">veřejných prostředků ČR v období do roku 2026 – usnesení vlády ČR ze dne </w:t>
      </w:r>
      <w:r w:rsidR="006369D6" w:rsidRPr="00E322CA">
        <w:rPr>
          <w:rFonts w:ascii="Arial" w:hAnsi="Arial" w:cs="Arial"/>
        </w:rPr>
        <w:br/>
      </w:r>
      <w:r w:rsidRPr="00E322CA">
        <w:rPr>
          <w:rFonts w:ascii="Arial" w:hAnsi="Arial" w:cs="Arial"/>
        </w:rPr>
        <w:t xml:space="preserve">14. prosince 2021 č. 1043 – je nezbytné připravit systém podpory </w:t>
      </w:r>
      <w:r w:rsidR="007A0A08" w:rsidRPr="00E322CA">
        <w:rPr>
          <w:rFonts w:ascii="Arial" w:hAnsi="Arial" w:cs="Arial"/>
        </w:rPr>
        <w:t>VVI</w:t>
      </w:r>
      <w:r w:rsidRPr="00E322CA">
        <w:rPr>
          <w:rFonts w:ascii="Arial" w:hAnsi="Arial" w:cs="Arial"/>
        </w:rPr>
        <w:t xml:space="preserve"> pro období nadcházejícího víceletého rozpočtového rámce v letech 2027 až 2034.</w:t>
      </w:r>
    </w:p>
    <w:p w14:paraId="38394AD4" w14:textId="77777777" w:rsidR="00B70859" w:rsidRPr="00E322CA" w:rsidRDefault="00B70859" w:rsidP="00B70859">
      <w:p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Na 399. zasedání dne 22. března 2024 byl Radě předložen ke stanovisku metodický rámec mezinárodního hodnocení </w:t>
      </w:r>
      <w:r w:rsidR="007A0A08" w:rsidRPr="00E322CA">
        <w:rPr>
          <w:rFonts w:ascii="Arial" w:hAnsi="Arial" w:cs="Arial"/>
        </w:rPr>
        <w:t>VVI</w:t>
      </w:r>
      <w:r w:rsidRPr="00E322CA">
        <w:rPr>
          <w:rFonts w:ascii="Arial" w:hAnsi="Arial" w:cs="Arial"/>
        </w:rPr>
        <w:t xml:space="preserve">, a to v návaznosti na plnění usnesení vlády ČR ze dne 14. prosince 2022 č. 1043, kterým je </w:t>
      </w:r>
      <w:r w:rsidR="00AF65B1" w:rsidRPr="00E322CA">
        <w:rPr>
          <w:rFonts w:ascii="Arial" w:hAnsi="Arial" w:cs="Arial"/>
        </w:rPr>
        <w:t xml:space="preserve">MŠMT </w:t>
      </w:r>
      <w:r w:rsidRPr="00E322CA">
        <w:rPr>
          <w:rFonts w:ascii="Arial" w:hAnsi="Arial" w:cs="Arial"/>
        </w:rPr>
        <w:t>uloženo vypracovat aktualizaci tohoto metodického rámce tak, aby nově zahrnoval nástroje pro pokročilé vyhodnocení výsledků výzkumu, vývoje a inovací dosažených velkými výzkumnými infrastrukturami a jejich uživateli v režimu otevřeného přístupu na principu sběru dat z Informačního systému výzkumu, vývoje a inovací</w:t>
      </w:r>
      <w:r w:rsidR="006369D6" w:rsidRPr="00E322CA">
        <w:rPr>
          <w:rFonts w:ascii="Arial" w:hAnsi="Arial" w:cs="Arial"/>
        </w:rPr>
        <w:t>,</w:t>
      </w:r>
      <w:r w:rsidRPr="00E322CA">
        <w:rPr>
          <w:rFonts w:ascii="Arial" w:hAnsi="Arial" w:cs="Arial"/>
        </w:rPr>
        <w:t xml:space="preserve"> a aby zohledňoval nástroje pro pokročilé vyhodnocení socioekonomických přínosů a dopadů velkých výzkumných infrastruktur. Rada ve svém stanovisku uvedla 6 zásadních připomínek a požádala MŠMT, aby tyto připomínky zohlednilo a zapracovalo.</w:t>
      </w:r>
    </w:p>
    <w:p w14:paraId="08F88654" w14:textId="77777777" w:rsidR="00001A17" w:rsidRPr="00E322CA" w:rsidRDefault="00AF58A3" w:rsidP="00CB7339">
      <w:pPr>
        <w:pStyle w:val="Odstavecseseznamem"/>
        <w:numPr>
          <w:ilvl w:val="0"/>
          <w:numId w:val="2"/>
        </w:numPr>
        <w:spacing w:before="240" w:after="120"/>
        <w:ind w:left="714" w:hanging="357"/>
        <w:jc w:val="both"/>
        <w:rPr>
          <w:rFonts w:ascii="Arial" w:hAnsi="Arial" w:cs="Arial"/>
          <w:b/>
          <w:color w:val="0070C0"/>
        </w:rPr>
      </w:pPr>
      <w:r w:rsidRPr="00E322CA">
        <w:rPr>
          <w:rFonts w:ascii="Arial" w:hAnsi="Arial" w:cs="Arial"/>
          <w:b/>
          <w:color w:val="0070C0"/>
        </w:rPr>
        <w:t xml:space="preserve">Základní informace o </w:t>
      </w:r>
      <w:r w:rsidR="001F3E7C" w:rsidRPr="00E322CA">
        <w:rPr>
          <w:rFonts w:ascii="Arial" w:hAnsi="Arial" w:cs="Arial"/>
          <w:b/>
          <w:color w:val="0070C0"/>
        </w:rPr>
        <w:t>před</w:t>
      </w:r>
      <w:r w:rsidR="002E00EC" w:rsidRPr="00E322CA">
        <w:rPr>
          <w:rFonts w:ascii="Arial" w:hAnsi="Arial" w:cs="Arial"/>
          <w:b/>
          <w:color w:val="0070C0"/>
        </w:rPr>
        <w:t xml:space="preserve">loženém </w:t>
      </w:r>
      <w:r w:rsidRPr="00E322CA">
        <w:rPr>
          <w:rFonts w:ascii="Arial" w:hAnsi="Arial" w:cs="Arial"/>
          <w:b/>
          <w:color w:val="0070C0"/>
        </w:rPr>
        <w:t>materiálu</w:t>
      </w:r>
    </w:p>
    <w:p w14:paraId="4145F9CA" w14:textId="50862660" w:rsidR="002E00EC" w:rsidRPr="00E322CA" w:rsidRDefault="0094436D" w:rsidP="0008524F">
      <w:pPr>
        <w:spacing w:before="240"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Metodika mezinárodního peer-</w:t>
      </w:r>
      <w:proofErr w:type="spellStart"/>
      <w:r w:rsidRPr="00E322CA">
        <w:rPr>
          <w:rFonts w:ascii="Arial" w:hAnsi="Arial" w:cs="Arial"/>
        </w:rPr>
        <w:t>review</w:t>
      </w:r>
      <w:proofErr w:type="spellEnd"/>
      <w:r w:rsidRPr="00E322CA">
        <w:rPr>
          <w:rFonts w:ascii="Arial" w:hAnsi="Arial" w:cs="Arial"/>
        </w:rPr>
        <w:t xml:space="preserve"> hodnocení V</w:t>
      </w:r>
      <w:r w:rsidR="00A32CC8">
        <w:rPr>
          <w:rFonts w:ascii="Arial" w:hAnsi="Arial" w:cs="Arial"/>
        </w:rPr>
        <w:t>VI ČR má za cíl vytvořit hodnoti</w:t>
      </w:r>
      <w:r w:rsidRPr="00E322CA">
        <w:rPr>
          <w:rFonts w:ascii="Arial" w:hAnsi="Arial" w:cs="Arial"/>
        </w:rPr>
        <w:t>cí rámec pro průběžné sledování aktuálního stavu realizace a výkonnosti VVI, které byly vládou ČR schváleny k financování z veřejných prostředků do roku 2026. Těchto</w:t>
      </w:r>
      <w:r w:rsidR="00A32CC8">
        <w:rPr>
          <w:rFonts w:ascii="Arial" w:hAnsi="Arial" w:cs="Arial"/>
        </w:rPr>
        <w:t xml:space="preserve"> 44 VVI, které podléhají hodnoti</w:t>
      </w:r>
      <w:r w:rsidRPr="00E322CA">
        <w:rPr>
          <w:rFonts w:ascii="Arial" w:hAnsi="Arial" w:cs="Arial"/>
        </w:rPr>
        <w:t>cí proceduře, je zahrnuto do aktualizace Cestovní mapy velkých výzkumných infrastruktur ČR pro léta 2023-2026. Kromě postupu průběžného hodnocení velkých výzkumných infrastruktur, které již byly podpořeny z veřejných prostředků ČR, se metodický rámec vztahuje také na ex-ante hodnocení nových návrhů projektů velkých výzkumných infrastruktur, které budou předkládány jako zcela nové projekty pro vstup do Cestovní mapy velkých výzkumných infrastruktur ČR v roce 2027.</w:t>
      </w:r>
    </w:p>
    <w:p w14:paraId="348C99D8" w14:textId="44FD8641" w:rsidR="00500218" w:rsidRDefault="00500218" w:rsidP="0008524F">
      <w:pPr>
        <w:spacing w:before="240"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Evaluace bude směřovat k získání nezávislých odborných podkladů k přijetí informovaného politického rozhodnutí vlády ČR o podpoře velkých výzkumných infrastruktur z veřejných prostředků ČR v období let 2027 až 2034, jakož i pro další aktualizaci Cestovní mapy velkých výzkumných infrastruktur ČR.</w:t>
      </w:r>
    </w:p>
    <w:p w14:paraId="4D143724" w14:textId="01DCF830" w:rsidR="00132C7B" w:rsidRDefault="00132C7B" w:rsidP="0008524F">
      <w:pPr>
        <w:spacing w:before="240" w:after="120"/>
        <w:jc w:val="both"/>
        <w:rPr>
          <w:rFonts w:ascii="Arial" w:hAnsi="Arial" w:cs="Arial"/>
        </w:rPr>
      </w:pPr>
    </w:p>
    <w:p w14:paraId="10F6B6AF" w14:textId="77777777" w:rsidR="0094436D" w:rsidRPr="00E322CA" w:rsidRDefault="00C808A3" w:rsidP="0008524F">
      <w:pPr>
        <w:spacing w:before="240"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lastRenderedPageBreak/>
        <w:t>Předkládaný materiál obsahuje:</w:t>
      </w:r>
    </w:p>
    <w:p w14:paraId="63CB086D" w14:textId="77777777" w:rsidR="00FF1E5A" w:rsidRPr="00E322CA" w:rsidRDefault="007A3524" w:rsidP="0055761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Metodiku</w:t>
      </w:r>
      <w:r w:rsidR="00FF1E5A" w:rsidRPr="00E322CA">
        <w:rPr>
          <w:rFonts w:ascii="Arial" w:hAnsi="Arial" w:cs="Arial"/>
        </w:rPr>
        <w:t xml:space="preserve"> mezinárodního peer-</w:t>
      </w:r>
      <w:proofErr w:type="spellStart"/>
      <w:r w:rsidR="00FF1E5A" w:rsidRPr="00E322CA">
        <w:rPr>
          <w:rFonts w:ascii="Arial" w:hAnsi="Arial" w:cs="Arial"/>
        </w:rPr>
        <w:t>review</w:t>
      </w:r>
      <w:proofErr w:type="spellEnd"/>
      <w:r w:rsidR="00FF1E5A" w:rsidRPr="00E322CA">
        <w:rPr>
          <w:rFonts w:ascii="Arial" w:hAnsi="Arial" w:cs="Arial"/>
        </w:rPr>
        <w:t xml:space="preserve"> hodnocení velkých výzkumných infrastruktur ČR; </w:t>
      </w:r>
    </w:p>
    <w:p w14:paraId="7F0F27EB" w14:textId="77777777" w:rsidR="00FF1E5A" w:rsidRPr="00E322CA" w:rsidRDefault="00FF1E5A" w:rsidP="0055761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Formulář k vyplnění dokumentace k hodnocení ze strany velké výzkumné infrastruktury;</w:t>
      </w:r>
    </w:p>
    <w:p w14:paraId="037B58E9" w14:textId="77777777" w:rsidR="00FF1E5A" w:rsidRPr="00E322CA" w:rsidRDefault="00FF1E5A" w:rsidP="0055761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Formuláře k vyplnění přehledu nejlepších dosažených výsledků výzkumu, vývoje a inovací;</w:t>
      </w:r>
    </w:p>
    <w:p w14:paraId="2E0EA3E9" w14:textId="62DEF2C5" w:rsidR="00FF1E5A" w:rsidRPr="00E322CA" w:rsidRDefault="00FF1E5A" w:rsidP="0055761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Formulář konsensuálního posudku vědně-obor</w:t>
      </w:r>
      <w:r w:rsidR="00A32CC8">
        <w:rPr>
          <w:rFonts w:ascii="Arial" w:hAnsi="Arial" w:cs="Arial"/>
        </w:rPr>
        <w:t>ového panelu mezinárodní hodnoti</w:t>
      </w:r>
      <w:r w:rsidRPr="00E322CA">
        <w:rPr>
          <w:rFonts w:ascii="Arial" w:hAnsi="Arial" w:cs="Arial"/>
        </w:rPr>
        <w:t>cí komise.</w:t>
      </w:r>
    </w:p>
    <w:p w14:paraId="02B2DD24" w14:textId="28FA9EC4" w:rsidR="00500218" w:rsidRPr="00E322CA" w:rsidRDefault="00E7289B" w:rsidP="00CB3077">
      <w:p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Návrhy VVI jsou hodnoceny jednotlivými vědně-oborovými panely, ustanovenými pro každou z 6 vědeckých oblastí</w:t>
      </w:r>
      <w:r w:rsidR="00884AE5" w:rsidRPr="00E322CA">
        <w:rPr>
          <w:rFonts w:ascii="Arial" w:hAnsi="Arial" w:cs="Arial"/>
        </w:rPr>
        <w:t xml:space="preserve">. </w:t>
      </w:r>
      <w:r w:rsidRPr="00E322CA">
        <w:rPr>
          <w:rFonts w:ascii="Arial" w:hAnsi="Arial" w:cs="Arial"/>
        </w:rPr>
        <w:t>Vědně-oborové panely mají 6–8 členů z řad špičkových vědců evropské a světové úrovně a jsou zcela zodpovědní za výsledné hodnocení (</w:t>
      </w:r>
      <w:proofErr w:type="spellStart"/>
      <w:r w:rsidRPr="00E322CA">
        <w:rPr>
          <w:rFonts w:ascii="Arial" w:hAnsi="Arial" w:cs="Arial"/>
        </w:rPr>
        <w:t>Consensus</w:t>
      </w:r>
      <w:proofErr w:type="spellEnd"/>
      <w:r w:rsidRPr="00E322CA">
        <w:rPr>
          <w:rFonts w:ascii="Arial" w:hAnsi="Arial" w:cs="Arial"/>
        </w:rPr>
        <w:t xml:space="preserve"> Report). Ke každému návrhu VVI jsou také vypracovány 3 oponentské posudky (</w:t>
      </w:r>
      <w:proofErr w:type="spellStart"/>
      <w:r w:rsidRPr="00E322CA">
        <w:rPr>
          <w:rFonts w:ascii="Arial" w:hAnsi="Arial" w:cs="Arial"/>
        </w:rPr>
        <w:t>External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Review</w:t>
      </w:r>
      <w:proofErr w:type="spellEnd"/>
      <w:r w:rsidRPr="00E322CA">
        <w:rPr>
          <w:rFonts w:ascii="Arial" w:hAnsi="Arial" w:cs="Arial"/>
        </w:rPr>
        <w:t xml:space="preserve"> Report) zahraničními výzkumnými pracovníky specializovanými na konkrétní vědecké zaměření dané VVI. Tyto posudky jsou jední</w:t>
      </w:r>
      <w:r w:rsidR="00A32CC8">
        <w:rPr>
          <w:rFonts w:ascii="Arial" w:hAnsi="Arial" w:cs="Arial"/>
        </w:rPr>
        <w:t>m z podkladů, které mají hodnoti</w:t>
      </w:r>
      <w:r w:rsidRPr="00E322CA">
        <w:rPr>
          <w:rFonts w:ascii="Arial" w:hAnsi="Arial" w:cs="Arial"/>
        </w:rPr>
        <w:t>cí panely k dispozici. Podkladové materiály pro hodnocení jsou:</w:t>
      </w:r>
      <w:r w:rsidR="00A32CC8">
        <w:rPr>
          <w:rFonts w:ascii="Arial" w:hAnsi="Arial" w:cs="Arial"/>
        </w:rPr>
        <w:t xml:space="preserve"> hodnoti</w:t>
      </w:r>
      <w:r w:rsidRPr="00E322CA">
        <w:rPr>
          <w:rFonts w:ascii="Arial" w:hAnsi="Arial" w:cs="Arial"/>
        </w:rPr>
        <w:t>cí formulář</w:t>
      </w:r>
      <w:r w:rsidR="00ED26FC" w:rsidRPr="00E322CA">
        <w:rPr>
          <w:rFonts w:ascii="Arial" w:hAnsi="Arial" w:cs="Arial"/>
        </w:rPr>
        <w:t>, ext</w:t>
      </w:r>
      <w:r w:rsidRPr="00E322CA">
        <w:rPr>
          <w:rFonts w:ascii="Arial" w:hAnsi="Arial" w:cs="Arial"/>
        </w:rPr>
        <w:t>erní oponentské posudky</w:t>
      </w:r>
      <w:r w:rsidR="00ED26FC" w:rsidRPr="00E322CA">
        <w:rPr>
          <w:rFonts w:ascii="Arial" w:hAnsi="Arial" w:cs="Arial"/>
        </w:rPr>
        <w:t xml:space="preserve"> a o</w:t>
      </w:r>
      <w:r w:rsidRPr="00E322CA">
        <w:rPr>
          <w:rFonts w:ascii="Arial" w:hAnsi="Arial" w:cs="Arial"/>
        </w:rPr>
        <w:t>bhajoba VVI před panelem</w:t>
      </w:r>
      <w:r w:rsidR="00ED26FC" w:rsidRPr="00E322CA">
        <w:rPr>
          <w:rFonts w:ascii="Arial" w:hAnsi="Arial" w:cs="Arial"/>
        </w:rPr>
        <w:t>.</w:t>
      </w:r>
    </w:p>
    <w:p w14:paraId="22DA6A19" w14:textId="77777777" w:rsidR="00884AE5" w:rsidRPr="00E322CA" w:rsidRDefault="00884AE5" w:rsidP="007A0A08">
      <w:pPr>
        <w:jc w:val="both"/>
        <w:rPr>
          <w:rFonts w:ascii="Arial" w:hAnsi="Arial" w:cs="Arial"/>
        </w:rPr>
      </w:pPr>
    </w:p>
    <w:p w14:paraId="30250785" w14:textId="7B7F6AED" w:rsidR="00ED26FC" w:rsidRPr="00E322CA" w:rsidRDefault="00F261B7" w:rsidP="007A0A08">
      <w:p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MŠMT v materiálu uvádí, že n</w:t>
      </w:r>
      <w:r w:rsidR="00ED26FC" w:rsidRPr="00E322CA">
        <w:rPr>
          <w:rFonts w:ascii="Arial" w:hAnsi="Arial" w:cs="Arial"/>
        </w:rPr>
        <w:t xml:space="preserve">a základě požadavků vznesených ze strany </w:t>
      </w:r>
      <w:r w:rsidR="007A0A08" w:rsidRPr="00E322CA">
        <w:rPr>
          <w:rFonts w:ascii="Arial" w:hAnsi="Arial" w:cs="Arial"/>
        </w:rPr>
        <w:t>Rady k</w:t>
      </w:r>
      <w:r w:rsidR="002E00EC" w:rsidRPr="00E322CA">
        <w:rPr>
          <w:rFonts w:ascii="Arial" w:hAnsi="Arial" w:cs="Arial"/>
        </w:rPr>
        <w:t> </w:t>
      </w:r>
      <w:r w:rsidR="007A0A08" w:rsidRPr="00E322CA">
        <w:rPr>
          <w:rFonts w:ascii="Arial" w:hAnsi="Arial" w:cs="Arial"/>
        </w:rPr>
        <w:t xml:space="preserve">Metodickému rámci pro mezinárodní hodnocení velkých výzkumných infrastruktur, které vyplynuly na základě stanoviska Rady přijatého na jejím 399. zasedání dne </w:t>
      </w:r>
      <w:r w:rsidR="00A32CC8">
        <w:rPr>
          <w:rFonts w:ascii="Arial" w:hAnsi="Arial" w:cs="Arial"/>
        </w:rPr>
        <w:br/>
      </w:r>
      <w:r w:rsidR="007A0A08" w:rsidRPr="00E322CA">
        <w:rPr>
          <w:rFonts w:ascii="Arial" w:hAnsi="Arial" w:cs="Arial"/>
        </w:rPr>
        <w:t>22. března 2024</w:t>
      </w:r>
      <w:r w:rsidR="000D1E04" w:rsidRPr="00E322CA">
        <w:rPr>
          <w:rFonts w:ascii="Arial" w:hAnsi="Arial" w:cs="Arial"/>
        </w:rPr>
        <w:t xml:space="preserve">, došlo v předkládané </w:t>
      </w:r>
      <w:r w:rsidR="009C35FD" w:rsidRPr="00E322CA">
        <w:rPr>
          <w:rFonts w:ascii="Arial" w:hAnsi="Arial" w:cs="Arial"/>
        </w:rPr>
        <w:t>metodice</w:t>
      </w:r>
      <w:r w:rsidR="000D1E04" w:rsidRPr="00E322CA">
        <w:rPr>
          <w:rFonts w:ascii="Arial" w:hAnsi="Arial" w:cs="Arial"/>
        </w:rPr>
        <w:t>:</w:t>
      </w:r>
    </w:p>
    <w:p w14:paraId="179E39E8" w14:textId="0910A4D7" w:rsidR="00ED26FC" w:rsidRPr="00E322CA" w:rsidRDefault="000D1E04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k </w:t>
      </w:r>
      <w:r w:rsidR="00A32CC8">
        <w:rPr>
          <w:rFonts w:ascii="Arial" w:hAnsi="Arial" w:cs="Arial"/>
        </w:rPr>
        <w:t>rozšíření hodnoti</w:t>
      </w:r>
      <w:r w:rsidR="00ED26FC" w:rsidRPr="00E322CA">
        <w:rPr>
          <w:rFonts w:ascii="Arial" w:hAnsi="Arial" w:cs="Arial"/>
        </w:rPr>
        <w:t>cích panelů o člena se zkušenostmi s českým výzkumným prostředím,</w:t>
      </w:r>
    </w:p>
    <w:p w14:paraId="2C2042CA" w14:textId="77777777" w:rsidR="00ED26FC" w:rsidRPr="00E322CA" w:rsidRDefault="000D1E04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k </w:t>
      </w:r>
      <w:r w:rsidR="00ED26FC" w:rsidRPr="00E322CA">
        <w:rPr>
          <w:rFonts w:ascii="Arial" w:hAnsi="Arial" w:cs="Arial"/>
        </w:rPr>
        <w:t xml:space="preserve">rozšíření </w:t>
      </w:r>
      <w:proofErr w:type="spellStart"/>
      <w:r w:rsidR="00ED26FC" w:rsidRPr="00E322CA">
        <w:rPr>
          <w:rFonts w:ascii="Arial" w:hAnsi="Arial" w:cs="Arial"/>
        </w:rPr>
        <w:t>bibliometrické</w:t>
      </w:r>
      <w:proofErr w:type="spellEnd"/>
      <w:r w:rsidR="00ED26FC" w:rsidRPr="00E322CA">
        <w:rPr>
          <w:rFonts w:ascii="Arial" w:hAnsi="Arial" w:cs="Arial"/>
        </w:rPr>
        <w:t xml:space="preserve"> analýzy s důrazem na výsledky uživatelů,</w:t>
      </w:r>
    </w:p>
    <w:p w14:paraId="6CAEFA20" w14:textId="77777777" w:rsidR="00ED26FC" w:rsidRPr="00E322CA" w:rsidRDefault="000D1E04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k </w:t>
      </w:r>
      <w:r w:rsidR="00ED26FC" w:rsidRPr="00E322CA">
        <w:rPr>
          <w:rFonts w:ascii="Arial" w:hAnsi="Arial" w:cs="Arial"/>
        </w:rPr>
        <w:t>rozšíření akcentu socioekonomických dopadů.</w:t>
      </w:r>
    </w:p>
    <w:p w14:paraId="0FBE870D" w14:textId="14853CCB" w:rsidR="0094436D" w:rsidRPr="00E322CA" w:rsidRDefault="0094436D" w:rsidP="0008524F">
      <w:pPr>
        <w:tabs>
          <w:tab w:val="left" w:pos="1560"/>
        </w:tabs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Metodik</w:t>
      </w:r>
      <w:r w:rsidR="00A32CC8">
        <w:rPr>
          <w:rFonts w:ascii="Arial" w:hAnsi="Arial" w:cs="Arial"/>
        </w:rPr>
        <w:t>a zahrnuje širokou škálu hodnoti</w:t>
      </w:r>
      <w:r w:rsidRPr="00E322CA">
        <w:rPr>
          <w:rFonts w:ascii="Arial" w:hAnsi="Arial" w:cs="Arial"/>
        </w:rPr>
        <w:t>cích kritérií</w:t>
      </w:r>
      <w:r w:rsidR="00AB7700" w:rsidRPr="00E322CA">
        <w:rPr>
          <w:rFonts w:ascii="Arial" w:hAnsi="Arial" w:cs="Arial"/>
        </w:rPr>
        <w:t xml:space="preserve"> detailně rozepsaných</w:t>
      </w:r>
      <w:r w:rsidRPr="00E322CA">
        <w:rPr>
          <w:rFonts w:ascii="Arial" w:hAnsi="Arial" w:cs="Arial"/>
        </w:rPr>
        <w:t xml:space="preserve"> ve formuláři pro vyplnění dokumentace k hodnocení ze stran</w:t>
      </w:r>
      <w:r w:rsidR="000D1E04" w:rsidRPr="00E322CA">
        <w:rPr>
          <w:rFonts w:ascii="Arial" w:hAnsi="Arial" w:cs="Arial"/>
        </w:rPr>
        <w:t>y velké výzkumné infrastruktury.</w:t>
      </w:r>
    </w:p>
    <w:p w14:paraId="1B4FC714" w14:textId="16E6D494" w:rsidR="00884AE5" w:rsidRPr="00E322CA" w:rsidRDefault="00884AE5" w:rsidP="00884AE5">
      <w:pPr>
        <w:tabs>
          <w:tab w:val="left" w:pos="1560"/>
        </w:tabs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Metodika ta</w:t>
      </w:r>
      <w:r w:rsidR="00A32CC8">
        <w:rPr>
          <w:rFonts w:ascii="Arial" w:hAnsi="Arial" w:cs="Arial"/>
        </w:rPr>
        <w:t>k zahrnuje širokou škálu hodnoti</w:t>
      </w:r>
      <w:r w:rsidRPr="00E322CA">
        <w:rPr>
          <w:rFonts w:ascii="Arial" w:hAnsi="Arial" w:cs="Arial"/>
        </w:rPr>
        <w:t>cích kritérií, postihujících rozsáhlou paletu atributů znalostní a technologické kvality, provozu, výkonnosti a dalšího investičního rozvoje velkých v</w:t>
      </w:r>
      <w:r w:rsidR="00A32CC8">
        <w:rPr>
          <w:rFonts w:ascii="Arial" w:hAnsi="Arial" w:cs="Arial"/>
        </w:rPr>
        <w:t>ýzkumných infrastruktur. Hodnoti</w:t>
      </w:r>
      <w:r w:rsidRPr="00E322CA">
        <w:rPr>
          <w:rFonts w:ascii="Arial" w:hAnsi="Arial" w:cs="Arial"/>
        </w:rPr>
        <w:t>cí kritéria jsou detailně rozepsána ve formuláři pro vyplnění dokumentace k hodnocení ze strany velké výzkumné infrastruktury:</w:t>
      </w:r>
    </w:p>
    <w:p w14:paraId="5E951D6F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Znalostní a technologická expertíza poskytovaná uživatelům v režimu otevřeného přístupu;</w:t>
      </w:r>
    </w:p>
    <w:p w14:paraId="19971CFE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Organizační struktura, management a personální zabezpečení provozovaných zařízení;</w:t>
      </w:r>
    </w:p>
    <w:p w14:paraId="554004CE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Relevance, důležitost a význam pro vědeckou a průmyslovou uživatelskou komunitu;</w:t>
      </w:r>
    </w:p>
    <w:p w14:paraId="14052616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Spolupráce, networking a klastrování na národní a mezinárodní úrovni;</w:t>
      </w:r>
    </w:p>
    <w:p w14:paraId="2492C5E7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Socioekonomické přínosy a dopady na vědu, průmysl a společnost;</w:t>
      </w:r>
    </w:p>
    <w:p w14:paraId="2DBEF354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Uživatelská strategie a politika otevřeného přístupu k zařízením;</w:t>
      </w:r>
    </w:p>
    <w:p w14:paraId="1189B124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e-Infrastrukturní strategie a politika data managementu;</w:t>
      </w:r>
    </w:p>
    <w:p w14:paraId="6A5D5A76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Strategie proveditelnosti a SWOT analýza;</w:t>
      </w:r>
    </w:p>
    <w:p w14:paraId="1A645D67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Benchmarking v mezinárodním měřítku;</w:t>
      </w:r>
    </w:p>
    <w:p w14:paraId="175FE78D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Komunikace s veřejností a marketing;</w:t>
      </w:r>
    </w:p>
    <w:p w14:paraId="5542C95D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Kvantita a kvalita výsledků výzkumu, vývoje a inovací;</w:t>
      </w:r>
    </w:p>
    <w:p w14:paraId="7E33D703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lastRenderedPageBreak/>
        <w:t>Klíčové výkonnostní indikátory (</w:t>
      </w:r>
      <w:proofErr w:type="spellStart"/>
      <w:r w:rsidRPr="00E322CA">
        <w:rPr>
          <w:rFonts w:ascii="Arial" w:hAnsi="Arial" w:cs="Arial"/>
        </w:rPr>
        <w:t>KPIs</w:t>
      </w:r>
      <w:proofErr w:type="spellEnd"/>
      <w:r w:rsidRPr="00E322CA">
        <w:rPr>
          <w:rFonts w:ascii="Arial" w:hAnsi="Arial" w:cs="Arial"/>
        </w:rPr>
        <w:t>);</w:t>
      </w:r>
    </w:p>
    <w:p w14:paraId="25CC9350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Rozpočtové náklady na provoz a další investiční rozvoj.</w:t>
      </w:r>
    </w:p>
    <w:p w14:paraId="343C3C67" w14:textId="4A9C1CD3" w:rsidR="00884AE5" w:rsidRPr="00E322CA" w:rsidRDefault="006418FF" w:rsidP="0008524F">
      <w:p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Pokud jde o </w:t>
      </w:r>
      <w:r w:rsidR="00AB7700" w:rsidRPr="00E322CA">
        <w:rPr>
          <w:rFonts w:ascii="Arial" w:hAnsi="Arial" w:cs="Arial"/>
        </w:rPr>
        <w:t>kritérium</w:t>
      </w:r>
      <w:r w:rsidR="009B2086">
        <w:rPr>
          <w:rFonts w:ascii="Arial" w:hAnsi="Arial" w:cs="Arial"/>
        </w:rPr>
        <w:t xml:space="preserve"> KPI, mezinárodní hodnoti</w:t>
      </w:r>
      <w:r w:rsidRPr="00E322CA">
        <w:rPr>
          <w:rFonts w:ascii="Arial" w:hAnsi="Arial" w:cs="Arial"/>
        </w:rPr>
        <w:t>cí komise má vyhodnotit relevanci a</w:t>
      </w:r>
      <w:r w:rsidR="0008524F" w:rsidRPr="00E322CA">
        <w:rPr>
          <w:rFonts w:ascii="Arial" w:hAnsi="Arial" w:cs="Arial"/>
        </w:rPr>
        <w:t> </w:t>
      </w:r>
      <w:r w:rsidRPr="00E322CA">
        <w:rPr>
          <w:rFonts w:ascii="Arial" w:hAnsi="Arial" w:cs="Arial"/>
        </w:rPr>
        <w:t>ambicióznost číselných hodnot KPI. Výchozí hodnoty KPI budou vždy navrženy vedením velké výzkumn</w:t>
      </w:r>
      <w:r w:rsidR="009B2086">
        <w:rPr>
          <w:rFonts w:ascii="Arial" w:hAnsi="Arial" w:cs="Arial"/>
        </w:rPr>
        <w:t>é infrastruktury v rámci hodnoti</w:t>
      </w:r>
      <w:r w:rsidRPr="00E322CA">
        <w:rPr>
          <w:rFonts w:ascii="Arial" w:hAnsi="Arial" w:cs="Arial"/>
        </w:rPr>
        <w:t>cího dotaz</w:t>
      </w:r>
      <w:r w:rsidR="009B2086">
        <w:rPr>
          <w:rFonts w:ascii="Arial" w:hAnsi="Arial" w:cs="Arial"/>
        </w:rPr>
        <w:t>níku. Úkolem mezinárodní hodnoti</w:t>
      </w:r>
      <w:r w:rsidRPr="00E322CA">
        <w:rPr>
          <w:rFonts w:ascii="Arial" w:hAnsi="Arial" w:cs="Arial"/>
        </w:rPr>
        <w:t xml:space="preserve">cí komise bude vyhodnotit hodnoty KPI, zohlednit doprovodné vysvětlení a případně doporučit úpravy hodnot KPI. </w:t>
      </w:r>
      <w:r w:rsidR="00F261B7" w:rsidRPr="00E322CA">
        <w:rPr>
          <w:rFonts w:ascii="Arial" w:hAnsi="Arial" w:cs="Arial"/>
        </w:rPr>
        <w:t>Portfolio klíčových ukazatelů výkonnosti stanovených pro mezinárodní peer-</w:t>
      </w:r>
      <w:proofErr w:type="spellStart"/>
      <w:r w:rsidR="00F261B7" w:rsidRPr="00E322CA">
        <w:rPr>
          <w:rFonts w:ascii="Arial" w:hAnsi="Arial" w:cs="Arial"/>
        </w:rPr>
        <w:t>review</w:t>
      </w:r>
      <w:proofErr w:type="spellEnd"/>
      <w:r w:rsidR="00F261B7" w:rsidRPr="00E322CA">
        <w:rPr>
          <w:rFonts w:ascii="Arial" w:hAnsi="Arial" w:cs="Arial"/>
        </w:rPr>
        <w:t xml:space="preserve"> hodnocení zahrnuje tyto klíčové ukazatele výkonnosti:</w:t>
      </w:r>
    </w:p>
    <w:p w14:paraId="05E61B2E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žádostí uživatelů o přístup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67AD6C6E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obsloužených uživatelů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0325A510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uživatelů z řad studentů magisterského a doktorského studia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5639F5E8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uživatelských výsledků </w:t>
      </w:r>
      <w:proofErr w:type="spellStart"/>
      <w:r w:rsidRPr="00E322CA">
        <w:rPr>
          <w:rFonts w:ascii="Arial" w:hAnsi="Arial" w:cs="Arial"/>
        </w:rPr>
        <w:t>VaV</w:t>
      </w:r>
      <w:proofErr w:type="spellEnd"/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089BADBD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uživatelských publikací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5764D7B8" w14:textId="77777777" w:rsidR="00884AE5" w:rsidRPr="00E322CA" w:rsidRDefault="00F261B7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</w:t>
      </w:r>
      <w:r w:rsidR="00884AE5" w:rsidRPr="00E322CA">
        <w:rPr>
          <w:rFonts w:ascii="Arial" w:hAnsi="Arial" w:cs="Arial"/>
        </w:rPr>
        <w:t>Počet výsledků výzkumu a vývoje provozovatele</w:t>
      </w:r>
      <w:r w:rsidR="00CB3077" w:rsidRPr="00E322CA">
        <w:rPr>
          <w:rFonts w:ascii="Arial" w:hAnsi="Arial" w:cs="Arial"/>
        </w:rPr>
        <w:t>;</w:t>
      </w:r>
      <w:r w:rsidR="00884AE5" w:rsidRPr="00E322CA">
        <w:rPr>
          <w:rFonts w:ascii="Arial" w:hAnsi="Arial" w:cs="Arial"/>
        </w:rPr>
        <w:t xml:space="preserve"> </w:t>
      </w:r>
    </w:p>
    <w:p w14:paraId="52B48030" w14:textId="77777777" w:rsidR="00884AE5" w:rsidRPr="00E322CA" w:rsidRDefault="00CB3077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publikací provozovatele;</w:t>
      </w:r>
    </w:p>
    <w:p w14:paraId="71A6A32D" w14:textId="77777777" w:rsidR="00884AE5" w:rsidRPr="00E322CA" w:rsidRDefault="00F261B7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</w:t>
      </w:r>
      <w:r w:rsidR="00CB3077" w:rsidRPr="00E322CA">
        <w:rPr>
          <w:rFonts w:ascii="Arial" w:hAnsi="Arial" w:cs="Arial"/>
        </w:rPr>
        <w:t>Počet výsledků ve veřejné sféře;</w:t>
      </w:r>
    </w:p>
    <w:p w14:paraId="20CEEB36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veřejně dostupných datových sad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3D2245D1" w14:textId="77777777" w:rsidR="00884AE5" w:rsidRPr="00E322CA" w:rsidRDefault="00884AE5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Počet komerčních uživatelů</w:t>
      </w:r>
      <w:r w:rsidR="00CB3077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 xml:space="preserve"> </w:t>
      </w:r>
    </w:p>
    <w:p w14:paraId="66DD3C8A" w14:textId="77777777" w:rsidR="00884AE5" w:rsidRPr="00E322CA" w:rsidRDefault="00F261B7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</w:t>
      </w:r>
      <w:r w:rsidR="00884AE5" w:rsidRPr="00E322CA">
        <w:rPr>
          <w:rFonts w:ascii="Arial" w:hAnsi="Arial" w:cs="Arial"/>
        </w:rPr>
        <w:t>Příjmy od komerčních uživatelů</w:t>
      </w:r>
      <w:r w:rsidR="00CB3077" w:rsidRPr="00E322CA">
        <w:rPr>
          <w:rFonts w:ascii="Arial" w:hAnsi="Arial" w:cs="Arial"/>
        </w:rPr>
        <w:t>;</w:t>
      </w:r>
      <w:r w:rsidR="00884AE5" w:rsidRPr="00E322CA">
        <w:rPr>
          <w:rFonts w:ascii="Arial" w:hAnsi="Arial" w:cs="Arial"/>
        </w:rPr>
        <w:t xml:space="preserve"> </w:t>
      </w:r>
    </w:p>
    <w:p w14:paraId="50685D43" w14:textId="373FCC0E" w:rsidR="00884AE5" w:rsidRPr="00E322CA" w:rsidRDefault="00CB3077" w:rsidP="00557619">
      <w:pPr>
        <w:pStyle w:val="Odstavecseseznamem"/>
        <w:numPr>
          <w:ilvl w:val="0"/>
          <w:numId w:val="5"/>
        </w:numPr>
        <w:ind w:left="714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Příjmy z nekomerčních činností</w:t>
      </w:r>
      <w:r w:rsidR="009B2086" w:rsidRPr="00E322CA">
        <w:rPr>
          <w:rFonts w:ascii="Arial" w:hAnsi="Arial" w:cs="Arial"/>
        </w:rPr>
        <w:t>;</w:t>
      </w:r>
      <w:r w:rsidRPr="00E322CA">
        <w:rPr>
          <w:rFonts w:ascii="Arial" w:hAnsi="Arial" w:cs="Arial"/>
        </w:rPr>
        <w:tab/>
      </w:r>
    </w:p>
    <w:p w14:paraId="4ECEB918" w14:textId="77777777" w:rsidR="00F261B7" w:rsidRPr="00E322CA" w:rsidRDefault="00F261B7" w:rsidP="00D50DB1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 Příjmy z evropských nebo jiných mezinárodních výzkumných </w:t>
      </w:r>
      <w:r w:rsidR="009C35FD" w:rsidRPr="00E322CA">
        <w:rPr>
          <w:rFonts w:ascii="Arial" w:hAnsi="Arial" w:cs="Arial"/>
        </w:rPr>
        <w:t>projektů</w:t>
      </w:r>
      <w:r w:rsidR="00CB3077" w:rsidRPr="00E322CA">
        <w:rPr>
          <w:rFonts w:ascii="Arial" w:hAnsi="Arial" w:cs="Arial"/>
        </w:rPr>
        <w:t>.</w:t>
      </w:r>
    </w:p>
    <w:p w14:paraId="6B9F9AD1" w14:textId="77777777" w:rsidR="004F491D" w:rsidRPr="00E322CA" w:rsidRDefault="009679DB" w:rsidP="0008524F">
      <w:pPr>
        <w:spacing w:after="120"/>
        <w:jc w:val="both"/>
        <w:rPr>
          <w:rFonts w:ascii="Arial" w:hAnsi="Arial" w:cs="Arial"/>
          <w:u w:val="single"/>
        </w:rPr>
      </w:pPr>
      <w:r w:rsidRPr="00E322CA">
        <w:rPr>
          <w:rFonts w:ascii="Arial" w:hAnsi="Arial" w:cs="Arial"/>
          <w:u w:val="single"/>
        </w:rPr>
        <w:t>Orientační harmonogram</w:t>
      </w:r>
      <w:r w:rsidR="004F491D" w:rsidRPr="00E322CA">
        <w:rPr>
          <w:rFonts w:ascii="Arial" w:hAnsi="Arial" w:cs="Arial"/>
          <w:u w:val="single"/>
        </w:rPr>
        <w:t>:</w:t>
      </w:r>
    </w:p>
    <w:p w14:paraId="6503409B" w14:textId="77777777" w:rsidR="00ED26FC" w:rsidRPr="00E322CA" w:rsidRDefault="00ED26FC" w:rsidP="0008524F">
      <w:pPr>
        <w:jc w:val="both"/>
        <w:rPr>
          <w:rFonts w:ascii="Arial" w:hAnsi="Arial" w:cs="Arial"/>
          <w:i/>
        </w:rPr>
      </w:pPr>
      <w:r w:rsidRPr="00E322CA">
        <w:rPr>
          <w:rFonts w:ascii="Arial" w:hAnsi="Arial" w:cs="Arial"/>
          <w:i/>
        </w:rPr>
        <w:t>Mezinárodní peer-</w:t>
      </w:r>
      <w:proofErr w:type="spellStart"/>
      <w:r w:rsidRPr="00E322CA">
        <w:rPr>
          <w:rFonts w:ascii="Arial" w:hAnsi="Arial" w:cs="Arial"/>
          <w:i/>
        </w:rPr>
        <w:t>review</w:t>
      </w:r>
      <w:proofErr w:type="spellEnd"/>
      <w:r w:rsidRPr="00E322CA">
        <w:rPr>
          <w:rFonts w:ascii="Arial" w:hAnsi="Arial" w:cs="Arial"/>
          <w:i/>
        </w:rPr>
        <w:t xml:space="preserve"> hodnocení velkých výzkumných infrastruktur ČR</w:t>
      </w:r>
    </w:p>
    <w:p w14:paraId="48D25DBD" w14:textId="77777777" w:rsidR="00D075AA" w:rsidRPr="00E322CA" w:rsidRDefault="00D075AA" w:rsidP="0055761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01/2025 - </w:t>
      </w:r>
      <w:r w:rsidR="00ED26FC" w:rsidRPr="00E322CA">
        <w:rPr>
          <w:rFonts w:ascii="Arial" w:hAnsi="Arial" w:cs="Arial"/>
        </w:rPr>
        <w:t>Vyhlášení výzvy k předkládání dokumentace pro hodnocení</w:t>
      </w:r>
      <w:r w:rsidR="00ED26FC" w:rsidRPr="00E322CA">
        <w:rPr>
          <w:rFonts w:ascii="Arial" w:hAnsi="Arial" w:cs="Arial"/>
        </w:rPr>
        <w:tab/>
      </w:r>
    </w:p>
    <w:p w14:paraId="4962F6EC" w14:textId="68703571" w:rsidR="00ED26FC" w:rsidRPr="00E322CA" w:rsidRDefault="00D075AA" w:rsidP="0055761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01-04/2025 - U</w:t>
      </w:r>
      <w:r w:rsidR="009B2086">
        <w:rPr>
          <w:rFonts w:ascii="Arial" w:hAnsi="Arial" w:cs="Arial"/>
        </w:rPr>
        <w:t>stavení mezinárodní hodnoti</w:t>
      </w:r>
      <w:r w:rsidR="00ED26FC" w:rsidRPr="00E322CA">
        <w:rPr>
          <w:rFonts w:ascii="Arial" w:hAnsi="Arial" w:cs="Arial"/>
        </w:rPr>
        <w:t>cí komise, včetně jejího předsedy</w:t>
      </w:r>
    </w:p>
    <w:p w14:paraId="74A79EB6" w14:textId="4BD3660F" w:rsidR="00D075AA" w:rsidRPr="00E322CA" w:rsidRDefault="00D075AA" w:rsidP="0055761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06-11/2025 - </w:t>
      </w:r>
      <w:r w:rsidR="00ED26FC" w:rsidRPr="00E322CA">
        <w:rPr>
          <w:rFonts w:ascii="Arial" w:hAnsi="Arial" w:cs="Arial"/>
        </w:rPr>
        <w:t>Provedení evaluace ze stra</w:t>
      </w:r>
      <w:r w:rsidR="009B2086">
        <w:rPr>
          <w:rFonts w:ascii="Arial" w:hAnsi="Arial" w:cs="Arial"/>
        </w:rPr>
        <w:t>ny mezinárodní hodnoti</w:t>
      </w:r>
      <w:r w:rsidRPr="00E322CA">
        <w:rPr>
          <w:rFonts w:ascii="Arial" w:hAnsi="Arial" w:cs="Arial"/>
        </w:rPr>
        <w:t>cí komise</w:t>
      </w:r>
    </w:p>
    <w:p w14:paraId="5D80AA4C" w14:textId="77777777" w:rsidR="00D075AA" w:rsidRPr="00E322CA" w:rsidRDefault="00D075AA" w:rsidP="0055761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03/2026 - </w:t>
      </w:r>
      <w:r w:rsidR="00ED26FC" w:rsidRPr="00E322CA">
        <w:rPr>
          <w:rFonts w:ascii="Arial" w:hAnsi="Arial" w:cs="Arial"/>
        </w:rPr>
        <w:t>Předložení výstupů pro informaci Radě pro výzkum, vývoj a inovace</w:t>
      </w:r>
    </w:p>
    <w:p w14:paraId="2C11FAF4" w14:textId="77777777" w:rsidR="00ED26FC" w:rsidRPr="00E322CA" w:rsidRDefault="00D075AA" w:rsidP="0055761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04/2026 - P</w:t>
      </w:r>
      <w:r w:rsidR="00ED26FC" w:rsidRPr="00E322CA">
        <w:rPr>
          <w:rFonts w:ascii="Arial" w:hAnsi="Arial" w:cs="Arial"/>
        </w:rPr>
        <w:t>ředložení výstupů pro informaci členů vlády ČR</w:t>
      </w:r>
      <w:r w:rsidR="00ED26FC" w:rsidRPr="00E322CA">
        <w:rPr>
          <w:rFonts w:ascii="Arial" w:hAnsi="Arial" w:cs="Arial"/>
        </w:rPr>
        <w:tab/>
      </w:r>
      <w:r w:rsidR="00ED26FC" w:rsidRPr="00E322CA">
        <w:rPr>
          <w:rFonts w:ascii="Arial" w:hAnsi="Arial" w:cs="Arial"/>
        </w:rPr>
        <w:tab/>
      </w:r>
      <w:r w:rsidR="00ED26FC" w:rsidRPr="00E322CA">
        <w:rPr>
          <w:rFonts w:ascii="Arial" w:hAnsi="Arial" w:cs="Arial"/>
        </w:rPr>
        <w:tab/>
        <w:t xml:space="preserve">        </w:t>
      </w:r>
    </w:p>
    <w:p w14:paraId="48D53835" w14:textId="77777777" w:rsidR="00ED26FC" w:rsidRPr="00E322CA" w:rsidRDefault="00ED26FC" w:rsidP="0008524F">
      <w:pPr>
        <w:jc w:val="both"/>
        <w:rPr>
          <w:rFonts w:ascii="Arial" w:hAnsi="Arial" w:cs="Arial"/>
        </w:rPr>
      </w:pPr>
    </w:p>
    <w:p w14:paraId="36DA33BA" w14:textId="77777777" w:rsidR="00ED26FC" w:rsidRPr="00E322CA" w:rsidRDefault="00ED26FC" w:rsidP="002E00EC">
      <w:pPr>
        <w:pStyle w:val="Odstavecseseznamem"/>
        <w:ind w:left="0"/>
        <w:jc w:val="both"/>
        <w:rPr>
          <w:rFonts w:ascii="Arial" w:hAnsi="Arial" w:cs="Arial"/>
        </w:rPr>
      </w:pPr>
      <w:r w:rsidRPr="00E322CA">
        <w:rPr>
          <w:rFonts w:ascii="Arial" w:hAnsi="Arial" w:cs="Arial"/>
          <w:i/>
        </w:rPr>
        <w:t>Rozhodnutí vlády ČR o financování velkých výzkumných infrastruktur ČR</w:t>
      </w:r>
    </w:p>
    <w:p w14:paraId="6BFF44AE" w14:textId="77777777" w:rsidR="00ED26FC" w:rsidRPr="00E322CA" w:rsidRDefault="00D075AA" w:rsidP="0055761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01-04/2026 - </w:t>
      </w:r>
      <w:r w:rsidR="00ED26FC" w:rsidRPr="00E322CA">
        <w:rPr>
          <w:rFonts w:ascii="Arial" w:hAnsi="Arial" w:cs="Arial"/>
        </w:rPr>
        <w:t>Příprava návrhu výdajů státního rozpočtu ČR na výzkum, vývoj a</w:t>
      </w:r>
      <w:r w:rsidR="0008524F" w:rsidRPr="00E322CA">
        <w:rPr>
          <w:rFonts w:ascii="Arial" w:hAnsi="Arial" w:cs="Arial"/>
        </w:rPr>
        <w:t> </w:t>
      </w:r>
      <w:r w:rsidR="00ED26FC" w:rsidRPr="00E322CA">
        <w:rPr>
          <w:rFonts w:ascii="Arial" w:hAnsi="Arial" w:cs="Arial"/>
        </w:rPr>
        <w:t>inovace</w:t>
      </w:r>
      <w:r w:rsidR="00ED26FC" w:rsidRPr="00E322CA">
        <w:rPr>
          <w:rFonts w:ascii="Arial" w:hAnsi="Arial" w:cs="Arial"/>
        </w:rPr>
        <w:tab/>
      </w:r>
    </w:p>
    <w:p w14:paraId="3AFAA672" w14:textId="77777777" w:rsidR="00ED26FC" w:rsidRPr="00E322CA" w:rsidRDefault="00D075AA" w:rsidP="00A16357">
      <w:pPr>
        <w:pStyle w:val="Odstavecseseznamem"/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05/2026 - </w:t>
      </w:r>
      <w:r w:rsidR="00ED26FC" w:rsidRPr="00E322CA">
        <w:rPr>
          <w:rFonts w:ascii="Arial" w:hAnsi="Arial" w:cs="Arial"/>
        </w:rPr>
        <w:t>Schválení návrhu výdajů státního rozpočtu ČR na výzkum, vývoj a</w:t>
      </w:r>
      <w:r w:rsidR="0008524F" w:rsidRPr="00E322CA">
        <w:rPr>
          <w:rFonts w:ascii="Arial" w:hAnsi="Arial" w:cs="Arial"/>
        </w:rPr>
        <w:t> </w:t>
      </w:r>
      <w:r w:rsidR="00ED26FC" w:rsidRPr="00E322CA">
        <w:rPr>
          <w:rFonts w:ascii="Arial" w:hAnsi="Arial" w:cs="Arial"/>
        </w:rPr>
        <w:t>inovace</w:t>
      </w:r>
      <w:r w:rsidR="00ED26FC" w:rsidRPr="00E322CA">
        <w:rPr>
          <w:rFonts w:ascii="Arial" w:hAnsi="Arial" w:cs="Arial"/>
        </w:rPr>
        <w:tab/>
      </w:r>
    </w:p>
    <w:p w14:paraId="3CD03829" w14:textId="77777777" w:rsidR="00ED26FC" w:rsidRDefault="00D075AA" w:rsidP="0055761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10-12/2026 - </w:t>
      </w:r>
      <w:r w:rsidR="00ED26FC" w:rsidRPr="00E322CA">
        <w:rPr>
          <w:rFonts w:ascii="Arial" w:hAnsi="Arial" w:cs="Arial"/>
        </w:rPr>
        <w:t>Schválení návrhu financování velkých výzkumných infrastruktur vládou ČR</w:t>
      </w:r>
      <w:r w:rsidR="00ED26FC" w:rsidRPr="00E322CA">
        <w:rPr>
          <w:rFonts w:ascii="Arial" w:hAnsi="Arial" w:cs="Arial"/>
        </w:rPr>
        <w:tab/>
      </w:r>
    </w:p>
    <w:p w14:paraId="1B074115" w14:textId="77777777" w:rsidR="00E322CA" w:rsidRPr="00E322CA" w:rsidRDefault="00E322CA" w:rsidP="00E322CA">
      <w:pPr>
        <w:jc w:val="both"/>
        <w:rPr>
          <w:rFonts w:ascii="Arial" w:hAnsi="Arial" w:cs="Arial"/>
        </w:rPr>
      </w:pPr>
    </w:p>
    <w:p w14:paraId="00588159" w14:textId="77777777" w:rsidR="00E57909" w:rsidRPr="00E322CA" w:rsidRDefault="00E57909" w:rsidP="007966D4">
      <w:pPr>
        <w:pStyle w:val="Odstavecseseznamem"/>
        <w:numPr>
          <w:ilvl w:val="0"/>
          <w:numId w:val="2"/>
        </w:numPr>
        <w:tabs>
          <w:tab w:val="clear" w:pos="720"/>
          <w:tab w:val="num" w:pos="567"/>
        </w:tabs>
        <w:spacing w:after="120"/>
        <w:ind w:left="714" w:hanging="357"/>
        <w:contextualSpacing w:val="0"/>
        <w:jc w:val="both"/>
        <w:rPr>
          <w:rFonts w:ascii="Arial" w:hAnsi="Arial" w:cs="Arial"/>
          <w:b/>
          <w:color w:val="0070C0"/>
        </w:rPr>
      </w:pPr>
      <w:r w:rsidRPr="00E322CA">
        <w:rPr>
          <w:rFonts w:ascii="Arial" w:hAnsi="Arial" w:cs="Arial"/>
          <w:b/>
          <w:color w:val="0070C0"/>
        </w:rPr>
        <w:t>Připomínky k předloženému materiálu</w:t>
      </w:r>
    </w:p>
    <w:p w14:paraId="4B9A5253" w14:textId="54B4B771" w:rsidR="00220D5E" w:rsidRPr="00E322CA" w:rsidRDefault="00220D5E" w:rsidP="00046C65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2CE242AD" w14:textId="3C2B305E" w:rsidR="0015436B" w:rsidRDefault="0015436B" w:rsidP="00A16357">
      <w:pPr>
        <w:pStyle w:val="Odstavecseseznamem"/>
        <w:tabs>
          <w:tab w:val="left" w:pos="426"/>
        </w:tabs>
        <w:spacing w:after="120"/>
        <w:ind w:left="0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Rada žádá o vypisování cílových témat pro nové VVI na základě potřeb státu/analýzy sektorových platforem a také při tomto zohlednit stanovisko Rady pro </w:t>
      </w:r>
      <w:r w:rsidR="00AD679F">
        <w:rPr>
          <w:rFonts w:ascii="Arial" w:hAnsi="Arial" w:cs="Arial"/>
        </w:rPr>
        <w:t>velké výzkumné infrastruktury</w:t>
      </w:r>
      <w:r w:rsidR="00046C65">
        <w:rPr>
          <w:rFonts w:ascii="Arial" w:hAnsi="Arial" w:cs="Arial"/>
        </w:rPr>
        <w:t xml:space="preserve"> na MŠMT</w:t>
      </w:r>
      <w:r w:rsidRPr="00E322CA">
        <w:rPr>
          <w:rFonts w:ascii="Arial" w:hAnsi="Arial" w:cs="Arial"/>
        </w:rPr>
        <w:t>, kter</w:t>
      </w:r>
      <w:r w:rsidR="00A16357" w:rsidRPr="00E322CA">
        <w:rPr>
          <w:rFonts w:ascii="Arial" w:hAnsi="Arial" w:cs="Arial"/>
        </w:rPr>
        <w:t>á</w:t>
      </w:r>
      <w:r w:rsidRPr="00E322CA">
        <w:rPr>
          <w:rFonts w:ascii="Arial" w:hAnsi="Arial" w:cs="Arial"/>
        </w:rPr>
        <w:t xml:space="preserve"> by se měla vyjádřit k tomu, zda nově navrhovan</w:t>
      </w:r>
      <w:r w:rsidR="00A16357" w:rsidRPr="00E322CA">
        <w:rPr>
          <w:rFonts w:ascii="Arial" w:hAnsi="Arial" w:cs="Arial"/>
        </w:rPr>
        <w:t>á</w:t>
      </w:r>
      <w:r w:rsidRPr="00E322CA">
        <w:rPr>
          <w:rFonts w:ascii="Arial" w:hAnsi="Arial" w:cs="Arial"/>
        </w:rPr>
        <w:t xml:space="preserve"> infrastruktura je dostatečně unikátní a zda existující infrastruktury již navrhované služby neposkytují.</w:t>
      </w:r>
    </w:p>
    <w:p w14:paraId="5FEB6D19" w14:textId="3BC41DEF" w:rsidR="00285B3B" w:rsidRDefault="00285B3B" w:rsidP="00A16357">
      <w:pPr>
        <w:pStyle w:val="Odstavecseseznamem"/>
        <w:tabs>
          <w:tab w:val="left" w:pos="426"/>
        </w:tabs>
        <w:spacing w:after="120"/>
        <w:ind w:left="0"/>
        <w:contextualSpacing w:val="0"/>
        <w:jc w:val="both"/>
        <w:rPr>
          <w:rFonts w:ascii="Arial" w:hAnsi="Arial" w:cs="Arial"/>
        </w:rPr>
      </w:pPr>
    </w:p>
    <w:p w14:paraId="7F24AEED" w14:textId="6709B4FF" w:rsidR="00A16357" w:rsidRPr="00E322CA" w:rsidRDefault="00AF3EE1" w:rsidP="001908B2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lastRenderedPageBreak/>
        <w:t>Zásadní p</w:t>
      </w:r>
      <w:r w:rsidR="00A16357" w:rsidRPr="00E322CA">
        <w:rPr>
          <w:rFonts w:ascii="Arial" w:hAnsi="Arial" w:cs="Arial"/>
          <w:b/>
          <w:u w:val="single"/>
        </w:rPr>
        <w:t>řipomínka</w:t>
      </w:r>
    </w:p>
    <w:p w14:paraId="3D57B043" w14:textId="7299BFE5" w:rsidR="00A16357" w:rsidRPr="00E322CA" w:rsidRDefault="00A16357" w:rsidP="001908B2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Zásadní připomínka č. 2 z usnesení RVVI z 22.</w:t>
      </w:r>
      <w:r w:rsidR="00351072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3.</w:t>
      </w:r>
      <w:r w:rsidR="00351072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 xml:space="preserve">2024, týkající se </w:t>
      </w:r>
      <w:proofErr w:type="spellStart"/>
      <w:r w:rsidRPr="00E322CA">
        <w:rPr>
          <w:rFonts w:ascii="Arial" w:hAnsi="Arial" w:cs="Arial"/>
        </w:rPr>
        <w:t>bibliometrie</w:t>
      </w:r>
      <w:proofErr w:type="spellEnd"/>
      <w:r w:rsidRPr="00E322CA">
        <w:rPr>
          <w:rFonts w:ascii="Arial" w:hAnsi="Arial" w:cs="Arial"/>
        </w:rPr>
        <w:t xml:space="preserve"> </w:t>
      </w:r>
      <w:r w:rsidR="00351072">
        <w:rPr>
          <w:rFonts w:ascii="Arial" w:hAnsi="Arial" w:cs="Arial"/>
        </w:rPr>
        <w:br/>
      </w:r>
      <w:r w:rsidRPr="00E322CA">
        <w:rPr>
          <w:rFonts w:ascii="Arial" w:hAnsi="Arial" w:cs="Arial"/>
        </w:rPr>
        <w:t>a uvedení projektů účelové podpory bibliografie</w:t>
      </w:r>
      <w:r w:rsidR="00351072">
        <w:rPr>
          <w:rFonts w:ascii="Arial" w:hAnsi="Arial" w:cs="Arial"/>
        </w:rPr>
        <w:t>,</w:t>
      </w:r>
      <w:r w:rsidRPr="00E322CA">
        <w:rPr>
          <w:rFonts w:ascii="Arial" w:hAnsi="Arial" w:cs="Arial"/>
        </w:rPr>
        <w:t xml:space="preserve"> je stále aktuální.</w:t>
      </w:r>
    </w:p>
    <w:p w14:paraId="6811BF0C" w14:textId="77777777" w:rsidR="00A16357" w:rsidRPr="00E322CA" w:rsidRDefault="00A16357" w:rsidP="001908B2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Zdůvodnění:</w:t>
      </w:r>
    </w:p>
    <w:p w14:paraId="0BDB1EDB" w14:textId="7144D759" w:rsidR="00A16357" w:rsidRPr="00E322CA" w:rsidRDefault="00A16357" w:rsidP="001908B2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Propojení hodnocení bibliografických výsledků se systémem RVVI je naprosto nezbytným předpokladem pro efektivní a korektní hodnocení VVI. Tato připomínka </w:t>
      </w:r>
      <w:proofErr w:type="spellStart"/>
      <w:r w:rsidRPr="00E322CA">
        <w:rPr>
          <w:rFonts w:ascii="Arial" w:hAnsi="Arial" w:cs="Arial"/>
          <w:lang w:val="en-US"/>
        </w:rPr>
        <w:t>nebyla</w:t>
      </w:r>
      <w:proofErr w:type="spellEnd"/>
      <w:r w:rsidRPr="00E322CA">
        <w:rPr>
          <w:rFonts w:ascii="Arial" w:hAnsi="Arial" w:cs="Arial"/>
          <w:lang w:val="en-US"/>
        </w:rPr>
        <w:t xml:space="preserve"> v </w:t>
      </w:r>
      <w:proofErr w:type="spellStart"/>
      <w:r w:rsidRPr="00E322CA">
        <w:rPr>
          <w:rFonts w:ascii="Arial" w:hAnsi="Arial" w:cs="Arial"/>
          <w:lang w:val="en-US"/>
        </w:rPr>
        <w:t>dokumentu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proofErr w:type="spellStart"/>
      <w:r w:rsidRPr="00E322CA">
        <w:rPr>
          <w:rFonts w:ascii="Arial" w:hAnsi="Arial" w:cs="Arial"/>
          <w:lang w:val="en-US"/>
        </w:rPr>
        <w:t>nijak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proofErr w:type="spellStart"/>
      <w:r w:rsidRPr="00E322CA">
        <w:rPr>
          <w:rFonts w:ascii="Arial" w:hAnsi="Arial" w:cs="Arial"/>
          <w:lang w:val="en-US"/>
        </w:rPr>
        <w:t>reflektována</w:t>
      </w:r>
      <w:proofErr w:type="spellEnd"/>
      <w:r w:rsidRPr="00E322CA">
        <w:rPr>
          <w:rFonts w:ascii="Arial" w:hAnsi="Arial" w:cs="Arial"/>
          <w:lang w:val="en-US"/>
        </w:rPr>
        <w:t xml:space="preserve"> a </w:t>
      </w:r>
      <w:proofErr w:type="spellStart"/>
      <w:r w:rsidRPr="00E322CA">
        <w:rPr>
          <w:rFonts w:ascii="Arial" w:hAnsi="Arial" w:cs="Arial"/>
          <w:lang w:val="en-US"/>
        </w:rPr>
        <w:t>její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proofErr w:type="spellStart"/>
      <w:r w:rsidRPr="00E322CA">
        <w:rPr>
          <w:rFonts w:ascii="Arial" w:hAnsi="Arial" w:cs="Arial"/>
          <w:lang w:val="en-US"/>
        </w:rPr>
        <w:t>vypořádání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proofErr w:type="spellStart"/>
      <w:r w:rsidRPr="00E322CA">
        <w:rPr>
          <w:rFonts w:ascii="Arial" w:hAnsi="Arial" w:cs="Arial"/>
          <w:lang w:val="en-US"/>
        </w:rPr>
        <w:t>popsané</w:t>
      </w:r>
      <w:proofErr w:type="spellEnd"/>
      <w:r w:rsidRPr="00E322CA">
        <w:rPr>
          <w:rFonts w:ascii="Arial" w:hAnsi="Arial" w:cs="Arial"/>
          <w:lang w:val="en-US"/>
        </w:rPr>
        <w:t xml:space="preserve"> v </w:t>
      </w:r>
      <w:proofErr w:type="spellStart"/>
      <w:r w:rsidRPr="00E322CA">
        <w:rPr>
          <w:rFonts w:ascii="Arial" w:hAnsi="Arial" w:cs="Arial"/>
          <w:lang w:val="en-US"/>
        </w:rPr>
        <w:t>Předkládací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proofErr w:type="spellStart"/>
      <w:r w:rsidRPr="00E322CA">
        <w:rPr>
          <w:rFonts w:ascii="Arial" w:hAnsi="Arial" w:cs="Arial"/>
          <w:lang w:val="en-US"/>
        </w:rPr>
        <w:t>zprávě</w:t>
      </w:r>
      <w:proofErr w:type="spellEnd"/>
      <w:r w:rsidRPr="00E322CA">
        <w:rPr>
          <w:rFonts w:ascii="Arial" w:hAnsi="Arial" w:cs="Arial"/>
          <w:lang w:val="en-US"/>
        </w:rPr>
        <w:t xml:space="preserve"> </w:t>
      </w:r>
      <w:bookmarkStart w:id="1" w:name="_Hlk104888679"/>
      <w:r w:rsidR="00351072">
        <w:rPr>
          <w:rFonts w:ascii="Arial" w:hAnsi="Arial" w:cs="Arial"/>
          <w:lang w:val="en-US"/>
        </w:rPr>
        <w:t>č</w:t>
      </w:r>
      <w:r w:rsidRPr="00E322CA">
        <w:rPr>
          <w:rFonts w:ascii="Arial" w:hAnsi="Arial" w:cs="Arial"/>
        </w:rPr>
        <w:t xml:space="preserve">. j.: </w:t>
      </w:r>
      <w:bookmarkEnd w:id="1"/>
      <w:r w:rsidRPr="00E322CA">
        <w:rPr>
          <w:rFonts w:ascii="Arial" w:hAnsi="Arial" w:cs="Arial"/>
        </w:rPr>
        <w:t>MŠMT-15729/2024-3 je nedostatečné</w:t>
      </w:r>
      <w:r w:rsidR="001908B2" w:rsidRPr="00E322CA">
        <w:rPr>
          <w:rFonts w:ascii="Arial" w:hAnsi="Arial" w:cs="Arial"/>
        </w:rPr>
        <w:t>.</w:t>
      </w:r>
    </w:p>
    <w:p w14:paraId="4E5085ED" w14:textId="77777777" w:rsidR="00AF3EE1" w:rsidRPr="00E322CA" w:rsidRDefault="00AF3EE1" w:rsidP="00AF3EE1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Zásadní p</w:t>
      </w:r>
      <w:r w:rsidRPr="00E322CA">
        <w:rPr>
          <w:rFonts w:ascii="Arial" w:hAnsi="Arial" w:cs="Arial"/>
          <w:b/>
          <w:u w:val="single"/>
        </w:rPr>
        <w:t>řipomínka</w:t>
      </w:r>
    </w:p>
    <w:p w14:paraId="3423F752" w14:textId="404DE6A3" w:rsidR="00A16357" w:rsidRPr="00E322CA" w:rsidRDefault="001908B2" w:rsidP="00351072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Zásadní připomínka č. 3 z usnesení RVVI z 22.</w:t>
      </w:r>
      <w:r w:rsidR="00351072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3.</w:t>
      </w:r>
      <w:r w:rsidR="00351072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2024, týkající se hodnocení dopadů na ekonomiku ČR, nebyla v dokumentu nijak reflektována.</w:t>
      </w:r>
    </w:p>
    <w:p w14:paraId="62D3CC58" w14:textId="77777777" w:rsidR="001908B2" w:rsidRPr="00E322CA" w:rsidRDefault="001908B2" w:rsidP="001908B2">
      <w:pPr>
        <w:pStyle w:val="Odstavecseseznamem"/>
        <w:spacing w:after="120"/>
        <w:ind w:left="0"/>
        <w:contextualSpacing w:val="0"/>
        <w:rPr>
          <w:rFonts w:ascii="Arial" w:hAnsi="Arial" w:cs="Arial"/>
        </w:rPr>
      </w:pPr>
      <w:r w:rsidRPr="00E322CA">
        <w:rPr>
          <w:rFonts w:ascii="Arial" w:hAnsi="Arial" w:cs="Arial"/>
        </w:rPr>
        <w:t>Zdůvodnění:</w:t>
      </w:r>
    </w:p>
    <w:p w14:paraId="725337B6" w14:textId="03EFCB88" w:rsidR="00A16357" w:rsidRPr="00E322CA" w:rsidRDefault="001908B2" w:rsidP="001908B2">
      <w:pPr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Nebyly zohledněny výstupy projektu STRATIN+, ač to byl jeden z hlavních důvodů financování projektu STRATIN+. Rozšíření a upřesnění sledovaných KPI je nedostatečné. Na pracovní skupině MŠMT/RVVI byly diskutovány tři sady KPI (Společné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-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napříč všemi VVI, Oborově specifické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-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pro každou ze šesti skupin, Jedinečné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- navrhované vedením každé VVI).</w:t>
      </w:r>
    </w:p>
    <w:p w14:paraId="09F686A4" w14:textId="77777777" w:rsidR="00AF3EE1" w:rsidRPr="00E322CA" w:rsidRDefault="00AF3EE1" w:rsidP="00AF3EE1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Zásadní p</w:t>
      </w:r>
      <w:r w:rsidRPr="00E322CA">
        <w:rPr>
          <w:rFonts w:ascii="Arial" w:hAnsi="Arial" w:cs="Arial"/>
          <w:b/>
          <w:u w:val="single"/>
        </w:rPr>
        <w:t>řipomínka</w:t>
      </w:r>
    </w:p>
    <w:p w14:paraId="3034EB59" w14:textId="4FC05B7C" w:rsidR="001908B2" w:rsidRPr="00E322CA" w:rsidRDefault="001908B2" w:rsidP="001908B2">
      <w:pPr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</w:rPr>
        <w:t>Zásadní připomínka č. 4 z usnesení RVVI z 22.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3.</w:t>
      </w:r>
      <w:r w:rsidR="00B30E95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2024, týkající se procesu hodnocení a kodexu hodnotitele</w:t>
      </w:r>
      <w:r w:rsidR="00B30E95">
        <w:rPr>
          <w:rFonts w:ascii="Arial" w:hAnsi="Arial" w:cs="Arial"/>
        </w:rPr>
        <w:t xml:space="preserve"> - j</w:t>
      </w:r>
      <w:r w:rsidRPr="00E322CA">
        <w:rPr>
          <w:rFonts w:ascii="Arial" w:hAnsi="Arial" w:cs="Arial"/>
          <w:color w:val="000000" w:themeColor="text1"/>
        </w:rPr>
        <w:t>e nutná jednoznačná specifikace českého člena hodnoticí komise – upřesnění textu:</w:t>
      </w:r>
    </w:p>
    <w:p w14:paraId="7935710C" w14:textId="77777777" w:rsidR="001908B2" w:rsidRPr="00E322CA" w:rsidRDefault="001908B2" w:rsidP="001908B2">
      <w:pPr>
        <w:spacing w:after="120"/>
        <w:jc w:val="both"/>
        <w:rPr>
          <w:rFonts w:ascii="Arial" w:hAnsi="Arial" w:cs="Arial"/>
          <w:color w:val="0070C0"/>
        </w:rPr>
      </w:pPr>
      <w:proofErr w:type="spellStart"/>
      <w:r w:rsidRPr="00E322CA">
        <w:rPr>
          <w:rFonts w:ascii="Arial" w:hAnsi="Arial" w:cs="Arial"/>
        </w:rPr>
        <w:t>The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members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of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the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evaluation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committee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will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be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representatives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of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the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international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scientific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community</w:t>
      </w:r>
      <w:proofErr w:type="spellEnd"/>
      <w:r w:rsidRPr="00E322CA">
        <w:rPr>
          <w:rFonts w:ascii="Arial" w:hAnsi="Arial" w:cs="Arial"/>
        </w:rPr>
        <w:t xml:space="preserve">, </w:t>
      </w:r>
      <w:proofErr w:type="spellStart"/>
      <w:r w:rsidRPr="00E322CA">
        <w:rPr>
          <w:rFonts w:ascii="Arial" w:hAnsi="Arial" w:cs="Arial"/>
        </w:rPr>
        <w:t>who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will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be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accompanied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for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each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evaluation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committee</w:t>
      </w:r>
      <w:proofErr w:type="spellEnd"/>
      <w:r w:rsidRPr="00E322CA">
        <w:rPr>
          <w:rFonts w:ascii="Arial" w:hAnsi="Arial" w:cs="Arial"/>
        </w:rPr>
        <w:t xml:space="preserve"> by </w:t>
      </w:r>
      <w:proofErr w:type="spellStart"/>
      <w:r w:rsidRPr="00E322CA">
        <w:rPr>
          <w:rFonts w:ascii="Arial" w:hAnsi="Arial" w:cs="Arial"/>
        </w:rPr>
        <w:t>one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representative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of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the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czech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scientific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community</w:t>
      </w:r>
      <w:proofErr w:type="spellEnd"/>
      <w:r w:rsidRPr="00E322CA">
        <w:rPr>
          <w:rFonts w:ascii="Arial" w:hAnsi="Arial" w:cs="Arial"/>
        </w:rPr>
        <w:t xml:space="preserve">, </w:t>
      </w:r>
      <w:proofErr w:type="spellStart"/>
      <w:r w:rsidRPr="00E322CA">
        <w:rPr>
          <w:rFonts w:ascii="Arial" w:hAnsi="Arial" w:cs="Arial"/>
        </w:rPr>
        <w:t>whose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nomination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will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be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approved</w:t>
      </w:r>
      <w:proofErr w:type="spellEnd"/>
      <w:r w:rsidRPr="00E322CA">
        <w:rPr>
          <w:rFonts w:ascii="Arial" w:hAnsi="Arial" w:cs="Arial"/>
        </w:rPr>
        <w:t xml:space="preserve"> by </w:t>
      </w:r>
      <w:proofErr w:type="spellStart"/>
      <w:r w:rsidRPr="00E322CA">
        <w:rPr>
          <w:rFonts w:ascii="Arial" w:hAnsi="Arial" w:cs="Arial"/>
        </w:rPr>
        <w:t>the</w:t>
      </w:r>
      <w:proofErr w:type="spellEnd"/>
      <w:r w:rsidRPr="00E322CA">
        <w:rPr>
          <w:rFonts w:ascii="Arial" w:hAnsi="Arial" w:cs="Arial"/>
        </w:rPr>
        <w:t xml:space="preserve"> Ministry </w:t>
      </w:r>
      <w:proofErr w:type="spellStart"/>
      <w:r w:rsidRPr="00E322CA">
        <w:rPr>
          <w:rFonts w:ascii="Arial" w:hAnsi="Arial" w:cs="Arial"/>
        </w:rPr>
        <w:t>of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Education</w:t>
      </w:r>
      <w:proofErr w:type="spellEnd"/>
      <w:r w:rsidRPr="00E322CA">
        <w:rPr>
          <w:rFonts w:ascii="Arial" w:hAnsi="Arial" w:cs="Arial"/>
        </w:rPr>
        <w:t xml:space="preserve">, </w:t>
      </w:r>
      <w:proofErr w:type="spellStart"/>
      <w:r w:rsidRPr="00E322CA">
        <w:rPr>
          <w:rFonts w:ascii="Arial" w:hAnsi="Arial" w:cs="Arial"/>
        </w:rPr>
        <w:t>Youth</w:t>
      </w:r>
      <w:proofErr w:type="spellEnd"/>
      <w:r w:rsidRPr="00E322CA">
        <w:rPr>
          <w:rFonts w:ascii="Arial" w:hAnsi="Arial" w:cs="Arial"/>
        </w:rPr>
        <w:t xml:space="preserve"> and </w:t>
      </w:r>
      <w:proofErr w:type="spellStart"/>
      <w:r w:rsidRPr="00E322CA">
        <w:rPr>
          <w:rFonts w:ascii="Arial" w:hAnsi="Arial" w:cs="Arial"/>
        </w:rPr>
        <w:t>Sports</w:t>
      </w:r>
      <w:proofErr w:type="spellEnd"/>
      <w:r w:rsidRPr="00E322CA">
        <w:rPr>
          <w:rFonts w:ascii="Arial" w:hAnsi="Arial" w:cs="Arial"/>
        </w:rPr>
        <w:t>.</w:t>
      </w:r>
      <w:r w:rsidRPr="00E322CA">
        <w:rPr>
          <w:rFonts w:ascii="Arial" w:hAnsi="Arial" w:cs="Arial"/>
          <w:color w:val="0070C0"/>
        </w:rPr>
        <w:t xml:space="preserve"> </w:t>
      </w:r>
    </w:p>
    <w:p w14:paraId="123ED0A6" w14:textId="77777777" w:rsidR="001908B2" w:rsidRPr="00E322CA" w:rsidRDefault="001908B2" w:rsidP="001908B2">
      <w:pPr>
        <w:tabs>
          <w:tab w:val="left" w:pos="426"/>
        </w:tabs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Metodický rámec je nutno doplnit o kodex hodnotitele.</w:t>
      </w:r>
    </w:p>
    <w:p w14:paraId="0ED72A61" w14:textId="77777777" w:rsidR="001908B2" w:rsidRPr="00E322CA" w:rsidRDefault="001908B2" w:rsidP="001908B2">
      <w:pPr>
        <w:tabs>
          <w:tab w:val="left" w:pos="426"/>
        </w:tabs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Zdůvodnění:</w:t>
      </w:r>
    </w:p>
    <w:p w14:paraId="6F8175F2" w14:textId="77777777" w:rsidR="001908B2" w:rsidRPr="00E322CA" w:rsidRDefault="001908B2" w:rsidP="001908B2">
      <w:pPr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 xml:space="preserve">Podle původního textu, stejně jako podle textu Předkládací zprávy č. j.: MŠMT-15729/2024-3 – </w:t>
      </w:r>
      <w:r w:rsidR="00EC7BA4" w:rsidRPr="00E322CA">
        <w:rPr>
          <w:rFonts w:ascii="Arial" w:hAnsi="Arial" w:cs="Arial"/>
          <w:color w:val="000000" w:themeColor="text1"/>
        </w:rPr>
        <w:t xml:space="preserve">viz </w:t>
      </w:r>
      <w:r w:rsidRPr="00E322CA">
        <w:rPr>
          <w:rFonts w:ascii="Arial" w:hAnsi="Arial" w:cs="Arial"/>
          <w:color w:val="000000" w:themeColor="text1"/>
        </w:rPr>
        <w:t>Vypořádání Zásadní připomínky č. 4 (</w:t>
      </w:r>
      <w:r w:rsidRPr="00E322CA">
        <w:rPr>
          <w:rFonts w:ascii="Arial" w:hAnsi="Arial" w:cs="Arial"/>
          <w:i/>
          <w:iCs/>
          <w:color w:val="000000" w:themeColor="text1"/>
        </w:rPr>
        <w:t>Na základě ná</w:t>
      </w:r>
      <w:r w:rsidR="00EC7BA4" w:rsidRPr="00E322CA">
        <w:rPr>
          <w:rFonts w:ascii="Arial" w:hAnsi="Arial" w:cs="Arial"/>
          <w:i/>
          <w:iCs/>
          <w:color w:val="000000" w:themeColor="text1"/>
        </w:rPr>
        <w:t>vrhu RVVI byly rozšířeny hodnoti</w:t>
      </w:r>
      <w:r w:rsidRPr="00E322CA">
        <w:rPr>
          <w:rFonts w:ascii="Arial" w:hAnsi="Arial" w:cs="Arial"/>
          <w:i/>
          <w:iCs/>
          <w:color w:val="000000" w:themeColor="text1"/>
        </w:rPr>
        <w:t xml:space="preserve">cí panely o člena </w:t>
      </w:r>
      <w:r w:rsidRPr="00E322CA">
        <w:rPr>
          <w:rFonts w:ascii="Arial" w:hAnsi="Arial" w:cs="Arial"/>
          <w:b/>
          <w:bCs/>
          <w:i/>
          <w:iCs/>
          <w:color w:val="000000" w:themeColor="text1"/>
        </w:rPr>
        <w:t>se znalostí českého výzkumného prostředí</w:t>
      </w:r>
      <w:r w:rsidRPr="00E322CA">
        <w:rPr>
          <w:rFonts w:ascii="Arial" w:hAnsi="Arial" w:cs="Arial"/>
          <w:i/>
          <w:iCs/>
          <w:color w:val="000000" w:themeColor="text1"/>
        </w:rPr>
        <w:t xml:space="preserve"> …) </w:t>
      </w:r>
      <w:r w:rsidRPr="00E322CA">
        <w:rPr>
          <w:rFonts w:ascii="Arial" w:hAnsi="Arial" w:cs="Arial"/>
          <w:color w:val="000000" w:themeColor="text1"/>
        </w:rPr>
        <w:t xml:space="preserve">nemusí být </w:t>
      </w:r>
      <w:proofErr w:type="spellStart"/>
      <w:r w:rsidRPr="00E322CA">
        <w:rPr>
          <w:rFonts w:ascii="Arial" w:hAnsi="Arial" w:cs="Arial"/>
          <w:color w:val="000000" w:themeColor="text1"/>
        </w:rPr>
        <w:t>nominantem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MŠMT český vědec, ale například kterýkoliv úředník s vazbou na české výzkumné prostředí.</w:t>
      </w:r>
    </w:p>
    <w:p w14:paraId="5496B348" w14:textId="77777777" w:rsidR="001908B2" w:rsidRPr="00E322CA" w:rsidRDefault="001908B2" w:rsidP="001908B2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  <w:color w:val="000000" w:themeColor="text1"/>
        </w:rPr>
        <w:t>Ošetření kodexu hodnotitele až ve smlouvě s hodnotitelem je nedostatečné, RVVI požadovala, aby byl součástí metodického rámce.</w:t>
      </w:r>
    </w:p>
    <w:p w14:paraId="3468C06D" w14:textId="77777777" w:rsidR="00CB7339" w:rsidRPr="00E322CA" w:rsidRDefault="00CB7339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31AAE553" w14:textId="77777777" w:rsidR="001908B2" w:rsidRPr="00E322CA" w:rsidRDefault="00EC7BA4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Je třeba zajistit, aby priority českého výzkumu byly skutečně náležitě zhodnoceny.</w:t>
      </w:r>
    </w:p>
    <w:p w14:paraId="042C5ED3" w14:textId="77777777" w:rsidR="00EC7BA4" w:rsidRPr="00E322CA" w:rsidRDefault="00EC7BA4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Zdůvodnění:</w:t>
      </w:r>
    </w:p>
    <w:p w14:paraId="353E6493" w14:textId="23B5A2FB" w:rsidR="00EC7BA4" w:rsidRPr="00E322CA" w:rsidRDefault="00EC7BA4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Jeden „český“ člen v pětičlenné mezinárodní komisi, kde 4 další nejsou zhodnocení schopn</w:t>
      </w:r>
      <w:r w:rsidR="00A5454B">
        <w:rPr>
          <w:rFonts w:ascii="Arial" w:hAnsi="Arial" w:cs="Arial"/>
        </w:rPr>
        <w:t>i</w:t>
      </w:r>
      <w:r w:rsidRPr="00E322CA">
        <w:rPr>
          <w:rFonts w:ascii="Arial" w:hAnsi="Arial" w:cs="Arial"/>
        </w:rPr>
        <w:t>, rozhodně nestačí. Takovéto zohlednění souladu s potřebami ČR by mělo provést MŠMT jiným způsobem, např. komisí složenou ze zástupců rezortů, která by se měla vyjádřit k potřebnosti a závažnosti tématu pro ČR v souladu s názory odborných platforem</w:t>
      </w:r>
      <w:r w:rsidR="00191DEC" w:rsidRPr="00E322CA">
        <w:rPr>
          <w:rFonts w:ascii="Arial" w:hAnsi="Arial" w:cs="Arial"/>
        </w:rPr>
        <w:t>.</w:t>
      </w:r>
    </w:p>
    <w:p w14:paraId="35A51D6A" w14:textId="77777777" w:rsidR="00CB7339" w:rsidRPr="00E322CA" w:rsidRDefault="00CB7339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1A664653" w14:textId="0BE4B630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Zásadní připomínka č. 6 z usnesení RVVI  z 22.</w:t>
      </w:r>
      <w:r w:rsidR="00A5454B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>3.</w:t>
      </w:r>
      <w:r w:rsidR="00A5454B">
        <w:rPr>
          <w:rFonts w:ascii="Arial" w:hAnsi="Arial" w:cs="Arial"/>
        </w:rPr>
        <w:t xml:space="preserve"> </w:t>
      </w:r>
      <w:r w:rsidRPr="00E322CA">
        <w:rPr>
          <w:rFonts w:ascii="Arial" w:hAnsi="Arial" w:cs="Arial"/>
        </w:rPr>
        <w:t xml:space="preserve">2024, týkající se rozdělení panelů do dílčích </w:t>
      </w:r>
      <w:proofErr w:type="spellStart"/>
      <w:r w:rsidRPr="00E322CA">
        <w:rPr>
          <w:rFonts w:ascii="Arial" w:hAnsi="Arial" w:cs="Arial"/>
        </w:rPr>
        <w:t>podpanelů</w:t>
      </w:r>
      <w:proofErr w:type="spellEnd"/>
      <w:r w:rsidRPr="00E322CA">
        <w:rPr>
          <w:rFonts w:ascii="Arial" w:hAnsi="Arial" w:cs="Arial"/>
        </w:rPr>
        <w:t>, nebyla nijak reflektována či vypořádána.</w:t>
      </w:r>
    </w:p>
    <w:p w14:paraId="60A49752" w14:textId="77777777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Zdůvodnění:</w:t>
      </w:r>
    </w:p>
    <w:p w14:paraId="254E1555" w14:textId="686C2020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Některé oblasti (</w:t>
      </w:r>
      <w:proofErr w:type="spellStart"/>
      <w:r w:rsidRPr="00E322CA">
        <w:rPr>
          <w:rFonts w:ascii="Arial" w:hAnsi="Arial" w:cs="Arial"/>
        </w:rPr>
        <w:t>Physical</w:t>
      </w:r>
      <w:proofErr w:type="spellEnd"/>
      <w:r w:rsidRPr="00E322CA">
        <w:rPr>
          <w:rFonts w:ascii="Arial" w:hAnsi="Arial" w:cs="Arial"/>
        </w:rPr>
        <w:t xml:space="preserve"> </w:t>
      </w:r>
      <w:proofErr w:type="spellStart"/>
      <w:r w:rsidRPr="00E322CA">
        <w:rPr>
          <w:rFonts w:ascii="Arial" w:hAnsi="Arial" w:cs="Arial"/>
        </w:rPr>
        <w:t>Sciences</w:t>
      </w:r>
      <w:proofErr w:type="spellEnd"/>
      <w:r w:rsidRPr="00E322CA">
        <w:rPr>
          <w:rFonts w:ascii="Arial" w:hAnsi="Arial" w:cs="Arial"/>
        </w:rPr>
        <w:t xml:space="preserve"> and </w:t>
      </w:r>
      <w:proofErr w:type="spellStart"/>
      <w:r w:rsidRPr="00E322CA">
        <w:rPr>
          <w:rFonts w:ascii="Arial" w:hAnsi="Arial" w:cs="Arial"/>
        </w:rPr>
        <w:t>Engineering</w:t>
      </w:r>
      <w:proofErr w:type="spellEnd"/>
      <w:r w:rsidRPr="00E322CA">
        <w:rPr>
          <w:rFonts w:ascii="Arial" w:hAnsi="Arial" w:cs="Arial"/>
        </w:rPr>
        <w:t xml:space="preserve"> a </w:t>
      </w:r>
      <w:proofErr w:type="spellStart"/>
      <w:r w:rsidRPr="00E322CA">
        <w:rPr>
          <w:rFonts w:ascii="Arial" w:hAnsi="Arial" w:cs="Arial"/>
        </w:rPr>
        <w:t>Health</w:t>
      </w:r>
      <w:proofErr w:type="spellEnd"/>
      <w:r w:rsidRPr="00E322CA">
        <w:rPr>
          <w:rFonts w:ascii="Arial" w:hAnsi="Arial" w:cs="Arial"/>
        </w:rPr>
        <w:t xml:space="preserve"> and Food) jsou pro jeden i sedmičlenný panel opravdu velké a nelze tak zajistit objektivní hodnocení panelu v plné šíři odborného záběru. Rozdělení do </w:t>
      </w:r>
      <w:proofErr w:type="spellStart"/>
      <w:r w:rsidRPr="00E322CA">
        <w:rPr>
          <w:rFonts w:ascii="Arial" w:hAnsi="Arial" w:cs="Arial"/>
        </w:rPr>
        <w:t>podpanelů</w:t>
      </w:r>
      <w:proofErr w:type="spellEnd"/>
      <w:r w:rsidRPr="00E322CA">
        <w:rPr>
          <w:rFonts w:ascii="Arial" w:hAnsi="Arial" w:cs="Arial"/>
        </w:rPr>
        <w:t xml:space="preserve"> doporučené Radou v rámci </w:t>
      </w:r>
      <w:r w:rsidRPr="00E322CA">
        <w:rPr>
          <w:rFonts w:ascii="Arial" w:hAnsi="Arial" w:cs="Arial"/>
        </w:rPr>
        <w:br/>
        <w:t>6. zásadní připomínky považujeme za správné.</w:t>
      </w:r>
    </w:p>
    <w:p w14:paraId="3F9530FA" w14:textId="77777777" w:rsidR="00CB7339" w:rsidRPr="00E322CA" w:rsidRDefault="00CB7339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5984AB27" w14:textId="77777777" w:rsidR="00191DEC" w:rsidRPr="00E322CA" w:rsidRDefault="00191DEC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Posudky oponentů by měly být dostupné všem řešitelům.</w:t>
      </w:r>
    </w:p>
    <w:p w14:paraId="51A6EA2F" w14:textId="77777777" w:rsidR="00191DEC" w:rsidRPr="00E322CA" w:rsidRDefault="00191DEC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Zdůvodnění:</w:t>
      </w:r>
    </w:p>
    <w:p w14:paraId="0B72DFF3" w14:textId="614C4F35" w:rsidR="00191DEC" w:rsidRPr="00E322CA" w:rsidRDefault="00191DEC" w:rsidP="00191DEC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Je to evropský standard, snahy nepožadovat posudky nebo je držet v utajení, jsou v rámci rozsáhlejších dlouhodobých projektů neakceptovatelné  – viz problémy s </w:t>
      </w:r>
      <w:proofErr w:type="gramStart"/>
      <w:r w:rsidRPr="00E322CA">
        <w:rPr>
          <w:rFonts w:ascii="Arial" w:hAnsi="Arial" w:cs="Arial"/>
        </w:rPr>
        <w:t>OP</w:t>
      </w:r>
      <w:proofErr w:type="gramEnd"/>
      <w:r w:rsidRPr="00E322CA">
        <w:rPr>
          <w:rFonts w:ascii="Arial" w:hAnsi="Arial" w:cs="Arial"/>
        </w:rPr>
        <w:t xml:space="preserve"> JAK Špičkový výzkum</w:t>
      </w:r>
      <w:r w:rsidR="00A5454B">
        <w:rPr>
          <w:rFonts w:ascii="Arial" w:hAnsi="Arial" w:cs="Arial"/>
        </w:rPr>
        <w:t>.</w:t>
      </w:r>
    </w:p>
    <w:p w14:paraId="51061CB5" w14:textId="77777777" w:rsidR="00CB7339" w:rsidRPr="00E322CA" w:rsidRDefault="00CB7339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728824C4" w14:textId="77777777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Posuzování „starých“ a „nových“ infrastruktur stejným mechanismem vede k nerovným podmínkám celkového hodnocení. Pro nové infrastruktury by měl být vymezen určitý prostor, část starých VVI by měla přejít na samofinancování.</w:t>
      </w:r>
    </w:p>
    <w:p w14:paraId="6BF76B50" w14:textId="77777777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Zdůvodnění:</w:t>
      </w:r>
    </w:p>
    <w:p w14:paraId="0DDCBC80" w14:textId="09E4F853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Při hodnocení „starých“ a „nových“ infrastruktur by měla být zohledňována rozdílnost podmínek („staré“ infrastruktury jsou financovány po mnoho let, „nové“ jsou prostě nové). Pro nové infrastruktury by měla být alokována </w:t>
      </w:r>
      <w:r w:rsidR="00A5454B">
        <w:rPr>
          <w:rFonts w:ascii="Arial" w:hAnsi="Arial" w:cs="Arial"/>
        </w:rPr>
        <w:t>minimální část rozpočtu předem,</w:t>
      </w:r>
      <w:r w:rsidRPr="00E322CA">
        <w:rPr>
          <w:rFonts w:ascii="Arial" w:hAnsi="Arial" w:cs="Arial"/>
        </w:rPr>
        <w:t xml:space="preserve"> jinak bude opět celý prostor VVI nadále zmrazen a deformován. Část „starých“ VVI by měla být už převedena do režimu samofinancování – viz původní záměr VVI.</w:t>
      </w:r>
    </w:p>
    <w:p w14:paraId="68382548" w14:textId="77777777" w:rsidR="00CB7339" w:rsidRPr="00E322CA" w:rsidRDefault="00CB7339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E322CA">
        <w:rPr>
          <w:rFonts w:ascii="Arial" w:hAnsi="Arial" w:cs="Arial"/>
          <w:b/>
          <w:u w:val="single"/>
        </w:rPr>
        <w:t>řipomínka</w:t>
      </w:r>
      <w:r>
        <w:rPr>
          <w:rFonts w:ascii="Arial" w:hAnsi="Arial" w:cs="Arial"/>
          <w:b/>
          <w:u w:val="single"/>
        </w:rPr>
        <w:t xml:space="preserve"> doporučující</w:t>
      </w:r>
    </w:p>
    <w:p w14:paraId="4CFB307E" w14:textId="77777777" w:rsidR="00191DEC" w:rsidRPr="00E322CA" w:rsidRDefault="00191DEC" w:rsidP="00191DEC">
      <w:pPr>
        <w:spacing w:after="12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Změnit text k návrhu zkráceného financování:</w:t>
      </w:r>
    </w:p>
    <w:p w14:paraId="5B803CD8" w14:textId="24E080A9" w:rsidR="00191DEC" w:rsidRPr="00E322CA" w:rsidRDefault="00191DEC" w:rsidP="00191DEC">
      <w:pPr>
        <w:spacing w:after="120"/>
        <w:jc w:val="both"/>
        <w:rPr>
          <w:rFonts w:ascii="Arial" w:hAnsi="Arial" w:cs="Arial"/>
          <w:b/>
          <w:bCs/>
          <w:color w:val="000000" w:themeColor="text1"/>
        </w:rPr>
      </w:pPr>
      <w:proofErr w:type="spellStart"/>
      <w:r w:rsidRPr="00E322CA">
        <w:rPr>
          <w:rFonts w:ascii="Arial" w:hAnsi="Arial" w:cs="Arial"/>
          <w:color w:val="000000" w:themeColor="text1"/>
        </w:rPr>
        <w:t>Newly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proposed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Large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Research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Infrastructures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will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be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suggested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for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4 </w:t>
      </w:r>
      <w:proofErr w:type="spellStart"/>
      <w:r w:rsidRPr="00E322CA">
        <w:rPr>
          <w:rFonts w:ascii="Arial" w:hAnsi="Arial" w:cs="Arial"/>
          <w:color w:val="000000" w:themeColor="text1"/>
        </w:rPr>
        <w:t>years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color w:val="000000" w:themeColor="text1"/>
        </w:rPr>
        <w:t>financing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. </w:t>
      </w:r>
      <w:r w:rsidRPr="00E322CA">
        <w:rPr>
          <w:rFonts w:ascii="Arial" w:hAnsi="Arial" w:cs="Arial"/>
          <w:strike/>
          <w:color w:val="000000" w:themeColor="text1"/>
        </w:rPr>
        <w:t xml:space="preserve">In case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of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doubts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the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assessment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committee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may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suggest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even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existing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Large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Research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infrastructure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for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shorter</w:t>
      </w:r>
      <w:proofErr w:type="spellEnd"/>
      <w:r w:rsidRPr="00E322CA">
        <w:rPr>
          <w:rFonts w:ascii="Arial" w:hAnsi="Arial" w:cs="Arial"/>
          <w:strike/>
          <w:color w:val="000000" w:themeColor="text1"/>
        </w:rPr>
        <w:t xml:space="preserve"> term </w:t>
      </w:r>
      <w:proofErr w:type="spellStart"/>
      <w:r w:rsidRPr="00E322CA">
        <w:rPr>
          <w:rFonts w:ascii="Arial" w:hAnsi="Arial" w:cs="Arial"/>
          <w:strike/>
          <w:color w:val="000000" w:themeColor="text1"/>
        </w:rPr>
        <w:t>evaluation</w:t>
      </w:r>
      <w:proofErr w:type="spellEnd"/>
      <w:r w:rsidRPr="00E322CA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This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shortened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funding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period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will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also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be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proposed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to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existing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large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research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infrastructures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rated</w:t>
      </w:r>
      <w:proofErr w:type="spellEnd"/>
      <w:r w:rsidRPr="00E322CA">
        <w:rPr>
          <w:rFonts w:ascii="Arial" w:hAnsi="Arial" w:cs="Arial"/>
          <w:b/>
          <w:bCs/>
          <w:color w:val="000000" w:themeColor="text1"/>
        </w:rPr>
        <w:t xml:space="preserve"> 3 and </w:t>
      </w:r>
      <w:proofErr w:type="spellStart"/>
      <w:r w:rsidRPr="00E322CA">
        <w:rPr>
          <w:rFonts w:ascii="Arial" w:hAnsi="Arial" w:cs="Arial"/>
          <w:b/>
          <w:bCs/>
          <w:color w:val="000000" w:themeColor="text1"/>
        </w:rPr>
        <w:t>below</w:t>
      </w:r>
      <w:proofErr w:type="spellEnd"/>
      <w:r w:rsidR="00A5454B">
        <w:rPr>
          <w:rFonts w:ascii="Arial" w:hAnsi="Arial" w:cs="Arial"/>
          <w:b/>
          <w:bCs/>
          <w:color w:val="000000" w:themeColor="text1"/>
        </w:rPr>
        <w:t>.</w:t>
      </w:r>
    </w:p>
    <w:p w14:paraId="61AB19F6" w14:textId="77777777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>Zdůvodnění:</w:t>
      </w:r>
    </w:p>
    <w:p w14:paraId="7C0FD6FE" w14:textId="77777777" w:rsidR="00191DEC" w:rsidRPr="00E322CA" w:rsidRDefault="00191DEC" w:rsidP="00191DEC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E322CA">
        <w:rPr>
          <w:rFonts w:ascii="Arial" w:hAnsi="Arial" w:cs="Arial"/>
          <w:color w:val="000000" w:themeColor="text1"/>
        </w:rPr>
        <w:t>Pokud mají být dlouhodobě podporovány pouze infrastruktury s excelentními a velmi kvalitními výsledky, mělo by být průměrným a zejména podprůměrným infrastrukturám navrhováno financování na kratší dobu</w:t>
      </w:r>
      <w:r w:rsidRPr="00E322CA">
        <w:rPr>
          <w:rFonts w:ascii="Arial" w:hAnsi="Arial" w:cs="Arial"/>
          <w:color w:val="0070C0"/>
        </w:rPr>
        <w:t>.</w:t>
      </w:r>
    </w:p>
    <w:p w14:paraId="06B7CC4F" w14:textId="77777777" w:rsidR="00191DEC" w:rsidRPr="00CB7339" w:rsidRDefault="00191DEC" w:rsidP="00CB7339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 w:rsidRPr="00A5454B">
        <w:rPr>
          <w:rFonts w:ascii="Arial" w:hAnsi="Arial" w:cs="Arial"/>
          <w:b/>
        </w:rPr>
        <w:t xml:space="preserve"> </w:t>
      </w:r>
      <w:r w:rsidR="00CB7339">
        <w:rPr>
          <w:rFonts w:ascii="Arial" w:hAnsi="Arial" w:cs="Arial"/>
          <w:b/>
          <w:u w:val="single"/>
        </w:rPr>
        <w:t>P</w:t>
      </w:r>
      <w:r w:rsidR="00CB7339" w:rsidRPr="00E322CA">
        <w:rPr>
          <w:rFonts w:ascii="Arial" w:hAnsi="Arial" w:cs="Arial"/>
          <w:b/>
          <w:u w:val="single"/>
        </w:rPr>
        <w:t>řipomínka</w:t>
      </w:r>
      <w:r w:rsidR="00CB7339">
        <w:rPr>
          <w:rFonts w:ascii="Arial" w:hAnsi="Arial" w:cs="Arial"/>
          <w:b/>
          <w:u w:val="single"/>
        </w:rPr>
        <w:t xml:space="preserve"> doporučující</w:t>
      </w:r>
    </w:p>
    <w:p w14:paraId="542593E4" w14:textId="77777777" w:rsidR="00191DEC" w:rsidRPr="00E322CA" w:rsidRDefault="003179C9" w:rsidP="003179C9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Celý dokument by měl být rozdělen do dvou – Hodnocení VVI a Nová výzva s uvedením priorit pro ČR.</w:t>
      </w:r>
    </w:p>
    <w:p w14:paraId="40A77D93" w14:textId="77777777" w:rsidR="003179C9" w:rsidRPr="00E322CA" w:rsidRDefault="003179C9" w:rsidP="003179C9">
      <w:pPr>
        <w:pStyle w:val="Odstavecseseznamem"/>
        <w:spacing w:after="120"/>
        <w:ind w:left="0"/>
        <w:contextualSpacing w:val="0"/>
        <w:rPr>
          <w:rFonts w:ascii="Arial" w:hAnsi="Arial" w:cs="Arial"/>
          <w:color w:val="000000" w:themeColor="text1"/>
        </w:rPr>
      </w:pPr>
      <w:r w:rsidRPr="00E322CA">
        <w:rPr>
          <w:rFonts w:ascii="Arial" w:hAnsi="Arial" w:cs="Arial"/>
          <w:color w:val="000000" w:themeColor="text1"/>
        </w:rPr>
        <w:t>Zdůvodnění:</w:t>
      </w:r>
    </w:p>
    <w:p w14:paraId="1ED4E294" w14:textId="11CA8778" w:rsidR="00436503" w:rsidRPr="00E322CA" w:rsidRDefault="003179C9" w:rsidP="00436503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 w:rsidRPr="00E322CA">
        <w:rPr>
          <w:rFonts w:ascii="Arial" w:hAnsi="Arial" w:cs="Arial"/>
        </w:rPr>
        <w:t xml:space="preserve">Propojení obou materiálů do jednoho s nadpisem Hodnocení je neadekvátní pro tak rozsáhlé financování. V Nové výzvě by měl být stanoven způsob zohlednění </w:t>
      </w:r>
      <w:r w:rsidRPr="00E322CA">
        <w:rPr>
          <w:rFonts w:ascii="Arial" w:hAnsi="Arial" w:cs="Arial"/>
        </w:rPr>
        <w:lastRenderedPageBreak/>
        <w:t xml:space="preserve">aktuálních potřeb ČR (např. </w:t>
      </w:r>
      <w:proofErr w:type="spellStart"/>
      <w:r w:rsidRPr="00E322CA">
        <w:rPr>
          <w:rFonts w:ascii="Arial" w:hAnsi="Arial" w:cs="Arial"/>
        </w:rPr>
        <w:t>prioritizovat</w:t>
      </w:r>
      <w:proofErr w:type="spellEnd"/>
      <w:r w:rsidRPr="00E322CA">
        <w:rPr>
          <w:rFonts w:ascii="Arial" w:hAnsi="Arial" w:cs="Arial"/>
        </w:rPr>
        <w:t xml:space="preserve"> témata NPOV tak, jak bylo slibováno, nebo např. </w:t>
      </w:r>
      <w:proofErr w:type="spellStart"/>
      <w:r w:rsidRPr="00E322CA">
        <w:rPr>
          <w:rFonts w:ascii="Arial" w:hAnsi="Arial" w:cs="Arial"/>
        </w:rPr>
        <w:t>prioritizovat</w:t>
      </w:r>
      <w:proofErr w:type="spellEnd"/>
      <w:r w:rsidRPr="00E322CA">
        <w:rPr>
          <w:rFonts w:ascii="Arial" w:hAnsi="Arial" w:cs="Arial"/>
        </w:rPr>
        <w:t xml:space="preserve"> nové národní strategie apod.).</w:t>
      </w:r>
    </w:p>
    <w:p w14:paraId="5B73761F" w14:textId="48D85490" w:rsidR="00436503" w:rsidRPr="00CB7339" w:rsidRDefault="00A5454B" w:rsidP="00436503">
      <w:pPr>
        <w:pStyle w:val="Odstavecseseznamem"/>
        <w:numPr>
          <w:ilvl w:val="0"/>
          <w:numId w:val="1"/>
        </w:numPr>
        <w:tabs>
          <w:tab w:val="left" w:pos="426"/>
        </w:tabs>
        <w:spacing w:after="120"/>
        <w:ind w:left="357" w:hanging="357"/>
        <w:contextualSpacing w:val="0"/>
        <w:jc w:val="both"/>
        <w:rPr>
          <w:rFonts w:ascii="Arial" w:hAnsi="Arial" w:cs="Arial"/>
          <w:b/>
          <w:u w:val="single"/>
        </w:rPr>
      </w:pPr>
      <w:r w:rsidRPr="00A5454B">
        <w:rPr>
          <w:rFonts w:ascii="Arial" w:hAnsi="Arial" w:cs="Arial"/>
          <w:b/>
        </w:rPr>
        <w:t xml:space="preserve"> </w:t>
      </w:r>
      <w:r w:rsidR="00436503">
        <w:rPr>
          <w:rFonts w:ascii="Arial" w:hAnsi="Arial" w:cs="Arial"/>
          <w:b/>
          <w:u w:val="single"/>
        </w:rPr>
        <w:t>P</w:t>
      </w:r>
      <w:r w:rsidR="00436503" w:rsidRPr="00E322CA">
        <w:rPr>
          <w:rFonts w:ascii="Arial" w:hAnsi="Arial" w:cs="Arial"/>
          <w:b/>
          <w:u w:val="single"/>
        </w:rPr>
        <w:t>řipomínka</w:t>
      </w:r>
      <w:r w:rsidR="00436503">
        <w:rPr>
          <w:rFonts w:ascii="Arial" w:hAnsi="Arial" w:cs="Arial"/>
          <w:b/>
          <w:u w:val="single"/>
        </w:rPr>
        <w:t xml:space="preserve"> doporučující</w:t>
      </w:r>
    </w:p>
    <w:p w14:paraId="583D530D" w14:textId="77777777" w:rsidR="00436503" w:rsidRDefault="00436503" w:rsidP="00A5454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Rada doporučuje MŠMT zvážit účast členů Rady v sektorových platformách MŠMT.</w:t>
      </w:r>
    </w:p>
    <w:p w14:paraId="6F607DD8" w14:textId="739C75DB" w:rsidR="00436503" w:rsidRDefault="00436503" w:rsidP="00A5454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Zdůvodnění</w:t>
      </w:r>
      <w:r w:rsidR="00A5454B">
        <w:rPr>
          <w:rFonts w:ascii="Arial" w:hAnsi="Arial" w:cs="Arial"/>
        </w:rPr>
        <w:t>:</w:t>
      </w:r>
    </w:p>
    <w:p w14:paraId="06DA3337" w14:textId="27241D7F" w:rsidR="008E2115" w:rsidRDefault="00436503" w:rsidP="00A5454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Cílem je zapojit členy Rady do tohoto procesu za účelem </w:t>
      </w:r>
      <w:r w:rsidR="00CC4DDF">
        <w:rPr>
          <w:rFonts w:ascii="Arial" w:hAnsi="Arial" w:cs="Arial"/>
        </w:rPr>
        <w:t xml:space="preserve">zlepšení informovanosti členů </w:t>
      </w:r>
      <w:r w:rsidR="004A00D7">
        <w:rPr>
          <w:rFonts w:ascii="Arial" w:hAnsi="Arial" w:cs="Arial"/>
        </w:rPr>
        <w:t>Rady odpovědných</w:t>
      </w:r>
      <w:r w:rsidR="00CC4DDF">
        <w:rPr>
          <w:rFonts w:ascii="Arial" w:hAnsi="Arial" w:cs="Arial"/>
        </w:rPr>
        <w:t xml:space="preserve"> za tuto problematiku.</w:t>
      </w:r>
    </w:p>
    <w:p w14:paraId="2F8C5BB1" w14:textId="77777777" w:rsidR="00A5454B" w:rsidRDefault="00A5454B" w:rsidP="00A5454B">
      <w:pPr>
        <w:spacing w:after="120"/>
        <w:jc w:val="both"/>
        <w:rPr>
          <w:rFonts w:ascii="Arial" w:hAnsi="Arial" w:cs="Arial"/>
        </w:rPr>
      </w:pPr>
    </w:p>
    <w:p w14:paraId="53173101" w14:textId="0DFC8351" w:rsidR="009C35FD" w:rsidRPr="00A5454B" w:rsidRDefault="00A5454B" w:rsidP="007966D4">
      <w:pPr>
        <w:spacing w:after="200" w:line="276" w:lineRule="auto"/>
        <w:ind w:firstLine="142"/>
        <w:jc w:val="both"/>
        <w:rPr>
          <w:rFonts w:ascii="Arial" w:hAnsi="Arial" w:cs="Arial"/>
          <w:b/>
          <w:color w:val="0070C0"/>
        </w:rPr>
      </w:pPr>
      <w:r w:rsidRPr="00A5454B">
        <w:rPr>
          <w:rFonts w:ascii="Arial" w:hAnsi="Arial" w:cs="Arial"/>
          <w:b/>
          <w:color w:val="0070C0"/>
        </w:rPr>
        <w:t>IV.</w:t>
      </w:r>
      <w:r w:rsidR="00CC4DDF" w:rsidRPr="00A5454B">
        <w:rPr>
          <w:rFonts w:ascii="Arial" w:hAnsi="Arial" w:cs="Arial"/>
        </w:rPr>
        <w:t xml:space="preserve"> </w:t>
      </w:r>
      <w:r w:rsidR="009C35FD" w:rsidRPr="00A5454B">
        <w:rPr>
          <w:rFonts w:ascii="Arial" w:hAnsi="Arial" w:cs="Arial"/>
          <w:b/>
          <w:color w:val="0070C0"/>
        </w:rPr>
        <w:t>Závěr</w:t>
      </w:r>
    </w:p>
    <w:p w14:paraId="5F44A399" w14:textId="5A751A66" w:rsidR="004A00D7" w:rsidRPr="00A5454B" w:rsidRDefault="004A00D7" w:rsidP="00A5454B">
      <w:pPr>
        <w:spacing w:before="120" w:after="120"/>
        <w:jc w:val="both"/>
        <w:rPr>
          <w:rFonts w:ascii="Arial" w:hAnsi="Arial" w:cs="Arial"/>
        </w:rPr>
      </w:pPr>
      <w:r w:rsidRPr="00A5454B">
        <w:rPr>
          <w:rFonts w:ascii="Arial" w:hAnsi="Arial" w:cs="Arial"/>
          <w:color w:val="000000" w:themeColor="text1"/>
        </w:rPr>
        <w:t>Rada žádá Ministerstvo školství, mládeže a tělovýchovy, aby ji seznámilo se způsobem zohlednění doporučení uvedených ve Stanovisku Rady v nejbližším možném termínu.</w:t>
      </w:r>
      <w:r w:rsidRPr="00A5454B">
        <w:rPr>
          <w:rFonts w:ascii="Arial" w:hAnsi="Arial" w:cs="Arial"/>
          <w:color w:val="000000"/>
        </w:rPr>
        <w:t xml:space="preserve"> </w:t>
      </w:r>
    </w:p>
    <w:p w14:paraId="583ECEE3" w14:textId="7C7D5678" w:rsidR="004A00D7" w:rsidRPr="00A5454B" w:rsidRDefault="004A00D7" w:rsidP="00A5454B">
      <w:pPr>
        <w:pStyle w:val="Zkladntext2"/>
        <w:spacing w:after="120"/>
        <w:jc w:val="both"/>
        <w:rPr>
          <w:rFonts w:ascii="Arial" w:hAnsi="Arial" w:cs="Arial"/>
          <w:color w:val="000000"/>
          <w:szCs w:val="24"/>
        </w:rPr>
      </w:pPr>
    </w:p>
    <w:p w14:paraId="485E137E" w14:textId="77777777" w:rsidR="0015436B" w:rsidRDefault="0015436B" w:rsidP="00A5454B">
      <w:pPr>
        <w:pStyle w:val="Zkladntext2"/>
        <w:spacing w:after="120"/>
        <w:jc w:val="both"/>
        <w:rPr>
          <w:rFonts w:ascii="Arial" w:hAnsi="Arial" w:cs="Arial"/>
          <w:color w:val="000000"/>
        </w:rPr>
      </w:pPr>
    </w:p>
    <w:p w14:paraId="5C1EACF4" w14:textId="77777777" w:rsidR="0015436B" w:rsidRDefault="0015436B" w:rsidP="0015436B">
      <w:pPr>
        <w:pStyle w:val="Zkladntext2"/>
        <w:spacing w:after="120"/>
        <w:jc w:val="both"/>
        <w:rPr>
          <w:rFonts w:ascii="Arial" w:hAnsi="Arial" w:cs="Arial"/>
          <w:color w:val="000000"/>
        </w:rPr>
      </w:pPr>
    </w:p>
    <w:p w14:paraId="1FDDE0DD" w14:textId="67C481F0" w:rsidR="009C35FD" w:rsidRPr="00072BCD" w:rsidRDefault="008D4308" w:rsidP="002E00EC">
      <w:pPr>
        <w:spacing w:after="240"/>
        <w:jc w:val="both"/>
        <w:rPr>
          <w:rFonts w:ascii="Arial" w:hAnsi="Arial" w:cs="Arial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  <w:r w:rsidR="009C35FD" w:rsidRPr="00072BCD">
        <w:rPr>
          <w:rFonts w:ascii="Arial" w:hAnsi="Arial" w:cs="Arial"/>
        </w:rPr>
        <w:t xml:space="preserve">V Praze dne </w:t>
      </w:r>
      <w:r w:rsidR="00436503">
        <w:rPr>
          <w:rFonts w:ascii="Arial" w:hAnsi="Arial" w:cs="Arial"/>
        </w:rPr>
        <w:t>…</w:t>
      </w:r>
      <w:r w:rsidR="009C35FD">
        <w:rPr>
          <w:rFonts w:ascii="Arial" w:hAnsi="Arial" w:cs="Arial"/>
        </w:rPr>
        <w:t xml:space="preserve"> </w:t>
      </w:r>
      <w:r w:rsidR="00436503">
        <w:rPr>
          <w:rFonts w:ascii="Arial" w:hAnsi="Arial" w:cs="Arial"/>
        </w:rPr>
        <w:t xml:space="preserve">listopadu </w:t>
      </w:r>
      <w:r w:rsidR="009C35FD">
        <w:rPr>
          <w:rFonts w:ascii="Arial" w:hAnsi="Arial" w:cs="Arial"/>
        </w:rPr>
        <w:t>2024</w:t>
      </w:r>
    </w:p>
    <w:p w14:paraId="1E08380F" w14:textId="77777777" w:rsidR="000C7099" w:rsidRPr="00A658BE" w:rsidRDefault="000C7099" w:rsidP="0008524F">
      <w:pPr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B0B" w14:textId="77777777" w:rsidR="006B644C" w:rsidRDefault="006B644C" w:rsidP="008F77F6">
      <w:r>
        <w:separator/>
      </w:r>
    </w:p>
  </w:endnote>
  <w:endnote w:type="continuationSeparator" w:id="0">
    <w:p w14:paraId="518B1EE2" w14:textId="77777777" w:rsidR="006B644C" w:rsidRDefault="006B644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325E1" w14:textId="1CAF6D55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2C7B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2C7B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43C8D0E" w14:textId="3A751E1C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2C7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2C7B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61FC3B6F" w14:textId="470ED34E" w:rsidR="00B120CD" w:rsidRPr="00CC370F" w:rsidRDefault="00132C7B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F245C" w14:textId="77777777" w:rsidR="006B644C" w:rsidRDefault="006B644C" w:rsidP="008F77F6">
      <w:r>
        <w:separator/>
      </w:r>
    </w:p>
  </w:footnote>
  <w:footnote w:type="continuationSeparator" w:id="0">
    <w:p w14:paraId="4D98D23E" w14:textId="77777777" w:rsidR="006B644C" w:rsidRDefault="006B644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217CC54A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558FDC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D771934" wp14:editId="1D0EAB9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AA95D9B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0981C739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3D238DD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728" behindDoc="0" locked="0" layoutInCell="1" allowOverlap="1" wp14:anchorId="56D8DC0D" wp14:editId="587EBAA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72DC53A5" w14:textId="57D9629C" w:rsidR="00B120CD" w:rsidRPr="00C12F55" w:rsidRDefault="00220D5E" w:rsidP="004511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per rollam</w:t>
          </w:r>
        </w:p>
      </w:tc>
    </w:tr>
  </w:tbl>
  <w:p w14:paraId="52C486EF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B3A7B"/>
    <w:multiLevelType w:val="hybridMultilevel"/>
    <w:tmpl w:val="A178133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B96CC6"/>
    <w:multiLevelType w:val="hybridMultilevel"/>
    <w:tmpl w:val="6534D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13520"/>
    <w:multiLevelType w:val="hybridMultilevel"/>
    <w:tmpl w:val="E5A819CE"/>
    <w:lvl w:ilvl="0" w:tplc="A08CA1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1F506B"/>
    <w:multiLevelType w:val="hybridMultilevel"/>
    <w:tmpl w:val="B1FEE9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F31DB"/>
    <w:multiLevelType w:val="multilevel"/>
    <w:tmpl w:val="8DA0AE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45484"/>
    <w:multiLevelType w:val="hybridMultilevel"/>
    <w:tmpl w:val="12F0ED6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D3EBB"/>
    <w:multiLevelType w:val="hybridMultilevel"/>
    <w:tmpl w:val="AE58E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1A17"/>
    <w:rsid w:val="000120D6"/>
    <w:rsid w:val="00016B78"/>
    <w:rsid w:val="0002313D"/>
    <w:rsid w:val="00032DD1"/>
    <w:rsid w:val="00033327"/>
    <w:rsid w:val="00035EFD"/>
    <w:rsid w:val="00041AC0"/>
    <w:rsid w:val="00043BB4"/>
    <w:rsid w:val="00046C65"/>
    <w:rsid w:val="000472F8"/>
    <w:rsid w:val="000549A1"/>
    <w:rsid w:val="000562B1"/>
    <w:rsid w:val="000574CE"/>
    <w:rsid w:val="00061859"/>
    <w:rsid w:val="00065C9D"/>
    <w:rsid w:val="000668D4"/>
    <w:rsid w:val="000722CE"/>
    <w:rsid w:val="00076499"/>
    <w:rsid w:val="00077AD9"/>
    <w:rsid w:val="00081162"/>
    <w:rsid w:val="0008125C"/>
    <w:rsid w:val="00081585"/>
    <w:rsid w:val="00083370"/>
    <w:rsid w:val="00084C50"/>
    <w:rsid w:val="0008524F"/>
    <w:rsid w:val="00086B42"/>
    <w:rsid w:val="000942EB"/>
    <w:rsid w:val="00095037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D1E04"/>
    <w:rsid w:val="000D75CC"/>
    <w:rsid w:val="000E29A9"/>
    <w:rsid w:val="000E3C17"/>
    <w:rsid w:val="000E5261"/>
    <w:rsid w:val="000E7427"/>
    <w:rsid w:val="001029D8"/>
    <w:rsid w:val="0010695C"/>
    <w:rsid w:val="001110FB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2C7B"/>
    <w:rsid w:val="00144C07"/>
    <w:rsid w:val="00152006"/>
    <w:rsid w:val="0015436B"/>
    <w:rsid w:val="00156192"/>
    <w:rsid w:val="00157380"/>
    <w:rsid w:val="00162A96"/>
    <w:rsid w:val="00163448"/>
    <w:rsid w:val="00176933"/>
    <w:rsid w:val="00183C16"/>
    <w:rsid w:val="001908B2"/>
    <w:rsid w:val="00191DEC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D6BBD"/>
    <w:rsid w:val="001E38CB"/>
    <w:rsid w:val="001F190C"/>
    <w:rsid w:val="001F25B2"/>
    <w:rsid w:val="001F38CB"/>
    <w:rsid w:val="001F3E7C"/>
    <w:rsid w:val="001F69DB"/>
    <w:rsid w:val="00200490"/>
    <w:rsid w:val="00215834"/>
    <w:rsid w:val="00215F97"/>
    <w:rsid w:val="00220D5E"/>
    <w:rsid w:val="0022500C"/>
    <w:rsid w:val="00225149"/>
    <w:rsid w:val="0022699E"/>
    <w:rsid w:val="002276E6"/>
    <w:rsid w:val="00227993"/>
    <w:rsid w:val="00230132"/>
    <w:rsid w:val="00231E9C"/>
    <w:rsid w:val="00237006"/>
    <w:rsid w:val="00237892"/>
    <w:rsid w:val="00244CE6"/>
    <w:rsid w:val="00244D08"/>
    <w:rsid w:val="00244D2F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85B3B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C6AC9"/>
    <w:rsid w:val="002E00EC"/>
    <w:rsid w:val="002E0E7B"/>
    <w:rsid w:val="002E241F"/>
    <w:rsid w:val="002E2591"/>
    <w:rsid w:val="002E7B46"/>
    <w:rsid w:val="002F5C51"/>
    <w:rsid w:val="0030455B"/>
    <w:rsid w:val="0030658D"/>
    <w:rsid w:val="00307014"/>
    <w:rsid w:val="003070F6"/>
    <w:rsid w:val="00310690"/>
    <w:rsid w:val="00312168"/>
    <w:rsid w:val="00315BD6"/>
    <w:rsid w:val="003179C9"/>
    <w:rsid w:val="00325959"/>
    <w:rsid w:val="003403ED"/>
    <w:rsid w:val="00351072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1009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503"/>
    <w:rsid w:val="004369C1"/>
    <w:rsid w:val="00436C74"/>
    <w:rsid w:val="00440882"/>
    <w:rsid w:val="00441F71"/>
    <w:rsid w:val="00443D2C"/>
    <w:rsid w:val="004511DF"/>
    <w:rsid w:val="0045489A"/>
    <w:rsid w:val="0045567B"/>
    <w:rsid w:val="004600B2"/>
    <w:rsid w:val="0046041D"/>
    <w:rsid w:val="00463833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00D7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91D"/>
    <w:rsid w:val="004F4FDF"/>
    <w:rsid w:val="004F69FD"/>
    <w:rsid w:val="004F7D4C"/>
    <w:rsid w:val="00500218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619"/>
    <w:rsid w:val="0055771A"/>
    <w:rsid w:val="0056079B"/>
    <w:rsid w:val="0056158D"/>
    <w:rsid w:val="00562B00"/>
    <w:rsid w:val="005658FF"/>
    <w:rsid w:val="005701DA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41E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7D3E"/>
    <w:rsid w:val="0061400F"/>
    <w:rsid w:val="006148A3"/>
    <w:rsid w:val="006168DA"/>
    <w:rsid w:val="00616978"/>
    <w:rsid w:val="00616D9D"/>
    <w:rsid w:val="00617289"/>
    <w:rsid w:val="006174CD"/>
    <w:rsid w:val="0062369D"/>
    <w:rsid w:val="00631137"/>
    <w:rsid w:val="00631742"/>
    <w:rsid w:val="00631B57"/>
    <w:rsid w:val="00632405"/>
    <w:rsid w:val="0063251D"/>
    <w:rsid w:val="00632ED1"/>
    <w:rsid w:val="00633086"/>
    <w:rsid w:val="006369D6"/>
    <w:rsid w:val="00641492"/>
    <w:rsid w:val="006418FF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87517"/>
    <w:rsid w:val="006900DD"/>
    <w:rsid w:val="0069489B"/>
    <w:rsid w:val="006B0034"/>
    <w:rsid w:val="006B073F"/>
    <w:rsid w:val="006B1C4B"/>
    <w:rsid w:val="006B5593"/>
    <w:rsid w:val="006B5DC7"/>
    <w:rsid w:val="006B644C"/>
    <w:rsid w:val="006C24DF"/>
    <w:rsid w:val="006C2D93"/>
    <w:rsid w:val="006C4CB9"/>
    <w:rsid w:val="006C6371"/>
    <w:rsid w:val="006D4973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693D"/>
    <w:rsid w:val="006E791D"/>
    <w:rsid w:val="007006BB"/>
    <w:rsid w:val="00704150"/>
    <w:rsid w:val="0070553C"/>
    <w:rsid w:val="007065A8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76A5B"/>
    <w:rsid w:val="00784DC1"/>
    <w:rsid w:val="00792371"/>
    <w:rsid w:val="007947D1"/>
    <w:rsid w:val="00795F42"/>
    <w:rsid w:val="007966D4"/>
    <w:rsid w:val="00796F00"/>
    <w:rsid w:val="007A0A08"/>
    <w:rsid w:val="007A1410"/>
    <w:rsid w:val="007A2E0E"/>
    <w:rsid w:val="007A3524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1FB0"/>
    <w:rsid w:val="00803F6F"/>
    <w:rsid w:val="00810AA0"/>
    <w:rsid w:val="00811008"/>
    <w:rsid w:val="00813A7C"/>
    <w:rsid w:val="00813C8E"/>
    <w:rsid w:val="008166CF"/>
    <w:rsid w:val="00816E2E"/>
    <w:rsid w:val="008212FB"/>
    <w:rsid w:val="008215D4"/>
    <w:rsid w:val="008220C2"/>
    <w:rsid w:val="008266C4"/>
    <w:rsid w:val="008274D2"/>
    <w:rsid w:val="0083288A"/>
    <w:rsid w:val="008339F5"/>
    <w:rsid w:val="008354DE"/>
    <w:rsid w:val="00837A26"/>
    <w:rsid w:val="00840333"/>
    <w:rsid w:val="00841DED"/>
    <w:rsid w:val="008451BA"/>
    <w:rsid w:val="00845C3B"/>
    <w:rsid w:val="00845F8A"/>
    <w:rsid w:val="00845FA1"/>
    <w:rsid w:val="00845FEF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84AE5"/>
    <w:rsid w:val="0089347B"/>
    <w:rsid w:val="0089463A"/>
    <w:rsid w:val="0089743E"/>
    <w:rsid w:val="008A603A"/>
    <w:rsid w:val="008A69B5"/>
    <w:rsid w:val="008A7244"/>
    <w:rsid w:val="008B0AA2"/>
    <w:rsid w:val="008B2E4D"/>
    <w:rsid w:val="008C0727"/>
    <w:rsid w:val="008C2412"/>
    <w:rsid w:val="008C68D1"/>
    <w:rsid w:val="008D0383"/>
    <w:rsid w:val="008D1A8F"/>
    <w:rsid w:val="008D2E30"/>
    <w:rsid w:val="008D3453"/>
    <w:rsid w:val="008D4308"/>
    <w:rsid w:val="008D6249"/>
    <w:rsid w:val="008E0DAB"/>
    <w:rsid w:val="008E2115"/>
    <w:rsid w:val="008E2BFC"/>
    <w:rsid w:val="008F1A79"/>
    <w:rsid w:val="008F262B"/>
    <w:rsid w:val="008F330B"/>
    <w:rsid w:val="008F58EF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36D"/>
    <w:rsid w:val="00944903"/>
    <w:rsid w:val="00946879"/>
    <w:rsid w:val="00952319"/>
    <w:rsid w:val="00955A00"/>
    <w:rsid w:val="0096168D"/>
    <w:rsid w:val="0096205B"/>
    <w:rsid w:val="009679DB"/>
    <w:rsid w:val="009705F5"/>
    <w:rsid w:val="0097475D"/>
    <w:rsid w:val="009758E5"/>
    <w:rsid w:val="00975E6F"/>
    <w:rsid w:val="00977888"/>
    <w:rsid w:val="0098348B"/>
    <w:rsid w:val="009834F3"/>
    <w:rsid w:val="009908C6"/>
    <w:rsid w:val="0099256E"/>
    <w:rsid w:val="00995CCC"/>
    <w:rsid w:val="009969E5"/>
    <w:rsid w:val="009A1C78"/>
    <w:rsid w:val="009A5FB2"/>
    <w:rsid w:val="009A6A4C"/>
    <w:rsid w:val="009B2086"/>
    <w:rsid w:val="009B5A68"/>
    <w:rsid w:val="009B6E96"/>
    <w:rsid w:val="009C35FD"/>
    <w:rsid w:val="009C7CDF"/>
    <w:rsid w:val="009D3AC9"/>
    <w:rsid w:val="009D789B"/>
    <w:rsid w:val="009E3266"/>
    <w:rsid w:val="009E35A3"/>
    <w:rsid w:val="009E499E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6357"/>
    <w:rsid w:val="00A17B13"/>
    <w:rsid w:val="00A2265C"/>
    <w:rsid w:val="00A31F09"/>
    <w:rsid w:val="00A32CC8"/>
    <w:rsid w:val="00A33FEC"/>
    <w:rsid w:val="00A462CC"/>
    <w:rsid w:val="00A465B6"/>
    <w:rsid w:val="00A4709D"/>
    <w:rsid w:val="00A522AA"/>
    <w:rsid w:val="00A53071"/>
    <w:rsid w:val="00A5454B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B7700"/>
    <w:rsid w:val="00AC2E42"/>
    <w:rsid w:val="00AC5E4F"/>
    <w:rsid w:val="00AD53F5"/>
    <w:rsid w:val="00AD5458"/>
    <w:rsid w:val="00AD5A0A"/>
    <w:rsid w:val="00AD679F"/>
    <w:rsid w:val="00AD68AD"/>
    <w:rsid w:val="00AD6A19"/>
    <w:rsid w:val="00AE02E9"/>
    <w:rsid w:val="00AE0517"/>
    <w:rsid w:val="00AE06BD"/>
    <w:rsid w:val="00AE1D0E"/>
    <w:rsid w:val="00AF1AA7"/>
    <w:rsid w:val="00AF29CD"/>
    <w:rsid w:val="00AF3E32"/>
    <w:rsid w:val="00AF3EE1"/>
    <w:rsid w:val="00AF53D9"/>
    <w:rsid w:val="00AF58A3"/>
    <w:rsid w:val="00AF65B1"/>
    <w:rsid w:val="00AF7813"/>
    <w:rsid w:val="00B00B36"/>
    <w:rsid w:val="00B06CFD"/>
    <w:rsid w:val="00B0750E"/>
    <w:rsid w:val="00B120CD"/>
    <w:rsid w:val="00B1657A"/>
    <w:rsid w:val="00B21ABA"/>
    <w:rsid w:val="00B220C2"/>
    <w:rsid w:val="00B26E0F"/>
    <w:rsid w:val="00B30E95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27D8"/>
    <w:rsid w:val="00B63243"/>
    <w:rsid w:val="00B659E7"/>
    <w:rsid w:val="00B65B0D"/>
    <w:rsid w:val="00B65CC8"/>
    <w:rsid w:val="00B6729E"/>
    <w:rsid w:val="00B702E9"/>
    <w:rsid w:val="00B7085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431E"/>
    <w:rsid w:val="00BC7C90"/>
    <w:rsid w:val="00BD04E9"/>
    <w:rsid w:val="00BD43E5"/>
    <w:rsid w:val="00BE4135"/>
    <w:rsid w:val="00BE5DED"/>
    <w:rsid w:val="00BE65DF"/>
    <w:rsid w:val="00BE758C"/>
    <w:rsid w:val="00BF0A10"/>
    <w:rsid w:val="00BF106C"/>
    <w:rsid w:val="00BF112D"/>
    <w:rsid w:val="00BF4D4F"/>
    <w:rsid w:val="00BF715D"/>
    <w:rsid w:val="00C04FC3"/>
    <w:rsid w:val="00C100F3"/>
    <w:rsid w:val="00C10AB1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1A9"/>
    <w:rsid w:val="00C67FA2"/>
    <w:rsid w:val="00C7019E"/>
    <w:rsid w:val="00C7042A"/>
    <w:rsid w:val="00C72E8E"/>
    <w:rsid w:val="00C75C9F"/>
    <w:rsid w:val="00C7705A"/>
    <w:rsid w:val="00C808A3"/>
    <w:rsid w:val="00C90AE6"/>
    <w:rsid w:val="00C95133"/>
    <w:rsid w:val="00C95C0A"/>
    <w:rsid w:val="00C96EEE"/>
    <w:rsid w:val="00CA1DD6"/>
    <w:rsid w:val="00CB2D2F"/>
    <w:rsid w:val="00CB3077"/>
    <w:rsid w:val="00CB52DF"/>
    <w:rsid w:val="00CB7339"/>
    <w:rsid w:val="00CC175F"/>
    <w:rsid w:val="00CC370F"/>
    <w:rsid w:val="00CC4DDF"/>
    <w:rsid w:val="00CC7432"/>
    <w:rsid w:val="00CD48FE"/>
    <w:rsid w:val="00CD5928"/>
    <w:rsid w:val="00CE1416"/>
    <w:rsid w:val="00CF1B0D"/>
    <w:rsid w:val="00CF6180"/>
    <w:rsid w:val="00CF7073"/>
    <w:rsid w:val="00D02186"/>
    <w:rsid w:val="00D075AA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DB1"/>
    <w:rsid w:val="00D53EF7"/>
    <w:rsid w:val="00D62773"/>
    <w:rsid w:val="00D743FC"/>
    <w:rsid w:val="00D76E7E"/>
    <w:rsid w:val="00D8084A"/>
    <w:rsid w:val="00D80858"/>
    <w:rsid w:val="00D81D27"/>
    <w:rsid w:val="00D84ABA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4B4C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1032"/>
    <w:rsid w:val="00E322CA"/>
    <w:rsid w:val="00E32A09"/>
    <w:rsid w:val="00E3679C"/>
    <w:rsid w:val="00E41A5B"/>
    <w:rsid w:val="00E44CF3"/>
    <w:rsid w:val="00E500B7"/>
    <w:rsid w:val="00E51DC7"/>
    <w:rsid w:val="00E56B01"/>
    <w:rsid w:val="00E57909"/>
    <w:rsid w:val="00E57BC0"/>
    <w:rsid w:val="00E636D4"/>
    <w:rsid w:val="00E64785"/>
    <w:rsid w:val="00E65AC9"/>
    <w:rsid w:val="00E7289B"/>
    <w:rsid w:val="00E7382A"/>
    <w:rsid w:val="00E7704B"/>
    <w:rsid w:val="00E8073F"/>
    <w:rsid w:val="00E81D91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C7BA4"/>
    <w:rsid w:val="00ED1193"/>
    <w:rsid w:val="00ED26FC"/>
    <w:rsid w:val="00ED4155"/>
    <w:rsid w:val="00EE1D01"/>
    <w:rsid w:val="00EE70EA"/>
    <w:rsid w:val="00EF6FB6"/>
    <w:rsid w:val="00EF74ED"/>
    <w:rsid w:val="00F0137B"/>
    <w:rsid w:val="00F01556"/>
    <w:rsid w:val="00F038F1"/>
    <w:rsid w:val="00F05174"/>
    <w:rsid w:val="00F117E5"/>
    <w:rsid w:val="00F25E91"/>
    <w:rsid w:val="00F261B7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045A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6888"/>
    <w:rsid w:val="00FA3624"/>
    <w:rsid w:val="00FA5371"/>
    <w:rsid w:val="00FB4178"/>
    <w:rsid w:val="00FB42F1"/>
    <w:rsid w:val="00FB5E90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1E5A"/>
    <w:rsid w:val="00FF342C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95ADF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_Odstavec se seznamem,List Paragraph (Czech Tourism)"/>
    <w:basedOn w:val="Normln"/>
    <w:link w:val="OdstavecseseznamemChar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Footnote symbol,Times 10 Point,Exposant 3 Point"/>
    <w:basedOn w:val="Standardnpsmoodstavce"/>
    <w:uiPriority w:val="99"/>
    <w:unhideWhenUsed/>
    <w:rsid w:val="006E5921"/>
    <w:rPr>
      <w:vertAlign w:val="superscript"/>
    </w:rPr>
  </w:style>
  <w:style w:type="paragraph" w:styleId="Zkladntext2">
    <w:name w:val="Body Text 2"/>
    <w:basedOn w:val="Normln"/>
    <w:link w:val="Zkladntext2Char"/>
    <w:rsid w:val="009C35FD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C35F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"/>
    <w:link w:val="Odstavecseseznamem"/>
    <w:locked/>
    <w:rsid w:val="009C35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D6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469F-EC75-4638-B364-1655EBFE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1920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Špičková Hana</cp:lastModifiedBy>
  <cp:revision>3</cp:revision>
  <cp:lastPrinted>2024-11-05T08:31:00Z</cp:lastPrinted>
  <dcterms:created xsi:type="dcterms:W3CDTF">2024-11-07T11:34:00Z</dcterms:created>
  <dcterms:modified xsi:type="dcterms:W3CDTF">2024-11-07T11:36:00Z</dcterms:modified>
</cp:coreProperties>
</file>