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39AE3" w14:textId="77777777" w:rsidR="00017F77" w:rsidRDefault="00017F77" w:rsidP="004C0C38">
      <w:pPr>
        <w:pStyle w:val="Nzev"/>
        <w:pBdr>
          <w:bottom w:val="single" w:sz="8" w:space="4" w:color="17365D" w:themeColor="text2" w:themeShade="BF"/>
        </w:pBdr>
        <w:rPr>
          <w:b/>
        </w:rPr>
        <w:sectPr w:rsidR="00017F77" w:rsidSect="00017F77">
          <w:footerReference w:type="default" r:id="rId8"/>
          <w:headerReference w:type="first" r:id="rId9"/>
          <w:pgSz w:w="11906" w:h="16840"/>
          <w:pgMar w:top="1417" w:right="1417" w:bottom="1417" w:left="1417" w:header="708" w:footer="708" w:gutter="0"/>
          <w:cols w:space="708"/>
          <w:titlePg/>
          <w:docGrid w:linePitch="360"/>
        </w:sectPr>
      </w:pPr>
    </w:p>
    <w:p w14:paraId="1836B4C9" w14:textId="77777777" w:rsidR="00BF3FEA" w:rsidRDefault="005658B8" w:rsidP="004C0C38">
      <w:pPr>
        <w:pStyle w:val="Nzev"/>
        <w:pBdr>
          <w:bottom w:val="single" w:sz="8" w:space="4" w:color="17365D" w:themeColor="text2" w:themeShade="BF"/>
        </w:pBdr>
        <w:rPr>
          <w:b/>
        </w:rPr>
      </w:pPr>
      <w:r w:rsidRPr="002D5875">
        <w:rPr>
          <w:b/>
        </w:rPr>
        <w:t>Hodnocení výsledků programů</w:t>
      </w:r>
    </w:p>
    <w:p w14:paraId="1A8B7461" w14:textId="25ADE9A5" w:rsidR="005F3205" w:rsidRPr="002D5875" w:rsidRDefault="00BF3FEA" w:rsidP="004C0C38">
      <w:pPr>
        <w:pStyle w:val="Nzev"/>
        <w:pBdr>
          <w:bottom w:val="single" w:sz="8" w:space="4" w:color="17365D" w:themeColor="text2" w:themeShade="BF"/>
        </w:pBdr>
        <w:rPr>
          <w:b/>
        </w:rPr>
      </w:pPr>
      <w:r>
        <w:rPr>
          <w:b/>
        </w:rPr>
        <w:t>a skupin grantových projektů</w:t>
      </w:r>
      <w:r w:rsidR="005658B8" w:rsidRPr="002D5875">
        <w:rPr>
          <w:b/>
        </w:rPr>
        <w:t xml:space="preserve"> výzkumu, vývoje a inovací</w:t>
      </w:r>
      <w:r w:rsidR="003E56DE" w:rsidRPr="002D5875">
        <w:rPr>
          <w:b/>
        </w:rPr>
        <w:t xml:space="preserve"> ukončených</w:t>
      </w:r>
      <w:r w:rsidR="006A7BB4" w:rsidRPr="002D5875">
        <w:rPr>
          <w:b/>
        </w:rPr>
        <w:t xml:space="preserve"> v roce 20</w:t>
      </w:r>
      <w:r w:rsidR="003B4DFA">
        <w:rPr>
          <w:b/>
        </w:rPr>
        <w:t>22</w:t>
      </w:r>
    </w:p>
    <w:p w14:paraId="11FD2457" w14:textId="77777777" w:rsidR="003B613E" w:rsidRPr="002D5875" w:rsidRDefault="003B613E" w:rsidP="000B4E4D">
      <w:pPr>
        <w:jc w:val="center"/>
        <w:rPr>
          <w:color w:val="FFFFFF" w:themeColor="background1"/>
          <w:lang w:eastAsia="cs-CZ"/>
        </w:rPr>
      </w:pPr>
    </w:p>
    <w:p w14:paraId="3767E6BD" w14:textId="77777777" w:rsidR="003B613E" w:rsidRPr="002D5875" w:rsidRDefault="003B613E" w:rsidP="000B4E4D">
      <w:pPr>
        <w:jc w:val="center"/>
        <w:rPr>
          <w:color w:val="FFFFFF" w:themeColor="background1"/>
          <w:lang w:eastAsia="cs-CZ"/>
        </w:rPr>
      </w:pPr>
    </w:p>
    <w:p w14:paraId="72FC6150" w14:textId="6EA7509F" w:rsidR="000B4E4D" w:rsidRPr="002D5875" w:rsidRDefault="000B4E4D" w:rsidP="002D5875">
      <w:pPr>
        <w:jc w:val="center"/>
        <w:rPr>
          <w:color w:val="FFFFFF" w:themeColor="background1"/>
          <w:lang w:eastAsia="cs-CZ"/>
        </w:rPr>
      </w:pPr>
      <w:r w:rsidRPr="002D5875">
        <w:rPr>
          <w:color w:val="FFFFFF" w:themeColor="background1"/>
          <w:lang w:eastAsia="cs-CZ"/>
        </w:rPr>
        <w:t>(verze ze dne:</w:t>
      </w:r>
      <w:r w:rsidR="00BB6A69" w:rsidRPr="002D5875">
        <w:rPr>
          <w:b/>
          <w:color w:val="FFFFFF" w:themeColor="background1"/>
          <w:lang w:eastAsia="cs-CZ"/>
        </w:rPr>
        <w:t xml:space="preserve"> </w:t>
      </w:r>
      <w:r w:rsidR="00BB6A69" w:rsidRPr="002D5875">
        <w:rPr>
          <w:b/>
          <w:color w:val="FFFFFF" w:themeColor="background1"/>
          <w:lang w:eastAsia="cs-CZ"/>
        </w:rPr>
        <w:fldChar w:fldCharType="begin"/>
      </w:r>
      <w:r w:rsidR="00BB6A69" w:rsidRPr="002D5875">
        <w:rPr>
          <w:b/>
          <w:color w:val="FFFFFF" w:themeColor="background1"/>
          <w:lang w:eastAsia="cs-CZ"/>
        </w:rPr>
        <w:instrText xml:space="preserve"> DATE  \@ "d. MMMM yyyy"  \* MERGEFORMAT </w:instrText>
      </w:r>
      <w:r w:rsidR="00BB6A69" w:rsidRPr="002D5875">
        <w:rPr>
          <w:b/>
          <w:color w:val="FFFFFF" w:themeColor="background1"/>
          <w:lang w:eastAsia="cs-CZ"/>
        </w:rPr>
        <w:fldChar w:fldCharType="separate"/>
      </w:r>
      <w:r w:rsidR="008E6893">
        <w:rPr>
          <w:b/>
          <w:noProof/>
          <w:color w:val="FFFFFF" w:themeColor="background1"/>
          <w:lang w:eastAsia="cs-CZ"/>
        </w:rPr>
        <w:t>20. listopadu 2024</w:t>
      </w:r>
      <w:r w:rsidR="00BB6A69" w:rsidRPr="002D5875">
        <w:rPr>
          <w:b/>
          <w:color w:val="FFFFFF" w:themeColor="background1"/>
          <w:lang w:eastAsia="cs-CZ"/>
        </w:rPr>
        <w:fldChar w:fldCharType="end"/>
      </w:r>
      <w:r w:rsidRPr="002D5875">
        <w:rPr>
          <w:color w:val="FFFFFF" w:themeColor="background1"/>
          <w:lang w:eastAsia="cs-CZ"/>
        </w:rPr>
        <w:t>)</w:t>
      </w:r>
    </w:p>
    <w:p w14:paraId="1F1FE6D6" w14:textId="77777777" w:rsidR="005658B8" w:rsidRPr="00784AE7" w:rsidRDefault="005658B8" w:rsidP="005F3205">
      <w:pPr>
        <w:rPr>
          <w:highlight w:val="yellow"/>
          <w:lang w:eastAsia="cs-CZ"/>
        </w:rPr>
      </w:pPr>
    </w:p>
    <w:p w14:paraId="1D490CEE" w14:textId="77777777" w:rsidR="00FB2EE4" w:rsidRPr="00784AE7" w:rsidRDefault="00FB2EE4" w:rsidP="005F3205">
      <w:pPr>
        <w:rPr>
          <w:highlight w:val="yellow"/>
          <w:lang w:eastAsia="cs-CZ"/>
        </w:rPr>
      </w:pPr>
    </w:p>
    <w:p w14:paraId="0D227732" w14:textId="77777777" w:rsidR="00FB2EE4" w:rsidRPr="00784AE7" w:rsidRDefault="00FB2EE4" w:rsidP="005F3205">
      <w:pPr>
        <w:rPr>
          <w:highlight w:val="yellow"/>
          <w:lang w:eastAsia="cs-CZ"/>
        </w:rPr>
      </w:pPr>
    </w:p>
    <w:p w14:paraId="7E43679E" w14:textId="77777777" w:rsidR="00FB2EE4" w:rsidRPr="00784AE7" w:rsidRDefault="00FB2EE4" w:rsidP="005F3205">
      <w:pPr>
        <w:rPr>
          <w:highlight w:val="yellow"/>
          <w:lang w:eastAsia="cs-CZ"/>
        </w:rPr>
      </w:pPr>
    </w:p>
    <w:p w14:paraId="7AEB09E9" w14:textId="77777777" w:rsidR="00FB2EE4" w:rsidRPr="00784AE7" w:rsidRDefault="00FB2EE4" w:rsidP="005F3205">
      <w:pPr>
        <w:rPr>
          <w:highlight w:val="yellow"/>
          <w:lang w:eastAsia="cs-CZ"/>
        </w:rPr>
      </w:pPr>
    </w:p>
    <w:p w14:paraId="25E8370B" w14:textId="77777777" w:rsidR="00FB2EE4" w:rsidRPr="00784AE7" w:rsidRDefault="00FB2EE4" w:rsidP="005F3205">
      <w:pPr>
        <w:rPr>
          <w:highlight w:val="yellow"/>
          <w:lang w:eastAsia="cs-CZ"/>
        </w:rPr>
      </w:pPr>
    </w:p>
    <w:p w14:paraId="58945D2A" w14:textId="6CE07088" w:rsidR="00FB2EE4" w:rsidRPr="00784AE7" w:rsidRDefault="00FB2EE4" w:rsidP="005F3205">
      <w:pPr>
        <w:rPr>
          <w:highlight w:val="yellow"/>
          <w:lang w:eastAsia="cs-CZ"/>
        </w:rPr>
      </w:pPr>
    </w:p>
    <w:p w14:paraId="7949F6EE" w14:textId="25930D76" w:rsidR="00AC0CB6" w:rsidRPr="00784AE7" w:rsidRDefault="00AC0CB6" w:rsidP="005F3205">
      <w:pPr>
        <w:rPr>
          <w:highlight w:val="yellow"/>
          <w:lang w:eastAsia="cs-CZ"/>
        </w:rPr>
      </w:pPr>
    </w:p>
    <w:p w14:paraId="3CB07A91" w14:textId="630A0811" w:rsidR="00AC0CB6" w:rsidRPr="00784AE7" w:rsidRDefault="00AC0CB6" w:rsidP="005F3205">
      <w:pPr>
        <w:rPr>
          <w:highlight w:val="yellow"/>
          <w:lang w:eastAsia="cs-CZ"/>
        </w:rPr>
      </w:pPr>
    </w:p>
    <w:p w14:paraId="4EC6E8A0" w14:textId="1DF62431" w:rsidR="00FB2EE4" w:rsidRPr="002D5875" w:rsidRDefault="00FB2EE4" w:rsidP="005F3205">
      <w:pPr>
        <w:rPr>
          <w:rFonts w:ascii="Arial" w:hAnsi="Arial" w:cs="Arial"/>
          <w:b/>
          <w:lang w:eastAsia="cs-CZ"/>
        </w:rPr>
        <w:sectPr w:rsidR="00FB2EE4" w:rsidRPr="002D5875" w:rsidSect="00017F77">
          <w:type w:val="continuous"/>
          <w:pgSz w:w="11906" w:h="16840"/>
          <w:pgMar w:top="1417" w:right="1417" w:bottom="1417" w:left="1417" w:header="708" w:footer="708" w:gutter="0"/>
          <w:cols w:space="708"/>
          <w:titlePg/>
          <w:docGrid w:linePitch="360"/>
        </w:sectPr>
      </w:pPr>
      <w:r w:rsidRPr="002D5875">
        <w:rPr>
          <w:rFonts w:ascii="Arial" w:hAnsi="Arial" w:cs="Arial"/>
          <w:b/>
          <w:lang w:eastAsia="cs-CZ"/>
        </w:rPr>
        <w:t xml:space="preserve">Zpracovatel: </w:t>
      </w:r>
      <w:r w:rsidR="00454B25" w:rsidRPr="002D5875">
        <w:rPr>
          <w:rFonts w:ascii="Arial" w:hAnsi="Arial" w:cs="Arial"/>
          <w:b/>
          <w:lang w:eastAsia="cs-CZ"/>
        </w:rPr>
        <w:t xml:space="preserve">Odbor koordinace </w:t>
      </w:r>
      <w:r w:rsidR="00712C0E" w:rsidRPr="002D5875">
        <w:rPr>
          <w:rFonts w:ascii="Arial" w:hAnsi="Arial" w:cs="Arial"/>
          <w:b/>
          <w:lang w:eastAsia="cs-CZ"/>
        </w:rPr>
        <w:t>v</w:t>
      </w:r>
      <w:r w:rsidR="00FD3B9D" w:rsidRPr="002D5875">
        <w:rPr>
          <w:rFonts w:ascii="Arial" w:hAnsi="Arial" w:cs="Arial"/>
          <w:b/>
          <w:lang w:eastAsia="cs-CZ"/>
        </w:rPr>
        <w:t>ýzkumu</w:t>
      </w:r>
      <w:r w:rsidR="00454B25" w:rsidRPr="002D5875">
        <w:rPr>
          <w:rFonts w:ascii="Arial" w:hAnsi="Arial" w:cs="Arial"/>
          <w:b/>
          <w:lang w:eastAsia="cs-CZ"/>
        </w:rPr>
        <w:t>, vývoje a inovací</w:t>
      </w:r>
    </w:p>
    <w:bookmarkStart w:id="0" w:name="_GoBack" w:displacedByCustomXml="next"/>
    <w:bookmarkEnd w:id="0" w:displacedByCustomXml="next"/>
    <w:bookmarkStart w:id="1" w:name="_Toc182984789" w:displacedByCustomXml="next"/>
    <w:sdt>
      <w:sdtPr>
        <w:rPr>
          <w:rFonts w:ascii="Arial" w:eastAsia="Times New Roman" w:hAnsi="Arial" w:cs="Arial"/>
          <w:b/>
          <w:bCs/>
          <w:color w:val="365F91" w:themeColor="accent1" w:themeShade="BF"/>
          <w:sz w:val="32"/>
          <w:szCs w:val="28"/>
        </w:rPr>
        <w:id w:val="15199760"/>
        <w:docPartObj>
          <w:docPartGallery w:val="Table of Contents"/>
          <w:docPartUnique/>
        </w:docPartObj>
      </w:sdtPr>
      <w:sdtEndPr>
        <w:rPr>
          <w:rFonts w:asciiTheme="minorHAnsi" w:eastAsiaTheme="minorHAnsi" w:hAnsiTheme="minorHAnsi" w:cstheme="minorBidi"/>
          <w:b w:val="0"/>
          <w:bCs w:val="0"/>
          <w:color w:val="auto"/>
          <w:sz w:val="22"/>
          <w:szCs w:val="22"/>
          <w:highlight w:val="yellow"/>
        </w:rPr>
      </w:sdtEndPr>
      <w:sdtContent>
        <w:p w14:paraId="4DE9FDE7" w14:textId="104565A0" w:rsidR="00A11528" w:rsidRPr="002D0B28" w:rsidRDefault="00A11528" w:rsidP="002D0B28">
          <w:pPr>
            <w:keepNext/>
            <w:keepLines/>
            <w:pageBreakBefore/>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r w:rsidRPr="002D0B28">
            <w:rPr>
              <w:rFonts w:ascii="Arial" w:eastAsia="Times New Roman" w:hAnsi="Arial" w:cs="Arial"/>
              <w:b/>
              <w:bCs/>
              <w:color w:val="365F91" w:themeColor="accent1" w:themeShade="BF"/>
              <w:sz w:val="32"/>
              <w:szCs w:val="28"/>
            </w:rPr>
            <w:t>Ob</w:t>
          </w:r>
          <w:r w:rsidR="002D0B28">
            <w:rPr>
              <w:rFonts w:ascii="Arial" w:eastAsia="Times New Roman" w:hAnsi="Arial" w:cs="Arial"/>
              <w:b/>
              <w:bCs/>
              <w:color w:val="365F91" w:themeColor="accent1" w:themeShade="BF"/>
              <w:sz w:val="32"/>
              <w:szCs w:val="28"/>
            </w:rPr>
            <w:t>sah</w:t>
          </w:r>
          <w:bookmarkEnd w:id="1"/>
        </w:p>
        <w:p w14:paraId="0BE95B22" w14:textId="646351CF" w:rsidR="002D0B28" w:rsidRPr="002D0B28" w:rsidRDefault="00A11528">
          <w:pPr>
            <w:pStyle w:val="Obsah2"/>
          </w:pPr>
          <w:r w:rsidRPr="002D0B28">
            <w:rPr>
              <w:sz w:val="20"/>
              <w:szCs w:val="20"/>
            </w:rPr>
            <w:fldChar w:fldCharType="begin"/>
          </w:r>
          <w:r w:rsidRPr="002D0B28">
            <w:rPr>
              <w:sz w:val="20"/>
              <w:szCs w:val="20"/>
            </w:rPr>
            <w:instrText xml:space="preserve"> TOC \o "1-3" \h \z \u </w:instrText>
          </w:r>
          <w:r w:rsidRPr="002D0B28">
            <w:rPr>
              <w:sz w:val="20"/>
              <w:szCs w:val="20"/>
            </w:rPr>
            <w:fldChar w:fldCharType="separate"/>
          </w:r>
        </w:p>
        <w:p w14:paraId="1259E685" w14:textId="151E4BFB" w:rsidR="002D0B28" w:rsidRPr="002D0B28" w:rsidRDefault="002D0B28">
          <w:pPr>
            <w:pStyle w:val="Obsah2"/>
          </w:pPr>
          <w:hyperlink w:anchor="_Toc182984790" w:history="1">
            <w:r w:rsidRPr="002D0B28">
              <w:rPr>
                <w:rStyle w:val="Hypertextovodkaz"/>
                <w:rFonts w:ascii="Arial" w:eastAsia="Times New Roman" w:hAnsi="Arial" w:cs="Arial"/>
                <w:bCs/>
              </w:rPr>
              <w:t>Úvod</w:t>
            </w:r>
            <w:r w:rsidRPr="002D0B28">
              <w:rPr>
                <w:webHidden/>
              </w:rPr>
              <w:tab/>
            </w:r>
            <w:r w:rsidRPr="002D0B28">
              <w:rPr>
                <w:webHidden/>
              </w:rPr>
              <w:fldChar w:fldCharType="begin"/>
            </w:r>
            <w:r w:rsidRPr="002D0B28">
              <w:rPr>
                <w:webHidden/>
              </w:rPr>
              <w:instrText xml:space="preserve"> PAGEREF _Toc182984790 \h </w:instrText>
            </w:r>
            <w:r w:rsidRPr="002D0B28">
              <w:rPr>
                <w:webHidden/>
              </w:rPr>
            </w:r>
            <w:r w:rsidRPr="002D0B28">
              <w:rPr>
                <w:webHidden/>
              </w:rPr>
              <w:fldChar w:fldCharType="separate"/>
            </w:r>
            <w:r>
              <w:rPr>
                <w:webHidden/>
              </w:rPr>
              <w:t>3</w:t>
            </w:r>
            <w:r w:rsidRPr="002D0B28">
              <w:rPr>
                <w:webHidden/>
              </w:rPr>
              <w:fldChar w:fldCharType="end"/>
            </w:r>
          </w:hyperlink>
        </w:p>
        <w:p w14:paraId="34210160" w14:textId="7D05E638" w:rsidR="002D0B28" w:rsidRPr="002D0B28" w:rsidRDefault="002D0B28">
          <w:pPr>
            <w:pStyle w:val="Obsah2"/>
          </w:pPr>
          <w:hyperlink w:anchor="_Toc182984793" w:history="1">
            <w:r w:rsidRPr="002D0B28">
              <w:rPr>
                <w:rStyle w:val="Hypertextovodkaz"/>
              </w:rPr>
              <w:t>Program na podporu aplikovaného vý</w:t>
            </w:r>
            <w:r>
              <w:rPr>
                <w:rStyle w:val="Hypertextovodkaz"/>
              </w:rPr>
              <w:t>zkumu a experimentálního vývoje </w:t>
            </w:r>
            <w:r w:rsidRPr="002D0B28">
              <w:rPr>
                <w:rStyle w:val="Hypertextovodkaz"/>
              </w:rPr>
              <w:t>národní</w:t>
            </w:r>
            <w:r>
              <w:rPr>
                <w:rStyle w:val="Hypertextovodkaz"/>
              </w:rPr>
              <w:t> a kulturní </w:t>
            </w:r>
            <w:r w:rsidRPr="002D0B28">
              <w:rPr>
                <w:rStyle w:val="Hypertextovodkaz"/>
              </w:rPr>
              <w:t>identity na léta 2016 až 2022 (NAKI II)</w:t>
            </w:r>
            <w:r w:rsidRPr="002D0B28">
              <w:rPr>
                <w:webHidden/>
              </w:rPr>
              <w:tab/>
            </w:r>
            <w:r w:rsidRPr="002D0B28">
              <w:rPr>
                <w:webHidden/>
              </w:rPr>
              <w:fldChar w:fldCharType="begin"/>
            </w:r>
            <w:r w:rsidRPr="002D0B28">
              <w:rPr>
                <w:webHidden/>
              </w:rPr>
              <w:instrText xml:space="preserve"> PAGEREF _Toc182984793 \h </w:instrText>
            </w:r>
            <w:r w:rsidRPr="002D0B28">
              <w:rPr>
                <w:webHidden/>
              </w:rPr>
            </w:r>
            <w:r w:rsidRPr="002D0B28">
              <w:rPr>
                <w:webHidden/>
              </w:rPr>
              <w:fldChar w:fldCharType="separate"/>
            </w:r>
            <w:r>
              <w:rPr>
                <w:webHidden/>
              </w:rPr>
              <w:t>5</w:t>
            </w:r>
            <w:r w:rsidRPr="002D0B28">
              <w:rPr>
                <w:webHidden/>
              </w:rPr>
              <w:fldChar w:fldCharType="end"/>
            </w:r>
          </w:hyperlink>
        </w:p>
        <w:p w14:paraId="189148C4" w14:textId="43E5CF81" w:rsidR="002D0B28" w:rsidRPr="002D0B28" w:rsidRDefault="002D0B28">
          <w:pPr>
            <w:pStyle w:val="Obsah2"/>
          </w:pPr>
          <w:hyperlink w:anchor="_Toc182984799" w:history="1">
            <w:r w:rsidRPr="002D0B28">
              <w:rPr>
                <w:rStyle w:val="Hypertextovodkaz"/>
              </w:rPr>
              <w:t xml:space="preserve">Program „Rozvoj ozbrojených sil České republiky“ (2015 </w:t>
            </w:r>
            <w:r w:rsidRPr="002D0B28">
              <w:rPr>
                <w:rStyle w:val="Hypertextovodkaz"/>
              </w:rPr>
              <w:noBreakHyphen/>
              <w:t xml:space="preserve"> 2022)</w:t>
            </w:r>
            <w:r w:rsidRPr="002D0B28">
              <w:rPr>
                <w:webHidden/>
              </w:rPr>
              <w:tab/>
            </w:r>
            <w:r w:rsidRPr="002D0B28">
              <w:rPr>
                <w:webHidden/>
              </w:rPr>
              <w:fldChar w:fldCharType="begin"/>
            </w:r>
            <w:r w:rsidRPr="002D0B28">
              <w:rPr>
                <w:webHidden/>
              </w:rPr>
              <w:instrText xml:space="preserve"> PAGEREF _Toc182984799 \h </w:instrText>
            </w:r>
            <w:r w:rsidRPr="002D0B28">
              <w:rPr>
                <w:webHidden/>
              </w:rPr>
            </w:r>
            <w:r w:rsidRPr="002D0B28">
              <w:rPr>
                <w:webHidden/>
              </w:rPr>
              <w:fldChar w:fldCharType="separate"/>
            </w:r>
            <w:r>
              <w:rPr>
                <w:webHidden/>
              </w:rPr>
              <w:t>8</w:t>
            </w:r>
            <w:r w:rsidRPr="002D0B28">
              <w:rPr>
                <w:webHidden/>
              </w:rPr>
              <w:fldChar w:fldCharType="end"/>
            </w:r>
          </w:hyperlink>
        </w:p>
        <w:p w14:paraId="69E862F6" w14:textId="4B88D2C7" w:rsidR="002D0B28" w:rsidRPr="002D0B28" w:rsidRDefault="002D0B28">
          <w:pPr>
            <w:pStyle w:val="Obsah2"/>
          </w:pPr>
          <w:hyperlink w:anchor="_Toc182984805" w:history="1">
            <w:r w:rsidRPr="002D0B28">
              <w:rPr>
                <w:rStyle w:val="Hypertextovodkaz"/>
                <w:rFonts w:ascii="Arial" w:eastAsia="Times New Roman" w:hAnsi="Arial" w:cs="Arial"/>
                <w:bCs/>
              </w:rPr>
              <w:t>Skupina grantových projektů: Podpora mezinárodní spol</w:t>
            </w:r>
            <w:r>
              <w:rPr>
                <w:rStyle w:val="Hypertextovodkaz"/>
                <w:rFonts w:ascii="Arial" w:eastAsia="Times New Roman" w:hAnsi="Arial" w:cs="Arial"/>
                <w:bCs/>
              </w:rPr>
              <w:t>upráce pro získávání ERC grantů </w:t>
            </w:r>
            <w:r w:rsidRPr="002D0B28">
              <w:rPr>
                <w:rStyle w:val="Hypertextovodkaz"/>
                <w:rFonts w:ascii="Arial" w:eastAsia="Times New Roman" w:hAnsi="Arial" w:cs="Arial"/>
                <w:bCs/>
              </w:rPr>
              <w:t xml:space="preserve">- „Podpora ERC žadatelů“ (2016 </w:t>
            </w:r>
            <w:r w:rsidRPr="002D0B28">
              <w:rPr>
                <w:rStyle w:val="Hypertextovodkaz"/>
                <w:rFonts w:ascii="Arial" w:eastAsia="Times New Roman" w:hAnsi="Arial" w:cs="Arial"/>
                <w:bCs/>
              </w:rPr>
              <w:noBreakHyphen/>
              <w:t xml:space="preserve"> 2022)</w:t>
            </w:r>
            <w:r w:rsidRPr="002D0B28">
              <w:rPr>
                <w:webHidden/>
              </w:rPr>
              <w:tab/>
            </w:r>
            <w:r w:rsidRPr="002D0B28">
              <w:rPr>
                <w:webHidden/>
              </w:rPr>
              <w:fldChar w:fldCharType="begin"/>
            </w:r>
            <w:r w:rsidRPr="002D0B28">
              <w:rPr>
                <w:webHidden/>
              </w:rPr>
              <w:instrText xml:space="preserve"> PAGEREF _Toc182984805 \h </w:instrText>
            </w:r>
            <w:r w:rsidRPr="002D0B28">
              <w:rPr>
                <w:webHidden/>
              </w:rPr>
            </w:r>
            <w:r w:rsidRPr="002D0B28">
              <w:rPr>
                <w:webHidden/>
              </w:rPr>
              <w:fldChar w:fldCharType="separate"/>
            </w:r>
            <w:r>
              <w:rPr>
                <w:webHidden/>
              </w:rPr>
              <w:t>12</w:t>
            </w:r>
            <w:r w:rsidRPr="002D0B28">
              <w:rPr>
                <w:webHidden/>
              </w:rPr>
              <w:fldChar w:fldCharType="end"/>
            </w:r>
          </w:hyperlink>
        </w:p>
        <w:p w14:paraId="58BABFD7" w14:textId="54ECC62B" w:rsidR="002D0B28" w:rsidRPr="002D0B28" w:rsidRDefault="002D0B28">
          <w:pPr>
            <w:pStyle w:val="Obsah2"/>
          </w:pPr>
          <w:hyperlink w:anchor="_Toc182984811" w:history="1">
            <w:r w:rsidRPr="002D0B28">
              <w:rPr>
                <w:rStyle w:val="Hypertextovodkaz"/>
              </w:rPr>
              <w:t xml:space="preserve">Program bezpečnostního výzkumu České republiky v letech 2015 </w:t>
            </w:r>
            <w:r w:rsidRPr="002D0B28">
              <w:rPr>
                <w:rStyle w:val="Hypertextovodkaz"/>
              </w:rPr>
              <w:noBreakHyphen/>
              <w:t xml:space="preserve"> 2022</w:t>
            </w:r>
            <w:r w:rsidRPr="002D0B28">
              <w:rPr>
                <w:webHidden/>
              </w:rPr>
              <w:tab/>
            </w:r>
            <w:r w:rsidRPr="002D0B28">
              <w:rPr>
                <w:webHidden/>
              </w:rPr>
              <w:fldChar w:fldCharType="begin"/>
            </w:r>
            <w:r w:rsidRPr="002D0B28">
              <w:rPr>
                <w:webHidden/>
              </w:rPr>
              <w:instrText xml:space="preserve"> PAGEREF _Toc182984811 \h </w:instrText>
            </w:r>
            <w:r w:rsidRPr="002D0B28">
              <w:rPr>
                <w:webHidden/>
              </w:rPr>
            </w:r>
            <w:r w:rsidRPr="002D0B28">
              <w:rPr>
                <w:webHidden/>
              </w:rPr>
              <w:fldChar w:fldCharType="separate"/>
            </w:r>
            <w:r>
              <w:rPr>
                <w:webHidden/>
              </w:rPr>
              <w:t>14</w:t>
            </w:r>
            <w:r w:rsidRPr="002D0B28">
              <w:rPr>
                <w:webHidden/>
              </w:rPr>
              <w:fldChar w:fldCharType="end"/>
            </w:r>
          </w:hyperlink>
        </w:p>
        <w:p w14:paraId="496B342F" w14:textId="549E6766" w:rsidR="002D0B28" w:rsidRPr="002D0B28" w:rsidRDefault="002D0B28">
          <w:pPr>
            <w:pStyle w:val="Obsah2"/>
          </w:pPr>
          <w:hyperlink w:anchor="_Toc182984817" w:history="1">
            <w:r w:rsidRPr="002D0B28">
              <w:rPr>
                <w:rStyle w:val="Hypertextovodkaz"/>
              </w:rPr>
              <w:t>Program na podporu aplikovaného výzkumu a experim</w:t>
            </w:r>
            <w:r>
              <w:rPr>
                <w:rStyle w:val="Hypertextovodkaz"/>
              </w:rPr>
              <w:t>entálního výzkumu GAMA 2 (2020 - </w:t>
            </w:r>
            <w:r w:rsidRPr="002D0B28">
              <w:rPr>
                <w:rStyle w:val="Hypertextovodkaz"/>
              </w:rPr>
              <w:t>2022)</w:t>
            </w:r>
            <w:r w:rsidRPr="002D0B28">
              <w:rPr>
                <w:webHidden/>
              </w:rPr>
              <w:tab/>
            </w:r>
            <w:r w:rsidRPr="002D0B28">
              <w:rPr>
                <w:webHidden/>
              </w:rPr>
              <w:fldChar w:fldCharType="begin"/>
            </w:r>
            <w:r w:rsidRPr="002D0B28">
              <w:rPr>
                <w:webHidden/>
              </w:rPr>
              <w:instrText xml:space="preserve"> PAGEREF _Toc182984817 \h </w:instrText>
            </w:r>
            <w:r w:rsidRPr="002D0B28">
              <w:rPr>
                <w:webHidden/>
              </w:rPr>
            </w:r>
            <w:r w:rsidRPr="002D0B28">
              <w:rPr>
                <w:webHidden/>
              </w:rPr>
              <w:fldChar w:fldCharType="separate"/>
            </w:r>
            <w:r>
              <w:rPr>
                <w:webHidden/>
              </w:rPr>
              <w:t>18</w:t>
            </w:r>
            <w:r w:rsidRPr="002D0B28">
              <w:rPr>
                <w:webHidden/>
              </w:rPr>
              <w:fldChar w:fldCharType="end"/>
            </w:r>
          </w:hyperlink>
        </w:p>
        <w:p w14:paraId="007B0D9A" w14:textId="1C893530" w:rsidR="002D0B28" w:rsidRPr="002D0B28" w:rsidRDefault="002D0B28">
          <w:pPr>
            <w:pStyle w:val="Obsah2"/>
          </w:pPr>
          <w:hyperlink w:anchor="_Toc182984823" w:history="1">
            <w:r w:rsidRPr="002D0B28">
              <w:rPr>
                <w:rStyle w:val="Hypertextovodkaz"/>
              </w:rPr>
              <w:t>Program na podporu aplikovaného výzkumu ZÉTA (2017 - 2022)</w:t>
            </w:r>
            <w:r w:rsidRPr="002D0B28">
              <w:rPr>
                <w:webHidden/>
              </w:rPr>
              <w:tab/>
            </w:r>
            <w:r w:rsidRPr="002D0B28">
              <w:rPr>
                <w:webHidden/>
              </w:rPr>
              <w:fldChar w:fldCharType="begin"/>
            </w:r>
            <w:r w:rsidRPr="002D0B28">
              <w:rPr>
                <w:webHidden/>
              </w:rPr>
              <w:instrText xml:space="preserve"> PAGEREF _Toc182984823 \h </w:instrText>
            </w:r>
            <w:r w:rsidRPr="002D0B28">
              <w:rPr>
                <w:webHidden/>
              </w:rPr>
            </w:r>
            <w:r w:rsidRPr="002D0B28">
              <w:rPr>
                <w:webHidden/>
              </w:rPr>
              <w:fldChar w:fldCharType="separate"/>
            </w:r>
            <w:r>
              <w:rPr>
                <w:webHidden/>
              </w:rPr>
              <w:t>21</w:t>
            </w:r>
            <w:r w:rsidRPr="002D0B28">
              <w:rPr>
                <w:webHidden/>
              </w:rPr>
              <w:fldChar w:fldCharType="end"/>
            </w:r>
          </w:hyperlink>
        </w:p>
        <w:p w14:paraId="50862999" w14:textId="56CA24A3" w:rsidR="002D0B28" w:rsidRPr="002D0B28" w:rsidRDefault="002D0B28">
          <w:pPr>
            <w:pStyle w:val="Obsah2"/>
          </w:pPr>
          <w:hyperlink w:anchor="_Toc182984829" w:history="1">
            <w:r w:rsidRPr="002D0B28">
              <w:rPr>
                <w:rStyle w:val="Hypertextovodkaz"/>
                <w:rFonts w:ascii="Arial" w:eastAsia="Times New Roman" w:hAnsi="Arial" w:cs="Arial"/>
                <w:bCs/>
              </w:rPr>
              <w:t>Program na podporu aplikovaného výzkumu TRIO (2018 - 2022)</w:t>
            </w:r>
            <w:r w:rsidRPr="002D0B28">
              <w:rPr>
                <w:webHidden/>
              </w:rPr>
              <w:tab/>
            </w:r>
            <w:r w:rsidRPr="002D0B28">
              <w:rPr>
                <w:webHidden/>
              </w:rPr>
              <w:fldChar w:fldCharType="begin"/>
            </w:r>
            <w:r w:rsidRPr="002D0B28">
              <w:rPr>
                <w:webHidden/>
              </w:rPr>
              <w:instrText xml:space="preserve"> PAGEREF _Toc182984829 \h </w:instrText>
            </w:r>
            <w:r w:rsidRPr="002D0B28">
              <w:rPr>
                <w:webHidden/>
              </w:rPr>
            </w:r>
            <w:r w:rsidRPr="002D0B28">
              <w:rPr>
                <w:webHidden/>
              </w:rPr>
              <w:fldChar w:fldCharType="separate"/>
            </w:r>
            <w:r>
              <w:rPr>
                <w:webHidden/>
              </w:rPr>
              <w:t>24</w:t>
            </w:r>
            <w:r w:rsidRPr="002D0B28">
              <w:rPr>
                <w:webHidden/>
              </w:rPr>
              <w:fldChar w:fldCharType="end"/>
            </w:r>
          </w:hyperlink>
        </w:p>
        <w:p w14:paraId="290ABBB8" w14:textId="2E6509CE" w:rsidR="002D0B28" w:rsidRPr="002D0B28" w:rsidRDefault="002D0B28">
          <w:pPr>
            <w:pStyle w:val="Obsah2"/>
          </w:pPr>
          <w:hyperlink w:anchor="_Toc182984835" w:history="1">
            <w:r w:rsidRPr="002D0B28">
              <w:rPr>
                <w:rStyle w:val="Hypertextovodkaz"/>
                <w:rFonts w:ascii="Arial" w:eastAsia="Times New Roman" w:hAnsi="Arial" w:cs="Arial"/>
                <w:bCs/>
              </w:rPr>
              <w:t>Závěry a doporučení</w:t>
            </w:r>
            <w:r w:rsidRPr="002D0B28">
              <w:rPr>
                <w:webHidden/>
              </w:rPr>
              <w:tab/>
            </w:r>
            <w:r w:rsidRPr="002D0B28">
              <w:rPr>
                <w:webHidden/>
              </w:rPr>
              <w:fldChar w:fldCharType="begin"/>
            </w:r>
            <w:r w:rsidRPr="002D0B28">
              <w:rPr>
                <w:webHidden/>
              </w:rPr>
              <w:instrText xml:space="preserve"> PAGEREF _Toc182984835 \h </w:instrText>
            </w:r>
            <w:r w:rsidRPr="002D0B28">
              <w:rPr>
                <w:webHidden/>
              </w:rPr>
            </w:r>
            <w:r w:rsidRPr="002D0B28">
              <w:rPr>
                <w:webHidden/>
              </w:rPr>
              <w:fldChar w:fldCharType="separate"/>
            </w:r>
            <w:r>
              <w:rPr>
                <w:webHidden/>
              </w:rPr>
              <w:t>28</w:t>
            </w:r>
            <w:r w:rsidRPr="002D0B28">
              <w:rPr>
                <w:webHidden/>
              </w:rPr>
              <w:fldChar w:fldCharType="end"/>
            </w:r>
          </w:hyperlink>
        </w:p>
        <w:p w14:paraId="1BD03E9D" w14:textId="3249336B" w:rsidR="002D0B28" w:rsidRPr="002D0B28" w:rsidRDefault="002D0B28">
          <w:pPr>
            <w:pStyle w:val="Obsah2"/>
          </w:pPr>
          <w:hyperlink w:anchor="_Toc182984836" w:history="1">
            <w:r w:rsidRPr="002D0B28">
              <w:rPr>
                <w:rStyle w:val="Hypertextovodkaz"/>
                <w:rFonts w:ascii="Arial" w:eastAsia="Times New Roman" w:hAnsi="Arial" w:cs="Arial"/>
                <w:bCs/>
              </w:rPr>
              <w:t>Přílohy</w:t>
            </w:r>
            <w:r w:rsidRPr="002D0B28">
              <w:rPr>
                <w:webHidden/>
              </w:rPr>
              <w:tab/>
            </w:r>
            <w:r w:rsidRPr="002D0B28">
              <w:rPr>
                <w:webHidden/>
              </w:rPr>
              <w:fldChar w:fldCharType="begin"/>
            </w:r>
            <w:r w:rsidRPr="002D0B28">
              <w:rPr>
                <w:webHidden/>
              </w:rPr>
              <w:instrText xml:space="preserve"> PAGEREF _Toc182984836 \h </w:instrText>
            </w:r>
            <w:r w:rsidRPr="002D0B28">
              <w:rPr>
                <w:webHidden/>
              </w:rPr>
            </w:r>
            <w:r w:rsidRPr="002D0B28">
              <w:rPr>
                <w:webHidden/>
              </w:rPr>
              <w:fldChar w:fldCharType="separate"/>
            </w:r>
            <w:r>
              <w:rPr>
                <w:webHidden/>
              </w:rPr>
              <w:t>28</w:t>
            </w:r>
            <w:r w:rsidRPr="002D0B28">
              <w:rPr>
                <w:webHidden/>
              </w:rPr>
              <w:fldChar w:fldCharType="end"/>
            </w:r>
          </w:hyperlink>
        </w:p>
        <w:p w14:paraId="24BE6C4C" w14:textId="7E95EBCE" w:rsidR="00A11528" w:rsidRPr="00784AE7" w:rsidRDefault="00A11528">
          <w:pPr>
            <w:rPr>
              <w:highlight w:val="yellow"/>
            </w:rPr>
          </w:pPr>
          <w:r w:rsidRPr="002D0B28">
            <w:rPr>
              <w:bCs/>
              <w:sz w:val="20"/>
              <w:szCs w:val="20"/>
            </w:rPr>
            <w:fldChar w:fldCharType="end"/>
          </w:r>
        </w:p>
      </w:sdtContent>
    </w:sdt>
    <w:p w14:paraId="7E1A9B82" w14:textId="36032DB1" w:rsidR="003A1F12" w:rsidRPr="00784AE7" w:rsidRDefault="003A1F12" w:rsidP="001053F1">
      <w:pPr>
        <w:rPr>
          <w:highlight w:val="yellow"/>
        </w:rPr>
      </w:pPr>
    </w:p>
    <w:p w14:paraId="5DCCCA21" w14:textId="4D08F8D0" w:rsidR="004C0C38" w:rsidRPr="002D5875" w:rsidRDefault="00287130" w:rsidP="00002B22">
      <w:pPr>
        <w:jc w:val="center"/>
        <w:rPr>
          <w:color w:val="FFFFFF" w:themeColor="background1"/>
        </w:rPr>
      </w:pPr>
      <w:r w:rsidRPr="002D5875">
        <w:rPr>
          <w:color w:val="FFFFFF" w:themeColor="background1"/>
        </w:rPr>
        <w:t xml:space="preserve">Verze ze dne </w:t>
      </w:r>
      <w:r w:rsidR="0094616A" w:rsidRPr="002D5875">
        <w:rPr>
          <w:color w:val="FFFFFF" w:themeColor="background1"/>
        </w:rPr>
        <w:t>8</w:t>
      </w:r>
      <w:r w:rsidR="006A7BB4" w:rsidRPr="002D5875">
        <w:rPr>
          <w:color w:val="FFFFFF" w:themeColor="background1"/>
        </w:rPr>
        <w:t xml:space="preserve">. </w:t>
      </w:r>
      <w:r w:rsidR="00B34AB5" w:rsidRPr="002D5875">
        <w:rPr>
          <w:color w:val="FFFFFF" w:themeColor="background1"/>
        </w:rPr>
        <w:t>června</w:t>
      </w:r>
      <w:r w:rsidR="006A7BB4" w:rsidRPr="002D5875">
        <w:rPr>
          <w:color w:val="FFFFFF" w:themeColor="background1"/>
        </w:rPr>
        <w:t xml:space="preserve"> 2021</w:t>
      </w:r>
    </w:p>
    <w:p w14:paraId="1ACF0D8B" w14:textId="733D1CDB" w:rsidR="00002B22" w:rsidRPr="00400A30" w:rsidRDefault="00002B22" w:rsidP="003A1F12">
      <w:pPr>
        <w:rPr>
          <w:highlight w:val="green"/>
        </w:rPr>
      </w:pPr>
    </w:p>
    <w:p w14:paraId="1473303A" w14:textId="542ED4BE" w:rsidR="00BA71C0" w:rsidRPr="003A219E" w:rsidRDefault="00BA71C0" w:rsidP="003A219E">
      <w:pPr>
        <w:keepNext/>
        <w:keepLines/>
        <w:pageBreakBefore/>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bookmarkStart w:id="2" w:name="_Toc4490017"/>
      <w:bookmarkStart w:id="3" w:name="_Toc182984790"/>
      <w:r w:rsidRPr="003A219E">
        <w:rPr>
          <w:rFonts w:ascii="Arial" w:eastAsia="Times New Roman" w:hAnsi="Arial" w:cs="Arial"/>
          <w:b/>
          <w:bCs/>
          <w:color w:val="365F91" w:themeColor="accent1" w:themeShade="BF"/>
          <w:sz w:val="32"/>
          <w:szCs w:val="28"/>
        </w:rPr>
        <w:lastRenderedPageBreak/>
        <w:t>Úvod</w:t>
      </w:r>
      <w:bookmarkEnd w:id="2"/>
      <w:bookmarkEnd w:id="3"/>
    </w:p>
    <w:p w14:paraId="59BFABD2" w14:textId="77777777" w:rsidR="006C2CC0" w:rsidRPr="00DD081C" w:rsidRDefault="006C2CC0" w:rsidP="00074213">
      <w:pPr>
        <w:pStyle w:val="Nadpis3"/>
      </w:pPr>
      <w:bookmarkStart w:id="4" w:name="_Toc182984791"/>
      <w:r w:rsidRPr="00DD081C">
        <w:t>Základní dokumenty a zdroje</w:t>
      </w:r>
      <w:bookmarkEnd w:id="4"/>
    </w:p>
    <w:p w14:paraId="6D98D201" w14:textId="3654C1EF" w:rsidR="006C2CC0" w:rsidRPr="00DD081C" w:rsidRDefault="006C2CC0" w:rsidP="00E57A1E">
      <w:pPr>
        <w:spacing w:after="120"/>
        <w:jc w:val="both"/>
        <w:rPr>
          <w:rFonts w:ascii="Arial" w:hAnsi="Arial" w:cs="Arial"/>
        </w:rPr>
      </w:pPr>
      <w:r w:rsidRPr="00DD081C">
        <w:rPr>
          <w:rFonts w:ascii="Arial" w:hAnsi="Arial" w:cs="Arial"/>
        </w:rPr>
        <w:t xml:space="preserve">Vládě se předkládá ke schválení dokument </w:t>
      </w:r>
      <w:r w:rsidR="00BF3FEA" w:rsidRPr="00BF3FEA">
        <w:rPr>
          <w:rFonts w:ascii="Arial" w:hAnsi="Arial" w:cs="Arial"/>
        </w:rPr>
        <w:t>Hodnocení výsledků programů a skupin grantových projektů výzkumu, vývoje a inovací ukončených v roce 2022</w:t>
      </w:r>
      <w:r w:rsidRPr="00DD081C">
        <w:rPr>
          <w:rFonts w:ascii="Arial" w:hAnsi="Arial" w:cs="Arial"/>
        </w:rPr>
        <w:t xml:space="preserve"> (dále jen „Hodnocení“), který byl vypracován Radou pro výzkum, vývoj a inovace (dále jen „RVVI“) podle § 35 odst. 2 písm. d) zákona </w:t>
      </w:r>
      <w:r w:rsidRPr="00282A68">
        <w:rPr>
          <w:rFonts w:ascii="Arial" w:hAnsi="Arial" w:cs="Arial"/>
        </w:rPr>
        <w:t>č. 130/2002</w:t>
      </w:r>
      <w:r w:rsidRPr="00DD081C">
        <w:rPr>
          <w:rFonts w:ascii="Arial" w:hAnsi="Arial" w:cs="Arial"/>
        </w:rPr>
        <w:t xml:space="preserve"> Sb., o podpoře výzkumu, experimentálního vývoje a inovací z veřejných prostředků a o změně některých souvisejících zákonů, ve znění pozdějších předpisů</w:t>
      </w:r>
      <w:r w:rsidR="00282A68">
        <w:rPr>
          <w:rFonts w:ascii="Arial" w:hAnsi="Arial" w:cs="Arial"/>
        </w:rPr>
        <w:t xml:space="preserve"> </w:t>
      </w:r>
      <w:r w:rsidR="00282A68" w:rsidRPr="00DD081C">
        <w:rPr>
          <w:rFonts w:ascii="Arial" w:hAnsi="Arial" w:cs="Arial"/>
        </w:rPr>
        <w:t>(</w:t>
      </w:r>
      <w:r w:rsidR="00282A68">
        <w:rPr>
          <w:rFonts w:ascii="Arial" w:hAnsi="Arial" w:cs="Arial"/>
        </w:rPr>
        <w:t>dále jen „Z</w:t>
      </w:r>
      <w:r w:rsidR="00282A68" w:rsidRPr="00DD081C">
        <w:rPr>
          <w:rFonts w:ascii="Arial" w:hAnsi="Arial" w:cs="Arial"/>
        </w:rPr>
        <w:t>ákon</w:t>
      </w:r>
      <w:r w:rsidR="00282A68">
        <w:rPr>
          <w:rFonts w:ascii="Arial" w:hAnsi="Arial" w:cs="Arial"/>
        </w:rPr>
        <w:t>“</w:t>
      </w:r>
      <w:r w:rsidR="00282A68" w:rsidRPr="00DD081C">
        <w:rPr>
          <w:rFonts w:ascii="Arial" w:hAnsi="Arial" w:cs="Arial"/>
        </w:rPr>
        <w:t>)</w:t>
      </w:r>
      <w:r w:rsidRPr="00DD081C">
        <w:rPr>
          <w:rFonts w:ascii="Arial" w:hAnsi="Arial" w:cs="Arial"/>
        </w:rPr>
        <w:t>.</w:t>
      </w:r>
    </w:p>
    <w:p w14:paraId="0FAECA22" w14:textId="470E42D1" w:rsidR="000302FF" w:rsidRPr="008F2324" w:rsidRDefault="00DD081C" w:rsidP="007C5BE3">
      <w:pPr>
        <w:spacing w:after="120"/>
        <w:jc w:val="both"/>
        <w:rPr>
          <w:rFonts w:ascii="Arial" w:hAnsi="Arial" w:cs="Arial"/>
          <w:highlight w:val="yellow"/>
        </w:rPr>
      </w:pPr>
      <w:r w:rsidRPr="00DD081C">
        <w:rPr>
          <w:rFonts w:ascii="Arial" w:hAnsi="Arial" w:cs="Arial"/>
        </w:rPr>
        <w:t>V roce 2022</w:t>
      </w:r>
      <w:r w:rsidR="006C2CC0" w:rsidRPr="00DD081C">
        <w:rPr>
          <w:rFonts w:ascii="Arial" w:hAnsi="Arial" w:cs="Arial"/>
        </w:rPr>
        <w:t xml:space="preserve"> byl</w:t>
      </w:r>
      <w:r w:rsidR="004C0E5C">
        <w:rPr>
          <w:rFonts w:ascii="Arial" w:hAnsi="Arial" w:cs="Arial"/>
        </w:rPr>
        <w:t>o</w:t>
      </w:r>
      <w:r w:rsidR="006C2CC0" w:rsidRPr="00DD081C">
        <w:rPr>
          <w:rFonts w:ascii="Arial" w:hAnsi="Arial" w:cs="Arial"/>
        </w:rPr>
        <w:t xml:space="preserve"> doko</w:t>
      </w:r>
      <w:r w:rsidRPr="00DD081C">
        <w:rPr>
          <w:rFonts w:ascii="Arial" w:hAnsi="Arial" w:cs="Arial"/>
        </w:rPr>
        <w:t>nčeno sedm programů</w:t>
      </w:r>
      <w:r w:rsidR="00354152">
        <w:rPr>
          <w:rStyle w:val="Znakapoznpodarou"/>
          <w:rFonts w:ascii="Arial" w:hAnsi="Arial"/>
        </w:rPr>
        <w:footnoteReference w:id="1"/>
      </w:r>
      <w:r w:rsidR="006C2CC0" w:rsidRPr="00DD081C">
        <w:rPr>
          <w:rFonts w:ascii="Arial" w:hAnsi="Arial" w:cs="Arial"/>
        </w:rPr>
        <w:t xml:space="preserve"> výzkumu vývoje, </w:t>
      </w:r>
      <w:r w:rsidR="000302FF" w:rsidRPr="00DD081C">
        <w:rPr>
          <w:rFonts w:ascii="Arial" w:hAnsi="Arial" w:cs="Arial"/>
        </w:rPr>
        <w:t xml:space="preserve">a </w:t>
      </w:r>
      <w:r w:rsidR="008F2324">
        <w:rPr>
          <w:rFonts w:ascii="Arial" w:hAnsi="Arial" w:cs="Arial"/>
        </w:rPr>
        <w:t xml:space="preserve">inovací. </w:t>
      </w:r>
      <w:r w:rsidR="006C2CC0" w:rsidRPr="00DD081C">
        <w:rPr>
          <w:rFonts w:ascii="Arial" w:hAnsi="Arial" w:cs="Arial"/>
        </w:rPr>
        <w:t>Hodnocení bylo provedeno v souladu s Metodikou hodnocení výzkumných organizací a hodnocení programů účelové podpory výzkumu, vývoje a in</w:t>
      </w:r>
      <w:r w:rsidR="00AB7C16" w:rsidRPr="00DD081C">
        <w:rPr>
          <w:rFonts w:ascii="Arial" w:hAnsi="Arial" w:cs="Arial"/>
        </w:rPr>
        <w:t>ovací (dále jen „M 17+“), která </w:t>
      </w:r>
      <w:r w:rsidR="006C2CC0" w:rsidRPr="00DD081C">
        <w:rPr>
          <w:rFonts w:ascii="Arial" w:hAnsi="Arial" w:cs="Arial"/>
        </w:rPr>
        <w:t>byla schválena usnesením vlády ze dne 8. února 2017 č. 10</w:t>
      </w:r>
      <w:r w:rsidR="000B177A" w:rsidRPr="00DD081C">
        <w:rPr>
          <w:rFonts w:ascii="Arial" w:hAnsi="Arial" w:cs="Arial"/>
        </w:rPr>
        <w:t>,</w:t>
      </w:r>
      <w:r w:rsidR="006C2CC0" w:rsidRPr="00DD081C">
        <w:rPr>
          <w:rFonts w:ascii="Arial" w:hAnsi="Arial" w:cs="Arial"/>
        </w:rPr>
        <w:t xml:space="preserve"> a se Základními principy přípravy a hodnocení programů a skupin grantových projektů výzkumu, vývoje a inovací schválenými usnesením vlády ze dne 13. května 2015 č. 351 (dále jen „Principy“).</w:t>
      </w:r>
      <w:r w:rsidR="007C5BE3" w:rsidRPr="00DD081C">
        <w:rPr>
          <w:rFonts w:ascii="Arial" w:hAnsi="Arial" w:cs="Arial"/>
        </w:rPr>
        <w:t xml:space="preserve"> </w:t>
      </w:r>
    </w:p>
    <w:p w14:paraId="44D56EED" w14:textId="3A0EFABF" w:rsidR="006C2CC0" w:rsidRPr="00DD081C" w:rsidRDefault="006C2CC0" w:rsidP="00E57A1E">
      <w:pPr>
        <w:spacing w:before="120" w:after="120"/>
        <w:jc w:val="both"/>
        <w:rPr>
          <w:rFonts w:ascii="Arial" w:hAnsi="Arial" w:cs="Arial"/>
        </w:rPr>
      </w:pPr>
      <w:r w:rsidRPr="00DD081C">
        <w:rPr>
          <w:rFonts w:ascii="Arial" w:hAnsi="Arial" w:cs="Arial"/>
        </w:rPr>
        <w:t>V</w:t>
      </w:r>
      <w:r w:rsidR="004B0FC1" w:rsidRPr="00DD081C">
        <w:rPr>
          <w:rFonts w:ascii="Arial" w:hAnsi="Arial" w:cs="Arial"/>
        </w:rPr>
        <w:t> </w:t>
      </w:r>
      <w:r w:rsidR="008166D8" w:rsidRPr="00DD081C">
        <w:rPr>
          <w:rFonts w:ascii="Arial" w:hAnsi="Arial" w:cs="Arial"/>
        </w:rPr>
        <w:t>dokumentech</w:t>
      </w:r>
      <w:r w:rsidR="004B0FC1" w:rsidRPr="00DD081C">
        <w:rPr>
          <w:rFonts w:ascii="Arial" w:hAnsi="Arial" w:cs="Arial"/>
        </w:rPr>
        <w:t xml:space="preserve"> </w:t>
      </w:r>
      <w:r w:rsidRPr="00DD081C">
        <w:rPr>
          <w:rFonts w:ascii="Arial" w:hAnsi="Arial" w:cs="Arial"/>
        </w:rPr>
        <w:t>bylo posouzeno splnění cílů programů, jejich výsledky i soulad s plněním cílů Národních priorit orientovaného výzkumu, experimentálního vývoje a inovací schválených usnesením vlády ze dne 19. července 2012 č. 552</w:t>
      </w:r>
      <w:r w:rsidR="007521A0">
        <w:rPr>
          <w:rFonts w:ascii="Arial" w:hAnsi="Arial" w:cs="Arial"/>
        </w:rPr>
        <w:t xml:space="preserve"> (dále jen „NPOV“)</w:t>
      </w:r>
      <w:r w:rsidRPr="00DD081C">
        <w:rPr>
          <w:rFonts w:ascii="Arial" w:hAnsi="Arial" w:cs="Arial"/>
        </w:rPr>
        <w:t xml:space="preserve">. Hodnoceny byly rovněž </w:t>
      </w:r>
      <w:r w:rsidR="009015D6" w:rsidRPr="00DD081C">
        <w:rPr>
          <w:rFonts w:ascii="Arial" w:hAnsi="Arial" w:cs="Arial"/>
        </w:rPr>
        <w:t>známé</w:t>
      </w:r>
      <w:r w:rsidRPr="00DD081C">
        <w:rPr>
          <w:rFonts w:ascii="Arial" w:hAnsi="Arial" w:cs="Arial"/>
        </w:rPr>
        <w:t xml:space="preserve"> přínos</w:t>
      </w:r>
      <w:r w:rsidR="009015D6" w:rsidRPr="00DD081C">
        <w:rPr>
          <w:rFonts w:ascii="Arial" w:hAnsi="Arial" w:cs="Arial"/>
        </w:rPr>
        <w:t>y</w:t>
      </w:r>
      <w:r w:rsidRPr="00DD081C">
        <w:rPr>
          <w:rFonts w:ascii="Arial" w:hAnsi="Arial" w:cs="Arial"/>
        </w:rPr>
        <w:t>, průběh ukončených programů včetně čerpání finančních prostředků</w:t>
      </w:r>
      <w:r w:rsidR="009015D6" w:rsidRPr="00DD081C">
        <w:rPr>
          <w:rFonts w:ascii="Arial" w:hAnsi="Arial" w:cs="Arial"/>
        </w:rPr>
        <w:t xml:space="preserve">, </w:t>
      </w:r>
      <w:r w:rsidRPr="00DD081C">
        <w:rPr>
          <w:rFonts w:ascii="Arial" w:hAnsi="Arial" w:cs="Arial"/>
        </w:rPr>
        <w:t xml:space="preserve">apod. </w:t>
      </w:r>
    </w:p>
    <w:p w14:paraId="7B28BAA4" w14:textId="66CE2BF0" w:rsidR="00E0644F" w:rsidRPr="0032268B" w:rsidRDefault="006C2CC0" w:rsidP="00E0644F">
      <w:pPr>
        <w:pStyle w:val="Text"/>
        <w:keepNext w:val="0"/>
        <w:rPr>
          <w:rFonts w:asciiTheme="minorHAnsi" w:hAnsiTheme="minorHAnsi" w:cstheme="minorHAnsi"/>
          <w:szCs w:val="22"/>
        </w:rPr>
      </w:pPr>
      <w:r w:rsidRPr="00DD081C">
        <w:rPr>
          <w:szCs w:val="22"/>
        </w:rPr>
        <w:t xml:space="preserve">RVVI v rámci Hodnocení neposuzuje jednotlivé projekty, </w:t>
      </w:r>
      <w:r w:rsidR="00553342" w:rsidRPr="00DD081C">
        <w:rPr>
          <w:szCs w:val="22"/>
        </w:rPr>
        <w:t>jelikož dané</w:t>
      </w:r>
      <w:r w:rsidRPr="00DD081C">
        <w:rPr>
          <w:szCs w:val="22"/>
        </w:rPr>
        <w:t xml:space="preserve"> spadá mezi kompetence poskytovatelů, kteří podle § 21 </w:t>
      </w:r>
      <w:r w:rsidR="004C0E5C">
        <w:rPr>
          <w:szCs w:val="22"/>
        </w:rPr>
        <w:t>Z</w:t>
      </w:r>
      <w:r w:rsidRPr="00DD081C">
        <w:rPr>
          <w:szCs w:val="22"/>
        </w:rPr>
        <w:t>ákona</w:t>
      </w:r>
      <w:r w:rsidR="00282A68">
        <w:rPr>
          <w:szCs w:val="22"/>
        </w:rPr>
        <w:t xml:space="preserve"> </w:t>
      </w:r>
      <w:r w:rsidRPr="00DD081C">
        <w:rPr>
          <w:szCs w:val="22"/>
        </w:rPr>
        <w:t>hodnotí návrhy projektů a v souladu s Principy zpracovávají průběžná i závěrečná hodnocení programů, v rámci kterých probíhá i monitoring jednotlivých projektů. Průběžn</w:t>
      </w:r>
      <w:r w:rsidR="009015D6" w:rsidRPr="00DD081C">
        <w:rPr>
          <w:szCs w:val="22"/>
        </w:rPr>
        <w:t>á</w:t>
      </w:r>
      <w:r w:rsidRPr="00DD081C">
        <w:rPr>
          <w:szCs w:val="22"/>
        </w:rPr>
        <w:t xml:space="preserve"> hodnocení programů j</w:t>
      </w:r>
      <w:r w:rsidR="009015D6" w:rsidRPr="00DD081C">
        <w:rPr>
          <w:szCs w:val="22"/>
        </w:rPr>
        <w:t>sou</w:t>
      </w:r>
      <w:r w:rsidRPr="00DD081C">
        <w:rPr>
          <w:szCs w:val="22"/>
        </w:rPr>
        <w:t xml:space="preserve"> předkládán</w:t>
      </w:r>
      <w:r w:rsidR="009015D6" w:rsidRPr="00DD081C">
        <w:rPr>
          <w:szCs w:val="22"/>
        </w:rPr>
        <w:t>a RVVI</w:t>
      </w:r>
      <w:r w:rsidRPr="00DD081C">
        <w:rPr>
          <w:szCs w:val="22"/>
        </w:rPr>
        <w:t xml:space="preserve"> kontinuálně pro informaci</w:t>
      </w:r>
      <w:r w:rsidR="008166D8" w:rsidRPr="00DD081C">
        <w:rPr>
          <w:szCs w:val="22"/>
        </w:rPr>
        <w:t xml:space="preserve">. </w:t>
      </w:r>
      <w:r w:rsidR="00E0644F" w:rsidRPr="0060385E">
        <w:rPr>
          <w:rFonts w:asciiTheme="minorHAnsi" w:hAnsiTheme="minorHAnsi" w:cstheme="minorHAnsi"/>
          <w:szCs w:val="22"/>
        </w:rPr>
        <w:t xml:space="preserve">V Hodnocení byly použity definice druhů výsledků výzkumu, vývoje a inovací (dále jen „VaVaI“), které byly schváleny jako samostatná příloha č. 4 </w:t>
      </w:r>
      <w:r w:rsidR="00E0644F" w:rsidRPr="0060385E">
        <w:rPr>
          <w:rFonts w:asciiTheme="minorHAnsi" w:hAnsiTheme="minorHAnsi" w:cstheme="minorHAnsi"/>
          <w:color w:val="303030"/>
          <w:szCs w:val="22"/>
        </w:rPr>
        <w:t>M 17+</w:t>
      </w:r>
      <w:r w:rsidR="00E0644F" w:rsidRPr="0060385E">
        <w:rPr>
          <w:rFonts w:asciiTheme="minorHAnsi" w:hAnsiTheme="minorHAnsi" w:cstheme="minorHAnsi"/>
          <w:szCs w:val="22"/>
        </w:rPr>
        <w:t xml:space="preserve"> usnesením vlády ze dne 29. listopadu 2017 č. 837.</w:t>
      </w:r>
    </w:p>
    <w:p w14:paraId="150D591C" w14:textId="5299DC0F" w:rsidR="00282A68" w:rsidRDefault="00553342" w:rsidP="0072556F">
      <w:pPr>
        <w:pStyle w:val="Text"/>
        <w:rPr>
          <w:szCs w:val="22"/>
        </w:rPr>
      </w:pPr>
      <w:r w:rsidRPr="00DD081C">
        <w:rPr>
          <w:szCs w:val="22"/>
        </w:rPr>
        <w:t>RVVI</w:t>
      </w:r>
      <w:r w:rsidR="008166D8" w:rsidRPr="00DD081C">
        <w:rPr>
          <w:szCs w:val="22"/>
        </w:rPr>
        <w:t xml:space="preserve"> byl</w:t>
      </w:r>
      <w:r w:rsidR="00282A68">
        <w:rPr>
          <w:szCs w:val="22"/>
        </w:rPr>
        <w:t>a</w:t>
      </w:r>
      <w:r w:rsidR="008166D8" w:rsidRPr="00DD081C">
        <w:rPr>
          <w:szCs w:val="22"/>
        </w:rPr>
        <w:t xml:space="preserve"> předložen</w:t>
      </w:r>
      <w:r w:rsidR="00282A68">
        <w:rPr>
          <w:szCs w:val="22"/>
        </w:rPr>
        <w:t>a</w:t>
      </w:r>
      <w:r w:rsidR="006C2CC0" w:rsidRPr="00DD081C">
        <w:rPr>
          <w:szCs w:val="22"/>
        </w:rPr>
        <w:t xml:space="preserve"> závěrečn</w:t>
      </w:r>
      <w:r w:rsidR="00282A68">
        <w:rPr>
          <w:szCs w:val="22"/>
        </w:rPr>
        <w:t>á</w:t>
      </w:r>
      <w:r w:rsidR="006C2CC0" w:rsidRPr="00DD081C">
        <w:rPr>
          <w:szCs w:val="22"/>
        </w:rPr>
        <w:t xml:space="preserve"> hodnocení</w:t>
      </w:r>
      <w:r w:rsidR="00282A68">
        <w:rPr>
          <w:szCs w:val="22"/>
        </w:rPr>
        <w:t xml:space="preserve"> těchto</w:t>
      </w:r>
      <w:r w:rsidR="006C2CC0" w:rsidRPr="00DD081C">
        <w:rPr>
          <w:szCs w:val="22"/>
        </w:rPr>
        <w:t xml:space="preserve"> </w:t>
      </w:r>
      <w:r w:rsidR="008C5F7D" w:rsidRPr="00DD081C">
        <w:rPr>
          <w:szCs w:val="22"/>
        </w:rPr>
        <w:t>ukončen</w:t>
      </w:r>
      <w:r w:rsidR="00282A68">
        <w:rPr>
          <w:szCs w:val="22"/>
        </w:rPr>
        <w:t>ých programů:</w:t>
      </w:r>
    </w:p>
    <w:p w14:paraId="5AB43219" w14:textId="5CCD275B" w:rsidR="00282A68" w:rsidRDefault="0072556F" w:rsidP="00354152">
      <w:pPr>
        <w:pStyle w:val="Text"/>
        <w:keepNext w:val="0"/>
        <w:numPr>
          <w:ilvl w:val="0"/>
          <w:numId w:val="38"/>
        </w:numPr>
        <w:ind w:left="426"/>
        <w:rPr>
          <w:szCs w:val="22"/>
        </w:rPr>
      </w:pPr>
      <w:r w:rsidRPr="0072556F">
        <w:rPr>
          <w:szCs w:val="22"/>
        </w:rPr>
        <w:t>Program na podporu aplikovaného výzkumu a experimentálního vývoje národní a kulturní identity na</w:t>
      </w:r>
      <w:r>
        <w:rPr>
          <w:szCs w:val="22"/>
        </w:rPr>
        <w:t xml:space="preserve"> léta 2016 až 2022 (NAKI II)</w:t>
      </w:r>
      <w:r w:rsidR="00502188" w:rsidRPr="00502188">
        <w:rPr>
          <w:rFonts w:asciiTheme="minorHAnsi" w:hAnsiTheme="minorHAnsi" w:cstheme="minorHAnsi"/>
          <w:lang w:eastAsia="cs-CZ"/>
        </w:rPr>
        <w:t xml:space="preserve"> </w:t>
      </w:r>
      <w:r w:rsidR="00502188">
        <w:rPr>
          <w:rFonts w:asciiTheme="minorHAnsi" w:hAnsiTheme="minorHAnsi" w:cstheme="minorHAnsi"/>
          <w:lang w:eastAsia="cs-CZ"/>
        </w:rPr>
        <w:t>(dále jen „Program NAKI II“)</w:t>
      </w:r>
      <w:r>
        <w:rPr>
          <w:szCs w:val="22"/>
        </w:rPr>
        <w:t xml:space="preserve">, </w:t>
      </w:r>
      <w:r w:rsidR="0060385E">
        <w:rPr>
          <w:szCs w:val="22"/>
        </w:rPr>
        <w:t>jehož závěrečné hodnocení</w:t>
      </w:r>
      <w:r>
        <w:rPr>
          <w:szCs w:val="22"/>
        </w:rPr>
        <w:t xml:space="preserve"> </w:t>
      </w:r>
      <w:r w:rsidR="0060385E">
        <w:rPr>
          <w:szCs w:val="22"/>
        </w:rPr>
        <w:t xml:space="preserve">předložilo </w:t>
      </w:r>
      <w:r w:rsidRPr="0072556F">
        <w:rPr>
          <w:szCs w:val="22"/>
        </w:rPr>
        <w:t>Ministerstvo kultury</w:t>
      </w:r>
      <w:r w:rsidR="00BD0830">
        <w:rPr>
          <w:szCs w:val="22"/>
        </w:rPr>
        <w:t xml:space="preserve"> (dále jen „MK“)</w:t>
      </w:r>
      <w:r w:rsidR="00282A68">
        <w:rPr>
          <w:szCs w:val="22"/>
        </w:rPr>
        <w:t>;</w:t>
      </w:r>
    </w:p>
    <w:p w14:paraId="63D302F4" w14:textId="6A4CD14D" w:rsidR="00502188" w:rsidRDefault="002D0B28" w:rsidP="00354152">
      <w:pPr>
        <w:pStyle w:val="Text"/>
        <w:keepNext w:val="0"/>
        <w:numPr>
          <w:ilvl w:val="0"/>
          <w:numId w:val="38"/>
        </w:numPr>
        <w:ind w:left="426"/>
        <w:rPr>
          <w:szCs w:val="22"/>
        </w:rPr>
      </w:pPr>
      <w:r>
        <w:rPr>
          <w:szCs w:val="22"/>
        </w:rPr>
        <w:t>Program „</w:t>
      </w:r>
      <w:r w:rsidR="0072556F" w:rsidRPr="00502188">
        <w:rPr>
          <w:szCs w:val="22"/>
        </w:rPr>
        <w:t>Rozvoj ozbrojených sil České republ</w:t>
      </w:r>
      <w:r w:rsidR="00AD0D5D" w:rsidRPr="00502188">
        <w:rPr>
          <w:szCs w:val="22"/>
        </w:rPr>
        <w:t>iky</w:t>
      </w:r>
      <w:r>
        <w:rPr>
          <w:szCs w:val="22"/>
        </w:rPr>
        <w:t>“</w:t>
      </w:r>
      <w:r w:rsidR="00BD0830">
        <w:rPr>
          <w:szCs w:val="22"/>
        </w:rPr>
        <w:t xml:space="preserve"> </w:t>
      </w:r>
      <w:r w:rsidR="00BD0830">
        <w:rPr>
          <w:rFonts w:asciiTheme="minorHAnsi" w:hAnsiTheme="minorHAnsi" w:cstheme="minorHAnsi"/>
          <w:lang w:eastAsia="cs-CZ"/>
        </w:rPr>
        <w:t>(dále jen „Program MO“)</w:t>
      </w:r>
      <w:r w:rsidR="00502188" w:rsidRPr="00502188">
        <w:rPr>
          <w:szCs w:val="22"/>
        </w:rPr>
        <w:t xml:space="preserve">, </w:t>
      </w:r>
      <w:r w:rsidR="0060385E">
        <w:rPr>
          <w:szCs w:val="22"/>
        </w:rPr>
        <w:t>jehož závěrečné hodnocení předložilo</w:t>
      </w:r>
      <w:r w:rsidR="0060385E" w:rsidRPr="00502188">
        <w:rPr>
          <w:szCs w:val="22"/>
        </w:rPr>
        <w:t xml:space="preserve"> </w:t>
      </w:r>
      <w:r w:rsidR="0072556F" w:rsidRPr="00502188">
        <w:rPr>
          <w:szCs w:val="22"/>
        </w:rPr>
        <w:t>Ministerstv</w:t>
      </w:r>
      <w:r w:rsidR="00AA0751">
        <w:rPr>
          <w:szCs w:val="22"/>
        </w:rPr>
        <w:t>o</w:t>
      </w:r>
      <w:r w:rsidR="0072556F" w:rsidRPr="00502188">
        <w:rPr>
          <w:szCs w:val="22"/>
        </w:rPr>
        <w:t xml:space="preserve"> obrany</w:t>
      </w:r>
      <w:r w:rsidR="00BD0830">
        <w:rPr>
          <w:szCs w:val="22"/>
        </w:rPr>
        <w:t xml:space="preserve"> (dále jen „MO</w:t>
      </w:r>
      <w:r w:rsidR="0060385E">
        <w:rPr>
          <w:szCs w:val="22"/>
        </w:rPr>
        <w:t>)</w:t>
      </w:r>
      <w:r w:rsidR="00282A68" w:rsidRPr="00502188">
        <w:rPr>
          <w:szCs w:val="22"/>
        </w:rPr>
        <w:t>;</w:t>
      </w:r>
    </w:p>
    <w:p w14:paraId="1C63F033" w14:textId="3FEEB592" w:rsidR="00502188" w:rsidRDefault="00502188" w:rsidP="00354152">
      <w:pPr>
        <w:pStyle w:val="Text"/>
        <w:keepNext w:val="0"/>
        <w:numPr>
          <w:ilvl w:val="0"/>
          <w:numId w:val="38"/>
        </w:numPr>
        <w:ind w:left="426"/>
        <w:rPr>
          <w:szCs w:val="22"/>
        </w:rPr>
      </w:pPr>
      <w:r w:rsidRPr="00502188">
        <w:rPr>
          <w:szCs w:val="22"/>
        </w:rPr>
        <w:t>Podpora mezinárodní spolupráce pro získávání ERC grantů „Podpora ERC žadatelů“</w:t>
      </w:r>
      <w:r w:rsidR="00BD0830" w:rsidRPr="00BD0830">
        <w:rPr>
          <w:rFonts w:asciiTheme="minorHAnsi" w:hAnsiTheme="minorHAnsi" w:cstheme="minorHAnsi"/>
          <w:lang w:eastAsia="cs-CZ"/>
        </w:rPr>
        <w:t xml:space="preserve"> </w:t>
      </w:r>
      <w:r w:rsidR="00BD0830" w:rsidRPr="0072556F">
        <w:rPr>
          <w:rFonts w:asciiTheme="minorHAnsi" w:hAnsiTheme="minorHAnsi" w:cstheme="minorHAnsi"/>
          <w:lang w:eastAsia="cs-CZ"/>
        </w:rPr>
        <w:t xml:space="preserve"> </w:t>
      </w:r>
      <w:r w:rsidR="00BD0830">
        <w:rPr>
          <w:rFonts w:asciiTheme="minorHAnsi" w:hAnsiTheme="minorHAnsi" w:cstheme="minorHAnsi"/>
          <w:lang w:eastAsia="cs-CZ"/>
        </w:rPr>
        <w:t>(dále jen „P</w:t>
      </w:r>
      <w:r w:rsidR="00C34CEC">
        <w:rPr>
          <w:rFonts w:asciiTheme="minorHAnsi" w:hAnsiTheme="minorHAnsi" w:cstheme="minorHAnsi"/>
          <w:lang w:eastAsia="cs-CZ"/>
        </w:rPr>
        <w:t>odpora</w:t>
      </w:r>
      <w:r w:rsidR="00BD0830">
        <w:rPr>
          <w:rFonts w:asciiTheme="minorHAnsi" w:hAnsiTheme="minorHAnsi" w:cstheme="minorHAnsi"/>
          <w:lang w:eastAsia="cs-CZ"/>
        </w:rPr>
        <w:t xml:space="preserve"> ERC“)</w:t>
      </w:r>
      <w:r w:rsidRPr="00502188">
        <w:rPr>
          <w:szCs w:val="22"/>
        </w:rPr>
        <w:t xml:space="preserve">, </w:t>
      </w:r>
      <w:r w:rsidR="0060385E">
        <w:rPr>
          <w:szCs w:val="22"/>
        </w:rPr>
        <w:t>jehož závěrečné hodnocení předložila</w:t>
      </w:r>
      <w:r w:rsidR="0060385E" w:rsidRPr="00502188">
        <w:rPr>
          <w:szCs w:val="22"/>
        </w:rPr>
        <w:t xml:space="preserve"> </w:t>
      </w:r>
      <w:r w:rsidR="0060385E">
        <w:rPr>
          <w:szCs w:val="22"/>
        </w:rPr>
        <w:t>Grantová agentura</w:t>
      </w:r>
      <w:r w:rsidR="0072556F" w:rsidRPr="00502188">
        <w:rPr>
          <w:szCs w:val="22"/>
        </w:rPr>
        <w:t xml:space="preserve"> České republiky </w:t>
      </w:r>
      <w:r w:rsidR="00BD0830">
        <w:rPr>
          <w:szCs w:val="22"/>
        </w:rPr>
        <w:t>(dále jen „GAČR“)</w:t>
      </w:r>
      <w:r w:rsidRPr="00502188">
        <w:rPr>
          <w:szCs w:val="22"/>
        </w:rPr>
        <w:t>;</w:t>
      </w:r>
    </w:p>
    <w:p w14:paraId="0F97B5F6" w14:textId="64DCC254" w:rsidR="00502188" w:rsidRDefault="0072556F" w:rsidP="00354152">
      <w:pPr>
        <w:pStyle w:val="Text"/>
        <w:keepNext w:val="0"/>
        <w:numPr>
          <w:ilvl w:val="0"/>
          <w:numId w:val="38"/>
        </w:numPr>
        <w:ind w:left="426"/>
        <w:rPr>
          <w:szCs w:val="22"/>
        </w:rPr>
      </w:pPr>
      <w:r w:rsidRPr="00502188">
        <w:rPr>
          <w:szCs w:val="22"/>
        </w:rPr>
        <w:t>Program bezpečnostního výzkumu České republiky v let</w:t>
      </w:r>
      <w:r w:rsidR="00832BC0" w:rsidRPr="00502188">
        <w:rPr>
          <w:szCs w:val="22"/>
        </w:rPr>
        <w:t>ech 2015 až 2022</w:t>
      </w:r>
      <w:r w:rsidR="00BD0830">
        <w:rPr>
          <w:szCs w:val="22"/>
        </w:rPr>
        <w:t xml:space="preserve"> </w:t>
      </w:r>
      <w:r w:rsidR="00BD0830">
        <w:rPr>
          <w:rFonts w:asciiTheme="minorHAnsi" w:hAnsiTheme="minorHAnsi" w:cstheme="minorHAnsi"/>
          <w:lang w:eastAsia="cs-CZ"/>
        </w:rPr>
        <w:t>(dále jen „Program MV“)</w:t>
      </w:r>
      <w:r w:rsidR="00502188" w:rsidRPr="00502188">
        <w:rPr>
          <w:szCs w:val="22"/>
        </w:rPr>
        <w:t xml:space="preserve">, </w:t>
      </w:r>
      <w:r w:rsidR="0060385E">
        <w:rPr>
          <w:szCs w:val="22"/>
        </w:rPr>
        <w:t>jehož závěrečné hodnocení předložilo</w:t>
      </w:r>
      <w:r w:rsidR="0060385E" w:rsidRPr="00502188">
        <w:rPr>
          <w:szCs w:val="22"/>
        </w:rPr>
        <w:t xml:space="preserve"> </w:t>
      </w:r>
      <w:r w:rsidRPr="00502188">
        <w:rPr>
          <w:szCs w:val="22"/>
        </w:rPr>
        <w:t>Ministerstvo vnitra</w:t>
      </w:r>
      <w:r w:rsidR="00BD0830">
        <w:rPr>
          <w:szCs w:val="22"/>
        </w:rPr>
        <w:t xml:space="preserve"> (dále jen „MV“)</w:t>
      </w:r>
      <w:r w:rsidR="00502188" w:rsidRPr="00502188">
        <w:rPr>
          <w:szCs w:val="22"/>
        </w:rPr>
        <w:t>;</w:t>
      </w:r>
    </w:p>
    <w:p w14:paraId="42886232" w14:textId="6105A936" w:rsidR="00502188" w:rsidRDefault="00502188" w:rsidP="00354152">
      <w:pPr>
        <w:pStyle w:val="Text"/>
        <w:keepNext w:val="0"/>
        <w:numPr>
          <w:ilvl w:val="0"/>
          <w:numId w:val="38"/>
        </w:numPr>
        <w:ind w:left="426"/>
        <w:rPr>
          <w:szCs w:val="22"/>
        </w:rPr>
      </w:pPr>
      <w:r w:rsidRPr="00502188">
        <w:rPr>
          <w:szCs w:val="22"/>
        </w:rPr>
        <w:lastRenderedPageBreak/>
        <w:t>Program na podporu aplikovaného výzkumu „ZÉTA“</w:t>
      </w:r>
      <w:r w:rsidR="00BD0830">
        <w:rPr>
          <w:szCs w:val="22"/>
        </w:rPr>
        <w:t xml:space="preserve"> </w:t>
      </w:r>
      <w:r w:rsidR="00BD0830">
        <w:rPr>
          <w:rFonts w:asciiTheme="minorHAnsi" w:hAnsiTheme="minorHAnsi" w:cstheme="minorHAnsi"/>
          <w:lang w:eastAsia="cs-CZ"/>
        </w:rPr>
        <w:t>(dále jen „Program ZÉTA“)</w:t>
      </w:r>
      <w:r w:rsidRPr="00502188">
        <w:rPr>
          <w:szCs w:val="22"/>
        </w:rPr>
        <w:t xml:space="preserve">, </w:t>
      </w:r>
      <w:r w:rsidR="00354152">
        <w:rPr>
          <w:szCs w:val="22"/>
        </w:rPr>
        <w:t>jehož </w:t>
      </w:r>
      <w:r w:rsidR="0060385E">
        <w:rPr>
          <w:szCs w:val="22"/>
        </w:rPr>
        <w:t xml:space="preserve">závěrečné hodnocení předložila </w:t>
      </w:r>
      <w:r w:rsidR="0079178D" w:rsidRPr="00502188">
        <w:rPr>
          <w:szCs w:val="22"/>
        </w:rPr>
        <w:t>Technologick</w:t>
      </w:r>
      <w:r w:rsidR="0060385E">
        <w:rPr>
          <w:szCs w:val="22"/>
        </w:rPr>
        <w:t>á</w:t>
      </w:r>
      <w:r w:rsidR="0079178D" w:rsidRPr="00502188">
        <w:rPr>
          <w:szCs w:val="22"/>
        </w:rPr>
        <w:t xml:space="preserve"> agentur</w:t>
      </w:r>
      <w:r w:rsidR="0060385E">
        <w:rPr>
          <w:szCs w:val="22"/>
        </w:rPr>
        <w:t>a</w:t>
      </w:r>
      <w:r w:rsidR="0079178D" w:rsidRPr="00502188">
        <w:rPr>
          <w:szCs w:val="22"/>
        </w:rPr>
        <w:t xml:space="preserve"> České republiky </w:t>
      </w:r>
      <w:r w:rsidR="00BD0830">
        <w:rPr>
          <w:szCs w:val="22"/>
        </w:rPr>
        <w:t>(dále jen „TAČR“)</w:t>
      </w:r>
      <w:r w:rsidRPr="00502188">
        <w:rPr>
          <w:szCs w:val="22"/>
        </w:rPr>
        <w:t>;</w:t>
      </w:r>
    </w:p>
    <w:p w14:paraId="4C8D74F6" w14:textId="0F07B6A0" w:rsidR="00502188" w:rsidRDefault="0072556F" w:rsidP="00354152">
      <w:pPr>
        <w:pStyle w:val="Text"/>
        <w:keepNext w:val="0"/>
        <w:numPr>
          <w:ilvl w:val="0"/>
          <w:numId w:val="38"/>
        </w:numPr>
        <w:ind w:left="426"/>
        <w:rPr>
          <w:szCs w:val="22"/>
        </w:rPr>
      </w:pPr>
      <w:r w:rsidRPr="00502188">
        <w:rPr>
          <w:szCs w:val="22"/>
        </w:rPr>
        <w:t>Program aplikovaného výzkumu, experime</w:t>
      </w:r>
      <w:r w:rsidR="00EA426B" w:rsidRPr="00502188">
        <w:rPr>
          <w:szCs w:val="22"/>
        </w:rPr>
        <w:t>ntálního vývoje a inovací „GAMA 2“</w:t>
      </w:r>
      <w:r w:rsidR="00BD0830">
        <w:rPr>
          <w:szCs w:val="22"/>
        </w:rPr>
        <w:t xml:space="preserve"> </w:t>
      </w:r>
      <w:r w:rsidR="00BD0830">
        <w:rPr>
          <w:rFonts w:asciiTheme="minorHAnsi" w:hAnsiTheme="minorHAnsi" w:cstheme="minorHAnsi"/>
          <w:lang w:eastAsia="cs-CZ"/>
        </w:rPr>
        <w:t>(dále jen „Program GAMA 2“)</w:t>
      </w:r>
      <w:r w:rsidR="00502188" w:rsidRPr="00502188">
        <w:rPr>
          <w:szCs w:val="22"/>
        </w:rPr>
        <w:t xml:space="preserve">, </w:t>
      </w:r>
      <w:r w:rsidR="0060385E">
        <w:rPr>
          <w:szCs w:val="22"/>
        </w:rPr>
        <w:t xml:space="preserve">jehož závěrečné hodnocení předložila </w:t>
      </w:r>
      <w:r w:rsidR="00BD0830">
        <w:rPr>
          <w:szCs w:val="22"/>
        </w:rPr>
        <w:t>TAČR</w:t>
      </w:r>
      <w:r w:rsidR="00502188" w:rsidRPr="00502188">
        <w:rPr>
          <w:szCs w:val="22"/>
        </w:rPr>
        <w:t>;</w:t>
      </w:r>
    </w:p>
    <w:p w14:paraId="3301ECF6" w14:textId="6827AD75" w:rsidR="0072556F" w:rsidRPr="00502188" w:rsidRDefault="00AD0D5D" w:rsidP="00354152">
      <w:pPr>
        <w:pStyle w:val="Text"/>
        <w:keepNext w:val="0"/>
        <w:numPr>
          <w:ilvl w:val="0"/>
          <w:numId w:val="38"/>
        </w:numPr>
        <w:ind w:left="426"/>
        <w:rPr>
          <w:szCs w:val="22"/>
        </w:rPr>
      </w:pPr>
      <w:r w:rsidRPr="00502188">
        <w:rPr>
          <w:szCs w:val="22"/>
        </w:rPr>
        <w:t>Program aplikovaného výzkumu a experimentálního vývoje “TRIO“</w:t>
      </w:r>
      <w:r w:rsidR="00BD0830">
        <w:rPr>
          <w:szCs w:val="22"/>
        </w:rPr>
        <w:t xml:space="preserve"> (dále jen „Program TRIO“)</w:t>
      </w:r>
      <w:r w:rsidR="0060385E">
        <w:rPr>
          <w:szCs w:val="22"/>
        </w:rPr>
        <w:t>, jehož závěrečné hodnocení předložilo</w:t>
      </w:r>
      <w:r w:rsidR="0060385E" w:rsidRPr="00502188">
        <w:rPr>
          <w:szCs w:val="22"/>
        </w:rPr>
        <w:t xml:space="preserve"> </w:t>
      </w:r>
      <w:r w:rsidR="000C54D0" w:rsidRPr="00502188">
        <w:rPr>
          <w:szCs w:val="22"/>
        </w:rPr>
        <w:t>Ministerstvo</w:t>
      </w:r>
      <w:r w:rsidR="0072556F" w:rsidRPr="00502188">
        <w:rPr>
          <w:szCs w:val="22"/>
        </w:rPr>
        <w:t xml:space="preserve"> průmyslu a obchodu</w:t>
      </w:r>
      <w:r w:rsidR="00BD0830">
        <w:rPr>
          <w:szCs w:val="22"/>
        </w:rPr>
        <w:t xml:space="preserve"> (dále jen „MPO“)</w:t>
      </w:r>
      <w:r w:rsidRPr="00502188">
        <w:rPr>
          <w:szCs w:val="22"/>
        </w:rPr>
        <w:t>.</w:t>
      </w:r>
    </w:p>
    <w:p w14:paraId="57359A3A" w14:textId="23C9AD92" w:rsidR="0072556F" w:rsidRPr="00832BC0" w:rsidRDefault="00C3492F" w:rsidP="00DC6684">
      <w:pPr>
        <w:pStyle w:val="Text"/>
        <w:rPr>
          <w:szCs w:val="22"/>
        </w:rPr>
      </w:pPr>
      <w:r w:rsidRPr="00832BC0">
        <w:rPr>
          <w:szCs w:val="22"/>
        </w:rPr>
        <w:t xml:space="preserve">Tyto dokumenty jsou přílohami </w:t>
      </w:r>
      <w:r w:rsidR="008E6893">
        <w:rPr>
          <w:szCs w:val="22"/>
        </w:rPr>
        <w:t>A až G</w:t>
      </w:r>
      <w:r w:rsidRPr="00832BC0">
        <w:rPr>
          <w:szCs w:val="22"/>
        </w:rPr>
        <w:t>. Z </w:t>
      </w:r>
      <w:proofErr w:type="spellStart"/>
      <w:r w:rsidRPr="00832BC0">
        <w:rPr>
          <w:szCs w:val="22"/>
        </w:rPr>
        <w:t>předkládých</w:t>
      </w:r>
      <w:proofErr w:type="spellEnd"/>
      <w:r w:rsidRPr="00832BC0">
        <w:rPr>
          <w:szCs w:val="22"/>
        </w:rPr>
        <w:t xml:space="preserve"> dokumentů bylo při tvorbě tohoto dokumentu čerpáno.</w:t>
      </w:r>
    </w:p>
    <w:p w14:paraId="1F27CFF6" w14:textId="77777777" w:rsidR="007C5BE3" w:rsidRPr="00784AE7" w:rsidRDefault="007C5BE3" w:rsidP="007C5BE3">
      <w:pPr>
        <w:rPr>
          <w:highlight w:val="yellow"/>
          <w:lang w:eastAsia="cs-CZ"/>
        </w:rPr>
      </w:pPr>
    </w:p>
    <w:p w14:paraId="001D9FD8" w14:textId="6AF79985" w:rsidR="00662D73" w:rsidRPr="00DD081C" w:rsidRDefault="00513BE9" w:rsidP="00074213">
      <w:pPr>
        <w:pStyle w:val="Nadpis3"/>
      </w:pPr>
      <w:bookmarkStart w:id="5" w:name="_Toc182984792"/>
      <w:r w:rsidRPr="00DD081C">
        <w:t>Výchozí údaje</w:t>
      </w:r>
      <w:bookmarkEnd w:id="5"/>
    </w:p>
    <w:p w14:paraId="3390D023" w14:textId="3A72EFCB" w:rsidR="00513BE9" w:rsidRPr="00DD081C" w:rsidRDefault="00513BE9" w:rsidP="00662D73">
      <w:pPr>
        <w:pStyle w:val="Text"/>
        <w:keepNext w:val="0"/>
      </w:pPr>
      <w:r w:rsidRPr="00DD081C">
        <w:t>Výchozí údaje pro Hodnocení pocházejí ze čtyř zdrojů. Primárně bylo</w:t>
      </w:r>
      <w:r w:rsidR="00354152">
        <w:t xml:space="preserve"> využito údajů, které </w:t>
      </w:r>
      <w:r w:rsidRPr="00DD081C">
        <w:t>předali poskytovatelé do Informačního systému výz</w:t>
      </w:r>
      <w:r w:rsidR="00354152">
        <w:t>kumu, experimentálního vývoje a </w:t>
      </w:r>
      <w:r w:rsidRPr="00DD081C">
        <w:t>inovací (dále jen „IS VaVaI“), tj. do Centrální evidence projektů (CEP) a Rejstříku informací o výsledcích (RIV), a to podle § 31 zákona o podpoře výzkumu, experimentálního vývoje a ino</w:t>
      </w:r>
      <w:r w:rsidR="00DD081C">
        <w:t>vací v termínu do 31. ledna 2024</w:t>
      </w:r>
      <w:r w:rsidRPr="00DD081C">
        <w:t>.</w:t>
      </w:r>
    </w:p>
    <w:p w14:paraId="059DDCEA" w14:textId="7621C675" w:rsidR="00513BE9" w:rsidRPr="00DD081C" w:rsidRDefault="00513BE9" w:rsidP="00662D73">
      <w:pPr>
        <w:pStyle w:val="Text"/>
        <w:keepNext w:val="0"/>
      </w:pPr>
      <w:r w:rsidRPr="00DD081C">
        <w:t xml:space="preserve">Současně bylo využito informací, které RVVI předložili poskytovatelé v </w:t>
      </w:r>
      <w:r w:rsidR="001015F7" w:rsidRPr="00DD081C">
        <w:t>z</w:t>
      </w:r>
      <w:r w:rsidRPr="00DD081C">
        <w:t>ávěrečných hodnoceních předložených formou zpráv o jimi provedeném hodnocení výsledků ukončených programů.</w:t>
      </w:r>
    </w:p>
    <w:p w14:paraId="04CD3D66" w14:textId="39F80AD4" w:rsidR="000E4F68" w:rsidRPr="00784AE7" w:rsidRDefault="006C2CC0" w:rsidP="00662D73">
      <w:pPr>
        <w:pStyle w:val="Text"/>
        <w:keepNext w:val="0"/>
        <w:rPr>
          <w:highlight w:val="yellow"/>
        </w:rPr>
      </w:pPr>
      <w:r w:rsidRPr="00DD081C">
        <w:t xml:space="preserve">Podkladem pro Hodnocení bylo rovněž </w:t>
      </w:r>
      <w:r w:rsidR="00FF4803" w:rsidRPr="00DD081C">
        <w:t>vyjádření</w:t>
      </w:r>
      <w:r w:rsidRPr="00DD081C">
        <w:t xml:space="preserve"> K</w:t>
      </w:r>
      <w:r w:rsidR="00220701" w:rsidRPr="00DD081C">
        <w:t>omise pro hodnocení výzkumných organizací a ukončených programů</w:t>
      </w:r>
      <w:r w:rsidRPr="00DD081C">
        <w:t xml:space="preserve"> (dále jen „KHV“</w:t>
      </w:r>
      <w:r w:rsidRPr="003F6BE6">
        <w:t>)</w:t>
      </w:r>
      <w:r w:rsidR="00662D73" w:rsidRPr="003F6BE6">
        <w:t>.</w:t>
      </w:r>
    </w:p>
    <w:p w14:paraId="5CDEADB0" w14:textId="0EA651A5" w:rsidR="00513BE9" w:rsidRPr="00784AE7" w:rsidRDefault="00513BE9" w:rsidP="00662D73">
      <w:pPr>
        <w:pStyle w:val="Text"/>
        <w:keepNext w:val="0"/>
        <w:rPr>
          <w:highlight w:val="yellow"/>
        </w:rPr>
      </w:pPr>
    </w:p>
    <w:p w14:paraId="2E7D60C4" w14:textId="069F9F0F" w:rsidR="00C9761E" w:rsidRPr="00784AE7" w:rsidRDefault="0032268B" w:rsidP="006F0C88">
      <w:pPr>
        <w:pStyle w:val="Nadpis2"/>
        <w:rPr>
          <w:highlight w:val="yellow"/>
        </w:rPr>
      </w:pPr>
      <w:r w:rsidRPr="0032268B">
        <w:lastRenderedPageBreak/>
        <w:tab/>
      </w:r>
      <w:bookmarkStart w:id="6" w:name="_Toc182984793"/>
      <w:r w:rsidRPr="0032268B">
        <w:t>Program na podporu aplikovaného výzkumu a</w:t>
      </w:r>
      <w:r w:rsidR="002363B9">
        <w:t> </w:t>
      </w:r>
      <w:r w:rsidRPr="0032268B">
        <w:t>experimentálního vývoje národní a kulturní identity na</w:t>
      </w:r>
      <w:r w:rsidR="002363B9">
        <w:t> </w:t>
      </w:r>
      <w:r w:rsidRPr="0032268B">
        <w:t>léta 2016 až 2022 (NAKI II)</w:t>
      </w:r>
      <w:bookmarkEnd w:id="6"/>
    </w:p>
    <w:p w14:paraId="7C5F3EAA" w14:textId="41D7F75C" w:rsidR="00970221" w:rsidRDefault="004B5770" w:rsidP="00970221">
      <w:pPr>
        <w:pStyle w:val="Text"/>
        <w:keepNext w:val="0"/>
        <w:rPr>
          <w:szCs w:val="22"/>
        </w:rPr>
      </w:pPr>
      <w:r w:rsidRPr="004B5770">
        <w:rPr>
          <w:szCs w:val="22"/>
        </w:rPr>
        <w:t xml:space="preserve">Program NAKI II </w:t>
      </w:r>
      <w:r w:rsidR="00970221">
        <w:rPr>
          <w:szCs w:val="22"/>
        </w:rPr>
        <w:t>(identifikační kód „DG</w:t>
      </w:r>
      <w:r w:rsidR="00970221" w:rsidRPr="00970221">
        <w:rPr>
          <w:szCs w:val="22"/>
        </w:rPr>
        <w:t xml:space="preserve">“) </w:t>
      </w:r>
      <w:r w:rsidRPr="004B5770">
        <w:rPr>
          <w:szCs w:val="22"/>
        </w:rPr>
        <w:t>byl schválen usnesením vlády</w:t>
      </w:r>
      <w:r w:rsidR="00970221">
        <w:rPr>
          <w:szCs w:val="22"/>
        </w:rPr>
        <w:t xml:space="preserve"> ČR č. 11 ze dne 2. ledna </w:t>
      </w:r>
      <w:r w:rsidR="00970221" w:rsidRPr="00970221">
        <w:rPr>
          <w:szCs w:val="22"/>
        </w:rPr>
        <w:t>2014 s plánovaným rozpočtem 2 857 mil. Kč.</w:t>
      </w:r>
    </w:p>
    <w:p w14:paraId="15396289" w14:textId="6141C389" w:rsidR="00F43183" w:rsidRDefault="00F43183" w:rsidP="00970221">
      <w:pPr>
        <w:pStyle w:val="Text"/>
        <w:keepNext w:val="0"/>
        <w:rPr>
          <w:szCs w:val="22"/>
          <w:highlight w:val="yellow"/>
        </w:rPr>
      </w:pPr>
      <w:r>
        <w:rPr>
          <w:szCs w:val="22"/>
        </w:rPr>
        <w:t>Poskytovatel: Ministerstvo kultury.</w:t>
      </w:r>
    </w:p>
    <w:p w14:paraId="2BB3CB62" w14:textId="5690F638" w:rsidR="004B5770" w:rsidRPr="004B5770" w:rsidRDefault="002363B9" w:rsidP="00271993">
      <w:pPr>
        <w:pStyle w:val="Text"/>
        <w:keepNext w:val="0"/>
        <w:rPr>
          <w:szCs w:val="22"/>
        </w:rPr>
      </w:pPr>
      <w:r>
        <w:rPr>
          <w:szCs w:val="22"/>
        </w:rPr>
        <w:t>P</w:t>
      </w:r>
      <w:r w:rsidR="004B5770" w:rsidRPr="004B5770">
        <w:rPr>
          <w:szCs w:val="22"/>
        </w:rPr>
        <w:t>rogram NAKI II</w:t>
      </w:r>
      <w:r w:rsidR="00970221">
        <w:rPr>
          <w:szCs w:val="22"/>
        </w:rPr>
        <w:t xml:space="preserve"> </w:t>
      </w:r>
      <w:r w:rsidR="009A6871">
        <w:rPr>
          <w:szCs w:val="22"/>
        </w:rPr>
        <w:t>měl</w:t>
      </w:r>
      <w:r w:rsidR="009A6871" w:rsidRPr="004B5770">
        <w:rPr>
          <w:szCs w:val="22"/>
        </w:rPr>
        <w:t xml:space="preserve"> </w:t>
      </w:r>
      <w:r w:rsidR="004B5770" w:rsidRPr="004B5770">
        <w:rPr>
          <w:szCs w:val="22"/>
        </w:rPr>
        <w:t>přispět k tomu, aby veřejné prostředky investované do aplikovaného výzkumu a vývoje v oblasti národní a kulturní identity přinášely konkrétní ekonomický či jiný společenský přínos z jejich realizace.</w:t>
      </w:r>
    </w:p>
    <w:p w14:paraId="7F53EDA8" w14:textId="77777777" w:rsidR="00C9761E" w:rsidRPr="00784AE7" w:rsidRDefault="00C9761E" w:rsidP="00C9761E">
      <w:pPr>
        <w:pStyle w:val="Text"/>
        <w:keepNext w:val="0"/>
        <w:rPr>
          <w:szCs w:val="22"/>
          <w:highlight w:val="yellow"/>
        </w:rPr>
      </w:pPr>
    </w:p>
    <w:p w14:paraId="26998C4A" w14:textId="7EF157D0" w:rsidR="00B60C81" w:rsidRPr="00B60C81" w:rsidRDefault="0053119B" w:rsidP="00B60C81">
      <w:pPr>
        <w:pStyle w:val="Nadpis3"/>
        <w:numPr>
          <w:ilvl w:val="2"/>
          <w:numId w:val="8"/>
        </w:numPr>
      </w:pPr>
      <w:bookmarkStart w:id="7" w:name="_Toc176217901"/>
      <w:bookmarkStart w:id="8" w:name="_Toc182984794"/>
      <w:r w:rsidRPr="00B60C81">
        <w:t>C</w:t>
      </w:r>
      <w:r w:rsidR="00331B10" w:rsidRPr="00B60C81">
        <w:t>íl</w:t>
      </w:r>
      <w:r w:rsidR="00FE6A99" w:rsidRPr="00B60C81">
        <w:t>e</w:t>
      </w:r>
      <w:r w:rsidR="00331B10" w:rsidRPr="00B60C81">
        <w:t xml:space="preserve"> programu</w:t>
      </w:r>
      <w:r w:rsidR="00FE6A99" w:rsidRPr="00B60C81">
        <w:t xml:space="preserve"> a jejich plnění</w:t>
      </w:r>
      <w:bookmarkEnd w:id="7"/>
      <w:bookmarkEnd w:id="8"/>
    </w:p>
    <w:p w14:paraId="06C38B27" w14:textId="140FA460" w:rsidR="00B60C81" w:rsidRDefault="00CE0CB9" w:rsidP="00B60C81">
      <w:pPr>
        <w:jc w:val="both"/>
        <w:rPr>
          <w:lang w:eastAsia="cs-CZ"/>
        </w:rPr>
      </w:pPr>
      <w:r>
        <w:rPr>
          <w:lang w:eastAsia="cs-CZ"/>
        </w:rPr>
        <w:t>Hlavním cílem</w:t>
      </w:r>
      <w:r w:rsidR="00AC5B5D">
        <w:rPr>
          <w:lang w:eastAsia="cs-CZ"/>
        </w:rPr>
        <w:t xml:space="preserve"> Programu</w:t>
      </w:r>
      <w:r w:rsidR="00455404" w:rsidRPr="00455404">
        <w:t xml:space="preserve"> </w:t>
      </w:r>
      <w:r w:rsidR="00455404" w:rsidRPr="004B5770">
        <w:t>NAKI II</w:t>
      </w:r>
      <w:r w:rsidR="00AC5B5D">
        <w:rPr>
          <w:lang w:eastAsia="cs-CZ"/>
        </w:rPr>
        <w:t xml:space="preserve"> </w:t>
      </w:r>
      <w:r w:rsidR="00AC5B5D" w:rsidRPr="00AC5B5D">
        <w:rPr>
          <w:lang w:eastAsia="cs-CZ"/>
        </w:rPr>
        <w:t>bylo</w:t>
      </w:r>
      <w:r w:rsidR="00AC5B5D">
        <w:rPr>
          <w:lang w:eastAsia="cs-CZ"/>
        </w:rPr>
        <w:t xml:space="preserve"> </w:t>
      </w:r>
      <w:r w:rsidR="00AC5B5D" w:rsidRPr="00AC5B5D">
        <w:rPr>
          <w:lang w:eastAsia="cs-CZ"/>
        </w:rPr>
        <w:t xml:space="preserve">prostřednictvím aplikovaného výzkumu a vývoje dosáhnout zachování a udržitelné rozvíjení specifické národní a </w:t>
      </w:r>
      <w:r w:rsidR="00BD0830">
        <w:rPr>
          <w:lang w:eastAsia="cs-CZ"/>
        </w:rPr>
        <w:t>kulturní identity i integrity a </w:t>
      </w:r>
      <w:r w:rsidR="00AC5B5D" w:rsidRPr="00AC5B5D">
        <w:rPr>
          <w:lang w:eastAsia="cs-CZ"/>
        </w:rPr>
        <w:t>kulturního dědictví v kontextu evropské a světové kultury v 21. století a v podmínkách očekávaný</w:t>
      </w:r>
      <w:r w:rsidR="00AC5B5D">
        <w:rPr>
          <w:lang w:eastAsia="cs-CZ"/>
        </w:rPr>
        <w:t>ch g</w:t>
      </w:r>
      <w:r>
        <w:rPr>
          <w:lang w:eastAsia="cs-CZ"/>
        </w:rPr>
        <w:t xml:space="preserve">lobálních změn. </w:t>
      </w:r>
      <w:r w:rsidR="00FB30AE">
        <w:rPr>
          <w:lang w:eastAsia="cs-CZ"/>
        </w:rPr>
        <w:t>T</w:t>
      </w:r>
      <w:r>
        <w:rPr>
          <w:lang w:eastAsia="cs-CZ"/>
        </w:rPr>
        <w:t xml:space="preserve">ento cíl </w:t>
      </w:r>
      <w:r w:rsidR="00AC5B5D" w:rsidRPr="00AC5B5D">
        <w:rPr>
          <w:lang w:eastAsia="cs-CZ"/>
        </w:rPr>
        <w:t>byl naplňován prostřednictvím dvou globálních cílů</w:t>
      </w:r>
      <w:r>
        <w:rPr>
          <w:lang w:eastAsia="cs-CZ"/>
        </w:rPr>
        <w:t xml:space="preserve"> „Národní identita“ a</w:t>
      </w:r>
      <w:r w:rsidRPr="00B60C81">
        <w:rPr>
          <w:lang w:eastAsia="cs-CZ"/>
        </w:rPr>
        <w:t xml:space="preserve"> </w:t>
      </w:r>
      <w:r>
        <w:rPr>
          <w:lang w:eastAsia="cs-CZ"/>
        </w:rPr>
        <w:t>„Kulturní dědictví“,</w:t>
      </w:r>
      <w:r w:rsidR="00AC5B5D" w:rsidRPr="00AC5B5D">
        <w:rPr>
          <w:lang w:eastAsia="cs-CZ"/>
        </w:rPr>
        <w:t xml:space="preserve"> a výsledkově orientovaných specifických cílů.</w:t>
      </w:r>
      <w:r w:rsidRPr="00CE0CB9">
        <w:rPr>
          <w:lang w:eastAsia="cs-CZ"/>
        </w:rPr>
        <w:t xml:space="preserve"> </w:t>
      </w:r>
      <w:r w:rsidR="00BD0830">
        <w:rPr>
          <w:lang w:eastAsia="cs-CZ"/>
        </w:rPr>
        <w:t>Toto </w:t>
      </w:r>
      <w:proofErr w:type="spellStart"/>
      <w:r>
        <w:rPr>
          <w:lang w:eastAsia="cs-CZ"/>
        </w:rPr>
        <w:t>tématické</w:t>
      </w:r>
      <w:proofErr w:type="spellEnd"/>
      <w:r>
        <w:rPr>
          <w:lang w:eastAsia="cs-CZ"/>
        </w:rPr>
        <w:t xml:space="preserve"> vymezení Programu</w:t>
      </w:r>
      <w:r w:rsidR="00455404" w:rsidRPr="00455404">
        <w:t xml:space="preserve"> </w:t>
      </w:r>
      <w:r w:rsidR="00455404" w:rsidRPr="004B5770">
        <w:t>NAKI II</w:t>
      </w:r>
      <w:r>
        <w:rPr>
          <w:lang w:eastAsia="cs-CZ"/>
        </w:rPr>
        <w:t xml:space="preserve"> bylo plně v souladu a vycházelo z </w:t>
      </w:r>
      <w:r w:rsidR="007521A0">
        <w:rPr>
          <w:lang w:eastAsia="cs-CZ"/>
        </w:rPr>
        <w:t>NPOV</w:t>
      </w:r>
      <w:r>
        <w:rPr>
          <w:lang w:eastAsia="cs-CZ"/>
        </w:rPr>
        <w:t>.</w:t>
      </w:r>
    </w:p>
    <w:p w14:paraId="72FE6598" w14:textId="6F89103B" w:rsidR="00215E21" w:rsidRPr="00215E21" w:rsidRDefault="00215E21" w:rsidP="00215E21">
      <w:pPr>
        <w:jc w:val="both"/>
        <w:rPr>
          <w:lang w:eastAsia="cs-CZ"/>
        </w:rPr>
      </w:pPr>
      <w:r w:rsidRPr="00215E21">
        <w:rPr>
          <w:lang w:eastAsia="cs-CZ"/>
        </w:rPr>
        <w:t xml:space="preserve">Závěrečné hodnocení </w:t>
      </w:r>
      <w:r w:rsidR="00F75770">
        <w:rPr>
          <w:lang w:eastAsia="cs-CZ"/>
        </w:rPr>
        <w:t xml:space="preserve">Programu NAKI II </w:t>
      </w:r>
      <w:r w:rsidR="00F75770" w:rsidRPr="00CC7604">
        <w:rPr>
          <w:lang w:eastAsia="cs-CZ"/>
        </w:rPr>
        <w:t xml:space="preserve">(Příloha </w:t>
      </w:r>
      <w:r w:rsidR="00433166" w:rsidRPr="00CC7604">
        <w:rPr>
          <w:lang w:eastAsia="cs-CZ"/>
        </w:rPr>
        <w:t>A)</w:t>
      </w:r>
      <w:r w:rsidR="00F75770">
        <w:rPr>
          <w:lang w:eastAsia="cs-CZ"/>
        </w:rPr>
        <w:t xml:space="preserve"> </w:t>
      </w:r>
      <w:r w:rsidRPr="00215E21">
        <w:rPr>
          <w:lang w:eastAsia="cs-CZ"/>
        </w:rPr>
        <w:t xml:space="preserve">se zabývá naplněním </w:t>
      </w:r>
      <w:r w:rsidR="00731122">
        <w:rPr>
          <w:lang w:eastAsia="cs-CZ"/>
        </w:rPr>
        <w:t xml:space="preserve">21 </w:t>
      </w:r>
      <w:r w:rsidR="00354152">
        <w:rPr>
          <w:lang w:eastAsia="cs-CZ"/>
        </w:rPr>
        <w:t>indikátorů, které </w:t>
      </w:r>
      <w:r w:rsidR="00F75770">
        <w:rPr>
          <w:lang w:eastAsia="cs-CZ"/>
        </w:rPr>
        <w:t>řádí do 4 </w:t>
      </w:r>
      <w:r w:rsidRPr="00215E21">
        <w:rPr>
          <w:lang w:eastAsia="cs-CZ"/>
        </w:rPr>
        <w:t>skupin:</w:t>
      </w:r>
    </w:p>
    <w:p w14:paraId="30942DB3" w14:textId="28B8C1E1" w:rsidR="00215E21" w:rsidRPr="00215E21" w:rsidRDefault="00215E21" w:rsidP="00215E21">
      <w:pPr>
        <w:pStyle w:val="Odstavecseseznamem"/>
        <w:numPr>
          <w:ilvl w:val="0"/>
          <w:numId w:val="12"/>
        </w:numPr>
        <w:jc w:val="both"/>
        <w:rPr>
          <w:rFonts w:asciiTheme="majorHAnsi" w:hAnsiTheme="majorHAnsi" w:cstheme="majorHAnsi"/>
          <w:lang w:eastAsia="cs-CZ"/>
        </w:rPr>
      </w:pPr>
      <w:r w:rsidRPr="00215E21">
        <w:rPr>
          <w:rFonts w:asciiTheme="majorHAnsi" w:hAnsiTheme="majorHAnsi" w:cstheme="majorHAnsi"/>
          <w:lang w:eastAsia="cs-CZ"/>
        </w:rPr>
        <w:t>Indikátory popisující realizaci programu: počet podpořených projektů, počet úspěšně ukončených projektů a úspěšnost projektů - bylo splněno</w:t>
      </w:r>
      <w:r w:rsidR="000F05BD">
        <w:rPr>
          <w:rFonts w:asciiTheme="majorHAnsi" w:hAnsiTheme="majorHAnsi" w:cstheme="majorHAnsi"/>
          <w:lang w:eastAsia="cs-CZ"/>
        </w:rPr>
        <w:t>;</w:t>
      </w:r>
    </w:p>
    <w:p w14:paraId="46E5F1B6" w14:textId="651CC42F" w:rsidR="00215E21" w:rsidRPr="00CE0CB9" w:rsidRDefault="00215E21" w:rsidP="00CE0CB9">
      <w:pPr>
        <w:pStyle w:val="Odstavecseseznamem"/>
        <w:numPr>
          <w:ilvl w:val="0"/>
          <w:numId w:val="12"/>
        </w:numPr>
        <w:jc w:val="both"/>
        <w:rPr>
          <w:rFonts w:asciiTheme="majorHAnsi" w:hAnsiTheme="majorHAnsi" w:cstheme="majorHAnsi"/>
          <w:lang w:eastAsia="cs-CZ"/>
        </w:rPr>
      </w:pPr>
      <w:r w:rsidRPr="00215E21">
        <w:rPr>
          <w:rFonts w:asciiTheme="majorHAnsi" w:hAnsiTheme="majorHAnsi" w:cstheme="majorHAnsi"/>
          <w:lang w:eastAsia="cs-CZ"/>
        </w:rPr>
        <w:t xml:space="preserve">Indikátory hodnotící splnění hlavních aplikovaných výsledků: </w:t>
      </w:r>
      <w:r>
        <w:rPr>
          <w:rFonts w:asciiTheme="majorHAnsi" w:hAnsiTheme="majorHAnsi" w:cstheme="majorHAnsi"/>
          <w:lang w:eastAsia="cs-CZ"/>
        </w:rPr>
        <w:t>bylo</w:t>
      </w:r>
      <w:r w:rsidRPr="00215E21">
        <w:rPr>
          <w:rFonts w:asciiTheme="majorHAnsi" w:hAnsiTheme="majorHAnsi" w:cstheme="majorHAnsi"/>
          <w:lang w:eastAsia="cs-CZ"/>
        </w:rPr>
        <w:t xml:space="preserve"> splněno, resp</w:t>
      </w:r>
      <w:r w:rsidR="003E2D65">
        <w:rPr>
          <w:rFonts w:asciiTheme="majorHAnsi" w:hAnsiTheme="majorHAnsi" w:cstheme="majorHAnsi"/>
          <w:lang w:eastAsia="cs-CZ"/>
        </w:rPr>
        <w:t>ektive</w:t>
      </w:r>
      <w:r w:rsidRPr="00215E21">
        <w:rPr>
          <w:rFonts w:asciiTheme="majorHAnsi" w:hAnsiTheme="majorHAnsi" w:cstheme="majorHAnsi"/>
          <w:lang w:eastAsia="cs-CZ"/>
        </w:rPr>
        <w:t xml:space="preserve"> překročeno</w:t>
      </w:r>
      <w:r w:rsidR="00CE0CB9">
        <w:rPr>
          <w:rFonts w:asciiTheme="majorHAnsi" w:hAnsiTheme="majorHAnsi" w:cstheme="majorHAnsi"/>
          <w:lang w:eastAsia="cs-CZ"/>
        </w:rPr>
        <w:t xml:space="preserve"> - celkově bylo uplatněno 994 výsledků (cca </w:t>
      </w:r>
      <w:r w:rsidRPr="00CE0CB9">
        <w:rPr>
          <w:rFonts w:asciiTheme="majorHAnsi" w:hAnsiTheme="majorHAnsi" w:cstheme="majorHAnsi"/>
          <w:lang w:eastAsia="cs-CZ"/>
        </w:rPr>
        <w:t>polovinu z aplikovaných výsledků tvořily neplánované výsledky projektů</w:t>
      </w:r>
      <w:r w:rsidR="00CE0CB9">
        <w:rPr>
          <w:rFonts w:asciiTheme="majorHAnsi" w:hAnsiTheme="majorHAnsi" w:cstheme="majorHAnsi"/>
          <w:lang w:eastAsia="cs-CZ"/>
        </w:rPr>
        <w:t>)</w:t>
      </w:r>
      <w:r w:rsidR="000F05BD">
        <w:rPr>
          <w:rFonts w:asciiTheme="majorHAnsi" w:hAnsiTheme="majorHAnsi" w:cstheme="majorHAnsi"/>
          <w:lang w:eastAsia="cs-CZ"/>
        </w:rPr>
        <w:t>;</w:t>
      </w:r>
    </w:p>
    <w:p w14:paraId="378E483F" w14:textId="38653B68" w:rsidR="00215E21" w:rsidRPr="00215E21" w:rsidRDefault="00215E21" w:rsidP="00215E21">
      <w:pPr>
        <w:pStyle w:val="Odstavecseseznamem"/>
        <w:numPr>
          <w:ilvl w:val="0"/>
          <w:numId w:val="12"/>
        </w:numPr>
        <w:jc w:val="both"/>
        <w:rPr>
          <w:rFonts w:asciiTheme="majorHAnsi" w:hAnsiTheme="majorHAnsi" w:cstheme="majorHAnsi"/>
          <w:lang w:eastAsia="cs-CZ"/>
        </w:rPr>
      </w:pPr>
      <w:r w:rsidRPr="00215E21">
        <w:rPr>
          <w:rFonts w:asciiTheme="majorHAnsi" w:hAnsiTheme="majorHAnsi" w:cstheme="majorHAnsi"/>
          <w:lang w:eastAsia="cs-CZ"/>
        </w:rPr>
        <w:t xml:space="preserve">Vedlejší indikátory publikačních výsledků programu: </w:t>
      </w:r>
      <w:r w:rsidR="000F05BD">
        <w:rPr>
          <w:rFonts w:asciiTheme="majorHAnsi" w:hAnsiTheme="majorHAnsi" w:cstheme="majorHAnsi"/>
          <w:lang w:eastAsia="cs-CZ"/>
        </w:rPr>
        <w:t xml:space="preserve">bylo </w:t>
      </w:r>
      <w:r w:rsidRPr="00215E21">
        <w:rPr>
          <w:rFonts w:asciiTheme="majorHAnsi" w:hAnsiTheme="majorHAnsi" w:cstheme="majorHAnsi"/>
          <w:lang w:eastAsia="cs-CZ"/>
        </w:rPr>
        <w:t>s</w:t>
      </w:r>
      <w:r w:rsidR="00CE0CB9">
        <w:rPr>
          <w:rFonts w:asciiTheme="majorHAnsi" w:hAnsiTheme="majorHAnsi" w:cstheme="majorHAnsi"/>
          <w:lang w:eastAsia="cs-CZ"/>
        </w:rPr>
        <w:t>plněno</w:t>
      </w:r>
      <w:r w:rsidR="000F05BD">
        <w:rPr>
          <w:rFonts w:asciiTheme="majorHAnsi" w:hAnsiTheme="majorHAnsi" w:cstheme="majorHAnsi"/>
          <w:lang w:eastAsia="cs-CZ"/>
        </w:rPr>
        <w:t>;</w:t>
      </w:r>
    </w:p>
    <w:p w14:paraId="4BDAB78C" w14:textId="78B7B0DE" w:rsidR="009A7210" w:rsidRPr="005E46FD" w:rsidRDefault="00215E21" w:rsidP="009A7210">
      <w:pPr>
        <w:pStyle w:val="Odstavecseseznamem"/>
        <w:numPr>
          <w:ilvl w:val="0"/>
          <w:numId w:val="12"/>
        </w:numPr>
        <w:jc w:val="both"/>
        <w:rPr>
          <w:rFonts w:asciiTheme="majorHAnsi" w:hAnsiTheme="majorHAnsi" w:cstheme="majorHAnsi"/>
          <w:lang w:eastAsia="cs-CZ"/>
        </w:rPr>
      </w:pPr>
      <w:r w:rsidRPr="00215E21">
        <w:rPr>
          <w:rFonts w:asciiTheme="majorHAnsi" w:hAnsiTheme="majorHAnsi" w:cstheme="majorHAnsi"/>
          <w:lang w:eastAsia="cs-CZ"/>
        </w:rPr>
        <w:t>Indikátory</w:t>
      </w:r>
      <w:r w:rsidR="00CE0CB9">
        <w:rPr>
          <w:rFonts w:asciiTheme="majorHAnsi" w:hAnsiTheme="majorHAnsi" w:cstheme="majorHAnsi"/>
          <w:lang w:eastAsia="cs-CZ"/>
        </w:rPr>
        <w:t xml:space="preserve"> </w:t>
      </w:r>
      <w:r w:rsidRPr="00215E21">
        <w:rPr>
          <w:rFonts w:asciiTheme="majorHAnsi" w:hAnsiTheme="majorHAnsi" w:cstheme="majorHAnsi"/>
          <w:lang w:eastAsia="cs-CZ"/>
        </w:rPr>
        <w:t>plnění cílů programu</w:t>
      </w:r>
      <w:r w:rsidR="00CE0CB9">
        <w:rPr>
          <w:rFonts w:asciiTheme="majorHAnsi" w:hAnsiTheme="majorHAnsi" w:cstheme="majorHAnsi"/>
          <w:lang w:eastAsia="cs-CZ"/>
        </w:rPr>
        <w:t>,</w:t>
      </w:r>
      <w:r w:rsidRPr="00215E21">
        <w:rPr>
          <w:rFonts w:asciiTheme="majorHAnsi" w:hAnsiTheme="majorHAnsi" w:cstheme="majorHAnsi"/>
          <w:lang w:eastAsia="cs-CZ"/>
        </w:rPr>
        <w:t xml:space="preserve"> hodnocení pomocí</w:t>
      </w:r>
      <w:r>
        <w:rPr>
          <w:rFonts w:asciiTheme="majorHAnsi" w:hAnsiTheme="majorHAnsi" w:cstheme="majorHAnsi"/>
          <w:lang w:eastAsia="cs-CZ"/>
        </w:rPr>
        <w:t xml:space="preserve"> dosažených specifických cílů a </w:t>
      </w:r>
      <w:r w:rsidRPr="00215E21">
        <w:rPr>
          <w:rFonts w:asciiTheme="majorHAnsi" w:hAnsiTheme="majorHAnsi" w:cstheme="majorHAnsi"/>
          <w:lang w:eastAsia="cs-CZ"/>
        </w:rPr>
        <w:t>specifických priorit programu – byly splněny zejména vzhledem k interdisc</w:t>
      </w:r>
      <w:r>
        <w:rPr>
          <w:rFonts w:asciiTheme="majorHAnsi" w:hAnsiTheme="majorHAnsi" w:cstheme="majorHAnsi"/>
          <w:lang w:eastAsia="cs-CZ"/>
        </w:rPr>
        <w:t>iplinaritě podpořených projektů.</w:t>
      </w:r>
    </w:p>
    <w:p w14:paraId="216C66C6" w14:textId="72F58689" w:rsidR="009A7210" w:rsidRPr="009A7210" w:rsidRDefault="009A7210" w:rsidP="009A7210">
      <w:pPr>
        <w:jc w:val="both"/>
        <w:rPr>
          <w:rFonts w:asciiTheme="majorHAnsi" w:hAnsiTheme="majorHAnsi" w:cstheme="majorHAnsi"/>
          <w:lang w:eastAsia="cs-CZ"/>
        </w:rPr>
      </w:pPr>
      <w:r w:rsidRPr="009A7210">
        <w:rPr>
          <w:rFonts w:asciiTheme="majorHAnsi" w:hAnsiTheme="majorHAnsi" w:cstheme="majorHAnsi"/>
          <w:lang w:eastAsia="cs-CZ"/>
        </w:rPr>
        <w:t>Dle hod</w:t>
      </w:r>
      <w:r>
        <w:rPr>
          <w:rFonts w:asciiTheme="majorHAnsi" w:hAnsiTheme="majorHAnsi" w:cstheme="majorHAnsi"/>
          <w:lang w:eastAsia="cs-CZ"/>
        </w:rPr>
        <w:t>noty indikátoru programu</w:t>
      </w:r>
      <w:r w:rsidRPr="009A7210">
        <w:rPr>
          <w:rFonts w:asciiTheme="majorHAnsi" w:hAnsiTheme="majorHAnsi" w:cstheme="majorHAnsi"/>
          <w:lang w:eastAsia="cs-CZ"/>
        </w:rPr>
        <w:t xml:space="preserve"> měl být minimální počet celkem vybraných projektů 170, </w:t>
      </w:r>
      <w:r>
        <w:rPr>
          <w:rFonts w:asciiTheme="majorHAnsi" w:hAnsiTheme="majorHAnsi" w:cstheme="majorHAnsi"/>
          <w:lang w:eastAsia="cs-CZ"/>
        </w:rPr>
        <w:t xml:space="preserve">celkově bylo vybráno 156 projektů. </w:t>
      </w:r>
      <w:r w:rsidRPr="009A7210">
        <w:rPr>
          <w:rFonts w:asciiTheme="majorHAnsi" w:hAnsiTheme="majorHAnsi" w:cstheme="majorHAnsi"/>
          <w:lang w:eastAsia="cs-CZ"/>
        </w:rPr>
        <w:t>Tento indikátor neby</w:t>
      </w:r>
      <w:r w:rsidR="00354152">
        <w:rPr>
          <w:rFonts w:asciiTheme="majorHAnsi" w:hAnsiTheme="majorHAnsi" w:cstheme="majorHAnsi"/>
          <w:lang w:eastAsia="cs-CZ"/>
        </w:rPr>
        <w:t>l splněn o 14 projektů. Hlavním </w:t>
      </w:r>
      <w:r w:rsidRPr="009A7210">
        <w:rPr>
          <w:rFonts w:asciiTheme="majorHAnsi" w:hAnsiTheme="majorHAnsi" w:cstheme="majorHAnsi"/>
          <w:lang w:eastAsia="cs-CZ"/>
        </w:rPr>
        <w:t>důvodem bylo snížení původně schvá</w:t>
      </w:r>
      <w:r>
        <w:rPr>
          <w:rFonts w:asciiTheme="majorHAnsi" w:hAnsiTheme="majorHAnsi" w:cstheme="majorHAnsi"/>
          <w:lang w:eastAsia="cs-CZ"/>
        </w:rPr>
        <w:t>lených výdajů na program</w:t>
      </w:r>
      <w:r w:rsidRPr="009A7210">
        <w:rPr>
          <w:rFonts w:asciiTheme="majorHAnsi" w:hAnsiTheme="majorHAnsi" w:cstheme="majorHAnsi"/>
          <w:lang w:eastAsia="cs-CZ"/>
        </w:rPr>
        <w:t xml:space="preserve"> v průběhu jeho realizace</w:t>
      </w:r>
      <w:r>
        <w:rPr>
          <w:rFonts w:asciiTheme="majorHAnsi" w:hAnsiTheme="majorHAnsi" w:cstheme="majorHAnsi"/>
          <w:lang w:eastAsia="cs-CZ"/>
        </w:rPr>
        <w:t xml:space="preserve">. </w:t>
      </w:r>
      <w:r w:rsidRPr="009A7210">
        <w:rPr>
          <w:rFonts w:asciiTheme="majorHAnsi" w:hAnsiTheme="majorHAnsi" w:cstheme="majorHAnsi"/>
          <w:lang w:eastAsia="cs-CZ"/>
        </w:rPr>
        <w:t xml:space="preserve">Dalším důvodem, který v době </w:t>
      </w:r>
      <w:r>
        <w:rPr>
          <w:rFonts w:asciiTheme="majorHAnsi" w:hAnsiTheme="majorHAnsi" w:cstheme="majorHAnsi"/>
          <w:lang w:eastAsia="cs-CZ"/>
        </w:rPr>
        <w:t>přípravy návrhu programu</w:t>
      </w:r>
      <w:r w:rsidRPr="009A7210">
        <w:rPr>
          <w:rFonts w:asciiTheme="majorHAnsi" w:hAnsiTheme="majorHAnsi" w:cstheme="majorHAnsi"/>
          <w:lang w:eastAsia="cs-CZ"/>
        </w:rPr>
        <w:t xml:space="preserve"> v r</w:t>
      </w:r>
      <w:r w:rsidR="00F75770">
        <w:rPr>
          <w:rFonts w:asciiTheme="majorHAnsi" w:hAnsiTheme="majorHAnsi" w:cstheme="majorHAnsi"/>
          <w:lang w:eastAsia="cs-CZ"/>
        </w:rPr>
        <w:t>oce</w:t>
      </w:r>
      <w:r w:rsidRPr="009A7210">
        <w:rPr>
          <w:rFonts w:asciiTheme="majorHAnsi" w:hAnsiTheme="majorHAnsi" w:cstheme="majorHAnsi"/>
          <w:lang w:eastAsia="cs-CZ"/>
        </w:rPr>
        <w:t xml:space="preserve"> 2013 nebylo možné předvídat, byla míra inflace, která podle údajů Č</w:t>
      </w:r>
      <w:r w:rsidR="000F05BD">
        <w:rPr>
          <w:rFonts w:asciiTheme="majorHAnsi" w:hAnsiTheme="majorHAnsi" w:cstheme="majorHAnsi"/>
          <w:lang w:eastAsia="cs-CZ"/>
        </w:rPr>
        <w:t>eského statistického úřadu</w:t>
      </w:r>
      <w:r w:rsidRPr="009A7210">
        <w:rPr>
          <w:rFonts w:asciiTheme="majorHAnsi" w:hAnsiTheme="majorHAnsi" w:cstheme="majorHAnsi"/>
          <w:lang w:eastAsia="cs-CZ"/>
        </w:rPr>
        <w:t xml:space="preserve"> v letech řeš</w:t>
      </w:r>
      <w:r>
        <w:rPr>
          <w:rFonts w:asciiTheme="majorHAnsi" w:hAnsiTheme="majorHAnsi" w:cstheme="majorHAnsi"/>
          <w:lang w:eastAsia="cs-CZ"/>
        </w:rPr>
        <w:t>ení</w:t>
      </w:r>
      <w:r w:rsidR="00BD0830">
        <w:rPr>
          <w:rFonts w:asciiTheme="majorHAnsi" w:hAnsiTheme="majorHAnsi" w:cstheme="majorHAnsi"/>
          <w:lang w:eastAsia="cs-CZ"/>
        </w:rPr>
        <w:t xml:space="preserve"> </w:t>
      </w:r>
      <w:r w:rsidR="00F75770">
        <w:rPr>
          <w:rFonts w:asciiTheme="majorHAnsi" w:hAnsiTheme="majorHAnsi" w:cstheme="majorHAnsi"/>
          <w:lang w:eastAsia="cs-CZ"/>
        </w:rPr>
        <w:t>p</w:t>
      </w:r>
      <w:r w:rsidR="00BD0830">
        <w:rPr>
          <w:rFonts w:asciiTheme="majorHAnsi" w:hAnsiTheme="majorHAnsi" w:cstheme="majorHAnsi"/>
          <w:lang w:eastAsia="cs-CZ"/>
        </w:rPr>
        <w:t>rogramu</w:t>
      </w:r>
      <w:r>
        <w:rPr>
          <w:rFonts w:asciiTheme="majorHAnsi" w:hAnsiTheme="majorHAnsi" w:cstheme="majorHAnsi"/>
          <w:lang w:eastAsia="cs-CZ"/>
        </w:rPr>
        <w:t xml:space="preserve"> </w:t>
      </w:r>
      <w:r w:rsidRPr="009A7210">
        <w:rPr>
          <w:rFonts w:asciiTheme="majorHAnsi" w:hAnsiTheme="majorHAnsi" w:cstheme="majorHAnsi"/>
          <w:lang w:eastAsia="cs-CZ"/>
        </w:rPr>
        <w:t xml:space="preserve"> celkově dosáhla 30,2 %. Dle hodnoty indikátoru programu měl být minimální počet úspěšně ukončených projektů ce</w:t>
      </w:r>
      <w:r>
        <w:rPr>
          <w:rFonts w:asciiTheme="majorHAnsi" w:hAnsiTheme="majorHAnsi" w:cstheme="majorHAnsi"/>
          <w:lang w:eastAsia="cs-CZ"/>
        </w:rPr>
        <w:t xml:space="preserve">lkem 144. Celkem </w:t>
      </w:r>
      <w:r w:rsidR="00F75770">
        <w:rPr>
          <w:rFonts w:asciiTheme="majorHAnsi" w:hAnsiTheme="majorHAnsi" w:cstheme="majorHAnsi"/>
          <w:lang w:eastAsia="cs-CZ"/>
        </w:rPr>
        <w:t xml:space="preserve">Program </w:t>
      </w:r>
      <w:r w:rsidR="00455404" w:rsidRPr="004B5770">
        <w:t>NAKI II</w:t>
      </w:r>
      <w:r w:rsidR="00354152">
        <w:rPr>
          <w:rFonts w:asciiTheme="majorHAnsi" w:hAnsiTheme="majorHAnsi" w:cstheme="majorHAnsi"/>
          <w:lang w:eastAsia="cs-CZ"/>
        </w:rPr>
        <w:t xml:space="preserve"> úspěšně ukončilo 145 </w:t>
      </w:r>
      <w:r w:rsidRPr="009A7210">
        <w:rPr>
          <w:rFonts w:asciiTheme="majorHAnsi" w:hAnsiTheme="majorHAnsi" w:cstheme="majorHAnsi"/>
          <w:lang w:eastAsia="cs-CZ"/>
        </w:rPr>
        <w:t>projektů</w:t>
      </w:r>
      <w:r w:rsidR="0060385E">
        <w:rPr>
          <w:rFonts w:asciiTheme="majorHAnsi" w:hAnsiTheme="majorHAnsi" w:cstheme="majorHAnsi"/>
          <w:lang w:eastAsia="cs-CZ"/>
        </w:rPr>
        <w:t>,</w:t>
      </w:r>
      <w:r w:rsidR="0060385E" w:rsidRPr="0060385E">
        <w:rPr>
          <w:bCs/>
        </w:rPr>
        <w:t xml:space="preserve"> </w:t>
      </w:r>
      <w:r w:rsidR="0060385E" w:rsidRPr="005E46FD">
        <w:rPr>
          <w:bCs/>
        </w:rPr>
        <w:t>t</w:t>
      </w:r>
      <w:r w:rsidR="0060385E">
        <w:rPr>
          <w:bCs/>
        </w:rPr>
        <w:t>zn. úspěšnost v Programu NAKI II</w:t>
      </w:r>
      <w:r w:rsidR="0060385E" w:rsidRPr="005E46FD">
        <w:rPr>
          <w:bCs/>
        </w:rPr>
        <w:t xml:space="preserve"> je více než 93 %</w:t>
      </w:r>
      <w:r w:rsidRPr="009A7210">
        <w:rPr>
          <w:rFonts w:asciiTheme="majorHAnsi" w:hAnsiTheme="majorHAnsi" w:cstheme="majorHAnsi"/>
          <w:lang w:eastAsia="cs-CZ"/>
        </w:rPr>
        <w:t>. Tento indikátor byl splněn.</w:t>
      </w:r>
    </w:p>
    <w:p w14:paraId="35E012DA" w14:textId="6F5357CA" w:rsidR="00CF560D" w:rsidRDefault="00CF560D" w:rsidP="004513E2">
      <w:pPr>
        <w:pStyle w:val="Text"/>
        <w:keepNext w:val="0"/>
        <w:rPr>
          <w:i/>
          <w:szCs w:val="22"/>
          <w:highlight w:val="yellow"/>
        </w:rPr>
      </w:pPr>
    </w:p>
    <w:p w14:paraId="065F9FE8" w14:textId="77777777" w:rsidR="00CF560D" w:rsidRPr="00BB1CCB" w:rsidRDefault="00CF560D" w:rsidP="004513E2">
      <w:pPr>
        <w:pStyle w:val="Text"/>
        <w:keepNext w:val="0"/>
        <w:rPr>
          <w:i/>
          <w:szCs w:val="22"/>
          <w:highlight w:val="yellow"/>
        </w:rPr>
      </w:pPr>
    </w:p>
    <w:p w14:paraId="299A4CD2" w14:textId="7C336F5C" w:rsidR="0003646C" w:rsidRPr="005E46FD" w:rsidRDefault="00B81B2C" w:rsidP="00074213">
      <w:pPr>
        <w:pStyle w:val="Nadpis3"/>
      </w:pPr>
      <w:bookmarkStart w:id="9" w:name="_Toc176217902"/>
      <w:bookmarkStart w:id="10" w:name="_Toc182984795"/>
      <w:r w:rsidRPr="005E46FD">
        <w:lastRenderedPageBreak/>
        <w:t>Výsledky programu</w:t>
      </w:r>
      <w:bookmarkEnd w:id="9"/>
      <w:bookmarkEnd w:id="10"/>
    </w:p>
    <w:p w14:paraId="6161E19C" w14:textId="1470ECB7" w:rsidR="00BB1CCB" w:rsidRPr="00BB1CCB" w:rsidRDefault="009A7210" w:rsidP="00BB1CCB">
      <w:pPr>
        <w:pStyle w:val="Text"/>
        <w:keepNext w:val="0"/>
        <w:rPr>
          <w:bCs/>
          <w:szCs w:val="22"/>
        </w:rPr>
      </w:pPr>
      <w:r w:rsidRPr="005E46FD">
        <w:rPr>
          <w:bCs/>
          <w:szCs w:val="22"/>
        </w:rPr>
        <w:t>Z celkového počtu 3 547 výsledků bylo 1 040 aplikovaných výsledků, což je více než 29 % všech výsledk</w:t>
      </w:r>
      <w:r w:rsidR="005E46FD">
        <w:rPr>
          <w:bCs/>
          <w:szCs w:val="22"/>
        </w:rPr>
        <w:t>ů. V projektech programu</w:t>
      </w:r>
      <w:r w:rsidRPr="005E46FD">
        <w:rPr>
          <w:bCs/>
          <w:szCs w:val="22"/>
        </w:rPr>
        <w:t xml:space="preserve"> měli příjemci možnost uplatnit i publikační výsledky vzhledem k tomu, že v humanitních vědách je hranice mezi základním a aplikovaným výzkumem neostrá. Publikační výsledky mohli </w:t>
      </w:r>
      <w:r w:rsidR="00F01317">
        <w:rPr>
          <w:bCs/>
          <w:szCs w:val="22"/>
        </w:rPr>
        <w:t xml:space="preserve">řešitelé </w:t>
      </w:r>
      <w:r w:rsidRPr="005E46FD">
        <w:rPr>
          <w:bCs/>
          <w:szCs w:val="22"/>
        </w:rPr>
        <w:t>uplatnit při splnění dvou podmínek</w:t>
      </w:r>
      <w:r w:rsidR="00354152">
        <w:rPr>
          <w:bCs/>
          <w:szCs w:val="22"/>
        </w:rPr>
        <w:t>, kdy </w:t>
      </w:r>
      <w:r w:rsidR="000F05BD">
        <w:rPr>
          <w:bCs/>
          <w:szCs w:val="22"/>
        </w:rPr>
        <w:t xml:space="preserve">(i) </w:t>
      </w:r>
      <w:r w:rsidRPr="005E46FD">
        <w:rPr>
          <w:bCs/>
          <w:szCs w:val="22"/>
        </w:rPr>
        <w:t>výzkumné činnosti vedoucí k dosažení aplikovaných výsledků budou převažovat</w:t>
      </w:r>
      <w:r w:rsidR="00F01317">
        <w:rPr>
          <w:bCs/>
          <w:szCs w:val="22"/>
        </w:rPr>
        <w:t>,</w:t>
      </w:r>
      <w:r w:rsidR="00354152">
        <w:rPr>
          <w:bCs/>
          <w:szCs w:val="22"/>
        </w:rPr>
        <w:t xml:space="preserve"> a kdy </w:t>
      </w:r>
      <w:r w:rsidR="000F05BD">
        <w:rPr>
          <w:bCs/>
          <w:szCs w:val="22"/>
        </w:rPr>
        <w:t>(</w:t>
      </w:r>
      <w:proofErr w:type="spellStart"/>
      <w:r w:rsidR="000F05BD">
        <w:rPr>
          <w:bCs/>
          <w:szCs w:val="22"/>
        </w:rPr>
        <w:t>ii</w:t>
      </w:r>
      <w:proofErr w:type="spellEnd"/>
      <w:r w:rsidR="000F05BD">
        <w:rPr>
          <w:bCs/>
          <w:szCs w:val="22"/>
        </w:rPr>
        <w:t>)</w:t>
      </w:r>
      <w:r w:rsidRPr="005E46FD">
        <w:rPr>
          <w:bCs/>
          <w:szCs w:val="22"/>
        </w:rPr>
        <w:t xml:space="preserve"> na publikační výsledky naváží v rámci řešení projektu aplikované výsledky.</w:t>
      </w:r>
      <w:r w:rsidR="00F75770">
        <w:rPr>
          <w:bCs/>
          <w:szCs w:val="22"/>
        </w:rPr>
        <w:t xml:space="preserve"> Podrobně </w:t>
      </w:r>
      <w:proofErr w:type="gramStart"/>
      <w:r w:rsidR="00F75770">
        <w:rPr>
          <w:bCs/>
          <w:szCs w:val="22"/>
        </w:rPr>
        <w:t>jsou</w:t>
      </w:r>
      <w:proofErr w:type="gramEnd"/>
      <w:r w:rsidR="00F75770">
        <w:rPr>
          <w:bCs/>
          <w:szCs w:val="22"/>
        </w:rPr>
        <w:t xml:space="preserve"> výsledky programu </w:t>
      </w:r>
      <w:proofErr w:type="gramStart"/>
      <w:r w:rsidR="00F75770">
        <w:rPr>
          <w:bCs/>
          <w:szCs w:val="22"/>
        </w:rPr>
        <w:t>pospány</w:t>
      </w:r>
      <w:proofErr w:type="gramEnd"/>
      <w:r w:rsidR="00F75770">
        <w:rPr>
          <w:bCs/>
          <w:szCs w:val="22"/>
        </w:rPr>
        <w:t xml:space="preserve"> v Závěrečném hodnocení Programu NAKI II v kapitole 3.1. </w:t>
      </w:r>
      <w:r w:rsidR="00F75770" w:rsidRPr="00F75770">
        <w:rPr>
          <w:bCs/>
          <w:szCs w:val="22"/>
        </w:rPr>
        <w:t>Výsledky programu</w:t>
      </w:r>
      <w:r w:rsidR="00F75770">
        <w:rPr>
          <w:bCs/>
          <w:szCs w:val="22"/>
        </w:rPr>
        <w:t>.</w:t>
      </w:r>
    </w:p>
    <w:p w14:paraId="42F0E21A" w14:textId="44DFDF04" w:rsidR="0060385E" w:rsidRDefault="0060385E">
      <w:pPr>
        <w:rPr>
          <w:rFonts w:ascii="Arial" w:hAnsi="Arial" w:cs="Arial"/>
          <w:bCs/>
        </w:rPr>
      </w:pPr>
    </w:p>
    <w:p w14:paraId="58C526AA" w14:textId="75AE6E62" w:rsidR="00C20971" w:rsidRPr="0036754E" w:rsidRDefault="004D1094" w:rsidP="00074213">
      <w:pPr>
        <w:pStyle w:val="Nadpis3"/>
      </w:pPr>
      <w:bookmarkStart w:id="11" w:name="_Toc176217903"/>
      <w:bookmarkStart w:id="12" w:name="_Toc182984796"/>
      <w:r w:rsidRPr="0036754E">
        <w:t>Průběh programu</w:t>
      </w:r>
      <w:bookmarkEnd w:id="11"/>
      <w:bookmarkEnd w:id="12"/>
    </w:p>
    <w:p w14:paraId="75CD0393" w14:textId="1DB00338" w:rsidR="00F01317" w:rsidRDefault="00F01317" w:rsidP="00F01317">
      <w:pPr>
        <w:jc w:val="both"/>
        <w:rPr>
          <w:lang w:eastAsia="cs-CZ"/>
        </w:rPr>
      </w:pPr>
      <w:r w:rsidRPr="0036754E">
        <w:rPr>
          <w:lang w:eastAsia="cs-CZ"/>
        </w:rPr>
        <w:t>V rámci tří veřejných soutěží Programu</w:t>
      </w:r>
      <w:r w:rsidR="00455404">
        <w:rPr>
          <w:lang w:eastAsia="cs-CZ"/>
        </w:rPr>
        <w:t xml:space="preserve"> NAKI II</w:t>
      </w:r>
      <w:r w:rsidRPr="0036754E">
        <w:rPr>
          <w:lang w:eastAsia="cs-CZ"/>
        </w:rPr>
        <w:t xml:space="preserve"> na rok 20</w:t>
      </w:r>
      <w:r w:rsidR="00F75770">
        <w:rPr>
          <w:lang w:eastAsia="cs-CZ"/>
        </w:rPr>
        <w:t>16, 2018 a 2020 realizovaných v </w:t>
      </w:r>
      <w:r w:rsidRPr="0036754E">
        <w:rPr>
          <w:lang w:eastAsia="cs-CZ"/>
        </w:rPr>
        <w:t>letech 2015, 2017 a 2019</w:t>
      </w:r>
      <w:r w:rsidR="000E4570">
        <w:rPr>
          <w:lang w:eastAsia="cs-CZ"/>
        </w:rPr>
        <w:t xml:space="preserve"> (</w:t>
      </w:r>
      <w:r w:rsidR="00433166">
        <w:rPr>
          <w:lang w:eastAsia="cs-CZ"/>
        </w:rPr>
        <w:t>viz Příloha č. 1 Závěrečné zprávy Programu NAKI II</w:t>
      </w:r>
      <w:r w:rsidR="000E4570">
        <w:rPr>
          <w:lang w:eastAsia="cs-CZ"/>
        </w:rPr>
        <w:t>)</w:t>
      </w:r>
      <w:r w:rsidRPr="0036754E">
        <w:rPr>
          <w:lang w:eastAsia="cs-CZ"/>
        </w:rPr>
        <w:t>, bylo doručeno 581 návrhů projektů, z toho jich bylo hodnoceno 489 a podporu získalo 156 projektů. Dokončeno bylo 145 projektů, jejichž řešením vzniklo 3547 výsledků. Skutečná výše vynaložené podpory ze státního rozpočtu na přijaté závazky Programu</w:t>
      </w:r>
      <w:r w:rsidR="00455404">
        <w:rPr>
          <w:lang w:eastAsia="cs-CZ"/>
        </w:rPr>
        <w:t xml:space="preserve"> NAKI II</w:t>
      </w:r>
      <w:r w:rsidRPr="0036754E">
        <w:rPr>
          <w:lang w:eastAsia="cs-CZ"/>
        </w:rPr>
        <w:t xml:space="preserve"> byla v objemu 2 722 484 tis. Kč (rozdíl oproti schváleným výdajům státního rozpočtu v objemu +338 tis. Kč).</w:t>
      </w:r>
    </w:p>
    <w:p w14:paraId="0F78B989" w14:textId="1D269D6E" w:rsidR="0036754E" w:rsidRDefault="005E46FD" w:rsidP="005E46FD">
      <w:pPr>
        <w:jc w:val="both"/>
        <w:rPr>
          <w:lang w:eastAsia="cs-CZ"/>
        </w:rPr>
      </w:pPr>
      <w:r>
        <w:rPr>
          <w:lang w:eastAsia="cs-CZ"/>
        </w:rPr>
        <w:t>Program</w:t>
      </w:r>
      <w:r w:rsidR="00455404" w:rsidRPr="00455404">
        <w:t xml:space="preserve"> </w:t>
      </w:r>
      <w:r w:rsidR="00455404" w:rsidRPr="004B5770">
        <w:t>NAKI II</w:t>
      </w:r>
      <w:r>
        <w:rPr>
          <w:lang w:eastAsia="cs-CZ"/>
        </w:rPr>
        <w:t xml:space="preserve"> </w:t>
      </w:r>
      <w:r w:rsidRPr="005E46FD">
        <w:rPr>
          <w:lang w:eastAsia="cs-CZ"/>
        </w:rPr>
        <w:t xml:space="preserve">již od počátku akcentoval využití moderních technologií a podporu interaktivních projektů pracujících s těmito technologiemi. Došlo k digitalizaci řady významných dokumentů, knih, map a dalších unikátních výsledků, ale i k rozvoji softwarového vybavení tak, aby tato započatá digitalizace mohla pokračovat i mimo rámec daného projektu. </w:t>
      </w:r>
    </w:p>
    <w:p w14:paraId="023C1387" w14:textId="27766AAD" w:rsidR="005E46FD" w:rsidRDefault="005E46FD" w:rsidP="0036754E">
      <w:pPr>
        <w:jc w:val="both"/>
        <w:rPr>
          <w:lang w:eastAsia="cs-CZ"/>
        </w:rPr>
      </w:pPr>
      <w:r w:rsidRPr="005E46FD">
        <w:rPr>
          <w:lang w:eastAsia="cs-CZ"/>
        </w:rPr>
        <w:t>Byla vytvořena řada technologií, které pomohou chránit kulturn</w:t>
      </w:r>
      <w:r w:rsidR="000E4570">
        <w:rPr>
          <w:lang w:eastAsia="cs-CZ"/>
        </w:rPr>
        <w:t>í dědictví pro další generace a </w:t>
      </w:r>
      <w:r w:rsidRPr="005E46FD">
        <w:rPr>
          <w:lang w:eastAsia="cs-CZ"/>
        </w:rPr>
        <w:t>může se jednat o dědictví hmotné či nehmotné. Unikátní metodiky, mapy, postupy, patenty a další aplikované výsledky se neomezují jen na obecně známé problémy, ale řeší širokou škálu ochrany a zachování kulturního dědictví, ale i jeho prezentaci široké veřejnosti.</w:t>
      </w:r>
    </w:p>
    <w:p w14:paraId="5C5A1DF6" w14:textId="77777777" w:rsidR="0036754E" w:rsidRPr="0036754E" w:rsidRDefault="0036754E" w:rsidP="0036754E">
      <w:pPr>
        <w:jc w:val="both"/>
        <w:rPr>
          <w:lang w:eastAsia="cs-CZ"/>
        </w:rPr>
      </w:pPr>
    </w:p>
    <w:p w14:paraId="79734594" w14:textId="32D80CA3" w:rsidR="0003646C" w:rsidRPr="0036754E" w:rsidRDefault="00200E37" w:rsidP="00074213">
      <w:pPr>
        <w:pStyle w:val="Nadpis3"/>
      </w:pPr>
      <w:bookmarkStart w:id="13" w:name="_Toc176217904"/>
      <w:bookmarkStart w:id="14" w:name="_Toc182984797"/>
      <w:r w:rsidRPr="0036754E">
        <w:t>P</w:t>
      </w:r>
      <w:r w:rsidR="0045385C" w:rsidRPr="0036754E">
        <w:t>lánované výdaje a reálná podpora</w:t>
      </w:r>
      <w:bookmarkEnd w:id="13"/>
      <w:bookmarkEnd w:id="14"/>
    </w:p>
    <w:p w14:paraId="0D9A12BB" w14:textId="04E73AC1" w:rsidR="0036754E" w:rsidRDefault="0036754E" w:rsidP="003D4788">
      <w:pPr>
        <w:pStyle w:val="Text"/>
      </w:pPr>
      <w:r>
        <w:t>Původně schválený rozpočet Programu</w:t>
      </w:r>
      <w:r w:rsidR="00455404" w:rsidRPr="00455404">
        <w:rPr>
          <w:szCs w:val="22"/>
        </w:rPr>
        <w:t xml:space="preserve"> </w:t>
      </w:r>
      <w:r w:rsidR="00455404" w:rsidRPr="004B5770">
        <w:rPr>
          <w:szCs w:val="22"/>
        </w:rPr>
        <w:t>NAKI II</w:t>
      </w:r>
      <w:r>
        <w:t xml:space="preserve"> byl podle usnesení vlády ČR č. 11 ze dne 2.</w:t>
      </w:r>
      <w:r w:rsidR="00455404">
        <w:t> </w:t>
      </w:r>
      <w:r>
        <w:t xml:space="preserve">ledna 2014 v celkovém objemu výdajů 2 856 681 tis. Kč na léta 2016-2022. První výrazné snížení o celkem 79 900 tis. Kč pro léta 2018 a 2019 proběhlo v r. 2018 z důvodu opatření vlády na zajištění jiných výdajových priorit. RVVI částečně kompenzovala toto snížení navýšením výdajů Programu </w:t>
      </w:r>
      <w:r w:rsidR="00455404" w:rsidRPr="004B5770">
        <w:rPr>
          <w:szCs w:val="22"/>
        </w:rPr>
        <w:t>NAKI II</w:t>
      </w:r>
      <w:r w:rsidR="00455404">
        <w:t xml:space="preserve"> </w:t>
      </w:r>
      <w:r>
        <w:t xml:space="preserve">v r. 2020 o 60 000 tis. Kč. </w:t>
      </w:r>
    </w:p>
    <w:p w14:paraId="3D4CCDA6" w14:textId="0461587D" w:rsidR="0036754E" w:rsidRDefault="0036754E" w:rsidP="003D4788">
      <w:pPr>
        <w:pStyle w:val="Text"/>
      </w:pPr>
      <w:r>
        <w:t xml:space="preserve">Ke druhému snížení výdajů Programu </w:t>
      </w:r>
      <w:r w:rsidR="000E4570" w:rsidRPr="004B5770">
        <w:rPr>
          <w:szCs w:val="22"/>
        </w:rPr>
        <w:t>NAKI II</w:t>
      </w:r>
      <w:r w:rsidR="000E4570">
        <w:t xml:space="preserve"> </w:t>
      </w:r>
      <w:r>
        <w:t xml:space="preserve">došlo v r. 2020 dle výsledků poslední veřejné soutěže k tomuto programu, kdy nealokované zdroje let 2021 (33 000 tis. Kč) a 2022 (66 000 tis. Kč) byly převedeny se souhlasem vlády do institucionálních výdajů na dlouhodobý koncepční rozvoj výzkumných </w:t>
      </w:r>
      <w:r w:rsidRPr="0036754E">
        <w:t xml:space="preserve">organizací zřizovaných Ministerstvem kultury a část prostředků roku 2022 v objemu 14 000 tis. Kč byla dána RVVI k dispozici pro přerozdělení jiným poskytovatelům. Jejich využití v rámci výdajů programu na další veřejnou soutěž ve dvou </w:t>
      </w:r>
      <w:r w:rsidRPr="0036754E">
        <w:lastRenderedPageBreak/>
        <w:t xml:space="preserve">letech 2021 a 2022 již nebylo objektivně </w:t>
      </w:r>
      <w:r>
        <w:t>možné, neboť jednou z podmínek Programu</w:t>
      </w:r>
      <w:r w:rsidR="00455404" w:rsidRPr="00455404">
        <w:rPr>
          <w:szCs w:val="22"/>
        </w:rPr>
        <w:t xml:space="preserve"> </w:t>
      </w:r>
      <w:r w:rsidR="00455404" w:rsidRPr="004B5770">
        <w:rPr>
          <w:szCs w:val="22"/>
        </w:rPr>
        <w:t>NAKI II</w:t>
      </w:r>
      <w:r w:rsidRPr="0036754E">
        <w:t xml:space="preserve"> byla doba trvání projektů na 3-5 let. </w:t>
      </w:r>
    </w:p>
    <w:p w14:paraId="587E3C1E" w14:textId="2FBB18AF" w:rsidR="006E0A61" w:rsidRDefault="0036754E" w:rsidP="003D4788">
      <w:pPr>
        <w:pStyle w:val="Text"/>
      </w:pPr>
      <w:r w:rsidRPr="0036754E">
        <w:t>Celkově byly půvo</w:t>
      </w:r>
      <w:r>
        <w:t>dně schválené výdaje Programu</w:t>
      </w:r>
      <w:r w:rsidR="00455404" w:rsidRPr="00455404">
        <w:rPr>
          <w:szCs w:val="22"/>
        </w:rPr>
        <w:t xml:space="preserve"> </w:t>
      </w:r>
      <w:r w:rsidR="00455404" w:rsidRPr="004B5770">
        <w:rPr>
          <w:szCs w:val="22"/>
        </w:rPr>
        <w:t>NAKI II</w:t>
      </w:r>
      <w:r w:rsidRPr="0036754E">
        <w:t xml:space="preserve"> ve výši 2 856 681 tis. Kč sníženy na 2 722 146 tis. Kč, tj. o 134 535 tis. Kč (4,7%).</w:t>
      </w:r>
      <w:r>
        <w:t xml:space="preserve"> </w:t>
      </w:r>
    </w:p>
    <w:p w14:paraId="56080DF7" w14:textId="77777777" w:rsidR="005522FA" w:rsidRPr="00784AE7" w:rsidRDefault="005522FA" w:rsidP="00200E37">
      <w:pPr>
        <w:pStyle w:val="Text"/>
        <w:keepNext w:val="0"/>
        <w:rPr>
          <w:highlight w:val="yellow"/>
        </w:rPr>
      </w:pPr>
    </w:p>
    <w:p w14:paraId="5433E62B" w14:textId="630CEFFC" w:rsidR="0003646C" w:rsidRPr="00F831AE" w:rsidRDefault="0045385C" w:rsidP="00074213">
      <w:pPr>
        <w:pStyle w:val="Nadpis3"/>
      </w:pPr>
      <w:bookmarkStart w:id="15" w:name="_Toc176217905"/>
      <w:bookmarkStart w:id="16" w:name="_Toc182984798"/>
      <w:r w:rsidRPr="00F831AE">
        <w:t>Přínosy program</w:t>
      </w:r>
      <w:r w:rsidR="00976D0A" w:rsidRPr="00F831AE">
        <w:t>u</w:t>
      </w:r>
      <w:bookmarkEnd w:id="15"/>
      <w:bookmarkEnd w:id="16"/>
    </w:p>
    <w:p w14:paraId="5E6ACEE5" w14:textId="6712EC06" w:rsidR="00F831AE" w:rsidRPr="00F831AE" w:rsidRDefault="00F831AE" w:rsidP="00731122">
      <w:pPr>
        <w:pStyle w:val="Text"/>
        <w:keepNext w:val="0"/>
      </w:pPr>
      <w:r w:rsidRPr="00F831AE">
        <w:t>Program</w:t>
      </w:r>
      <w:r w:rsidR="00455404" w:rsidRPr="00455404">
        <w:rPr>
          <w:szCs w:val="22"/>
        </w:rPr>
        <w:t xml:space="preserve"> </w:t>
      </w:r>
      <w:r w:rsidR="00455404" w:rsidRPr="004B5770">
        <w:rPr>
          <w:szCs w:val="22"/>
        </w:rPr>
        <w:t>NAKI II</w:t>
      </w:r>
      <w:r w:rsidRPr="00F831AE">
        <w:t xml:space="preserve"> řešil komplexní problematiku kulturního dědictví a národní a kulturní identity, obsáhl výzkum dědictví hmotného i nehmotného a tyto výzkumné aktivity realizoval jako různé druhy výsledků</w:t>
      </w:r>
      <w:r w:rsidR="00433166">
        <w:t xml:space="preserve"> -</w:t>
      </w:r>
      <w:r w:rsidRPr="00F831AE">
        <w:t xml:space="preserve"> od patentů, přes databáze, softwarová řešení, výstavy či metodiky.</w:t>
      </w:r>
    </w:p>
    <w:p w14:paraId="66DB881F" w14:textId="1B8DF31F" w:rsidR="00F831AE" w:rsidRPr="00F831AE" w:rsidRDefault="00F831AE" w:rsidP="00731122">
      <w:pPr>
        <w:pStyle w:val="Text"/>
        <w:keepNext w:val="0"/>
      </w:pPr>
      <w:r w:rsidRPr="00F831AE">
        <w:t>Všechny projekty se přihlásily ke specifickým cílům Programu</w:t>
      </w:r>
      <w:r w:rsidR="00455404" w:rsidRPr="00455404">
        <w:rPr>
          <w:szCs w:val="22"/>
        </w:rPr>
        <w:t xml:space="preserve"> </w:t>
      </w:r>
      <w:r w:rsidR="00455404" w:rsidRPr="004B5770">
        <w:rPr>
          <w:szCs w:val="22"/>
        </w:rPr>
        <w:t>NAKI II</w:t>
      </w:r>
      <w:r w:rsidRPr="00F831AE">
        <w:t xml:space="preserve"> a během procesu hodnocení bylo posuzováno i naplnění těchto cílů. Skrze specifické cíle Programu</w:t>
      </w:r>
      <w:r w:rsidR="00455404">
        <w:t xml:space="preserve"> </w:t>
      </w:r>
      <w:r w:rsidR="00455404" w:rsidRPr="004B5770">
        <w:rPr>
          <w:szCs w:val="22"/>
        </w:rPr>
        <w:t>NAKI II</w:t>
      </w:r>
      <w:r w:rsidRPr="00F831AE">
        <w:t xml:space="preserve"> pak byly naplňovány i jednotlivé prioritní dílčí cíle </w:t>
      </w:r>
      <w:r w:rsidR="007521A0">
        <w:t>NPOV</w:t>
      </w:r>
      <w:r w:rsidRPr="00F831AE">
        <w:t xml:space="preserve">. Stejně jako v případě </w:t>
      </w:r>
      <w:r w:rsidR="007521A0">
        <w:t>NPOV</w:t>
      </w:r>
      <w:r w:rsidRPr="00F831AE">
        <w:t>, poměr globálního cíle s názvem Národní identita vůči globálnímu cíli Kulturní dědictví je</w:t>
      </w:r>
      <w:r w:rsidR="00455404">
        <w:t xml:space="preserve"> </w:t>
      </w:r>
      <w:r w:rsidRPr="00F831AE">
        <w:t>87</w:t>
      </w:r>
      <w:r w:rsidR="00433166">
        <w:t> </w:t>
      </w:r>
      <w:r w:rsidRPr="00F831AE">
        <w:t>identifikovaných specifických cílů v Národní identitě vůči 225 identifikovaným specifickým cílům v Kulturním dědictví.</w:t>
      </w:r>
    </w:p>
    <w:p w14:paraId="5D771906" w14:textId="3C1FFE04" w:rsidR="00F831AE" w:rsidRPr="00F831AE" w:rsidRDefault="00F831AE" w:rsidP="00731122">
      <w:pPr>
        <w:pStyle w:val="Text"/>
        <w:keepNext w:val="0"/>
      </w:pPr>
      <w:r w:rsidRPr="00F831AE">
        <w:t xml:space="preserve">Nejvíce zastoupeným specifickým cílem globálního cíle </w:t>
      </w:r>
      <w:r w:rsidRPr="003A5578">
        <w:t>Kulturní dědictví je</w:t>
      </w:r>
      <w:r w:rsidRPr="003A5578">
        <w:rPr>
          <w:i/>
        </w:rPr>
        <w:t xml:space="preserve"> Výzkum a jeho uplatnění - kulturní dědictví a území s historickými hodnotami</w:t>
      </w:r>
      <w:r w:rsidRPr="00F831AE">
        <w:t xml:space="preserve"> s</w:t>
      </w:r>
      <w:r w:rsidR="007521A0">
        <w:t xml:space="preserve"> celkem 100 projekty, které </w:t>
      </w:r>
      <w:r w:rsidRPr="00F831AE">
        <w:t>tento specifický cíl naplňovaly. Následují specifické cíle Programu</w:t>
      </w:r>
      <w:r w:rsidR="00455404" w:rsidRPr="00455404">
        <w:rPr>
          <w:szCs w:val="22"/>
        </w:rPr>
        <w:t xml:space="preserve"> </w:t>
      </w:r>
      <w:r w:rsidR="00455404" w:rsidRPr="004B5770">
        <w:rPr>
          <w:szCs w:val="22"/>
        </w:rPr>
        <w:t>NAKI II</w:t>
      </w:r>
      <w:r w:rsidRPr="00F831AE">
        <w:t xml:space="preserve"> - </w:t>
      </w:r>
      <w:r w:rsidRPr="003A5578">
        <w:rPr>
          <w:i/>
        </w:rPr>
        <w:t>Technologie a postupy pro ochranu kulturního dědictví</w:t>
      </w:r>
      <w:r w:rsidRPr="00F831AE">
        <w:t xml:space="preserve"> se 73 projekty; </w:t>
      </w:r>
      <w:r w:rsidRPr="003A5578">
        <w:rPr>
          <w:i/>
        </w:rPr>
        <w:t xml:space="preserve">Kulturní dědictví, vzdělávání a média </w:t>
      </w:r>
      <w:r w:rsidRPr="003A5578">
        <w:t>a</w:t>
      </w:r>
      <w:r w:rsidRPr="003A5578">
        <w:rPr>
          <w:i/>
        </w:rPr>
        <w:t xml:space="preserve"> Výzkum a jeho uplatnění - historické vědní obory a archeologie</w:t>
      </w:r>
      <w:r w:rsidRPr="00F831AE">
        <w:t xml:space="preserve"> s 52, respektive 51 projekty a jako nejméně zastoupené specifické cíle </w:t>
      </w:r>
      <w:r w:rsidR="003A5578">
        <w:t>byly</w:t>
      </w:r>
      <w:r w:rsidRPr="00F831AE">
        <w:t xml:space="preserve"> </w:t>
      </w:r>
      <w:r w:rsidRPr="003A5578">
        <w:rPr>
          <w:i/>
        </w:rPr>
        <w:t>Vý</w:t>
      </w:r>
      <w:r w:rsidR="007521A0" w:rsidRPr="003A5578">
        <w:rPr>
          <w:i/>
        </w:rPr>
        <w:t>zkum a jeho uplatnění - jazyk a </w:t>
      </w:r>
      <w:r w:rsidRPr="003A5578">
        <w:rPr>
          <w:i/>
        </w:rPr>
        <w:t>literatura</w:t>
      </w:r>
      <w:r w:rsidRPr="00F831AE">
        <w:t xml:space="preserve"> (16 projektů) a </w:t>
      </w:r>
      <w:r w:rsidRPr="003A5578">
        <w:rPr>
          <w:i/>
        </w:rPr>
        <w:t>Výzkum a jeho uplatnění - umělecká tvorba</w:t>
      </w:r>
      <w:r w:rsidRPr="00F831AE">
        <w:t xml:space="preserve"> (15 projektů), které tyto specifické cíle naplnily.</w:t>
      </w:r>
    </w:p>
    <w:p w14:paraId="4B4B8B20" w14:textId="58A3E28C" w:rsidR="00373971" w:rsidRPr="00F831AE" w:rsidRDefault="00731122" w:rsidP="00731122">
      <w:pPr>
        <w:pStyle w:val="Text"/>
        <w:keepNext w:val="0"/>
      </w:pPr>
      <w:r w:rsidRPr="00F831AE">
        <w:t>Hodnocení Programu</w:t>
      </w:r>
      <w:r w:rsidR="00455404" w:rsidRPr="00455404">
        <w:rPr>
          <w:szCs w:val="22"/>
        </w:rPr>
        <w:t xml:space="preserve"> </w:t>
      </w:r>
      <w:r w:rsidR="00455404" w:rsidRPr="004B5770">
        <w:rPr>
          <w:szCs w:val="22"/>
        </w:rPr>
        <w:t>NAKI II</w:t>
      </w:r>
      <w:r w:rsidRPr="00F831AE">
        <w:t xml:space="preserve"> </w:t>
      </w:r>
      <w:r w:rsidR="007521A0">
        <w:t xml:space="preserve">je </w:t>
      </w:r>
      <w:r w:rsidRPr="00F831AE">
        <w:t>reprezentováno 21 indikátory, které zahrnují indikátory realizace programu, indikátory výsledků programu a indikátory splnění cílů programu. Z těchto 21 indikátorů bylo přímo naplněno 18, tedy více než 85 % všech indikátorů. Většina indikátorů tedy byla splněna (některé výrazně překročeny)</w:t>
      </w:r>
      <w:r w:rsidR="00F831AE" w:rsidRPr="00F831AE">
        <w:t xml:space="preserve">. Dle </w:t>
      </w:r>
      <w:r w:rsidR="003A5578">
        <w:t>Z</w:t>
      </w:r>
      <w:r w:rsidR="00F831AE" w:rsidRPr="00F831AE">
        <w:t xml:space="preserve">ávěrečného hodnocení </w:t>
      </w:r>
      <w:r w:rsidR="003A5578">
        <w:t>P</w:t>
      </w:r>
      <w:r w:rsidR="007521A0">
        <w:t>rogramu</w:t>
      </w:r>
      <w:r w:rsidR="003A5578">
        <w:t xml:space="preserve"> NAKI II byl</w:t>
      </w:r>
      <w:r w:rsidR="007521A0">
        <w:t xml:space="preserve"> </w:t>
      </w:r>
      <w:r w:rsidR="00F831AE" w:rsidRPr="00F831AE">
        <w:t>z</w:t>
      </w:r>
      <w:r w:rsidR="007521A0">
        <w:t> </w:t>
      </w:r>
      <w:r w:rsidRPr="00F831AE">
        <w:t>pohledu plnění in</w:t>
      </w:r>
      <w:r w:rsidR="00F831AE" w:rsidRPr="00F831AE">
        <w:t>dikátorů P</w:t>
      </w:r>
      <w:r w:rsidRPr="00F831AE">
        <w:t>rogram</w:t>
      </w:r>
      <w:r w:rsidR="00455404" w:rsidRPr="00455404">
        <w:rPr>
          <w:szCs w:val="22"/>
        </w:rPr>
        <w:t xml:space="preserve"> </w:t>
      </w:r>
      <w:r w:rsidR="00455404" w:rsidRPr="004B5770">
        <w:rPr>
          <w:szCs w:val="22"/>
        </w:rPr>
        <w:t>NAKI II</w:t>
      </w:r>
      <w:r w:rsidRPr="00F831AE">
        <w:t xml:space="preserve"> jednoznačně úspěšný. Nepodařilo se naplnit pouze tři indikátory. Indikátor počtu podpořených projektů nebyl naplněn z důvodů krácení finanč</w:t>
      </w:r>
      <w:r w:rsidR="00F831AE" w:rsidRPr="00F831AE">
        <w:t>ních prostředků Programu</w:t>
      </w:r>
      <w:r w:rsidR="00455404" w:rsidRPr="00455404">
        <w:rPr>
          <w:szCs w:val="22"/>
        </w:rPr>
        <w:t xml:space="preserve"> </w:t>
      </w:r>
      <w:r w:rsidR="00455404" w:rsidRPr="004B5770">
        <w:rPr>
          <w:szCs w:val="22"/>
        </w:rPr>
        <w:t>NAKI II</w:t>
      </w:r>
      <w:r w:rsidRPr="00F831AE">
        <w:t>. Zbývající dva indikátory, které nebyly naplněny, je</w:t>
      </w:r>
      <w:r w:rsidR="007521A0">
        <w:t> </w:t>
      </w:r>
      <w:r w:rsidRPr="00F831AE">
        <w:t>počet článků v odborném periodiku a návazně na to indikátor počet ved</w:t>
      </w:r>
      <w:r w:rsidR="00F831AE" w:rsidRPr="00F831AE">
        <w:t>lejších výsledků Programu</w:t>
      </w:r>
      <w:r w:rsidR="00455404" w:rsidRPr="00455404">
        <w:rPr>
          <w:szCs w:val="22"/>
        </w:rPr>
        <w:t xml:space="preserve"> </w:t>
      </w:r>
      <w:r w:rsidR="00455404" w:rsidRPr="004B5770">
        <w:rPr>
          <w:szCs w:val="22"/>
        </w:rPr>
        <w:t>NAKI II</w:t>
      </w:r>
      <w:r w:rsidR="00F831AE" w:rsidRPr="00F831AE">
        <w:t>. Jako celek Program</w:t>
      </w:r>
      <w:r w:rsidR="00455404" w:rsidRPr="00455404">
        <w:rPr>
          <w:szCs w:val="22"/>
        </w:rPr>
        <w:t xml:space="preserve"> </w:t>
      </w:r>
      <w:r w:rsidR="00455404" w:rsidRPr="004B5770">
        <w:rPr>
          <w:szCs w:val="22"/>
        </w:rPr>
        <w:t>NAKI II</w:t>
      </w:r>
      <w:r w:rsidR="00F831AE" w:rsidRPr="00F831AE">
        <w:t xml:space="preserve"> </w:t>
      </w:r>
      <w:r w:rsidRPr="00F831AE">
        <w:t>naplnil stanovené cíle.</w:t>
      </w:r>
      <w:r w:rsidR="00090F72" w:rsidRPr="00F831AE">
        <w:t xml:space="preserve"> </w:t>
      </w:r>
    </w:p>
    <w:p w14:paraId="5ECA56C6" w14:textId="6B95DC11" w:rsidR="00F831AE" w:rsidRPr="00F831AE" w:rsidRDefault="007521A0" w:rsidP="00731122">
      <w:pPr>
        <w:pStyle w:val="Text"/>
        <w:keepNext w:val="0"/>
      </w:pPr>
      <w:r>
        <w:t>Závěrečné</w:t>
      </w:r>
      <w:r w:rsidR="00F831AE" w:rsidRPr="00F831AE">
        <w:t xml:space="preserve"> </w:t>
      </w:r>
      <w:r>
        <w:t xml:space="preserve">hodnocení </w:t>
      </w:r>
      <w:r w:rsidR="003A5578">
        <w:t>P</w:t>
      </w:r>
      <w:r>
        <w:t>rogramu</w:t>
      </w:r>
      <w:r w:rsidR="003A5578">
        <w:t xml:space="preserve"> NAKI II</w:t>
      </w:r>
      <w:r w:rsidR="00F831AE" w:rsidRPr="00F831AE">
        <w:t xml:space="preserve"> konstatuje, že Program</w:t>
      </w:r>
      <w:r w:rsidR="00455404" w:rsidRPr="00455404">
        <w:rPr>
          <w:szCs w:val="22"/>
        </w:rPr>
        <w:t xml:space="preserve"> </w:t>
      </w:r>
      <w:r w:rsidR="00455404" w:rsidRPr="004B5770">
        <w:rPr>
          <w:szCs w:val="22"/>
        </w:rPr>
        <w:t>NAKI II</w:t>
      </w:r>
      <w:r w:rsidR="00F831AE" w:rsidRPr="00F831AE">
        <w:t xml:space="preserve"> a jeho výsledky jsou významným zdrojem rozvoje a podpory kulturních a kreativních odvětví. Podle údajů Strategie rozvoje a podpory kulturních a kreativních odvětví tvoří výzkum a vývoj 22 % všech národních zdrojů a v rámci výzkumu a vývoje zcela dominují projekty Programu</w:t>
      </w:r>
      <w:r w:rsidR="00455404" w:rsidRPr="00455404">
        <w:rPr>
          <w:szCs w:val="22"/>
        </w:rPr>
        <w:t xml:space="preserve"> </w:t>
      </w:r>
      <w:r w:rsidR="00455404" w:rsidRPr="004B5770">
        <w:rPr>
          <w:szCs w:val="22"/>
        </w:rPr>
        <w:t>NAKI II</w:t>
      </w:r>
      <w:r w:rsidR="00F831AE" w:rsidRPr="00F831AE">
        <w:t>, ve kterém byly kulturní a kreativní odvětví horizontální prioritou. U více než poloviny (cca u 60 %) projektů bylo identifikováno využití jejich výsledků pro rozvoj těchto ekonomicky významných odvětví. I tyto údaje dokládají úzkou spolupráci s aplikační sférou a nepřímé ekonomické dopady Programu</w:t>
      </w:r>
      <w:r>
        <w:t xml:space="preserve"> </w:t>
      </w:r>
      <w:r w:rsidRPr="004B5770">
        <w:rPr>
          <w:szCs w:val="22"/>
        </w:rPr>
        <w:t>NAKI II</w:t>
      </w:r>
      <w:r w:rsidR="00F831AE" w:rsidRPr="00F831AE">
        <w:t>.</w:t>
      </w:r>
    </w:p>
    <w:p w14:paraId="096E65B2" w14:textId="77777777" w:rsidR="00373971" w:rsidRPr="00784AE7" w:rsidRDefault="00373971" w:rsidP="00373971">
      <w:pPr>
        <w:pStyle w:val="Text"/>
        <w:rPr>
          <w:highlight w:val="yellow"/>
        </w:rPr>
      </w:pPr>
    </w:p>
    <w:p w14:paraId="0D4F454B" w14:textId="77777777" w:rsidR="0003646C" w:rsidRPr="00784AE7" w:rsidRDefault="0003646C" w:rsidP="0003646C">
      <w:pPr>
        <w:pStyle w:val="Odrka"/>
        <w:ind w:left="720" w:hanging="360"/>
        <w:rPr>
          <w:highlight w:val="yellow"/>
        </w:rPr>
        <w:sectPr w:rsidR="0003646C" w:rsidRPr="00784AE7" w:rsidSect="00017F77">
          <w:headerReference w:type="default" r:id="rId10"/>
          <w:headerReference w:type="first" r:id="rId11"/>
          <w:pgSz w:w="11906" w:h="16840"/>
          <w:pgMar w:top="1417" w:right="1417" w:bottom="1417" w:left="1417" w:header="708" w:footer="708" w:gutter="0"/>
          <w:cols w:space="708"/>
          <w:titlePg/>
          <w:docGrid w:linePitch="360"/>
        </w:sectPr>
      </w:pPr>
    </w:p>
    <w:p w14:paraId="2B63D1CB" w14:textId="2C0BA723" w:rsidR="004F7146" w:rsidRPr="00A346B4" w:rsidRDefault="00F43183" w:rsidP="0068015C">
      <w:pPr>
        <w:pStyle w:val="Nadpis2"/>
      </w:pPr>
      <w:bookmarkStart w:id="17" w:name="_Toc137546534"/>
      <w:bookmarkStart w:id="18" w:name="_Toc182984799"/>
      <w:r w:rsidRPr="00A346B4">
        <w:lastRenderedPageBreak/>
        <w:t xml:space="preserve">Program „Rozvoj ozbrojených sil České republiky“ </w:t>
      </w:r>
      <w:r w:rsidR="00A346B4">
        <w:t xml:space="preserve">(2015 </w:t>
      </w:r>
      <w:r w:rsidR="00A346B4">
        <w:noBreakHyphen/>
        <w:t xml:space="preserve"> </w:t>
      </w:r>
      <w:r w:rsidRPr="00A346B4">
        <w:t>2022)</w:t>
      </w:r>
      <w:bookmarkEnd w:id="18"/>
      <w:r w:rsidRPr="00A346B4">
        <w:t xml:space="preserve"> </w:t>
      </w:r>
      <w:bookmarkEnd w:id="17"/>
    </w:p>
    <w:p w14:paraId="28336C70" w14:textId="7C6F8422" w:rsidR="00A346B4" w:rsidRPr="00A346B4" w:rsidRDefault="00A346B4" w:rsidP="00A346B4">
      <w:pPr>
        <w:pStyle w:val="Text"/>
        <w:rPr>
          <w:highlight w:val="yellow"/>
        </w:rPr>
      </w:pPr>
      <w:r w:rsidRPr="00A346B4">
        <w:t>Program</w:t>
      </w:r>
      <w:r w:rsidR="003F5B3F">
        <w:t xml:space="preserve"> MO</w:t>
      </w:r>
      <w:r w:rsidRPr="00A346B4">
        <w:t xml:space="preserve"> (identifikační kód „OW“) </w:t>
      </w:r>
      <w:r>
        <w:t xml:space="preserve">byl schválen </w:t>
      </w:r>
      <w:r w:rsidRPr="00A346B4">
        <w:t>Usnesením vlád</w:t>
      </w:r>
      <w:r>
        <w:t>y ČR</w:t>
      </w:r>
      <w:r w:rsidRPr="00A346B4">
        <w:t xml:space="preserve"> č. 753 ze dne </w:t>
      </w:r>
      <w:proofErr w:type="gramStart"/>
      <w:r w:rsidRPr="00A346B4">
        <w:t>2.10.2013</w:t>
      </w:r>
      <w:proofErr w:type="gramEnd"/>
      <w:r w:rsidRPr="00A346B4">
        <w:t xml:space="preserve"> s plánovaným rozpočtem 1 733 000 tis. Kč.</w:t>
      </w:r>
    </w:p>
    <w:p w14:paraId="663C87C2" w14:textId="2EA4C025" w:rsidR="00A346B4" w:rsidRPr="00A346B4" w:rsidRDefault="00A346B4" w:rsidP="009C5343">
      <w:pPr>
        <w:pStyle w:val="Text"/>
      </w:pPr>
      <w:r w:rsidRPr="00A346B4">
        <w:t>Poskytovatel: Ministerstvo obrany</w:t>
      </w:r>
      <w:r>
        <w:t>.</w:t>
      </w:r>
    </w:p>
    <w:p w14:paraId="4547AEA2" w14:textId="67074670" w:rsidR="00A346B4" w:rsidRPr="00BF5692" w:rsidRDefault="00BF5692" w:rsidP="009C5343">
      <w:pPr>
        <w:pStyle w:val="Text"/>
      </w:pPr>
      <w:r w:rsidRPr="00BF5692">
        <w:t xml:space="preserve">Program </w:t>
      </w:r>
      <w:r w:rsidR="003F5B3F">
        <w:t xml:space="preserve">MO </w:t>
      </w:r>
      <w:r w:rsidRPr="00BF5692">
        <w:t>byl zaměřen na podporu plnění úkolů Minist</w:t>
      </w:r>
      <w:r w:rsidR="004D5B31">
        <w:t>erstva obrany v </w:t>
      </w:r>
      <w:r w:rsidRPr="00BF5692">
        <w:t>oblasti zabezpečení obranyschopnosti a bezpečnosti státu a realizace závazků vyplývajících z členství České republiky (dále jen „ČR“) v NATO a EU a z dílčích cílů formulovaných v </w:t>
      </w:r>
      <w:r w:rsidR="003F5B3F">
        <w:t>NPOV</w:t>
      </w:r>
      <w:r w:rsidRPr="00BF5692">
        <w:t xml:space="preserve">. </w:t>
      </w:r>
      <w:r w:rsidR="00112CA6">
        <w:t>Ve svém obsahu navazoval</w:t>
      </w:r>
      <w:r w:rsidRPr="00BF5692">
        <w:t xml:space="preserve"> na cíle dosažené v předchozích pr</w:t>
      </w:r>
      <w:r w:rsidR="003F5B3F">
        <w:t>ogramech MO a </w:t>
      </w:r>
      <w:r w:rsidRPr="00BF5692">
        <w:t>rozvíjel</w:t>
      </w:r>
      <w:r w:rsidR="00367F94">
        <w:t xml:space="preserve"> oblasti, které bylo potřeba řešit v následném </w:t>
      </w:r>
      <w:r w:rsidR="00367F94" w:rsidRPr="00367F94">
        <w:t>programu</w:t>
      </w:r>
      <w:r w:rsidRPr="00367F94">
        <w:t>.</w:t>
      </w:r>
      <w:r w:rsidRPr="00BF5692">
        <w:t xml:space="preserve"> </w:t>
      </w:r>
    </w:p>
    <w:p w14:paraId="45D8BBC2" w14:textId="7B84D40A" w:rsidR="009C5343" w:rsidRPr="00784AE7" w:rsidRDefault="009C5343" w:rsidP="00A150BC">
      <w:pPr>
        <w:pStyle w:val="Text"/>
        <w:keepNext w:val="0"/>
        <w:rPr>
          <w:highlight w:val="yellow"/>
        </w:rPr>
      </w:pPr>
    </w:p>
    <w:p w14:paraId="0AE32B57" w14:textId="356C12A3" w:rsidR="0053119B" w:rsidRPr="00B456EA" w:rsidRDefault="0053119B" w:rsidP="00D24374">
      <w:pPr>
        <w:pStyle w:val="Nadpis3"/>
        <w:numPr>
          <w:ilvl w:val="2"/>
          <w:numId w:val="4"/>
        </w:numPr>
      </w:pPr>
      <w:bookmarkStart w:id="19" w:name="_Toc176217907"/>
      <w:bookmarkStart w:id="20" w:name="_Toc182984800"/>
      <w:r w:rsidRPr="00B456EA">
        <w:t>Cíl</w:t>
      </w:r>
      <w:r w:rsidR="00FE6A99" w:rsidRPr="00B456EA">
        <w:t>e</w:t>
      </w:r>
      <w:r w:rsidRPr="00B456EA">
        <w:t xml:space="preserve"> programu</w:t>
      </w:r>
      <w:r w:rsidR="00FE6A99" w:rsidRPr="00B456EA">
        <w:t xml:space="preserve"> a jejich plnění</w:t>
      </w:r>
      <w:bookmarkEnd w:id="19"/>
      <w:bookmarkEnd w:id="20"/>
    </w:p>
    <w:p w14:paraId="0E13C033" w14:textId="511244FE" w:rsidR="00B456EA" w:rsidRPr="00B456EA" w:rsidRDefault="00B456EA" w:rsidP="00B456EA">
      <w:pPr>
        <w:jc w:val="both"/>
        <w:rPr>
          <w:lang w:eastAsia="cs-CZ"/>
        </w:rPr>
      </w:pPr>
      <w:r w:rsidRPr="00B456EA">
        <w:rPr>
          <w:lang w:eastAsia="cs-CZ"/>
        </w:rPr>
        <w:t xml:space="preserve">Hlavním cílem </w:t>
      </w:r>
      <w:r w:rsidR="003F5B3F" w:rsidRPr="00A346B4">
        <w:t>Program</w:t>
      </w:r>
      <w:r w:rsidR="003F5B3F">
        <w:t>u MO</w:t>
      </w:r>
      <w:r w:rsidRPr="00B456EA">
        <w:rPr>
          <w:lang w:eastAsia="cs-CZ"/>
        </w:rPr>
        <w:t xml:space="preserve"> byl rozvoj schopností ozbrojených sil ČR v klíčových oblastech, které jsou nezbytné k zajištění obrany země a k dosažení deklarovaných politicko-vojenských ambicí ČR a naplnění rolí a funkcí ozbrojených sil ČR.</w:t>
      </w:r>
    </w:p>
    <w:p w14:paraId="24BD1221" w14:textId="79A92752" w:rsidR="002558FA" w:rsidRPr="002558FA" w:rsidRDefault="00B456EA" w:rsidP="00CD444A">
      <w:pPr>
        <w:spacing w:after="0"/>
        <w:jc w:val="both"/>
        <w:rPr>
          <w:lang w:eastAsia="cs-CZ"/>
        </w:rPr>
      </w:pPr>
      <w:r w:rsidRPr="00B456EA">
        <w:rPr>
          <w:lang w:eastAsia="cs-CZ"/>
        </w:rPr>
        <w:t>Program</w:t>
      </w:r>
      <w:r w:rsidR="003F5B3F">
        <w:rPr>
          <w:lang w:eastAsia="cs-CZ"/>
        </w:rPr>
        <w:t xml:space="preserve"> MO</w:t>
      </w:r>
      <w:r w:rsidRPr="00B456EA">
        <w:rPr>
          <w:lang w:eastAsia="cs-CZ"/>
        </w:rPr>
        <w:t xml:space="preserve"> měl tyto specifické cíle:</w:t>
      </w:r>
      <w:r w:rsidR="004F74EE" w:rsidRPr="004F74EE">
        <w:rPr>
          <w:rFonts w:ascii="Arial" w:hAnsi="Arial" w:cs="Arial"/>
        </w:rPr>
        <w:t xml:space="preserve"> </w:t>
      </w:r>
    </w:p>
    <w:p w14:paraId="03B50107" w14:textId="0B1387CC" w:rsidR="004F74EE" w:rsidRPr="004F74EE" w:rsidRDefault="004F74EE" w:rsidP="00CD444A">
      <w:pPr>
        <w:numPr>
          <w:ilvl w:val="0"/>
          <w:numId w:val="13"/>
        </w:numPr>
        <w:spacing w:after="0"/>
        <w:jc w:val="both"/>
        <w:rPr>
          <w:lang w:eastAsia="cs-CZ"/>
        </w:rPr>
      </w:pPr>
      <w:r w:rsidRPr="004F74EE">
        <w:rPr>
          <w:lang w:eastAsia="cs-CZ"/>
        </w:rPr>
        <w:t>zvýšit množstv</w:t>
      </w:r>
      <w:r w:rsidR="00881854">
        <w:rPr>
          <w:lang w:eastAsia="cs-CZ"/>
        </w:rPr>
        <w:t>í aplikovaných výsledků VaVaI a </w:t>
      </w:r>
      <w:r w:rsidRPr="004F74EE">
        <w:rPr>
          <w:lang w:eastAsia="cs-CZ"/>
        </w:rPr>
        <w:t>znalostí, které budou efektivně využívány ozbrojenými silami ČR při zajišťování dílčích a</w:t>
      </w:r>
      <w:r w:rsidR="003F5B3F">
        <w:rPr>
          <w:lang w:eastAsia="cs-CZ"/>
        </w:rPr>
        <w:t>spektů deklarovaných schopností;</w:t>
      </w:r>
    </w:p>
    <w:p w14:paraId="51F50CFC" w14:textId="26363A8A" w:rsidR="004F74EE" w:rsidRPr="004F74EE" w:rsidRDefault="004F74EE" w:rsidP="00CD444A">
      <w:pPr>
        <w:numPr>
          <w:ilvl w:val="0"/>
          <w:numId w:val="13"/>
        </w:numPr>
        <w:spacing w:after="0"/>
        <w:jc w:val="both"/>
        <w:rPr>
          <w:lang w:eastAsia="cs-CZ"/>
        </w:rPr>
      </w:pPr>
      <w:r w:rsidRPr="004F74EE">
        <w:rPr>
          <w:lang w:eastAsia="cs-CZ"/>
        </w:rPr>
        <w:t>následný vývoj nových a zdokonalených výrobků, služeb a technologií navazujících na výsl</w:t>
      </w:r>
      <w:r w:rsidR="003F5B3F">
        <w:rPr>
          <w:lang w:eastAsia="cs-CZ"/>
        </w:rPr>
        <w:t>edky předchozích programů VaVaI;</w:t>
      </w:r>
    </w:p>
    <w:p w14:paraId="1EAA8F62" w14:textId="559569CC" w:rsidR="004F74EE" w:rsidRDefault="004F74EE" w:rsidP="00CD444A">
      <w:pPr>
        <w:numPr>
          <w:ilvl w:val="0"/>
          <w:numId w:val="13"/>
        </w:numPr>
        <w:spacing w:after="0"/>
        <w:jc w:val="both"/>
        <w:rPr>
          <w:lang w:eastAsia="cs-CZ"/>
        </w:rPr>
      </w:pPr>
      <w:r w:rsidRPr="004F74EE">
        <w:rPr>
          <w:lang w:eastAsia="cs-CZ"/>
        </w:rPr>
        <w:t>využití měřitelných parametrů hodnocení efektu uplatnění výsledku v praxi MO a jejich provázání na rozhodovací činnosti řídících pracov</w:t>
      </w:r>
      <w:r w:rsidR="00D73666">
        <w:rPr>
          <w:lang w:eastAsia="cs-CZ"/>
        </w:rPr>
        <w:t>níků na všech úrovních řízení a </w:t>
      </w:r>
      <w:r w:rsidRPr="004F74EE">
        <w:rPr>
          <w:lang w:eastAsia="cs-CZ"/>
        </w:rPr>
        <w:t xml:space="preserve">velení. </w:t>
      </w:r>
    </w:p>
    <w:p w14:paraId="60089FB5" w14:textId="77777777" w:rsidR="00CD444A" w:rsidRDefault="00CD444A" w:rsidP="003F5B3F">
      <w:pPr>
        <w:spacing w:after="0"/>
        <w:jc w:val="both"/>
        <w:rPr>
          <w:lang w:eastAsia="cs-CZ"/>
        </w:rPr>
      </w:pPr>
    </w:p>
    <w:p w14:paraId="5E6B6D95" w14:textId="45C6C528" w:rsidR="00B456EA" w:rsidRPr="00EE1C3D" w:rsidRDefault="004F74EE" w:rsidP="004F74EE">
      <w:pPr>
        <w:rPr>
          <w:lang w:eastAsia="cs-CZ"/>
        </w:rPr>
      </w:pPr>
      <w:r>
        <w:t xml:space="preserve">Program byl naplňován realizací projektů VaVaI, vycházejících z přesně vymezených potřeb a </w:t>
      </w:r>
      <w:r w:rsidRPr="00EE1C3D">
        <w:t xml:space="preserve">požadavků resortu MO v následujících </w:t>
      </w:r>
      <w:r w:rsidR="002558FA">
        <w:t xml:space="preserve">8 prioritních </w:t>
      </w:r>
      <w:r w:rsidRPr="00EE1C3D">
        <w:t>oblastech:</w:t>
      </w:r>
    </w:p>
    <w:p w14:paraId="1EC2B4A1" w14:textId="34E340E4" w:rsidR="00B456EA" w:rsidRPr="00EE1C3D" w:rsidRDefault="004F74EE" w:rsidP="003F5B3F">
      <w:pPr>
        <w:numPr>
          <w:ilvl w:val="0"/>
          <w:numId w:val="13"/>
        </w:numPr>
        <w:spacing w:after="0"/>
        <w:jc w:val="both"/>
        <w:rPr>
          <w:lang w:eastAsia="cs-CZ"/>
        </w:rPr>
      </w:pPr>
      <w:r w:rsidRPr="00EE1C3D">
        <w:rPr>
          <w:lang w:eastAsia="cs-CZ"/>
        </w:rPr>
        <w:t>R</w:t>
      </w:r>
      <w:r w:rsidR="00EE1C3D" w:rsidRPr="00EE1C3D">
        <w:rPr>
          <w:lang w:eastAsia="cs-CZ"/>
        </w:rPr>
        <w:t>ozvoj obranné politiky státu, podpora velení a řízen</w:t>
      </w:r>
      <w:r w:rsidR="00EE1C3D">
        <w:rPr>
          <w:lang w:eastAsia="cs-CZ"/>
        </w:rPr>
        <w:t>í v proměnlivém bezpečnostním a </w:t>
      </w:r>
      <w:r w:rsidR="00EE1C3D" w:rsidRPr="00EE1C3D">
        <w:rPr>
          <w:lang w:eastAsia="cs-CZ"/>
        </w:rPr>
        <w:t>operačním prostředí a role ozbrojených sil ČR ve společnosti</w:t>
      </w:r>
      <w:r w:rsidR="003F5B3F">
        <w:rPr>
          <w:lang w:eastAsia="cs-CZ"/>
        </w:rPr>
        <w:t>;</w:t>
      </w:r>
    </w:p>
    <w:p w14:paraId="37EC0E3E" w14:textId="65BD752B" w:rsidR="00B456EA" w:rsidRPr="00EE1C3D" w:rsidRDefault="004F74EE" w:rsidP="003F5B3F">
      <w:pPr>
        <w:numPr>
          <w:ilvl w:val="0"/>
          <w:numId w:val="13"/>
        </w:numPr>
        <w:spacing w:after="0"/>
        <w:jc w:val="both"/>
        <w:rPr>
          <w:lang w:eastAsia="cs-CZ"/>
        </w:rPr>
      </w:pPr>
      <w:r w:rsidRPr="00EE1C3D">
        <w:rPr>
          <w:lang w:eastAsia="cs-CZ"/>
        </w:rPr>
        <w:t>Vývoj</w:t>
      </w:r>
      <w:r w:rsidR="00EE1C3D" w:rsidRPr="00EE1C3D">
        <w:rPr>
          <w:lang w:eastAsia="cs-CZ"/>
        </w:rPr>
        <w:t xml:space="preserve"> nových zbraňových a obranných systémů</w:t>
      </w:r>
      <w:r w:rsidR="003F5B3F">
        <w:rPr>
          <w:lang w:eastAsia="cs-CZ"/>
        </w:rPr>
        <w:t>;</w:t>
      </w:r>
    </w:p>
    <w:p w14:paraId="2BCE85C5" w14:textId="19B7ABC8" w:rsidR="00B456EA" w:rsidRPr="00EE1C3D" w:rsidRDefault="004F74EE" w:rsidP="003F5B3F">
      <w:pPr>
        <w:numPr>
          <w:ilvl w:val="0"/>
          <w:numId w:val="13"/>
        </w:numPr>
        <w:spacing w:after="0"/>
        <w:jc w:val="both"/>
        <w:rPr>
          <w:lang w:eastAsia="cs-CZ"/>
        </w:rPr>
      </w:pPr>
      <w:r w:rsidRPr="00EE1C3D">
        <w:rPr>
          <w:lang w:eastAsia="cs-CZ"/>
        </w:rPr>
        <w:t>Účinná</w:t>
      </w:r>
      <w:r w:rsidR="00EE1C3D" w:rsidRPr="00EE1C3D">
        <w:rPr>
          <w:lang w:eastAsia="cs-CZ"/>
        </w:rPr>
        <w:t xml:space="preserve"> ochrana sil a prostředků</w:t>
      </w:r>
      <w:r w:rsidR="003F5B3F">
        <w:rPr>
          <w:lang w:eastAsia="cs-CZ"/>
        </w:rPr>
        <w:t>;</w:t>
      </w:r>
    </w:p>
    <w:p w14:paraId="58835B66" w14:textId="13D4C21B" w:rsidR="00B456EA" w:rsidRPr="00EE1C3D" w:rsidRDefault="004F74EE" w:rsidP="003F5B3F">
      <w:pPr>
        <w:numPr>
          <w:ilvl w:val="0"/>
          <w:numId w:val="13"/>
        </w:numPr>
        <w:spacing w:after="0"/>
        <w:jc w:val="both"/>
        <w:rPr>
          <w:lang w:eastAsia="cs-CZ"/>
        </w:rPr>
      </w:pPr>
      <w:r w:rsidRPr="00EE1C3D">
        <w:rPr>
          <w:lang w:eastAsia="cs-CZ"/>
        </w:rPr>
        <w:t>Příprava</w:t>
      </w:r>
      <w:r w:rsidR="00EE1C3D" w:rsidRPr="00EE1C3D">
        <w:rPr>
          <w:lang w:eastAsia="cs-CZ"/>
        </w:rPr>
        <w:t>, mobilita a efektivní působení sil</w:t>
      </w:r>
      <w:r w:rsidR="003F5B3F">
        <w:rPr>
          <w:lang w:eastAsia="cs-CZ"/>
        </w:rPr>
        <w:t>;</w:t>
      </w:r>
    </w:p>
    <w:p w14:paraId="4597A739" w14:textId="22A5B469" w:rsidR="00B456EA" w:rsidRPr="00EE1C3D" w:rsidRDefault="004F74EE" w:rsidP="003F5B3F">
      <w:pPr>
        <w:numPr>
          <w:ilvl w:val="0"/>
          <w:numId w:val="13"/>
        </w:numPr>
        <w:spacing w:after="0"/>
        <w:jc w:val="both"/>
        <w:rPr>
          <w:lang w:eastAsia="cs-CZ"/>
        </w:rPr>
      </w:pPr>
      <w:r w:rsidRPr="00EE1C3D">
        <w:rPr>
          <w:lang w:eastAsia="cs-CZ"/>
        </w:rPr>
        <w:t>Příprava</w:t>
      </w:r>
      <w:r w:rsidR="00EE1C3D" w:rsidRPr="00EE1C3D">
        <w:rPr>
          <w:lang w:eastAsia="cs-CZ"/>
        </w:rPr>
        <w:t xml:space="preserve"> personálu</w:t>
      </w:r>
      <w:r w:rsidR="003F5B3F">
        <w:rPr>
          <w:lang w:eastAsia="cs-CZ"/>
        </w:rPr>
        <w:t>;</w:t>
      </w:r>
    </w:p>
    <w:p w14:paraId="691F1810" w14:textId="296706F8" w:rsidR="00B456EA" w:rsidRPr="00EE1C3D" w:rsidRDefault="004F74EE" w:rsidP="003F5B3F">
      <w:pPr>
        <w:numPr>
          <w:ilvl w:val="0"/>
          <w:numId w:val="13"/>
        </w:numPr>
        <w:spacing w:after="0"/>
        <w:jc w:val="both"/>
        <w:rPr>
          <w:lang w:eastAsia="cs-CZ"/>
        </w:rPr>
      </w:pPr>
      <w:r w:rsidRPr="00EE1C3D">
        <w:rPr>
          <w:lang w:eastAsia="cs-CZ"/>
        </w:rPr>
        <w:t>P</w:t>
      </w:r>
      <w:r w:rsidR="00EE1C3D" w:rsidRPr="00EE1C3D">
        <w:rPr>
          <w:lang w:eastAsia="cs-CZ"/>
        </w:rPr>
        <w:t>řeprava a udržitelnost sil</w:t>
      </w:r>
      <w:r w:rsidR="003F5B3F">
        <w:rPr>
          <w:lang w:eastAsia="cs-CZ"/>
        </w:rPr>
        <w:t>;</w:t>
      </w:r>
    </w:p>
    <w:p w14:paraId="2605CCD3" w14:textId="06D914C0" w:rsidR="00EE1C3D" w:rsidRPr="00EE1C3D" w:rsidRDefault="00EE1C3D" w:rsidP="003F5B3F">
      <w:pPr>
        <w:numPr>
          <w:ilvl w:val="0"/>
          <w:numId w:val="13"/>
        </w:numPr>
        <w:spacing w:after="0"/>
        <w:jc w:val="both"/>
        <w:rPr>
          <w:lang w:eastAsia="cs-CZ"/>
        </w:rPr>
      </w:pPr>
      <w:r w:rsidRPr="00EE1C3D">
        <w:rPr>
          <w:lang w:eastAsia="cs-CZ"/>
        </w:rPr>
        <w:t>Zdravotnické zabezpečení</w:t>
      </w:r>
      <w:r w:rsidR="003F5B3F">
        <w:rPr>
          <w:lang w:eastAsia="cs-CZ"/>
        </w:rPr>
        <w:t>;</w:t>
      </w:r>
    </w:p>
    <w:p w14:paraId="2C698443" w14:textId="0E4F698F" w:rsidR="009C5343" w:rsidRPr="00EE1C3D" w:rsidRDefault="00EE1C3D" w:rsidP="003F5B3F">
      <w:pPr>
        <w:numPr>
          <w:ilvl w:val="0"/>
          <w:numId w:val="13"/>
        </w:numPr>
        <w:spacing w:after="0"/>
        <w:jc w:val="both"/>
        <w:rPr>
          <w:lang w:eastAsia="cs-CZ"/>
        </w:rPr>
      </w:pPr>
      <w:r w:rsidRPr="00EE1C3D">
        <w:rPr>
          <w:lang w:eastAsia="cs-CZ"/>
        </w:rPr>
        <w:t>Rozvoj</w:t>
      </w:r>
      <w:r w:rsidR="009C5343" w:rsidRPr="00EE1C3D">
        <w:rPr>
          <w:lang w:eastAsia="cs-CZ"/>
        </w:rPr>
        <w:t xml:space="preserve"> </w:t>
      </w:r>
      <w:proofErr w:type="spellStart"/>
      <w:r w:rsidRPr="00EE1C3D">
        <w:rPr>
          <w:lang w:eastAsia="cs-CZ"/>
        </w:rPr>
        <w:t>Rozvoj</w:t>
      </w:r>
      <w:proofErr w:type="spellEnd"/>
      <w:r w:rsidRPr="00EE1C3D">
        <w:rPr>
          <w:lang w:eastAsia="cs-CZ"/>
        </w:rPr>
        <w:t xml:space="preserve"> systémů velení a řízení, komunik</w:t>
      </w:r>
      <w:r>
        <w:rPr>
          <w:lang w:eastAsia="cs-CZ"/>
        </w:rPr>
        <w:t>ačních a informačních systémů a </w:t>
      </w:r>
      <w:r w:rsidRPr="00EE1C3D">
        <w:rPr>
          <w:lang w:eastAsia="cs-CZ"/>
        </w:rPr>
        <w:t>kybernetické obrany</w:t>
      </w:r>
      <w:r w:rsidR="003F5B3F">
        <w:rPr>
          <w:lang w:eastAsia="cs-CZ"/>
        </w:rPr>
        <w:t>.</w:t>
      </w:r>
    </w:p>
    <w:p w14:paraId="11768BA7" w14:textId="3A6B6711" w:rsidR="000B4E82" w:rsidRDefault="000B4E82" w:rsidP="009C5343">
      <w:pPr>
        <w:pStyle w:val="Text"/>
        <w:keepNext w:val="0"/>
        <w:rPr>
          <w:szCs w:val="22"/>
          <w:highlight w:val="yellow"/>
        </w:rPr>
      </w:pPr>
    </w:p>
    <w:p w14:paraId="2D3C1FF4" w14:textId="77777777" w:rsidR="00B969E1" w:rsidRDefault="00B969E1" w:rsidP="009C5343">
      <w:pPr>
        <w:pStyle w:val="Text"/>
        <w:keepNext w:val="0"/>
        <w:rPr>
          <w:szCs w:val="22"/>
        </w:rPr>
      </w:pPr>
    </w:p>
    <w:p w14:paraId="2C1D2CE8" w14:textId="794F7161" w:rsidR="000B4E82" w:rsidRPr="000B4E82" w:rsidRDefault="000B4E82" w:rsidP="009C5343">
      <w:pPr>
        <w:pStyle w:val="Text"/>
        <w:keepNext w:val="0"/>
        <w:rPr>
          <w:szCs w:val="22"/>
        </w:rPr>
      </w:pPr>
      <w:r w:rsidRPr="000B4E82">
        <w:rPr>
          <w:szCs w:val="22"/>
        </w:rPr>
        <w:lastRenderedPageBreak/>
        <w:t>Závěrečné hodnocení Programu</w:t>
      </w:r>
      <w:r w:rsidR="003F5B3F">
        <w:rPr>
          <w:szCs w:val="22"/>
        </w:rPr>
        <w:t xml:space="preserve"> MO</w:t>
      </w:r>
      <w:r w:rsidR="002E1F51">
        <w:rPr>
          <w:szCs w:val="22"/>
        </w:rPr>
        <w:t xml:space="preserve"> (Příloha B)</w:t>
      </w:r>
      <w:r w:rsidRPr="000B4E82">
        <w:rPr>
          <w:szCs w:val="22"/>
        </w:rPr>
        <w:t xml:space="preserve"> uvádí, že výsledky Programu</w:t>
      </w:r>
      <w:r w:rsidR="003F5B3F">
        <w:rPr>
          <w:szCs w:val="22"/>
        </w:rPr>
        <w:t xml:space="preserve"> MO</w:t>
      </w:r>
      <w:r w:rsidRPr="000B4E82">
        <w:rPr>
          <w:szCs w:val="22"/>
        </w:rPr>
        <w:t xml:space="preserve"> naplnily očekávání uživatelů</w:t>
      </w:r>
      <w:r w:rsidR="003F5B3F">
        <w:rPr>
          <w:szCs w:val="22"/>
        </w:rPr>
        <w:t xml:space="preserve">, ozbrojených složek </w:t>
      </w:r>
      <w:r w:rsidRPr="000B4E82">
        <w:rPr>
          <w:szCs w:val="22"/>
        </w:rPr>
        <w:t xml:space="preserve">ČR </w:t>
      </w:r>
      <w:r w:rsidR="004673DA">
        <w:rPr>
          <w:szCs w:val="22"/>
        </w:rPr>
        <w:t>(</w:t>
      </w:r>
      <w:r w:rsidR="003F5B3F">
        <w:rPr>
          <w:szCs w:val="22"/>
        </w:rPr>
        <w:t>dále jen „OS ČR“</w:t>
      </w:r>
      <w:r w:rsidR="004673DA">
        <w:rPr>
          <w:szCs w:val="22"/>
        </w:rPr>
        <w:t xml:space="preserve">) </w:t>
      </w:r>
      <w:r w:rsidRPr="000B4E82">
        <w:rPr>
          <w:szCs w:val="22"/>
        </w:rPr>
        <w:t>a dávají dobrý předpoklad pro rozvoj dané problematiky. Dosažení cílů Programu</w:t>
      </w:r>
      <w:r w:rsidR="003F5B3F">
        <w:rPr>
          <w:szCs w:val="22"/>
        </w:rPr>
        <w:t xml:space="preserve"> MO</w:t>
      </w:r>
      <w:r w:rsidRPr="000B4E82">
        <w:rPr>
          <w:szCs w:val="22"/>
        </w:rPr>
        <w:t xml:space="preserve"> bylo vyhodnocováno aplikací souboru indikátorů určených pro monitorování průběhu plnění </w:t>
      </w:r>
      <w:r w:rsidR="003F5B3F">
        <w:rPr>
          <w:szCs w:val="22"/>
        </w:rPr>
        <w:t>p</w:t>
      </w:r>
      <w:r w:rsidRPr="000B4E82">
        <w:rPr>
          <w:szCs w:val="22"/>
        </w:rPr>
        <w:t xml:space="preserve">rogramu a dále došlo k hodnocení jeho celkové výkonnosti a úspěšnosti. </w:t>
      </w:r>
    </w:p>
    <w:p w14:paraId="6B891FD7" w14:textId="31B6661C" w:rsidR="00E002EE" w:rsidRDefault="00DF7BC0" w:rsidP="00DF7BC0">
      <w:pPr>
        <w:pStyle w:val="Text"/>
        <w:keepNext w:val="0"/>
        <w:rPr>
          <w:szCs w:val="22"/>
        </w:rPr>
      </w:pPr>
      <w:r>
        <w:rPr>
          <w:szCs w:val="22"/>
        </w:rPr>
        <w:t>Mezi hodnocené indikátory patřilo</w:t>
      </w:r>
      <w:r w:rsidR="000B4E82" w:rsidRPr="000B4E82">
        <w:rPr>
          <w:szCs w:val="22"/>
        </w:rPr>
        <w:t xml:space="preserve"> především finanční naplnění Programu</w:t>
      </w:r>
      <w:r w:rsidR="003F5B3F">
        <w:rPr>
          <w:szCs w:val="22"/>
        </w:rPr>
        <w:t xml:space="preserve"> MO</w:t>
      </w:r>
      <w:r w:rsidR="000B4E82" w:rsidRPr="000B4E82">
        <w:rPr>
          <w:szCs w:val="22"/>
        </w:rPr>
        <w:t xml:space="preserve">, počet zadání veřejných zakázek a počet řešených projektů. Dále byly posuzovány parametry výsledků Programu </w:t>
      </w:r>
      <w:r w:rsidR="00521D11">
        <w:rPr>
          <w:szCs w:val="22"/>
        </w:rPr>
        <w:t>MO a splnění cílů P</w:t>
      </w:r>
      <w:r w:rsidR="000B4E82" w:rsidRPr="000B4E82">
        <w:rPr>
          <w:szCs w:val="22"/>
        </w:rPr>
        <w:t>rogramu</w:t>
      </w:r>
      <w:r w:rsidR="00521D11">
        <w:rPr>
          <w:szCs w:val="22"/>
        </w:rPr>
        <w:t xml:space="preserve"> MO</w:t>
      </w:r>
      <w:r w:rsidR="000B4E82" w:rsidRPr="000B4E82">
        <w:rPr>
          <w:szCs w:val="22"/>
        </w:rPr>
        <w:t>, ve kterých se mj. posuzoval podíl úspěšně ukončených projektů, podíl projektů převzatých uživatelem k využití a minimální počet naplněných dílčích cílů Programu</w:t>
      </w:r>
      <w:r w:rsidR="00521D11">
        <w:rPr>
          <w:szCs w:val="22"/>
        </w:rPr>
        <w:t xml:space="preserve"> MO</w:t>
      </w:r>
      <w:r w:rsidR="000B4E82" w:rsidRPr="000B4E82">
        <w:rPr>
          <w:szCs w:val="22"/>
        </w:rPr>
        <w:t xml:space="preserve">. </w:t>
      </w:r>
    </w:p>
    <w:p w14:paraId="21373BAC" w14:textId="66DD17A8" w:rsidR="00145054" w:rsidRDefault="002E1F51" w:rsidP="00DF7BC0">
      <w:pPr>
        <w:pStyle w:val="Text"/>
        <w:keepNext w:val="0"/>
        <w:rPr>
          <w:szCs w:val="22"/>
        </w:rPr>
      </w:pPr>
      <w:r>
        <w:rPr>
          <w:szCs w:val="22"/>
        </w:rPr>
        <w:t xml:space="preserve">MO </w:t>
      </w:r>
      <w:r w:rsidRPr="002E1F51">
        <w:rPr>
          <w:szCs w:val="22"/>
        </w:rPr>
        <w:t xml:space="preserve">hodnotí cíle Programu </w:t>
      </w:r>
      <w:r>
        <w:rPr>
          <w:szCs w:val="22"/>
        </w:rPr>
        <w:t xml:space="preserve">MO jako splněné, a to s ohledem na to, že veškeré stanovené indikátory byly naplněny, viz kapitola </w:t>
      </w:r>
      <w:r w:rsidRPr="00354152">
        <w:rPr>
          <w:i/>
          <w:szCs w:val="22"/>
        </w:rPr>
        <w:t>Indikátory a parametry Programu</w:t>
      </w:r>
      <w:r>
        <w:rPr>
          <w:szCs w:val="22"/>
        </w:rPr>
        <w:t xml:space="preserve"> na str. 19 v Závěrečném hodnocení Programu MO.</w:t>
      </w:r>
    </w:p>
    <w:p w14:paraId="4AE18802" w14:textId="77777777" w:rsidR="002E1F51" w:rsidRPr="00DF7BC0" w:rsidRDefault="002E1F51" w:rsidP="00DF7BC0">
      <w:pPr>
        <w:pStyle w:val="Text"/>
        <w:keepNext w:val="0"/>
        <w:rPr>
          <w:szCs w:val="22"/>
        </w:rPr>
      </w:pPr>
    </w:p>
    <w:p w14:paraId="6E1CA664" w14:textId="3744AE2F" w:rsidR="00A3681B" w:rsidRDefault="00FE6A99" w:rsidP="00243457">
      <w:pPr>
        <w:pStyle w:val="Nadpis3"/>
      </w:pPr>
      <w:bookmarkStart w:id="21" w:name="_Toc176217908"/>
      <w:bookmarkStart w:id="22" w:name="_Toc182984801"/>
      <w:r w:rsidRPr="005F3EBF">
        <w:t>Výsledky programu</w:t>
      </w:r>
      <w:bookmarkEnd w:id="21"/>
      <w:bookmarkEnd w:id="22"/>
    </w:p>
    <w:p w14:paraId="177DB267" w14:textId="6272D401" w:rsidR="00CA273F" w:rsidRPr="00CA273F" w:rsidRDefault="00CA273F" w:rsidP="00CA273F">
      <w:pPr>
        <w:pStyle w:val="Text"/>
        <w:keepNext w:val="0"/>
        <w:rPr>
          <w:szCs w:val="22"/>
        </w:rPr>
      </w:pPr>
      <w:r w:rsidRPr="00CA273F">
        <w:rPr>
          <w:szCs w:val="22"/>
        </w:rPr>
        <w:t>MO</w:t>
      </w:r>
      <w:r w:rsidR="00A3681B" w:rsidRPr="00CA273F">
        <w:rPr>
          <w:szCs w:val="22"/>
        </w:rPr>
        <w:t xml:space="preserve"> stanovil</w:t>
      </w:r>
      <w:r w:rsidRPr="00CA273F">
        <w:rPr>
          <w:szCs w:val="22"/>
        </w:rPr>
        <w:t>o</w:t>
      </w:r>
      <w:r w:rsidR="00A3681B" w:rsidRPr="00CA273F">
        <w:rPr>
          <w:szCs w:val="22"/>
        </w:rPr>
        <w:t xml:space="preserve"> očekávané výsledky Programu</w:t>
      </w:r>
      <w:r w:rsidR="00521D11" w:rsidRPr="00CA273F">
        <w:rPr>
          <w:szCs w:val="22"/>
        </w:rPr>
        <w:t xml:space="preserve"> MO</w:t>
      </w:r>
      <w:r w:rsidR="00A3681B" w:rsidRPr="00CA273F">
        <w:rPr>
          <w:szCs w:val="22"/>
        </w:rPr>
        <w:t xml:space="preserve"> v souladu s jejich definicemi dle platné </w:t>
      </w:r>
      <w:r w:rsidRPr="00CA273F">
        <w:rPr>
          <w:szCs w:val="22"/>
        </w:rPr>
        <w:t>M </w:t>
      </w:r>
      <w:r w:rsidR="00521D11" w:rsidRPr="00CA273F">
        <w:rPr>
          <w:szCs w:val="22"/>
        </w:rPr>
        <w:t>17+</w:t>
      </w:r>
      <w:r w:rsidR="00A3681B" w:rsidRPr="00CA273F">
        <w:rPr>
          <w:szCs w:val="22"/>
        </w:rPr>
        <w:t xml:space="preserve">. Mezi očekávané výsledky Programu </w:t>
      </w:r>
      <w:r w:rsidR="00521D11" w:rsidRPr="00CA273F">
        <w:rPr>
          <w:szCs w:val="22"/>
        </w:rPr>
        <w:t xml:space="preserve">MO </w:t>
      </w:r>
      <w:r w:rsidR="00A3681B" w:rsidRPr="00CA273F">
        <w:rPr>
          <w:szCs w:val="22"/>
        </w:rPr>
        <w:t>náležely pře</w:t>
      </w:r>
      <w:r w:rsidR="00354152">
        <w:rPr>
          <w:szCs w:val="22"/>
        </w:rPr>
        <w:t>devším certifikované metodiky a </w:t>
      </w:r>
      <w:r w:rsidR="00A3681B" w:rsidRPr="00CA273F">
        <w:rPr>
          <w:szCs w:val="22"/>
        </w:rPr>
        <w:t>postupy, poskytovatelem realizované v</w:t>
      </w:r>
      <w:r w:rsidR="00521D11" w:rsidRPr="00CA273F">
        <w:rPr>
          <w:szCs w:val="22"/>
        </w:rPr>
        <w:t>ýsledky (výsledky promítnuté do </w:t>
      </w:r>
      <w:r w:rsidR="00354152">
        <w:rPr>
          <w:szCs w:val="22"/>
        </w:rPr>
        <w:t>strategických a </w:t>
      </w:r>
      <w:r w:rsidR="00A3681B" w:rsidRPr="00CA273F">
        <w:rPr>
          <w:szCs w:val="22"/>
        </w:rPr>
        <w:t>koncepčních dokumentů, směrnic a předpisů nelegislativní povahy), autorizované programové produkty (software), výzkumné zprávy, prototypy a funkční vzorky. Jako vedlejší výsledky byly očekávány publikační výsledky - články v odborných pe</w:t>
      </w:r>
      <w:r w:rsidR="00354152">
        <w:rPr>
          <w:szCs w:val="22"/>
        </w:rPr>
        <w:t>riodikách, knihách a </w:t>
      </w:r>
      <w:r w:rsidR="00A3681B" w:rsidRPr="00CA273F">
        <w:rPr>
          <w:szCs w:val="22"/>
        </w:rPr>
        <w:t xml:space="preserve">sbornících. </w:t>
      </w:r>
      <w:r w:rsidR="00521D11" w:rsidRPr="00CA273F">
        <w:rPr>
          <w:szCs w:val="22"/>
        </w:rPr>
        <w:t>Dle</w:t>
      </w:r>
      <w:r w:rsidR="00A3681B" w:rsidRPr="00CA273F">
        <w:rPr>
          <w:szCs w:val="22"/>
        </w:rPr>
        <w:t xml:space="preserve"> Rejstříku informací</w:t>
      </w:r>
      <w:r w:rsidR="004F2F79" w:rsidRPr="00CA273F">
        <w:rPr>
          <w:szCs w:val="22"/>
        </w:rPr>
        <w:t xml:space="preserve"> o výsledcích projektů VaVaI </w:t>
      </w:r>
      <w:r w:rsidR="00A3681B" w:rsidRPr="00CA273F">
        <w:rPr>
          <w:szCs w:val="22"/>
        </w:rPr>
        <w:t>bylo do IS VaVaI poskytnuto celkově 161 výsledků.</w:t>
      </w:r>
    </w:p>
    <w:p w14:paraId="1E267457" w14:textId="222AB21B" w:rsidR="00A829C5" w:rsidRDefault="00CA273F" w:rsidP="00CA273F">
      <w:pPr>
        <w:pStyle w:val="Text"/>
        <w:keepNext w:val="0"/>
      </w:pPr>
      <w:r w:rsidRPr="00CA273F">
        <w:rPr>
          <w:szCs w:val="22"/>
        </w:rPr>
        <w:t>Téměř 87% výsledků bylo klasifikováno jako nepublikačních, což odpovídá jasnému zaměření Programu</w:t>
      </w:r>
      <w:r>
        <w:rPr>
          <w:szCs w:val="22"/>
        </w:rPr>
        <w:t xml:space="preserve"> MO</w:t>
      </w:r>
      <w:r w:rsidRPr="00CA273F">
        <w:rPr>
          <w:szCs w:val="22"/>
        </w:rPr>
        <w:t xml:space="preserve"> do oblasti aplikovaného výzkumu a experimentá</w:t>
      </w:r>
      <w:r w:rsidR="00354152">
        <w:rPr>
          <w:szCs w:val="22"/>
        </w:rPr>
        <w:t>lního vývoje. Nejvyšší podíl na </w:t>
      </w:r>
      <w:r w:rsidRPr="00CA273F">
        <w:rPr>
          <w:szCs w:val="22"/>
        </w:rPr>
        <w:t>výsledcích mají certifikované metodiky (29%) jako výsled</w:t>
      </w:r>
      <w:r w:rsidR="00354152">
        <w:rPr>
          <w:szCs w:val="22"/>
        </w:rPr>
        <w:t>ky projektů obranného výzkumu a </w:t>
      </w:r>
      <w:r w:rsidRPr="00CA273F">
        <w:rPr>
          <w:szCs w:val="22"/>
        </w:rPr>
        <w:t>dále technicky realizované výsledky – prototypy a funkční vzory (20 %) jako výsledky obranného vývoje.</w:t>
      </w:r>
    </w:p>
    <w:p w14:paraId="36506597" w14:textId="681D9C18" w:rsidR="004C3805" w:rsidRPr="00CA273F" w:rsidRDefault="00737521" w:rsidP="00CA273F">
      <w:pPr>
        <w:pStyle w:val="Text"/>
      </w:pPr>
      <w:r w:rsidRPr="005F3EBF">
        <w:t xml:space="preserve">V </w:t>
      </w:r>
      <w:r w:rsidR="00521D11">
        <w:t>z</w:t>
      </w:r>
      <w:r w:rsidRPr="005F3EBF">
        <w:t>ávěrečné</w:t>
      </w:r>
      <w:r w:rsidR="00521D11">
        <w:t>m</w:t>
      </w:r>
      <w:r w:rsidRPr="005F3EBF">
        <w:t xml:space="preserve"> </w:t>
      </w:r>
      <w:r w:rsidR="00521D11">
        <w:t>hodnocení Programu MO</w:t>
      </w:r>
      <w:r w:rsidRPr="005F3EBF">
        <w:t xml:space="preserve"> je uvedeno</w:t>
      </w:r>
      <w:r w:rsidR="00367F94" w:rsidRPr="005F3EBF">
        <w:t xml:space="preserve">, že dosažené výsledky všech projektů hodnoceného Programu </w:t>
      </w:r>
      <w:r w:rsidR="00521D11">
        <w:t xml:space="preserve">MO </w:t>
      </w:r>
      <w:r w:rsidR="00367F94" w:rsidRPr="005F3EBF">
        <w:t>byly po ukončení řešení předány zadavatelům projektů – jednotlivým složkám OS ČR pro zav</w:t>
      </w:r>
      <w:r w:rsidR="00A3681B">
        <w:t xml:space="preserve">edení do resortu MO k užívání. </w:t>
      </w:r>
      <w:r w:rsidR="00367F94" w:rsidRPr="005F3EBF">
        <w:t>Každý z projektů měl od začátku řešení odborného gestora, kter</w:t>
      </w:r>
      <w:r w:rsidR="00A3681B">
        <w:t xml:space="preserve">ý se spolupodílel na směřování </w:t>
      </w:r>
      <w:r w:rsidR="00367F94" w:rsidRPr="005F3EBF">
        <w:t>průběhu řešení a také na následném zavedení výsledku d</w:t>
      </w:r>
      <w:r w:rsidR="00A3681B">
        <w:t xml:space="preserve">o praxe. Všechny výsledky byly </w:t>
      </w:r>
      <w:r w:rsidR="00367F94" w:rsidRPr="005F3EBF">
        <w:t>předány konkrétním útvarům a jsou v současnosti využívány při jejich činnosti.</w:t>
      </w:r>
    </w:p>
    <w:p w14:paraId="2051A6DA" w14:textId="4D17275D" w:rsidR="003A219E" w:rsidRDefault="009B7489" w:rsidP="00AB7C16">
      <w:pPr>
        <w:pStyle w:val="Text"/>
        <w:keepNext w:val="0"/>
      </w:pPr>
      <w:r w:rsidRPr="009B7489">
        <w:t>Pokud se týká využívání jednotlivých výsledků projektů, pozitivně je hodnoceno využití prototypů a funkčních vzorků, které prošly vojskovými zkouškami a následně byly zavedeny do praxe. U některých výsledků projektů také už započal proces směřující k následné akvizici</w:t>
      </w:r>
      <w:r w:rsidR="00CA273F">
        <w:t xml:space="preserve"> pro zavedení do výzbroje OS ČR,</w:t>
      </w:r>
      <w:r w:rsidRPr="009B7489">
        <w:t xml:space="preserve"> případně je jejich akvizice zanesena do akvizičních plánů resortu MO pro následující období.</w:t>
      </w:r>
    </w:p>
    <w:p w14:paraId="0C4DF47A" w14:textId="77777777" w:rsidR="003A219E" w:rsidRDefault="003A219E">
      <w:pPr>
        <w:rPr>
          <w:rFonts w:ascii="Arial" w:hAnsi="Arial" w:cs="Arial"/>
          <w:szCs w:val="24"/>
        </w:rPr>
      </w:pPr>
      <w:r>
        <w:br w:type="page"/>
      </w:r>
    </w:p>
    <w:p w14:paraId="123A7D99" w14:textId="62BA647C" w:rsidR="00883B2D" w:rsidRDefault="0044054F" w:rsidP="00B4176A">
      <w:pPr>
        <w:pStyle w:val="Nadpis3"/>
      </w:pPr>
      <w:bookmarkStart w:id="23" w:name="_Toc176217909"/>
      <w:bookmarkStart w:id="24" w:name="_Toc182984802"/>
      <w:r w:rsidRPr="00302F79">
        <w:lastRenderedPageBreak/>
        <w:t>Průběh programu</w:t>
      </w:r>
      <w:bookmarkEnd w:id="23"/>
      <w:bookmarkEnd w:id="24"/>
    </w:p>
    <w:p w14:paraId="3DBFCB95" w14:textId="226ABBDC" w:rsidR="00044BE9" w:rsidRDefault="00954694" w:rsidP="00954694">
      <w:pPr>
        <w:pStyle w:val="Text"/>
      </w:pPr>
      <w:r>
        <w:t xml:space="preserve">V rámci veřejných zakázek na řešení projektů obranného VaVaI probíhajících v jednotlivých letech </w:t>
      </w:r>
      <w:r w:rsidR="00B85AD3">
        <w:t xml:space="preserve">bylo </w:t>
      </w:r>
      <w:r>
        <w:t>přijato a podporu obdrželo celkově 76 projektů.</w:t>
      </w:r>
      <w:r w:rsidR="00B85AD3">
        <w:t xml:space="preserve"> </w:t>
      </w:r>
      <w:r w:rsidR="00B4176A">
        <w:t xml:space="preserve">Program </w:t>
      </w:r>
      <w:r w:rsidR="00B85AD3">
        <w:t xml:space="preserve">MO </w:t>
      </w:r>
      <w:r w:rsidR="00B4176A">
        <w:t>byl implementován způsobem veřejných zakázek, proto všechny d</w:t>
      </w:r>
      <w:r w:rsidR="00B4176A" w:rsidRPr="00B4176A">
        <w:t xml:space="preserve">osažené výsledky </w:t>
      </w:r>
      <w:r w:rsidR="00B4176A">
        <w:t>byly předány</w:t>
      </w:r>
      <w:r w:rsidR="00B4176A" w:rsidRPr="00B4176A">
        <w:t xml:space="preserve"> zadavatelům projektů – jednotlivým složkám OS ČR pro zavedení do resortu MO k užívání. Každý z projektů měl od začátku řešení odborného gestora, který se spolupodílel na směřování průběhu řešení a také na následném zavedení výsledku do praxe. Všechny výsledky byly předány konkrétním útvarům a jsou v současnosti využívány při jejich činnosti. </w:t>
      </w:r>
    </w:p>
    <w:p w14:paraId="73CDD920" w14:textId="28443099" w:rsidR="00883B2D" w:rsidRDefault="00B4176A" w:rsidP="00AB7C16">
      <w:pPr>
        <w:pStyle w:val="Text"/>
        <w:keepNext w:val="0"/>
      </w:pPr>
      <w:r w:rsidRPr="00B4176A">
        <w:t>Hodnocení efektivnosti vynakládaných prostředků v rámci Programu</w:t>
      </w:r>
      <w:r w:rsidR="00CA273F">
        <w:t xml:space="preserve"> MO</w:t>
      </w:r>
      <w:r w:rsidRPr="00B4176A">
        <w:t xml:space="preserve"> bylo průběžně prováděno formou periodických oponentních řízení k výročním a závěrečným zprávám projektů obranného VaVaI řešených v rámci Programu</w:t>
      </w:r>
      <w:r w:rsidR="00B85AD3">
        <w:t xml:space="preserve"> MO</w:t>
      </w:r>
      <w:r w:rsidRPr="00B4176A">
        <w:t>. Oponentní rada, která byla ustanovená ke každému oponentnímu řízení, vycházela z oponentních posudků nejméně dvou nezávislých oponentů. Mimo zmiňovaných oponentních řízení u vývojových projektů taktéž proběhla v průběhu řešení řada kontrolních dnů za účasti bu</w:t>
      </w:r>
      <w:r w:rsidR="00CA273F">
        <w:t>doucího uživatele z důvodu, aby </w:t>
      </w:r>
      <w:r w:rsidRPr="00B4176A">
        <w:t>konečné výstupy projektů maximálně vyhovovaly jeho požadavkům.</w:t>
      </w:r>
    </w:p>
    <w:p w14:paraId="2E9F584B" w14:textId="77777777" w:rsidR="00044BE9" w:rsidRDefault="00A3681B" w:rsidP="00AB7C16">
      <w:pPr>
        <w:pStyle w:val="Text"/>
        <w:keepNext w:val="0"/>
      </w:pPr>
      <w:r w:rsidRPr="00302F79">
        <w:t xml:space="preserve">Výsledky pocházející z většiny projektů prošly již před ukončením projektů náročnými kontrolními a vojskovými zkouškami, či případně schvalovacími procedurami vykonanými odbornými složkami resortu MO a posléze byly zavedeny do užívání OS ČR. Ve fázi následující po zavedení výsledků do užívání MO je realizován systém dlouhodobého monitoringu využívání výsledků projektů uživateli. Všechny výsledky jsou monitorovány pět let od prvotního převzetí uživatelem. Využití je definováno jako navazující akvizice, zavedení prototypu nebo funkčního vzorku do provozu, aplikace metodik a materiálů promítnutých do právních předpisů a norem (i nelegislativní povahy), případně podkladů z výzkumných projektů využitých pro návrh dalších vývojových projektů. </w:t>
      </w:r>
    </w:p>
    <w:p w14:paraId="4E2C592F" w14:textId="2214B598" w:rsidR="00B4176A" w:rsidRDefault="00A57F50" w:rsidP="00AB7C16">
      <w:pPr>
        <w:pStyle w:val="Text"/>
        <w:keepNext w:val="0"/>
      </w:pPr>
      <w:r w:rsidRPr="00A57F50">
        <w:t>S přihlédnutím k zaměření projektů byla podpora poskytována ve všech případech formou účelové dotace ve výši 100% uznaných nákladů.</w:t>
      </w:r>
      <w:r>
        <w:t xml:space="preserve"> </w:t>
      </w:r>
      <w:r w:rsidR="00B4176A">
        <w:t>V</w:t>
      </w:r>
      <w:r w:rsidR="00B85AD3">
        <w:t> z</w:t>
      </w:r>
      <w:r w:rsidR="00B4176A">
        <w:t>ávěrečné</w:t>
      </w:r>
      <w:r w:rsidR="00B85AD3">
        <w:t>m</w:t>
      </w:r>
      <w:r w:rsidR="00B4176A">
        <w:t xml:space="preserve"> </w:t>
      </w:r>
      <w:r w:rsidR="00B85AD3">
        <w:t>hodnocení Programu MO</w:t>
      </w:r>
      <w:r w:rsidR="00B4176A">
        <w:t xml:space="preserve"> je uvedeno, </w:t>
      </w:r>
      <w:r w:rsidR="00B4176A" w:rsidRPr="00302F79">
        <w:t>že všechny projekty byly řešeny úspěšně</w:t>
      </w:r>
      <w:r w:rsidR="00B4176A">
        <w:t xml:space="preserve"> a</w:t>
      </w:r>
      <w:r w:rsidR="00B4176A" w:rsidRPr="00B4176A">
        <w:t xml:space="preserve"> </w:t>
      </w:r>
      <w:r w:rsidR="00B4176A">
        <w:t>že na</w:t>
      </w:r>
      <w:r w:rsidR="00B85AD3">
        <w:t xml:space="preserve"> základě vyhodnocení projektů a </w:t>
      </w:r>
      <w:r w:rsidR="00B4176A" w:rsidRPr="00302F79">
        <w:t>jejich výsledků oponentními radami při uk</w:t>
      </w:r>
      <w:r w:rsidR="00044BE9">
        <w:t>ončení realizací</w:t>
      </w:r>
      <w:r w:rsidR="00B85AD3">
        <w:t xml:space="preserve"> projektů</w:t>
      </w:r>
      <w:r w:rsidR="00B4176A">
        <w:t xml:space="preserve"> převzali výsledky konkrétní uživatelé.</w:t>
      </w:r>
    </w:p>
    <w:p w14:paraId="0F875A91" w14:textId="77777777" w:rsidR="003A219E" w:rsidRDefault="003A219E" w:rsidP="00AB7C16">
      <w:pPr>
        <w:pStyle w:val="Text"/>
        <w:keepNext w:val="0"/>
      </w:pPr>
    </w:p>
    <w:p w14:paraId="329FFA55" w14:textId="5DA8101E" w:rsidR="0020003D" w:rsidRPr="004552A9" w:rsidRDefault="0020003D" w:rsidP="00074213">
      <w:pPr>
        <w:pStyle w:val="Nadpis3"/>
      </w:pPr>
      <w:bookmarkStart w:id="25" w:name="_Toc176217910"/>
      <w:bookmarkStart w:id="26" w:name="_Toc182984803"/>
      <w:r w:rsidRPr="004552A9">
        <w:t>Plánované výdaje a reálná</w:t>
      </w:r>
      <w:r w:rsidR="00363A68" w:rsidRPr="004552A9">
        <w:t xml:space="preserve"> </w:t>
      </w:r>
      <w:r w:rsidRPr="004552A9">
        <w:t>podpora</w:t>
      </w:r>
      <w:bookmarkEnd w:id="25"/>
      <w:bookmarkEnd w:id="26"/>
      <w:r w:rsidRPr="004552A9">
        <w:t xml:space="preserve"> </w:t>
      </w:r>
    </w:p>
    <w:p w14:paraId="010DB51C" w14:textId="653893D0" w:rsidR="006B423F" w:rsidRPr="00784AE7" w:rsidRDefault="005D1C5C" w:rsidP="006B423F">
      <w:pPr>
        <w:pStyle w:val="Text"/>
        <w:rPr>
          <w:highlight w:val="yellow"/>
        </w:rPr>
      </w:pPr>
      <w:r>
        <w:t>Program</w:t>
      </w:r>
      <w:r w:rsidR="009F3294" w:rsidRPr="009F3294">
        <w:t xml:space="preserve"> </w:t>
      </w:r>
      <w:r w:rsidR="00B85AD3">
        <w:t xml:space="preserve">MO </w:t>
      </w:r>
      <w:r w:rsidR="009F3294" w:rsidRPr="009F3294">
        <w:t>byl schválen s plánovaným rozpočtem 1 733 000 tis. Kč</w:t>
      </w:r>
      <w:r w:rsidR="00B85AD3">
        <w:t>.</w:t>
      </w:r>
    </w:p>
    <w:p w14:paraId="584AC54D" w14:textId="64623B29" w:rsidR="003A219E" w:rsidRDefault="00A57F50" w:rsidP="00B85AD3">
      <w:pPr>
        <w:pStyle w:val="Text"/>
      </w:pPr>
      <w:r w:rsidRPr="00A57F50">
        <w:t xml:space="preserve">Celkový objem poskytnutých účelových finančních prostředků </w:t>
      </w:r>
      <w:r w:rsidR="00CA273F">
        <w:t>dosáhl</w:t>
      </w:r>
      <w:r w:rsidRPr="00A57F50">
        <w:t xml:space="preserve"> v letech 2015 – 2022 celkem 1 544 547 tis. Kč, skutečně vynaložené účelové prostředky byly realizovány v hodnotě 1 503 594 tis. Kč. S přihlédnutím k 100 % financování projektů, výše celkových uznaných nákladů Programu </w:t>
      </w:r>
      <w:r w:rsidR="00B85AD3">
        <w:t xml:space="preserve">MO </w:t>
      </w:r>
      <w:r w:rsidRPr="00A57F50">
        <w:t>byla shodná s účelovou podporou.</w:t>
      </w:r>
    </w:p>
    <w:p w14:paraId="278481AB" w14:textId="77777777" w:rsidR="003A219E" w:rsidRDefault="003A219E">
      <w:pPr>
        <w:rPr>
          <w:rFonts w:ascii="Arial" w:hAnsi="Arial" w:cs="Arial"/>
          <w:szCs w:val="24"/>
        </w:rPr>
      </w:pPr>
      <w:r>
        <w:br w:type="page"/>
      </w:r>
    </w:p>
    <w:p w14:paraId="074F3CBC" w14:textId="4383AD16" w:rsidR="0053119B" w:rsidRPr="005E1D14" w:rsidRDefault="0020003D" w:rsidP="00074213">
      <w:pPr>
        <w:pStyle w:val="Nadpis3"/>
      </w:pPr>
      <w:bookmarkStart w:id="27" w:name="_Toc176217911"/>
      <w:bookmarkStart w:id="28" w:name="_Toc182984804"/>
      <w:r w:rsidRPr="005E1D14">
        <w:lastRenderedPageBreak/>
        <w:t>P</w:t>
      </w:r>
      <w:r w:rsidR="0053119B" w:rsidRPr="005E1D14">
        <w:t>řínosy</w:t>
      </w:r>
      <w:r w:rsidRPr="005E1D14">
        <w:t xml:space="preserve"> </w:t>
      </w:r>
      <w:r w:rsidR="00124809" w:rsidRPr="005E1D14">
        <w:t>p</w:t>
      </w:r>
      <w:r w:rsidRPr="005E1D14">
        <w:t>rogramu</w:t>
      </w:r>
      <w:bookmarkEnd w:id="27"/>
      <w:bookmarkEnd w:id="28"/>
    </w:p>
    <w:p w14:paraId="14BC2EB2" w14:textId="72B0E9D7" w:rsidR="00027326" w:rsidRDefault="00C434A7" w:rsidP="00FE1029">
      <w:pPr>
        <w:spacing w:after="120"/>
        <w:jc w:val="both"/>
        <w:rPr>
          <w:rFonts w:ascii="Arial" w:hAnsi="Arial" w:cs="Arial"/>
        </w:rPr>
      </w:pPr>
      <w:r w:rsidRPr="005E1D14">
        <w:rPr>
          <w:rFonts w:ascii="Arial" w:hAnsi="Arial" w:cs="Arial"/>
        </w:rPr>
        <w:t>Naplnění Programu jednotlivými projekty bylo realizováno skrze formu veřejných zakázek na okruhy témat definovaných v návrhu Programu</w:t>
      </w:r>
      <w:r w:rsidR="00B85AD3">
        <w:rPr>
          <w:rFonts w:ascii="Arial" w:hAnsi="Arial" w:cs="Arial"/>
        </w:rPr>
        <w:t xml:space="preserve"> MO</w:t>
      </w:r>
      <w:r w:rsidRPr="005E1D14">
        <w:rPr>
          <w:rFonts w:ascii="Arial" w:hAnsi="Arial" w:cs="Arial"/>
        </w:rPr>
        <w:t>. Konkrétní témata projektů byla navržena dle požadavků, které stanovili uživatelé z řad OS ČR. T</w:t>
      </w:r>
      <w:r w:rsidR="00B85AD3">
        <w:rPr>
          <w:rFonts w:ascii="Arial" w:hAnsi="Arial" w:cs="Arial"/>
        </w:rPr>
        <w:t>i v návrhu požadovaných témat v </w:t>
      </w:r>
      <w:r w:rsidRPr="005E1D14">
        <w:rPr>
          <w:rFonts w:ascii="Arial" w:hAnsi="Arial" w:cs="Arial"/>
        </w:rPr>
        <w:t>Programu</w:t>
      </w:r>
      <w:r w:rsidR="00B85AD3">
        <w:rPr>
          <w:rFonts w:ascii="Arial" w:hAnsi="Arial" w:cs="Arial"/>
        </w:rPr>
        <w:t xml:space="preserve"> MO</w:t>
      </w:r>
      <w:r w:rsidRPr="005E1D14">
        <w:rPr>
          <w:rFonts w:ascii="Arial" w:hAnsi="Arial" w:cs="Arial"/>
        </w:rPr>
        <w:t xml:space="preserve"> stanovili také očekávané využití a přínos pro OS ČR. Veškeré požadavky byly hodnoceny na základě kritéria shody cíle s obecnými kon</w:t>
      </w:r>
      <w:r w:rsidR="00B85AD3">
        <w:rPr>
          <w:rFonts w:ascii="Arial" w:hAnsi="Arial" w:cs="Arial"/>
        </w:rPr>
        <w:t>cepčními potřebami rozvoje MO a </w:t>
      </w:r>
      <w:r w:rsidRPr="005E1D14">
        <w:rPr>
          <w:rFonts w:ascii="Arial" w:hAnsi="Arial" w:cs="Arial"/>
        </w:rPr>
        <w:t xml:space="preserve">dle potřeb předkladatelů projektů či koncových uživatelů výsledků. </w:t>
      </w:r>
      <w:r w:rsidR="00F34BFE">
        <w:rPr>
          <w:rFonts w:ascii="Arial" w:hAnsi="Arial" w:cs="Arial"/>
        </w:rPr>
        <w:t>V rámci vyhodnocení relevance a </w:t>
      </w:r>
      <w:r w:rsidRPr="005E1D14">
        <w:rPr>
          <w:rFonts w:ascii="Arial" w:hAnsi="Arial" w:cs="Arial"/>
        </w:rPr>
        <w:t>přínosu jednotlivých návrhů ve srovnání s ostatními návrhy byly požadavky na řešen</w:t>
      </w:r>
      <w:r w:rsidR="00C34CEC">
        <w:rPr>
          <w:rFonts w:ascii="Arial" w:hAnsi="Arial" w:cs="Arial"/>
        </w:rPr>
        <w:t>í projektů posouzeny Radou pro P</w:t>
      </w:r>
      <w:r w:rsidRPr="005E1D14">
        <w:rPr>
          <w:rFonts w:ascii="Arial" w:hAnsi="Arial" w:cs="Arial"/>
        </w:rPr>
        <w:t>rogram MO</w:t>
      </w:r>
      <w:r w:rsidR="00C34CEC">
        <w:rPr>
          <w:rFonts w:ascii="Arial" w:hAnsi="Arial" w:cs="Arial"/>
        </w:rPr>
        <w:t>,</w:t>
      </w:r>
      <w:r w:rsidRPr="005E1D14">
        <w:rPr>
          <w:rFonts w:ascii="Arial" w:hAnsi="Arial" w:cs="Arial"/>
        </w:rPr>
        <w:t xml:space="preserve"> jakožto odborným orgánem poskytovatele. </w:t>
      </w:r>
    </w:p>
    <w:p w14:paraId="17D824B1" w14:textId="281481CE" w:rsidR="00F34BFE" w:rsidRDefault="00F34BFE" w:rsidP="00FE1029">
      <w:pPr>
        <w:spacing w:after="120"/>
        <w:jc w:val="both"/>
        <w:rPr>
          <w:rFonts w:ascii="Arial" w:hAnsi="Arial" w:cs="Arial"/>
        </w:rPr>
      </w:pPr>
      <w:r w:rsidRPr="00F34BFE">
        <w:rPr>
          <w:rFonts w:ascii="Arial" w:hAnsi="Arial" w:cs="Arial"/>
        </w:rPr>
        <w:t>Cíle Programu</w:t>
      </w:r>
      <w:r w:rsidR="00C34CEC">
        <w:rPr>
          <w:rFonts w:ascii="Arial" w:hAnsi="Arial" w:cs="Arial"/>
        </w:rPr>
        <w:t xml:space="preserve"> MO</w:t>
      </w:r>
      <w:r w:rsidRPr="00F34BFE">
        <w:rPr>
          <w:rFonts w:ascii="Arial" w:hAnsi="Arial" w:cs="Arial"/>
        </w:rPr>
        <w:t xml:space="preserve"> byly navrženy za účelem rozvoje potenciálu nových technologií a možností, které nabízí jejich využití ve vojenství</w:t>
      </w:r>
      <w:r w:rsidR="00C34CEC">
        <w:rPr>
          <w:rFonts w:ascii="Arial" w:hAnsi="Arial" w:cs="Arial"/>
        </w:rPr>
        <w:t>,</w:t>
      </w:r>
      <w:r w:rsidRPr="00F34BFE">
        <w:rPr>
          <w:rFonts w:ascii="Arial" w:hAnsi="Arial" w:cs="Arial"/>
        </w:rPr>
        <w:t xml:space="preserve"> a to pro podporu naplnění úkolů MO v oblasti zabezpečení obranyschopnosti a bezpečnosti státu. </w:t>
      </w:r>
      <w:r>
        <w:rPr>
          <w:rFonts w:ascii="Arial" w:hAnsi="Arial" w:cs="Arial"/>
        </w:rPr>
        <w:t>Stanovené cíle jsou v souladu s </w:t>
      </w:r>
      <w:r w:rsidRPr="00F34BFE">
        <w:rPr>
          <w:rFonts w:ascii="Arial" w:hAnsi="Arial" w:cs="Arial"/>
        </w:rPr>
        <w:t>dlouhodobými cíli NATO a EU v oblasti obranného a bezpečnostního výzkumu a vývoje</w:t>
      </w:r>
      <w:r>
        <w:rPr>
          <w:rFonts w:ascii="Arial" w:hAnsi="Arial" w:cs="Arial"/>
        </w:rPr>
        <w:t>.</w:t>
      </w:r>
    </w:p>
    <w:p w14:paraId="311EB33D" w14:textId="3D6F1882" w:rsidR="00212CF5" w:rsidRDefault="00212CF5" w:rsidP="00FE1029">
      <w:pPr>
        <w:spacing w:after="120"/>
        <w:jc w:val="both"/>
      </w:pPr>
      <w:r>
        <w:t>Hlavním přínosem Programu</w:t>
      </w:r>
      <w:r w:rsidR="00C34CEC">
        <w:t xml:space="preserve"> MO</w:t>
      </w:r>
      <w:r>
        <w:t xml:space="preserve"> je rozvoj definovaných operačních schopností OS ČR, nezbytných pro zabezpečení obrany země, dosažení deklarovaných politicko-vojenských ambicí ČR a k naplnění rolí a funkcí OS ČR. Dosažené schopnosti umožňují účinnější vedení operací různého charakteru a intenzity ve všech doménách vedení bojové činnosti, s ohledem na interoperabilitu se spojenci. </w:t>
      </w:r>
    </w:p>
    <w:p w14:paraId="3E5C50F4" w14:textId="273409DF" w:rsidR="00212CF5" w:rsidRDefault="00212CF5" w:rsidP="00FE1029">
      <w:pPr>
        <w:spacing w:after="120"/>
        <w:jc w:val="both"/>
      </w:pPr>
      <w:r>
        <w:t xml:space="preserve">Dále Program </w:t>
      </w:r>
      <w:r w:rsidR="00C34CEC">
        <w:t xml:space="preserve">MO </w:t>
      </w:r>
      <w:r>
        <w:t xml:space="preserve">pomohl stanovit nové úkoly s ohledem na aktuální bezpečnostní prostředí a stav výzkumu a vývoje v jednotlivých zkoumaných oblastech. Podstatným přínosem se stalo udržení a stabilizace kvalifikované obranné a bezpečnostní výzkumně-vývojové základny v ČR, která je jedním z předpokladu pro navazující rozvoj schopností OS ČR. </w:t>
      </w:r>
    </w:p>
    <w:p w14:paraId="2059BA55" w14:textId="2778AB99" w:rsidR="007D75AD" w:rsidRDefault="00212CF5" w:rsidP="00FE1029">
      <w:pPr>
        <w:spacing w:after="120"/>
        <w:jc w:val="both"/>
      </w:pPr>
      <w:r w:rsidRPr="00212CF5">
        <w:t>Program</w:t>
      </w:r>
      <w:r w:rsidR="00C34CEC">
        <w:t xml:space="preserve"> MO</w:t>
      </w:r>
      <w:r w:rsidRPr="00212CF5">
        <w:t xml:space="preserve"> byl koncipován tak, aby podporoval proje</w:t>
      </w:r>
      <w:r w:rsidR="00C34CEC">
        <w:t>kty, které vedou prokazatelně k </w:t>
      </w:r>
      <w:r w:rsidRPr="00212CF5">
        <w:t>uplatnění nových služeb, postupů, materiálů, technologií a výrobků při zabezpečení schopností o</w:t>
      </w:r>
      <w:r>
        <w:t>zbrojených sil ČR a složek MO. Závěrečn</w:t>
      </w:r>
      <w:r w:rsidR="00C34CEC">
        <w:t>é hodnocení Programu MO uvádí, že </w:t>
      </w:r>
      <w:r>
        <w:t>na základě vyhodnocení Programu</w:t>
      </w:r>
      <w:r w:rsidR="00C34CEC">
        <w:t xml:space="preserve"> MO</w:t>
      </w:r>
      <w:r>
        <w:t xml:space="preserve"> lze konstatovat, že výsledky Programu </w:t>
      </w:r>
      <w:r w:rsidR="00C34CEC">
        <w:t xml:space="preserve">MO </w:t>
      </w:r>
      <w:r>
        <w:t>naplnily stanovená zadání a cíle.</w:t>
      </w:r>
    </w:p>
    <w:p w14:paraId="58992F97" w14:textId="2F926AB0" w:rsidR="00212CF5" w:rsidRPr="007D75AD" w:rsidRDefault="007D75AD" w:rsidP="007D75AD">
      <w:r>
        <w:br w:type="page"/>
      </w:r>
    </w:p>
    <w:p w14:paraId="1FADF029" w14:textId="30B72DCE" w:rsidR="001A75BA" w:rsidRPr="00B47D91" w:rsidRDefault="00A05161" w:rsidP="00A05161">
      <w:pPr>
        <w:keepNext/>
        <w:keepLines/>
        <w:pageBreakBefore/>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bookmarkStart w:id="29" w:name="_Toc182984805"/>
      <w:r w:rsidRPr="00B47D91">
        <w:rPr>
          <w:rFonts w:ascii="Arial" w:eastAsia="Times New Roman" w:hAnsi="Arial" w:cs="Arial"/>
          <w:b/>
          <w:bCs/>
          <w:color w:val="365F91" w:themeColor="accent1" w:themeShade="BF"/>
          <w:sz w:val="32"/>
          <w:szCs w:val="28"/>
        </w:rPr>
        <w:lastRenderedPageBreak/>
        <w:t>Skupina grantových projektů: Podpora mezinárodní spoluprá</w:t>
      </w:r>
      <w:r w:rsidR="00C34CEC" w:rsidRPr="00B47D91">
        <w:rPr>
          <w:rFonts w:ascii="Arial" w:eastAsia="Times New Roman" w:hAnsi="Arial" w:cs="Arial"/>
          <w:b/>
          <w:bCs/>
          <w:color w:val="365F91" w:themeColor="accent1" w:themeShade="BF"/>
          <w:sz w:val="32"/>
          <w:szCs w:val="28"/>
        </w:rPr>
        <w:t>ce pro </w:t>
      </w:r>
      <w:r w:rsidRPr="00B47D91">
        <w:rPr>
          <w:rFonts w:ascii="Arial" w:eastAsia="Times New Roman" w:hAnsi="Arial" w:cs="Arial"/>
          <w:b/>
          <w:bCs/>
          <w:color w:val="365F91" w:themeColor="accent1" w:themeShade="BF"/>
          <w:sz w:val="32"/>
          <w:szCs w:val="28"/>
        </w:rPr>
        <w:t>získávání ERC grantů - „Podpora ERC žadatelů“ (2016</w:t>
      </w:r>
      <w:r w:rsidR="00B47D91" w:rsidRPr="00B47D91">
        <w:rPr>
          <w:rFonts w:ascii="Arial" w:eastAsia="Times New Roman" w:hAnsi="Arial" w:cs="Arial"/>
          <w:b/>
          <w:bCs/>
          <w:color w:val="365F91" w:themeColor="accent1" w:themeShade="BF"/>
          <w:sz w:val="32"/>
          <w:szCs w:val="28"/>
        </w:rPr>
        <w:t xml:space="preserve"> </w:t>
      </w:r>
      <w:r w:rsidR="00B47D91" w:rsidRPr="00B47D91">
        <w:rPr>
          <w:rFonts w:ascii="Arial" w:eastAsia="Times New Roman" w:hAnsi="Arial" w:cs="Arial"/>
          <w:b/>
          <w:bCs/>
          <w:color w:val="365F91" w:themeColor="accent1" w:themeShade="BF"/>
          <w:sz w:val="32"/>
          <w:szCs w:val="28"/>
        </w:rPr>
        <w:noBreakHyphen/>
        <w:t xml:space="preserve"> </w:t>
      </w:r>
      <w:r w:rsidRPr="00B47D91">
        <w:rPr>
          <w:rFonts w:ascii="Arial" w:eastAsia="Times New Roman" w:hAnsi="Arial" w:cs="Arial"/>
          <w:b/>
          <w:bCs/>
          <w:color w:val="365F91" w:themeColor="accent1" w:themeShade="BF"/>
          <w:sz w:val="32"/>
          <w:szCs w:val="28"/>
        </w:rPr>
        <w:t>2022)</w:t>
      </w:r>
      <w:bookmarkEnd w:id="29"/>
    </w:p>
    <w:p w14:paraId="7A16E773" w14:textId="1BE8B830" w:rsidR="003C1CEF" w:rsidRDefault="002A3155" w:rsidP="00653CB1">
      <w:pPr>
        <w:tabs>
          <w:tab w:val="right" w:pos="14742"/>
        </w:tabs>
        <w:spacing w:after="0"/>
        <w:jc w:val="both"/>
      </w:pPr>
      <w:r w:rsidRPr="002A3155">
        <w:rPr>
          <w:rFonts w:cstheme="minorHAnsi"/>
          <w:color w:val="000000"/>
        </w:rPr>
        <w:t>Podpora ERC byla poskytová</w:t>
      </w:r>
      <w:r w:rsidR="00653CB1">
        <w:rPr>
          <w:rFonts w:cstheme="minorHAnsi"/>
          <w:color w:val="000000"/>
        </w:rPr>
        <w:t xml:space="preserve">na v období mezi lety 2016–2022 a byla schválena Usnesením vlády </w:t>
      </w:r>
      <w:r w:rsidR="00653CB1" w:rsidRPr="00653CB1">
        <w:rPr>
          <w:rFonts w:cstheme="minorHAnsi"/>
          <w:color w:val="000000"/>
        </w:rPr>
        <w:t>ze dne 18. května 2016 č. 448</w:t>
      </w:r>
      <w:r w:rsidR="00C82F55">
        <w:rPr>
          <w:rFonts w:cstheme="minorHAnsi"/>
          <w:color w:val="000000"/>
        </w:rPr>
        <w:t xml:space="preserve"> s celkovým rozpočtem 50 mil. </w:t>
      </w:r>
      <w:r w:rsidR="00C34CEC">
        <w:rPr>
          <w:rFonts w:cstheme="minorHAnsi"/>
          <w:color w:val="000000"/>
        </w:rPr>
        <w:t xml:space="preserve">Kč. </w:t>
      </w:r>
      <w:r w:rsidRPr="002A3155">
        <w:rPr>
          <w:rFonts w:cstheme="minorHAnsi"/>
          <w:color w:val="000000"/>
        </w:rPr>
        <w:t>Doba řešení</w:t>
      </w:r>
      <w:r w:rsidR="00C34CEC">
        <w:rPr>
          <w:rFonts w:cstheme="minorHAnsi"/>
          <w:color w:val="000000"/>
        </w:rPr>
        <w:t xml:space="preserve"> projektů</w:t>
      </w:r>
      <w:r w:rsidRPr="002A3155">
        <w:rPr>
          <w:rFonts w:cstheme="minorHAnsi"/>
          <w:color w:val="000000"/>
        </w:rPr>
        <w:t xml:space="preserve"> byla stanovena </w:t>
      </w:r>
      <w:r w:rsidR="00F5517B">
        <w:rPr>
          <w:rFonts w:cstheme="minorHAnsi"/>
          <w:color w:val="000000"/>
        </w:rPr>
        <w:t>s ohledem na splnění zaměření a </w:t>
      </w:r>
      <w:r w:rsidRPr="002A3155">
        <w:rPr>
          <w:rFonts w:cstheme="minorHAnsi"/>
          <w:color w:val="000000"/>
        </w:rPr>
        <w:t>cílů na 3-6 měsíců.</w:t>
      </w:r>
      <w:r w:rsidR="003C1CEF" w:rsidRPr="003C1CEF">
        <w:t xml:space="preserve"> </w:t>
      </w:r>
    </w:p>
    <w:p w14:paraId="3E39D05C" w14:textId="58FA4AC8" w:rsidR="003C1CEF" w:rsidRDefault="003C1CEF" w:rsidP="00653CB1">
      <w:pPr>
        <w:tabs>
          <w:tab w:val="right" w:pos="14742"/>
        </w:tabs>
        <w:spacing w:after="0"/>
        <w:jc w:val="both"/>
      </w:pPr>
    </w:p>
    <w:p w14:paraId="1513B314" w14:textId="160945C2" w:rsidR="00B509E5" w:rsidRDefault="00B509E5" w:rsidP="00653CB1">
      <w:pPr>
        <w:tabs>
          <w:tab w:val="right" w:pos="14742"/>
        </w:tabs>
        <w:spacing w:after="0"/>
        <w:jc w:val="both"/>
      </w:pPr>
      <w:r>
        <w:t xml:space="preserve">Poskytovatel: Grantová agentura </w:t>
      </w:r>
      <w:r>
        <w:rPr>
          <w:rFonts w:cstheme="minorHAnsi"/>
          <w:color w:val="000000"/>
        </w:rPr>
        <w:t>(dále jen „GA</w:t>
      </w:r>
      <w:r w:rsidR="00DD78CC">
        <w:rPr>
          <w:rFonts w:cstheme="minorHAnsi"/>
          <w:color w:val="000000"/>
        </w:rPr>
        <w:t xml:space="preserve"> </w:t>
      </w:r>
      <w:r>
        <w:rPr>
          <w:rFonts w:cstheme="minorHAnsi"/>
          <w:color w:val="000000"/>
        </w:rPr>
        <w:t>ČR“).</w:t>
      </w:r>
    </w:p>
    <w:p w14:paraId="5855F6E7" w14:textId="77777777" w:rsidR="00B509E5" w:rsidRDefault="00B509E5" w:rsidP="00653CB1">
      <w:pPr>
        <w:tabs>
          <w:tab w:val="right" w:pos="14742"/>
        </w:tabs>
        <w:spacing w:after="0"/>
        <w:jc w:val="both"/>
      </w:pPr>
    </w:p>
    <w:p w14:paraId="35F11CA3" w14:textId="7667DC1E" w:rsidR="003C1CEF" w:rsidRDefault="003C1CEF" w:rsidP="003C1CEF">
      <w:pPr>
        <w:tabs>
          <w:tab w:val="right" w:pos="14742"/>
        </w:tabs>
        <w:spacing w:after="0"/>
        <w:jc w:val="both"/>
        <w:rPr>
          <w:rFonts w:cstheme="minorHAnsi"/>
          <w:color w:val="000000"/>
        </w:rPr>
      </w:pPr>
      <w:r w:rsidRPr="003C1CEF">
        <w:rPr>
          <w:rFonts w:cstheme="minorHAnsi"/>
          <w:color w:val="000000"/>
        </w:rPr>
        <w:t xml:space="preserve">Podpora ERC vychází z výzvy Evropské výzkumné rady (ERC). Tato organizace je zaměřena na financování projektů základního výzkumu, které mají ve všech vědních disciplínách za cíl dosáhnout zásadních posunů v poznání. Ve spolupráci s organizacemi zajišťujícími financování základního výzkumu v  národním měřítku také usiluje o podporu výzkumného potenciálu napříč členskými zeměmi Evropské unie. </w:t>
      </w:r>
    </w:p>
    <w:p w14:paraId="45B6888E" w14:textId="35A29B00" w:rsidR="001A75BA" w:rsidRDefault="001A75BA" w:rsidP="008D7A46">
      <w:pPr>
        <w:tabs>
          <w:tab w:val="right" w:pos="14742"/>
        </w:tabs>
        <w:spacing w:after="0"/>
        <w:rPr>
          <w:rFonts w:cstheme="minorHAnsi"/>
          <w:color w:val="000000"/>
          <w:highlight w:val="yellow"/>
        </w:rPr>
      </w:pPr>
    </w:p>
    <w:p w14:paraId="26F102E3" w14:textId="526790E4" w:rsidR="001A75BA" w:rsidRPr="003C1CEF" w:rsidRDefault="00A703F6" w:rsidP="003C1CEF">
      <w:pPr>
        <w:pStyle w:val="Nadpis3"/>
        <w:numPr>
          <w:ilvl w:val="2"/>
          <w:numId w:val="16"/>
        </w:numPr>
      </w:pPr>
      <w:bookmarkStart w:id="30" w:name="_Toc176217913"/>
      <w:bookmarkStart w:id="31" w:name="_Toc182984806"/>
      <w:r w:rsidRPr="00B456EA">
        <w:t>Cíle programu a jejich plnění</w:t>
      </w:r>
      <w:bookmarkEnd w:id="30"/>
      <w:bookmarkEnd w:id="31"/>
    </w:p>
    <w:p w14:paraId="60425B3B" w14:textId="16F0550A" w:rsidR="003C1CEF" w:rsidRDefault="003C1CEF" w:rsidP="003C1CEF">
      <w:pPr>
        <w:tabs>
          <w:tab w:val="right" w:pos="14742"/>
        </w:tabs>
        <w:spacing w:after="0"/>
        <w:jc w:val="both"/>
        <w:rPr>
          <w:rFonts w:cstheme="minorHAnsi"/>
          <w:color w:val="000000"/>
          <w:highlight w:val="yellow"/>
        </w:rPr>
      </w:pPr>
      <w:r w:rsidRPr="003C1CEF">
        <w:rPr>
          <w:rFonts w:cstheme="minorHAnsi"/>
          <w:color w:val="000000"/>
        </w:rPr>
        <w:t>Granty ERC jsou v současné době v evropských věde</w:t>
      </w:r>
      <w:r w:rsidR="00C34CEC">
        <w:rPr>
          <w:rFonts w:cstheme="minorHAnsi"/>
          <w:color w:val="000000"/>
        </w:rPr>
        <w:t>ckých strukturách považovány za </w:t>
      </w:r>
      <w:r w:rsidRPr="003C1CEF">
        <w:rPr>
          <w:rFonts w:cstheme="minorHAnsi"/>
          <w:color w:val="000000"/>
        </w:rPr>
        <w:t>nejprestižnější potvrzení excelence, a to nejenom samotných ře</w:t>
      </w:r>
      <w:r>
        <w:rPr>
          <w:rFonts w:cstheme="minorHAnsi"/>
          <w:color w:val="000000"/>
        </w:rPr>
        <w:t>šite</w:t>
      </w:r>
      <w:r w:rsidR="00C34CEC">
        <w:rPr>
          <w:rFonts w:cstheme="minorHAnsi"/>
          <w:color w:val="000000"/>
        </w:rPr>
        <w:t>lů a jejich projektů, ale </w:t>
      </w:r>
      <w:r>
        <w:rPr>
          <w:rFonts w:cstheme="minorHAnsi"/>
          <w:color w:val="000000"/>
        </w:rPr>
        <w:t>i </w:t>
      </w:r>
      <w:r w:rsidRPr="003C1CEF">
        <w:rPr>
          <w:rFonts w:cstheme="minorHAnsi"/>
          <w:color w:val="000000"/>
        </w:rPr>
        <w:t>vědeckých a výzkumných institucí, na kterých tito vědci pracují. Získání ERC grantů je významné pro posílení reputace řešitele, jeho týmu i pracoviště v mezinárodním vědecko-výzkumném prostoru.</w:t>
      </w:r>
      <w:r>
        <w:rPr>
          <w:rFonts w:cstheme="minorHAnsi"/>
          <w:color w:val="000000"/>
        </w:rPr>
        <w:t xml:space="preserve"> </w:t>
      </w:r>
      <w:r w:rsidR="00C34CEC">
        <w:rPr>
          <w:rFonts w:cstheme="minorHAnsi"/>
          <w:color w:val="000000"/>
        </w:rPr>
        <w:t>Z</w:t>
      </w:r>
      <w:r>
        <w:rPr>
          <w:rFonts w:cstheme="minorHAnsi"/>
          <w:color w:val="000000"/>
        </w:rPr>
        <w:t> důvodu nedostatku zájmu ze s</w:t>
      </w:r>
      <w:r w:rsidR="00B509E5">
        <w:rPr>
          <w:rFonts w:cstheme="minorHAnsi"/>
          <w:color w:val="000000"/>
        </w:rPr>
        <w:t>trany žadatelů GA</w:t>
      </w:r>
      <w:r>
        <w:rPr>
          <w:rFonts w:cstheme="minorHAnsi"/>
          <w:color w:val="000000"/>
        </w:rPr>
        <w:t xml:space="preserve"> ČR podpořila pouze jeden </w:t>
      </w:r>
      <w:r w:rsidRPr="003C1CEF">
        <w:rPr>
          <w:rFonts w:cstheme="minorHAnsi"/>
          <w:color w:val="000000"/>
        </w:rPr>
        <w:t xml:space="preserve">projekt, který naplnil své cíle. </w:t>
      </w:r>
    </w:p>
    <w:p w14:paraId="12BC8B5F" w14:textId="77777777" w:rsidR="003C1CEF" w:rsidRDefault="003C1CEF" w:rsidP="003C1CEF">
      <w:pPr>
        <w:tabs>
          <w:tab w:val="right" w:pos="14742"/>
        </w:tabs>
        <w:spacing w:after="0"/>
        <w:jc w:val="both"/>
        <w:rPr>
          <w:rFonts w:cstheme="minorHAnsi"/>
          <w:color w:val="000000"/>
          <w:highlight w:val="yellow"/>
        </w:rPr>
      </w:pPr>
    </w:p>
    <w:p w14:paraId="3E782FBB" w14:textId="7ACFB20B" w:rsidR="00C82F55" w:rsidRPr="00C82F55" w:rsidRDefault="003C1CEF" w:rsidP="003C1CEF">
      <w:pPr>
        <w:tabs>
          <w:tab w:val="right" w:pos="14742"/>
        </w:tabs>
        <w:spacing w:after="0"/>
        <w:jc w:val="both"/>
        <w:rPr>
          <w:rFonts w:cstheme="minorHAnsi"/>
          <w:color w:val="000000"/>
        </w:rPr>
      </w:pPr>
      <w:r w:rsidRPr="00C82F55">
        <w:rPr>
          <w:rFonts w:cstheme="minorHAnsi"/>
          <w:color w:val="000000"/>
        </w:rPr>
        <w:t xml:space="preserve">Řešitelka </w:t>
      </w:r>
      <w:r w:rsidR="00C34CEC">
        <w:rPr>
          <w:rFonts w:cstheme="minorHAnsi"/>
          <w:color w:val="000000"/>
        </w:rPr>
        <w:t xml:space="preserve">jediného projektu </w:t>
      </w:r>
      <w:r w:rsidRPr="00C82F55">
        <w:rPr>
          <w:rFonts w:cstheme="minorHAnsi"/>
          <w:color w:val="000000"/>
        </w:rPr>
        <w:t>výrazně posunula hranice svých dovedností připravit mezinárodně konkurenceschopný projekt. Přestože se projektu nepodařilo získat ERC grant, neztratil na svých kvalitách a řešitelka zí</w:t>
      </w:r>
      <w:r w:rsidR="00511408">
        <w:rPr>
          <w:rFonts w:cstheme="minorHAnsi"/>
          <w:color w:val="000000"/>
        </w:rPr>
        <w:t>skala za tento projekt ocenění D</w:t>
      </w:r>
      <w:r w:rsidRPr="00C82F55">
        <w:rPr>
          <w:rFonts w:cstheme="minorHAnsi"/>
          <w:color w:val="000000"/>
        </w:rPr>
        <w:t xml:space="preserve">ěkana Fakulty filozofické Západočeské Univerzity v Plzni. </w:t>
      </w:r>
    </w:p>
    <w:p w14:paraId="24DB656B" w14:textId="77777777" w:rsidR="00C82F55" w:rsidRPr="00C82F55" w:rsidRDefault="00C82F55" w:rsidP="003C1CEF">
      <w:pPr>
        <w:tabs>
          <w:tab w:val="right" w:pos="14742"/>
        </w:tabs>
        <w:spacing w:after="0"/>
        <w:jc w:val="both"/>
        <w:rPr>
          <w:rFonts w:cstheme="minorHAnsi"/>
          <w:color w:val="000000"/>
        </w:rPr>
      </w:pPr>
    </w:p>
    <w:p w14:paraId="281CAE38" w14:textId="2F45FBEB" w:rsidR="003A219E" w:rsidRDefault="00C34CEC" w:rsidP="003C1CEF">
      <w:pPr>
        <w:tabs>
          <w:tab w:val="right" w:pos="14742"/>
        </w:tabs>
        <w:spacing w:after="0"/>
        <w:jc w:val="both"/>
        <w:rPr>
          <w:rFonts w:cstheme="minorHAnsi"/>
          <w:color w:val="000000"/>
        </w:rPr>
      </w:pPr>
      <w:r>
        <w:rPr>
          <w:rFonts w:cstheme="minorHAnsi"/>
          <w:color w:val="000000"/>
        </w:rPr>
        <w:t>P</w:t>
      </w:r>
      <w:r w:rsidR="003C1CEF" w:rsidRPr="00C82F55">
        <w:rPr>
          <w:rFonts w:cstheme="minorHAnsi"/>
          <w:color w:val="000000"/>
        </w:rPr>
        <w:t xml:space="preserve">otenciál </w:t>
      </w:r>
      <w:r>
        <w:rPr>
          <w:rFonts w:cstheme="minorHAnsi"/>
          <w:color w:val="000000"/>
        </w:rPr>
        <w:t>Podpory ERC</w:t>
      </w:r>
      <w:r w:rsidR="003C1CEF" w:rsidRPr="00C82F55">
        <w:rPr>
          <w:rFonts w:cstheme="minorHAnsi"/>
          <w:color w:val="000000"/>
        </w:rPr>
        <w:t xml:space="preserve"> nebyl českou vědeckou obcí využit. </w:t>
      </w:r>
      <w:r>
        <w:rPr>
          <w:rFonts w:cstheme="minorHAnsi"/>
          <w:color w:val="000000"/>
        </w:rPr>
        <w:t>Podpora ERC</w:t>
      </w:r>
      <w:r w:rsidR="003C1CEF" w:rsidRPr="00C82F55">
        <w:rPr>
          <w:rFonts w:cstheme="minorHAnsi"/>
          <w:color w:val="000000"/>
        </w:rPr>
        <w:t xml:space="preserve"> nenaplnila svá očekávání a na základě toho </w:t>
      </w:r>
      <w:r>
        <w:rPr>
          <w:rFonts w:cstheme="minorHAnsi"/>
          <w:color w:val="000000"/>
        </w:rPr>
        <w:t>GAČR sama</w:t>
      </w:r>
      <w:r w:rsidR="003C1CEF" w:rsidRPr="00C82F55">
        <w:rPr>
          <w:rFonts w:cstheme="minorHAnsi"/>
          <w:color w:val="000000"/>
        </w:rPr>
        <w:t xml:space="preserve"> </w:t>
      </w:r>
      <w:r w:rsidR="00511408">
        <w:rPr>
          <w:rFonts w:cstheme="minorHAnsi"/>
          <w:color w:val="000000"/>
        </w:rPr>
        <w:t xml:space="preserve">v Závěrečné zprávě Podpory ERC (Příloha C) </w:t>
      </w:r>
      <w:r w:rsidR="003C1CEF" w:rsidRPr="00C82F55">
        <w:rPr>
          <w:rFonts w:cstheme="minorHAnsi"/>
          <w:color w:val="000000"/>
        </w:rPr>
        <w:t>konstatova</w:t>
      </w:r>
      <w:r>
        <w:rPr>
          <w:rFonts w:cstheme="minorHAnsi"/>
          <w:color w:val="000000"/>
        </w:rPr>
        <w:t>la</w:t>
      </w:r>
      <w:r w:rsidR="003C1CEF" w:rsidRPr="00C82F55">
        <w:rPr>
          <w:rFonts w:cstheme="minorHAnsi"/>
          <w:color w:val="000000"/>
        </w:rPr>
        <w:t xml:space="preserve">, že cíle </w:t>
      </w:r>
      <w:r>
        <w:rPr>
          <w:rFonts w:cstheme="minorHAnsi"/>
          <w:color w:val="000000"/>
        </w:rPr>
        <w:t>Podpory ERC</w:t>
      </w:r>
      <w:r w:rsidR="003C1CEF" w:rsidRPr="00C82F55">
        <w:rPr>
          <w:rFonts w:cstheme="minorHAnsi"/>
          <w:color w:val="000000"/>
        </w:rPr>
        <w:t xml:space="preserve"> nebyly naplněny. Cílem </w:t>
      </w:r>
      <w:r>
        <w:rPr>
          <w:rFonts w:cstheme="minorHAnsi"/>
          <w:color w:val="000000"/>
        </w:rPr>
        <w:t>Podpory</w:t>
      </w:r>
      <w:r w:rsidR="003C1CEF" w:rsidRPr="00C82F55">
        <w:rPr>
          <w:rFonts w:cstheme="minorHAnsi"/>
          <w:color w:val="000000"/>
        </w:rPr>
        <w:t xml:space="preserve"> ERC bylo především napomoci</w:t>
      </w:r>
      <w:r>
        <w:rPr>
          <w:rFonts w:cstheme="minorHAnsi"/>
          <w:color w:val="000000"/>
        </w:rPr>
        <w:t xml:space="preserve"> českým vědcům podat kvalitní a </w:t>
      </w:r>
      <w:r w:rsidR="003C1CEF" w:rsidRPr="00C82F55">
        <w:rPr>
          <w:rFonts w:cstheme="minorHAnsi"/>
          <w:color w:val="000000"/>
        </w:rPr>
        <w:t>konkurenceschopný návrh do soutěže ERC, a tím také zvýšit poče</w:t>
      </w:r>
      <w:r w:rsidR="008848CB">
        <w:rPr>
          <w:rFonts w:cstheme="minorHAnsi"/>
          <w:color w:val="000000"/>
        </w:rPr>
        <w:t>t řešených ERC grantů v </w:t>
      </w:r>
      <w:r w:rsidR="003C1CEF" w:rsidRPr="00C82F55">
        <w:rPr>
          <w:rFonts w:cstheme="minorHAnsi"/>
          <w:color w:val="000000"/>
        </w:rPr>
        <w:t xml:space="preserve">České republice. Tohoto cíle se prostřednictvím této skupiny grantových projektů nepodařilo dosáhnout, a to kvůli nízkému zájmu ze strany vědecké komunity, pro kterou byla </w:t>
      </w:r>
      <w:r w:rsidR="008848CB">
        <w:rPr>
          <w:rFonts w:cstheme="minorHAnsi"/>
          <w:color w:val="000000"/>
        </w:rPr>
        <w:t>Podpora ERC</w:t>
      </w:r>
      <w:r w:rsidR="003C1CEF" w:rsidRPr="00C82F55">
        <w:rPr>
          <w:rFonts w:cstheme="minorHAnsi"/>
          <w:color w:val="000000"/>
        </w:rPr>
        <w:t xml:space="preserve"> určena. </w:t>
      </w:r>
    </w:p>
    <w:p w14:paraId="2ADE28E9" w14:textId="77777777" w:rsidR="003A219E" w:rsidRDefault="003A219E">
      <w:pPr>
        <w:rPr>
          <w:rFonts w:cstheme="minorHAnsi"/>
          <w:color w:val="000000"/>
        </w:rPr>
      </w:pPr>
      <w:r>
        <w:rPr>
          <w:rFonts w:cstheme="minorHAnsi"/>
          <w:color w:val="000000"/>
        </w:rPr>
        <w:br w:type="page"/>
      </w:r>
    </w:p>
    <w:p w14:paraId="6FEAA412" w14:textId="77777777" w:rsidR="00EB760D" w:rsidRDefault="00EB760D" w:rsidP="00EB760D">
      <w:pPr>
        <w:pStyle w:val="Nadpis3"/>
        <w:numPr>
          <w:ilvl w:val="2"/>
          <w:numId w:val="16"/>
        </w:numPr>
      </w:pPr>
      <w:bookmarkStart w:id="32" w:name="_Toc176217914"/>
      <w:bookmarkStart w:id="33" w:name="_Toc182984807"/>
      <w:r w:rsidRPr="005F3EBF">
        <w:lastRenderedPageBreak/>
        <w:t>Výsledky programu</w:t>
      </w:r>
      <w:bookmarkEnd w:id="32"/>
      <w:bookmarkEnd w:id="33"/>
    </w:p>
    <w:p w14:paraId="7B254B20" w14:textId="5EE9E517" w:rsidR="00EB760D" w:rsidRDefault="00EB760D" w:rsidP="00EB760D">
      <w:pPr>
        <w:tabs>
          <w:tab w:val="right" w:pos="14742"/>
        </w:tabs>
        <w:spacing w:after="0"/>
        <w:jc w:val="both"/>
        <w:rPr>
          <w:rFonts w:cstheme="minorHAnsi"/>
          <w:color w:val="000000"/>
        </w:rPr>
      </w:pPr>
      <w:r w:rsidRPr="00EB760D">
        <w:rPr>
          <w:rFonts w:cstheme="minorHAnsi"/>
          <w:color w:val="000000"/>
        </w:rPr>
        <w:t xml:space="preserve">Z důvodu nedostatku zájmu ze strany českých řešitelů byl podpořen pouze </w:t>
      </w:r>
      <w:r>
        <w:rPr>
          <w:rFonts w:cstheme="minorHAnsi"/>
          <w:color w:val="000000"/>
        </w:rPr>
        <w:t xml:space="preserve">jeden </w:t>
      </w:r>
      <w:r w:rsidRPr="00EB760D">
        <w:rPr>
          <w:rFonts w:cstheme="minorHAnsi"/>
          <w:color w:val="000000"/>
        </w:rPr>
        <w:t>projekt</w:t>
      </w:r>
      <w:r w:rsidR="008848CB">
        <w:rPr>
          <w:rFonts w:cstheme="minorHAnsi"/>
          <w:color w:val="000000"/>
        </w:rPr>
        <w:t>.</w:t>
      </w:r>
    </w:p>
    <w:p w14:paraId="3F9E04BB" w14:textId="77777777" w:rsidR="00EB760D" w:rsidRDefault="00EB760D" w:rsidP="00EB760D">
      <w:pPr>
        <w:tabs>
          <w:tab w:val="right" w:pos="14742"/>
        </w:tabs>
        <w:spacing w:after="0"/>
        <w:jc w:val="both"/>
        <w:rPr>
          <w:rFonts w:cstheme="minorHAnsi"/>
          <w:color w:val="000000"/>
        </w:rPr>
      </w:pPr>
    </w:p>
    <w:p w14:paraId="2CC0EC2C" w14:textId="65722B77" w:rsidR="008848CB" w:rsidRDefault="00EB760D" w:rsidP="00EB760D">
      <w:pPr>
        <w:tabs>
          <w:tab w:val="right" w:pos="14742"/>
        </w:tabs>
        <w:spacing w:after="0"/>
        <w:jc w:val="both"/>
        <w:rPr>
          <w:rFonts w:cstheme="minorHAnsi"/>
          <w:color w:val="000000"/>
        </w:rPr>
      </w:pPr>
      <w:r>
        <w:rPr>
          <w:rFonts w:cstheme="minorHAnsi"/>
          <w:color w:val="000000"/>
        </w:rPr>
        <w:t>Cílem projektu</w:t>
      </w:r>
      <w:r w:rsidRPr="00EB760D">
        <w:rPr>
          <w:rFonts w:cstheme="minorHAnsi"/>
          <w:color w:val="000000"/>
        </w:rPr>
        <w:t xml:space="preserve"> bylo významně dopracovat původní záměr</w:t>
      </w:r>
      <w:r>
        <w:rPr>
          <w:rFonts w:cstheme="minorHAnsi"/>
          <w:color w:val="000000"/>
        </w:rPr>
        <w:t xml:space="preserve"> a napsat </w:t>
      </w:r>
      <w:r w:rsidRPr="00EB760D">
        <w:rPr>
          <w:rFonts w:cstheme="minorHAnsi"/>
          <w:color w:val="000000"/>
        </w:rPr>
        <w:t>konkurenceschopnou projektovou žádost do grantové soutěže ERC na úrovni „</w:t>
      </w:r>
      <w:proofErr w:type="spellStart"/>
      <w:r w:rsidRPr="00EB760D">
        <w:rPr>
          <w:rFonts w:cstheme="minorHAnsi"/>
          <w:color w:val="000000"/>
        </w:rPr>
        <w:t>Consolidator</w:t>
      </w:r>
      <w:proofErr w:type="spellEnd"/>
      <w:r w:rsidRPr="00EB760D">
        <w:rPr>
          <w:rFonts w:cstheme="minorHAnsi"/>
          <w:color w:val="000000"/>
        </w:rPr>
        <w:t>“, a to na základě konceptu projektu ERC. Díky této žádosti byl udělen projekt GA ČR určený na podporu ERC žadatelů.</w:t>
      </w:r>
      <w:r w:rsidR="008848CB">
        <w:rPr>
          <w:rFonts w:cstheme="minorHAnsi"/>
          <w:color w:val="000000"/>
        </w:rPr>
        <w:t xml:space="preserve"> </w:t>
      </w:r>
    </w:p>
    <w:p w14:paraId="67FA508A" w14:textId="77777777" w:rsidR="008848CB" w:rsidRDefault="008848CB" w:rsidP="00EB760D">
      <w:pPr>
        <w:tabs>
          <w:tab w:val="right" w:pos="14742"/>
        </w:tabs>
        <w:spacing w:after="0"/>
        <w:jc w:val="both"/>
        <w:rPr>
          <w:rFonts w:cstheme="minorHAnsi"/>
          <w:color w:val="000000"/>
        </w:rPr>
      </w:pPr>
    </w:p>
    <w:p w14:paraId="6F020D3E" w14:textId="440B2864" w:rsidR="001A75BA" w:rsidRPr="00EB760D" w:rsidRDefault="00EB760D" w:rsidP="00EB760D">
      <w:pPr>
        <w:tabs>
          <w:tab w:val="right" w:pos="14742"/>
        </w:tabs>
        <w:spacing w:after="0"/>
        <w:jc w:val="both"/>
        <w:rPr>
          <w:rFonts w:cstheme="minorHAnsi"/>
          <w:color w:val="000000"/>
        </w:rPr>
      </w:pPr>
      <w:r w:rsidRPr="00EB760D">
        <w:rPr>
          <w:rFonts w:cstheme="minorHAnsi"/>
          <w:color w:val="000000"/>
        </w:rPr>
        <w:t>Všech cílů projek</w:t>
      </w:r>
      <w:r w:rsidR="009F34E3">
        <w:rPr>
          <w:rFonts w:cstheme="minorHAnsi"/>
          <w:color w:val="000000"/>
        </w:rPr>
        <w:t>t</w:t>
      </w:r>
      <w:r w:rsidRPr="00EB760D">
        <w:rPr>
          <w:rFonts w:cstheme="minorHAnsi"/>
          <w:color w:val="000000"/>
        </w:rPr>
        <w:t xml:space="preserve">u se podařilo dosáhnout. Projektová žádost do výzvy ERC </w:t>
      </w:r>
      <w:proofErr w:type="spellStart"/>
      <w:r w:rsidRPr="00EB760D">
        <w:rPr>
          <w:rFonts w:cstheme="minorHAnsi"/>
          <w:color w:val="000000"/>
        </w:rPr>
        <w:t>Consolidator</w:t>
      </w:r>
      <w:proofErr w:type="spellEnd"/>
      <w:r w:rsidRPr="00EB760D">
        <w:rPr>
          <w:rFonts w:cstheme="minorHAnsi"/>
          <w:color w:val="000000"/>
        </w:rPr>
        <w:t xml:space="preserve"> Grant byla zaslána do soutěže v únoru 2023. Přestože předložený projekt získal velmi dobré až excelentní hodnocení</w:t>
      </w:r>
      <w:r w:rsidR="008848CB">
        <w:rPr>
          <w:rFonts w:cstheme="minorHAnsi"/>
          <w:color w:val="000000"/>
        </w:rPr>
        <w:t xml:space="preserve"> </w:t>
      </w:r>
      <w:r w:rsidRPr="00EB760D">
        <w:rPr>
          <w:rFonts w:cstheme="minorHAnsi"/>
          <w:color w:val="000000"/>
        </w:rPr>
        <w:t>ze strany ERC, nebyl doporučen do druhého kola hodnoticího procesu, a tím nebyl doporučen k financování</w:t>
      </w:r>
    </w:p>
    <w:p w14:paraId="470DB222" w14:textId="34FF9B3B" w:rsidR="001A75BA" w:rsidRDefault="001A75BA" w:rsidP="008D7A46">
      <w:pPr>
        <w:tabs>
          <w:tab w:val="right" w:pos="14742"/>
        </w:tabs>
        <w:spacing w:after="0"/>
        <w:rPr>
          <w:rFonts w:cstheme="minorHAnsi"/>
          <w:color w:val="000000"/>
          <w:highlight w:val="yellow"/>
        </w:rPr>
      </w:pPr>
    </w:p>
    <w:p w14:paraId="0478C5E1" w14:textId="77777777" w:rsidR="00324B68" w:rsidRDefault="00324B68" w:rsidP="00324B68">
      <w:pPr>
        <w:pStyle w:val="Nadpis3"/>
        <w:numPr>
          <w:ilvl w:val="2"/>
          <w:numId w:val="16"/>
        </w:numPr>
      </w:pPr>
      <w:bookmarkStart w:id="34" w:name="_Toc176217915"/>
      <w:bookmarkStart w:id="35" w:name="_Toc182984808"/>
      <w:r w:rsidRPr="00302F79">
        <w:t>Průběh programu</w:t>
      </w:r>
      <w:bookmarkEnd w:id="34"/>
      <w:bookmarkEnd w:id="35"/>
    </w:p>
    <w:p w14:paraId="0403F5A7" w14:textId="1E8166F7" w:rsidR="00324B68" w:rsidRDefault="008848CB" w:rsidP="00324B68">
      <w:pPr>
        <w:tabs>
          <w:tab w:val="right" w:pos="14742"/>
        </w:tabs>
        <w:spacing w:after="0"/>
        <w:jc w:val="both"/>
        <w:rPr>
          <w:rFonts w:cstheme="minorHAnsi"/>
          <w:color w:val="000000"/>
        </w:rPr>
      </w:pPr>
      <w:r>
        <w:rPr>
          <w:rFonts w:cstheme="minorHAnsi"/>
          <w:color w:val="000000"/>
        </w:rPr>
        <w:t>GAČR v </w:t>
      </w:r>
      <w:r w:rsidR="00511408">
        <w:rPr>
          <w:rFonts w:cstheme="minorHAnsi"/>
          <w:color w:val="000000"/>
        </w:rPr>
        <w:t>Z</w:t>
      </w:r>
      <w:r>
        <w:rPr>
          <w:rFonts w:cstheme="minorHAnsi"/>
          <w:color w:val="000000"/>
        </w:rPr>
        <w:t>ávěrečném hodnocení Podpory ERC uvádí, že j</w:t>
      </w:r>
      <w:r w:rsidR="00324B68" w:rsidRPr="00324B68">
        <w:rPr>
          <w:rFonts w:cstheme="minorHAnsi"/>
          <w:color w:val="000000"/>
        </w:rPr>
        <w:t xml:space="preserve">iž od prvních </w:t>
      </w:r>
      <w:r>
        <w:rPr>
          <w:rFonts w:cstheme="minorHAnsi"/>
          <w:color w:val="000000"/>
        </w:rPr>
        <w:t xml:space="preserve">vyhlášených grantových soutěží </w:t>
      </w:r>
      <w:r w:rsidR="00324B68" w:rsidRPr="00324B68">
        <w:rPr>
          <w:rFonts w:cstheme="minorHAnsi"/>
          <w:color w:val="000000"/>
        </w:rPr>
        <w:t>se ukázal velmi malý, resp. téměř nulový zájem. GA ČR reagovala na tento nízký zájem aktivním oslovováním potenciálních zájemců a navýšením limitů pro možné požadované životní náklady v rámci projektu. Během soutěže se jak GA ČR, tak ERC aktivně sn</w:t>
      </w:r>
      <w:r>
        <w:rPr>
          <w:rFonts w:cstheme="minorHAnsi"/>
          <w:color w:val="000000"/>
        </w:rPr>
        <w:t>ažily</w:t>
      </w:r>
      <w:r w:rsidR="00324B68">
        <w:rPr>
          <w:rFonts w:cstheme="minorHAnsi"/>
          <w:color w:val="000000"/>
        </w:rPr>
        <w:t xml:space="preserve"> navyšovat počty mentorů a </w:t>
      </w:r>
      <w:r w:rsidR="00324B68" w:rsidRPr="00324B68">
        <w:rPr>
          <w:rFonts w:cstheme="minorHAnsi"/>
          <w:color w:val="000000"/>
        </w:rPr>
        <w:t xml:space="preserve">rozšiřovat jejich oborové zaměření. Pro žadatele </w:t>
      </w:r>
      <w:r>
        <w:rPr>
          <w:rFonts w:cstheme="minorHAnsi"/>
          <w:color w:val="000000"/>
        </w:rPr>
        <w:t>Podpory</w:t>
      </w:r>
      <w:r w:rsidR="00324B68" w:rsidRPr="00324B68">
        <w:rPr>
          <w:rFonts w:cstheme="minorHAnsi"/>
          <w:color w:val="000000"/>
        </w:rPr>
        <w:t xml:space="preserve"> ERC bylo k dispozici více než 4 500 mentorů z více než 30 zemí světa napříč vědními obory. Cílem těchto aktivit bylo zvýšit přitažlivost této skupiny grantových projektů pro nové potenciální řešitele. </w:t>
      </w:r>
    </w:p>
    <w:p w14:paraId="52DB6E9A" w14:textId="67CFCB05" w:rsidR="001A75BA" w:rsidRDefault="001A75BA" w:rsidP="008D7A46">
      <w:pPr>
        <w:tabs>
          <w:tab w:val="right" w:pos="14742"/>
        </w:tabs>
        <w:spacing w:after="0"/>
        <w:rPr>
          <w:rFonts w:cstheme="minorHAnsi"/>
          <w:color w:val="000000"/>
          <w:highlight w:val="yellow"/>
        </w:rPr>
      </w:pPr>
    </w:p>
    <w:p w14:paraId="45BB4C43" w14:textId="77777777" w:rsidR="00052E0C" w:rsidRPr="004552A9" w:rsidRDefault="00052E0C" w:rsidP="00052E0C">
      <w:pPr>
        <w:pStyle w:val="Nadpis3"/>
        <w:numPr>
          <w:ilvl w:val="2"/>
          <w:numId w:val="16"/>
        </w:numPr>
      </w:pPr>
      <w:bookmarkStart w:id="36" w:name="_Toc176217916"/>
      <w:bookmarkStart w:id="37" w:name="_Toc182984809"/>
      <w:r w:rsidRPr="004552A9">
        <w:t>Plánované výdaje a reálná podpora</w:t>
      </w:r>
      <w:bookmarkEnd w:id="36"/>
      <w:bookmarkEnd w:id="37"/>
      <w:r w:rsidRPr="004552A9">
        <w:t xml:space="preserve"> </w:t>
      </w:r>
    </w:p>
    <w:p w14:paraId="2C8C74A8" w14:textId="1DFA2C95" w:rsidR="00F5517B" w:rsidRDefault="00052E0C" w:rsidP="00052E0C">
      <w:pPr>
        <w:tabs>
          <w:tab w:val="right" w:pos="14742"/>
        </w:tabs>
        <w:spacing w:after="0"/>
        <w:jc w:val="both"/>
        <w:rPr>
          <w:rFonts w:cstheme="minorHAnsi"/>
          <w:color w:val="000000"/>
        </w:rPr>
      </w:pPr>
      <w:r w:rsidRPr="00052E0C">
        <w:rPr>
          <w:rFonts w:cstheme="minorHAnsi"/>
          <w:color w:val="000000"/>
        </w:rPr>
        <w:t>Celkové výdaje Podpor</w:t>
      </w:r>
      <w:r w:rsidR="00511408">
        <w:rPr>
          <w:rFonts w:cstheme="minorHAnsi"/>
          <w:color w:val="000000"/>
        </w:rPr>
        <w:t>y</w:t>
      </w:r>
      <w:r w:rsidRPr="00052E0C">
        <w:rPr>
          <w:rFonts w:cstheme="minorHAnsi"/>
          <w:color w:val="000000"/>
        </w:rPr>
        <w:t xml:space="preserve"> E</w:t>
      </w:r>
      <w:r>
        <w:rPr>
          <w:rFonts w:cstheme="minorHAnsi"/>
          <w:color w:val="000000"/>
        </w:rPr>
        <w:t xml:space="preserve">RC se předpokládaly </w:t>
      </w:r>
      <w:r w:rsidR="008848CB">
        <w:rPr>
          <w:rFonts w:cstheme="minorHAnsi"/>
          <w:color w:val="000000"/>
        </w:rPr>
        <w:t xml:space="preserve">ve výši </w:t>
      </w:r>
      <w:r w:rsidR="00F5517B">
        <w:rPr>
          <w:rFonts w:cstheme="minorHAnsi"/>
          <w:color w:val="000000"/>
        </w:rPr>
        <w:t xml:space="preserve">50 mil. Kč, a to </w:t>
      </w:r>
      <w:r>
        <w:rPr>
          <w:rFonts w:cstheme="minorHAnsi"/>
          <w:color w:val="000000"/>
        </w:rPr>
        <w:t>v </w:t>
      </w:r>
      <w:r w:rsidR="00511408">
        <w:rPr>
          <w:rFonts w:cstheme="minorHAnsi"/>
          <w:color w:val="000000"/>
        </w:rPr>
        <w:t xml:space="preserve">objemu </w:t>
      </w:r>
      <w:r w:rsidR="00354152">
        <w:rPr>
          <w:rFonts w:cstheme="minorHAnsi"/>
          <w:color w:val="000000"/>
        </w:rPr>
        <w:t>cca </w:t>
      </w:r>
      <w:r w:rsidR="00B5625D">
        <w:rPr>
          <w:rFonts w:cstheme="minorHAnsi"/>
          <w:color w:val="000000"/>
        </w:rPr>
        <w:t>1,5 mil. </w:t>
      </w:r>
      <w:r w:rsidR="00511408" w:rsidRPr="00052E0C">
        <w:rPr>
          <w:rFonts w:cstheme="minorHAnsi"/>
          <w:color w:val="000000"/>
        </w:rPr>
        <w:t>Kč</w:t>
      </w:r>
      <w:r w:rsidR="00511408" w:rsidRPr="00511408">
        <w:rPr>
          <w:rFonts w:cstheme="minorHAnsi"/>
          <w:color w:val="000000"/>
        </w:rPr>
        <w:t xml:space="preserve"> </w:t>
      </w:r>
      <w:r w:rsidR="00511408" w:rsidRPr="00052E0C">
        <w:rPr>
          <w:rFonts w:cstheme="minorHAnsi"/>
          <w:color w:val="000000"/>
        </w:rPr>
        <w:t xml:space="preserve">v prvním roce </w:t>
      </w:r>
      <w:r w:rsidR="00511408">
        <w:rPr>
          <w:rFonts w:cstheme="minorHAnsi"/>
          <w:color w:val="000000"/>
        </w:rPr>
        <w:t>(</w:t>
      </w:r>
      <w:r w:rsidR="00511408" w:rsidRPr="00052E0C">
        <w:rPr>
          <w:rFonts w:cstheme="minorHAnsi"/>
          <w:color w:val="000000"/>
        </w:rPr>
        <w:t>2016</w:t>
      </w:r>
      <w:r w:rsidR="00511408">
        <w:rPr>
          <w:rFonts w:cstheme="minorHAnsi"/>
          <w:color w:val="000000"/>
        </w:rPr>
        <w:t>), následně cca 10 mil. </w:t>
      </w:r>
      <w:r w:rsidRPr="00052E0C">
        <w:rPr>
          <w:rFonts w:cstheme="minorHAnsi"/>
          <w:color w:val="000000"/>
        </w:rPr>
        <w:t>Kč ročně</w:t>
      </w:r>
      <w:r w:rsidR="00511408" w:rsidRPr="00511408">
        <w:rPr>
          <w:rFonts w:cstheme="minorHAnsi"/>
          <w:color w:val="000000"/>
        </w:rPr>
        <w:t xml:space="preserve"> </w:t>
      </w:r>
      <w:r w:rsidR="00511408">
        <w:rPr>
          <w:rFonts w:cstheme="minorHAnsi"/>
          <w:color w:val="000000"/>
        </w:rPr>
        <w:t>(</w:t>
      </w:r>
      <w:r w:rsidR="00511408" w:rsidRPr="00052E0C">
        <w:rPr>
          <w:rFonts w:cstheme="minorHAnsi"/>
          <w:color w:val="000000"/>
        </w:rPr>
        <w:t>v letech 2017–2022</w:t>
      </w:r>
      <w:r w:rsidR="00511408">
        <w:rPr>
          <w:rFonts w:cstheme="minorHAnsi"/>
          <w:color w:val="000000"/>
        </w:rPr>
        <w:t>)</w:t>
      </w:r>
      <w:r w:rsidRPr="00052E0C">
        <w:rPr>
          <w:rFonts w:cstheme="minorHAnsi"/>
          <w:color w:val="000000"/>
        </w:rPr>
        <w:t xml:space="preserve">. </w:t>
      </w:r>
    </w:p>
    <w:p w14:paraId="68357FFF" w14:textId="77777777" w:rsidR="00F5517B" w:rsidRDefault="00F5517B" w:rsidP="00052E0C">
      <w:pPr>
        <w:tabs>
          <w:tab w:val="right" w:pos="14742"/>
        </w:tabs>
        <w:spacing w:after="0"/>
        <w:jc w:val="both"/>
        <w:rPr>
          <w:rFonts w:cstheme="minorHAnsi"/>
          <w:color w:val="000000"/>
        </w:rPr>
      </w:pPr>
    </w:p>
    <w:p w14:paraId="7B76BB5F" w14:textId="2CFA136F" w:rsidR="00052E0C" w:rsidRPr="008848CB" w:rsidRDefault="00F5517B" w:rsidP="00052E0C">
      <w:pPr>
        <w:tabs>
          <w:tab w:val="right" w:pos="14742"/>
        </w:tabs>
        <w:spacing w:after="0"/>
        <w:jc w:val="both"/>
        <w:rPr>
          <w:rFonts w:cstheme="minorHAnsi"/>
          <w:color w:val="000000"/>
        </w:rPr>
      </w:pPr>
      <w:r>
        <w:rPr>
          <w:rFonts w:cstheme="minorHAnsi"/>
          <w:color w:val="000000"/>
        </w:rPr>
        <w:t xml:space="preserve">Z nedostatku zájmu </w:t>
      </w:r>
      <w:proofErr w:type="spellStart"/>
      <w:r>
        <w:rPr>
          <w:rFonts w:cstheme="minorHAnsi"/>
          <w:color w:val="000000"/>
        </w:rPr>
        <w:t>věděcké</w:t>
      </w:r>
      <w:proofErr w:type="spellEnd"/>
      <w:r>
        <w:rPr>
          <w:rFonts w:cstheme="minorHAnsi"/>
          <w:color w:val="000000"/>
        </w:rPr>
        <w:t xml:space="preserve"> obce byl podpořen </w:t>
      </w:r>
      <w:proofErr w:type="spellStart"/>
      <w:r>
        <w:rPr>
          <w:rFonts w:cstheme="minorHAnsi"/>
          <w:color w:val="000000"/>
        </w:rPr>
        <w:t>pouzen</w:t>
      </w:r>
      <w:proofErr w:type="spellEnd"/>
      <w:r>
        <w:rPr>
          <w:rFonts w:cstheme="minorHAnsi"/>
          <w:color w:val="000000"/>
        </w:rPr>
        <w:t xml:space="preserve"> jeden projekt. </w:t>
      </w:r>
      <w:r w:rsidR="00052E0C" w:rsidRPr="00052E0C">
        <w:rPr>
          <w:rFonts w:cstheme="minorHAnsi"/>
          <w:color w:val="000000"/>
        </w:rPr>
        <w:t xml:space="preserve">Celkové předpokládané náklady na řešení uděleného projektu byly 445 tis. Kč. </w:t>
      </w:r>
      <w:r w:rsidR="00052E0C" w:rsidRPr="008848CB">
        <w:rPr>
          <w:rFonts w:cstheme="minorHAnsi"/>
          <w:color w:val="000000"/>
        </w:rPr>
        <w:t>Celkové čerpané nákl</w:t>
      </w:r>
      <w:r w:rsidR="008848CB" w:rsidRPr="008848CB">
        <w:rPr>
          <w:rFonts w:cstheme="minorHAnsi"/>
          <w:color w:val="000000"/>
        </w:rPr>
        <w:t>ady na projekt byly 395 tis. Kč</w:t>
      </w:r>
      <w:r w:rsidR="00052E0C" w:rsidRPr="008848CB">
        <w:rPr>
          <w:rFonts w:cstheme="minorHAnsi"/>
          <w:color w:val="000000"/>
        </w:rPr>
        <w:t>.</w:t>
      </w:r>
    </w:p>
    <w:p w14:paraId="3EE1A0A2" w14:textId="3B288C5B" w:rsidR="001A75BA" w:rsidRDefault="001A75BA" w:rsidP="008D7A46">
      <w:pPr>
        <w:tabs>
          <w:tab w:val="right" w:pos="14742"/>
        </w:tabs>
        <w:spacing w:after="0"/>
        <w:rPr>
          <w:rFonts w:cstheme="minorHAnsi"/>
          <w:color w:val="000000"/>
          <w:highlight w:val="yellow"/>
        </w:rPr>
      </w:pPr>
    </w:p>
    <w:p w14:paraId="1A14E076" w14:textId="77777777" w:rsidR="009F34E3" w:rsidRPr="005E1D14" w:rsidRDefault="009F34E3" w:rsidP="009F34E3">
      <w:pPr>
        <w:pStyle w:val="Nadpis3"/>
        <w:numPr>
          <w:ilvl w:val="2"/>
          <w:numId w:val="16"/>
        </w:numPr>
      </w:pPr>
      <w:bookmarkStart w:id="38" w:name="_Toc176217917"/>
      <w:bookmarkStart w:id="39" w:name="_Toc182984810"/>
      <w:r w:rsidRPr="005E1D14">
        <w:t>Přínosy programu</w:t>
      </w:r>
      <w:bookmarkEnd w:id="38"/>
      <w:bookmarkEnd w:id="39"/>
    </w:p>
    <w:p w14:paraId="3C289E9C" w14:textId="19857C87" w:rsidR="009F34E3" w:rsidRPr="009F34E3" w:rsidRDefault="009F34E3" w:rsidP="009F34E3">
      <w:pPr>
        <w:tabs>
          <w:tab w:val="right" w:pos="14742"/>
        </w:tabs>
        <w:spacing w:after="0"/>
        <w:jc w:val="both"/>
        <w:rPr>
          <w:rFonts w:cstheme="minorHAnsi"/>
          <w:color w:val="000000"/>
        </w:rPr>
      </w:pPr>
      <w:r w:rsidRPr="009F34E3">
        <w:rPr>
          <w:rFonts w:cstheme="minorHAnsi"/>
          <w:color w:val="000000"/>
        </w:rPr>
        <w:t>Granty ERC jsou v současné době v evropských věde</w:t>
      </w:r>
      <w:r w:rsidR="008848CB">
        <w:rPr>
          <w:rFonts w:cstheme="minorHAnsi"/>
          <w:color w:val="000000"/>
        </w:rPr>
        <w:t>ckých strukturách považovány za </w:t>
      </w:r>
      <w:r w:rsidRPr="009F34E3">
        <w:rPr>
          <w:rFonts w:cstheme="minorHAnsi"/>
          <w:color w:val="000000"/>
        </w:rPr>
        <w:t xml:space="preserve">nejprestižnější potvrzení excelence a získání ERC grantů je významné pro posílení reputace řešitele, jeho týmu i pracoviště v mezinárodním vědecko-výzkumném prostoru. </w:t>
      </w:r>
    </w:p>
    <w:p w14:paraId="0FF89DDF" w14:textId="77777777" w:rsidR="009F34E3" w:rsidRDefault="009F34E3" w:rsidP="008D7A46">
      <w:pPr>
        <w:tabs>
          <w:tab w:val="right" w:pos="14742"/>
        </w:tabs>
        <w:spacing w:after="0"/>
        <w:rPr>
          <w:rFonts w:cstheme="minorHAnsi"/>
          <w:color w:val="000000"/>
          <w:highlight w:val="yellow"/>
        </w:rPr>
      </w:pPr>
    </w:p>
    <w:p w14:paraId="0EEA4E12" w14:textId="66FC697E" w:rsidR="009F34E3" w:rsidRDefault="009F34E3" w:rsidP="009F34E3">
      <w:pPr>
        <w:tabs>
          <w:tab w:val="right" w:pos="14742"/>
        </w:tabs>
        <w:spacing w:after="0"/>
        <w:jc w:val="both"/>
        <w:rPr>
          <w:rFonts w:cstheme="minorHAnsi"/>
          <w:color w:val="000000"/>
        </w:rPr>
      </w:pPr>
      <w:r>
        <w:rPr>
          <w:rFonts w:cstheme="minorHAnsi"/>
          <w:color w:val="000000"/>
        </w:rPr>
        <w:t>Hlavním c</w:t>
      </w:r>
      <w:r w:rsidRPr="009F34E3">
        <w:rPr>
          <w:rFonts w:cstheme="minorHAnsi"/>
          <w:color w:val="000000"/>
        </w:rPr>
        <w:t>ílem Podpor</w:t>
      </w:r>
      <w:r w:rsidR="008848CB">
        <w:rPr>
          <w:rFonts w:cstheme="minorHAnsi"/>
          <w:color w:val="000000"/>
        </w:rPr>
        <w:t>y</w:t>
      </w:r>
      <w:r w:rsidRPr="009F34E3">
        <w:rPr>
          <w:rFonts w:cstheme="minorHAnsi"/>
          <w:color w:val="000000"/>
        </w:rPr>
        <w:t xml:space="preserve"> ERC bylo především napomoci</w:t>
      </w:r>
      <w:r>
        <w:rPr>
          <w:rFonts w:cstheme="minorHAnsi"/>
          <w:color w:val="000000"/>
        </w:rPr>
        <w:t xml:space="preserve"> českým vědcům podat kvalitní a </w:t>
      </w:r>
      <w:r w:rsidRPr="009F34E3">
        <w:rPr>
          <w:rFonts w:cstheme="minorHAnsi"/>
          <w:color w:val="000000"/>
        </w:rPr>
        <w:t>konkurenceschopný návrh do soutěže ERC, a tím také zvýšit počet řeše</w:t>
      </w:r>
      <w:r>
        <w:rPr>
          <w:rFonts w:cstheme="minorHAnsi"/>
          <w:color w:val="000000"/>
        </w:rPr>
        <w:t>ných ERC grantů v </w:t>
      </w:r>
      <w:r w:rsidRPr="009F34E3">
        <w:rPr>
          <w:rFonts w:cstheme="minorHAnsi"/>
          <w:color w:val="000000"/>
        </w:rPr>
        <w:t xml:space="preserve">České republice. </w:t>
      </w:r>
      <w:r>
        <w:rPr>
          <w:rFonts w:cstheme="minorHAnsi"/>
          <w:color w:val="000000"/>
        </w:rPr>
        <w:t>Z nedostatku zájmu českých řešitelů p</w:t>
      </w:r>
      <w:r w:rsidRPr="009F34E3">
        <w:rPr>
          <w:rFonts w:cstheme="minorHAnsi"/>
          <w:color w:val="000000"/>
        </w:rPr>
        <w:t xml:space="preserve">otenciál této skupiny grantových projektů nebyl českou vědeckou obcí využit. Skupina grantových projektů nenaplnila svá očekávání </w:t>
      </w:r>
      <w:r>
        <w:rPr>
          <w:rFonts w:cstheme="minorHAnsi"/>
          <w:color w:val="000000"/>
        </w:rPr>
        <w:t xml:space="preserve">a na základě toho </w:t>
      </w:r>
      <w:r w:rsidRPr="009F34E3">
        <w:rPr>
          <w:rFonts w:cstheme="minorHAnsi"/>
          <w:color w:val="000000"/>
        </w:rPr>
        <w:t xml:space="preserve">nebyly </w:t>
      </w:r>
      <w:r>
        <w:rPr>
          <w:rFonts w:cstheme="minorHAnsi"/>
          <w:color w:val="000000"/>
        </w:rPr>
        <w:t>předpokládané cíle naplněny.</w:t>
      </w:r>
    </w:p>
    <w:p w14:paraId="5078BC34" w14:textId="77777777" w:rsidR="009F34E3" w:rsidRPr="009F34E3" w:rsidRDefault="009F34E3" w:rsidP="009F34E3">
      <w:pPr>
        <w:tabs>
          <w:tab w:val="right" w:pos="14742"/>
        </w:tabs>
        <w:spacing w:after="0"/>
        <w:jc w:val="both"/>
        <w:rPr>
          <w:rFonts w:cstheme="minorHAnsi"/>
          <w:color w:val="000000"/>
        </w:rPr>
      </w:pPr>
    </w:p>
    <w:p w14:paraId="2B9FC6AC" w14:textId="0C88DB62" w:rsidR="00746CB0" w:rsidRPr="00A346B4" w:rsidRDefault="00746CB0" w:rsidP="00746CB0">
      <w:pPr>
        <w:pStyle w:val="Nadpis2"/>
      </w:pPr>
      <w:bookmarkStart w:id="40" w:name="_Toc182984811"/>
      <w:r>
        <w:lastRenderedPageBreak/>
        <w:t xml:space="preserve">Program bezpečnostního výzkumu České republiky v letech 2015 </w:t>
      </w:r>
      <w:r w:rsidR="00B47D91">
        <w:noBreakHyphen/>
      </w:r>
      <w:r>
        <w:t xml:space="preserve"> 2022</w:t>
      </w:r>
      <w:bookmarkEnd w:id="40"/>
      <w:r w:rsidRPr="00A346B4">
        <w:t xml:space="preserve"> </w:t>
      </w:r>
    </w:p>
    <w:p w14:paraId="00A2D66D" w14:textId="37037B07" w:rsidR="00C243BB" w:rsidRDefault="00C243BB" w:rsidP="00C243BB">
      <w:pPr>
        <w:tabs>
          <w:tab w:val="right" w:pos="14742"/>
        </w:tabs>
        <w:spacing w:after="0"/>
        <w:jc w:val="both"/>
      </w:pPr>
      <w:r>
        <w:t xml:space="preserve">Program </w:t>
      </w:r>
      <w:r w:rsidR="00C96254">
        <w:t xml:space="preserve">MV </w:t>
      </w:r>
      <w:r>
        <w:t>s identifikačním kódem „VI“ byl schvá</w:t>
      </w:r>
      <w:r w:rsidR="008B50DD">
        <w:t>le</w:t>
      </w:r>
      <w:r w:rsidR="00C96254">
        <w:t>n usnesením vlády č. 593/2013 s </w:t>
      </w:r>
      <w:r w:rsidR="008B50DD">
        <w:t>předpokládanými výdaji</w:t>
      </w:r>
      <w:r w:rsidR="008B50DD" w:rsidRPr="008B50DD">
        <w:t xml:space="preserve"> ze státního rozpočtu ve výši 2 200 mil. Kč.</w:t>
      </w:r>
    </w:p>
    <w:p w14:paraId="7F35FF89" w14:textId="77777777" w:rsidR="00C243BB" w:rsidRDefault="00C243BB" w:rsidP="00C243BB">
      <w:pPr>
        <w:tabs>
          <w:tab w:val="right" w:pos="14742"/>
        </w:tabs>
        <w:spacing w:after="0"/>
        <w:jc w:val="both"/>
      </w:pPr>
    </w:p>
    <w:p w14:paraId="6884900D" w14:textId="77777777" w:rsidR="00C243BB" w:rsidRDefault="00C243BB" w:rsidP="00C243BB">
      <w:pPr>
        <w:tabs>
          <w:tab w:val="right" w:pos="14742"/>
        </w:tabs>
        <w:spacing w:after="0"/>
        <w:jc w:val="both"/>
      </w:pPr>
      <w:r>
        <w:t>Poskytovatel: Ministerstvo vnitra.</w:t>
      </w:r>
    </w:p>
    <w:p w14:paraId="7A16BFBE" w14:textId="77777777" w:rsidR="00C243BB" w:rsidRDefault="00C243BB" w:rsidP="00C243BB">
      <w:pPr>
        <w:tabs>
          <w:tab w:val="right" w:pos="14742"/>
        </w:tabs>
        <w:spacing w:after="0"/>
        <w:jc w:val="both"/>
      </w:pPr>
    </w:p>
    <w:p w14:paraId="33DAF3A8" w14:textId="00E8B115" w:rsidR="00961707" w:rsidRPr="00B55915" w:rsidRDefault="00B55915" w:rsidP="00B55915">
      <w:pPr>
        <w:tabs>
          <w:tab w:val="right" w:pos="14742"/>
        </w:tabs>
        <w:spacing w:after="0"/>
        <w:jc w:val="both"/>
      </w:pPr>
      <w:r>
        <w:t>Hlavním cílem Programu</w:t>
      </w:r>
      <w:r w:rsidR="00C96254">
        <w:t xml:space="preserve"> MV</w:t>
      </w:r>
      <w:r>
        <w:t xml:space="preserve"> bylo zvýšení bezpečnosti státu a občanů s využitím nových technologií, poznatků a dalších výsledků aplikovaného výzkumu, experimentálního vývoje a inovací v oblasti identifikace, prevence a ochrany proti nezákonným jednáním, přirozeným nebo průmyslovým pohromám, poškozujícím občany ČR, organizace nebo struktury, statky  a infrastruktury.</w:t>
      </w:r>
    </w:p>
    <w:p w14:paraId="0DFDF69E" w14:textId="143591AB" w:rsidR="00961707" w:rsidRDefault="00961707" w:rsidP="008D7A46">
      <w:pPr>
        <w:tabs>
          <w:tab w:val="right" w:pos="14742"/>
        </w:tabs>
        <w:spacing w:after="0"/>
        <w:rPr>
          <w:rFonts w:cstheme="minorHAnsi"/>
          <w:color w:val="000000"/>
          <w:highlight w:val="yellow"/>
        </w:rPr>
      </w:pPr>
    </w:p>
    <w:p w14:paraId="6ADA42EC" w14:textId="187853BD" w:rsidR="00296BE8" w:rsidRPr="003C1CEF" w:rsidRDefault="00C07C0F" w:rsidP="00C07C0F">
      <w:pPr>
        <w:pStyle w:val="Nadpis3"/>
        <w:numPr>
          <w:ilvl w:val="0"/>
          <w:numId w:val="0"/>
        </w:numPr>
        <w:ind w:left="284"/>
      </w:pPr>
      <w:bookmarkStart w:id="41" w:name="_Toc176217919"/>
      <w:bookmarkStart w:id="42" w:name="_Toc182984812"/>
      <w:r>
        <w:t xml:space="preserve">1. </w:t>
      </w:r>
      <w:r w:rsidR="00296BE8" w:rsidRPr="00B456EA">
        <w:t>Cíle programu a jejich plnění</w:t>
      </w:r>
      <w:bookmarkEnd w:id="41"/>
      <w:bookmarkEnd w:id="42"/>
    </w:p>
    <w:p w14:paraId="6D3D0597" w14:textId="608B36EF" w:rsidR="00024864" w:rsidRPr="00207C56" w:rsidRDefault="00296BE8" w:rsidP="00296BE8">
      <w:pPr>
        <w:tabs>
          <w:tab w:val="right" w:pos="14742"/>
        </w:tabs>
        <w:spacing w:after="0"/>
        <w:jc w:val="both"/>
        <w:rPr>
          <w:rFonts w:cstheme="minorHAnsi"/>
          <w:color w:val="000000"/>
        </w:rPr>
      </w:pPr>
      <w:r>
        <w:rPr>
          <w:rFonts w:cstheme="minorHAnsi"/>
          <w:color w:val="000000"/>
        </w:rPr>
        <w:t xml:space="preserve">Hlavním cílem Programu </w:t>
      </w:r>
      <w:r w:rsidR="00C96254">
        <w:rPr>
          <w:rFonts w:cstheme="minorHAnsi"/>
          <w:color w:val="000000"/>
        </w:rPr>
        <w:t xml:space="preserve">MV </w:t>
      </w:r>
      <w:r>
        <w:rPr>
          <w:rFonts w:cstheme="minorHAnsi"/>
          <w:color w:val="000000"/>
        </w:rPr>
        <w:t>bylo</w:t>
      </w:r>
      <w:r w:rsidRPr="00296BE8">
        <w:rPr>
          <w:rFonts w:cstheme="minorHAnsi"/>
          <w:color w:val="000000"/>
        </w:rPr>
        <w:t xml:space="preserve"> zvýš</w:t>
      </w:r>
      <w:r>
        <w:rPr>
          <w:rFonts w:cstheme="minorHAnsi"/>
          <w:color w:val="000000"/>
        </w:rPr>
        <w:t xml:space="preserve">ení bezpečnosti státu a občanů pomocí </w:t>
      </w:r>
      <w:r w:rsidRPr="00296BE8">
        <w:rPr>
          <w:rFonts w:cstheme="minorHAnsi"/>
          <w:color w:val="000000"/>
        </w:rPr>
        <w:t>poznatk</w:t>
      </w:r>
      <w:r>
        <w:rPr>
          <w:rFonts w:cstheme="minorHAnsi"/>
          <w:color w:val="000000"/>
        </w:rPr>
        <w:t xml:space="preserve">ů </w:t>
      </w:r>
      <w:r w:rsidR="00207C56">
        <w:rPr>
          <w:rFonts w:cstheme="minorHAnsi"/>
          <w:color w:val="000000"/>
        </w:rPr>
        <w:t xml:space="preserve">aplikovaného výzkumu a </w:t>
      </w:r>
      <w:r w:rsidRPr="00296BE8">
        <w:rPr>
          <w:rFonts w:cstheme="minorHAnsi"/>
          <w:color w:val="000000"/>
        </w:rPr>
        <w:t>experimentálního vývoje</w:t>
      </w:r>
      <w:r w:rsidR="00207C56">
        <w:rPr>
          <w:rFonts w:cstheme="minorHAnsi"/>
          <w:color w:val="000000"/>
        </w:rPr>
        <w:t>, který byl</w:t>
      </w:r>
      <w:r w:rsidRPr="00296BE8">
        <w:rPr>
          <w:rFonts w:cstheme="minorHAnsi"/>
          <w:color w:val="000000"/>
        </w:rPr>
        <w:t xml:space="preserve"> napl</w:t>
      </w:r>
      <w:r w:rsidR="00207C56">
        <w:rPr>
          <w:rFonts w:cstheme="minorHAnsi"/>
          <w:color w:val="000000"/>
        </w:rPr>
        <w:t>ňován prostřednictvím</w:t>
      </w:r>
      <w:r w:rsidRPr="00296BE8">
        <w:rPr>
          <w:rFonts w:cstheme="minorHAnsi"/>
          <w:color w:val="000000"/>
        </w:rPr>
        <w:t xml:space="preserve"> orientovaných dílčích cílů ve vazbě na klíčové Národní priority orientovaného výzkumu, experimentálního vývoje a inovací v bezpečnostní oblasti, které se váží na povinnosti státu jako garanta bezpečnosti obyvatels</w:t>
      </w:r>
      <w:r w:rsidR="00207C56">
        <w:rPr>
          <w:rFonts w:cstheme="minorHAnsi"/>
          <w:color w:val="000000"/>
        </w:rPr>
        <w:t>tva. Naplnění těchto cílů bylo řešeno v </w:t>
      </w:r>
      <w:proofErr w:type="spellStart"/>
      <w:r w:rsidRPr="00296BE8">
        <w:rPr>
          <w:rFonts w:cstheme="minorHAnsi"/>
          <w:color w:val="000000"/>
        </w:rPr>
        <w:t>tématických</w:t>
      </w:r>
      <w:proofErr w:type="spellEnd"/>
      <w:r w:rsidRPr="00296BE8">
        <w:rPr>
          <w:rFonts w:cstheme="minorHAnsi"/>
          <w:color w:val="000000"/>
        </w:rPr>
        <w:t xml:space="preserve"> oblastech, které vycházejí z priorit klíčových strategických dokumentů, zejména Bezpečnostní strategie.</w:t>
      </w:r>
    </w:p>
    <w:p w14:paraId="0B836755" w14:textId="775B2F68" w:rsidR="00024864" w:rsidRDefault="00024864" w:rsidP="008D7A46">
      <w:pPr>
        <w:tabs>
          <w:tab w:val="right" w:pos="14742"/>
        </w:tabs>
        <w:spacing w:after="0"/>
        <w:rPr>
          <w:rFonts w:cstheme="minorHAnsi"/>
          <w:color w:val="000000"/>
          <w:highlight w:val="yellow"/>
        </w:rPr>
      </w:pPr>
    </w:p>
    <w:p w14:paraId="00369043" w14:textId="4AA007A5" w:rsidR="00024864" w:rsidRPr="00976FB8" w:rsidRDefault="00730629" w:rsidP="008D7A46">
      <w:pPr>
        <w:tabs>
          <w:tab w:val="right" w:pos="14742"/>
        </w:tabs>
        <w:spacing w:after="0"/>
        <w:rPr>
          <w:rFonts w:cstheme="minorHAnsi"/>
          <w:b/>
          <w:color w:val="000000"/>
        </w:rPr>
      </w:pPr>
      <w:proofErr w:type="spellStart"/>
      <w:r w:rsidRPr="00976FB8">
        <w:rPr>
          <w:rFonts w:cstheme="minorHAnsi"/>
          <w:b/>
          <w:color w:val="000000"/>
        </w:rPr>
        <w:t>Tématické</w:t>
      </w:r>
      <w:proofErr w:type="spellEnd"/>
      <w:r w:rsidRPr="00976FB8">
        <w:rPr>
          <w:rFonts w:cstheme="minorHAnsi"/>
          <w:b/>
          <w:color w:val="000000"/>
        </w:rPr>
        <w:t xml:space="preserve"> oblasti:</w:t>
      </w:r>
    </w:p>
    <w:p w14:paraId="78521676" w14:textId="77777777" w:rsidR="00730629" w:rsidRDefault="00730629" w:rsidP="00DD4D42">
      <w:pPr>
        <w:tabs>
          <w:tab w:val="right" w:pos="14742"/>
        </w:tabs>
        <w:spacing w:after="0"/>
        <w:jc w:val="both"/>
        <w:rPr>
          <w:rFonts w:cstheme="minorHAnsi"/>
          <w:color w:val="000000"/>
        </w:rPr>
      </w:pPr>
    </w:p>
    <w:p w14:paraId="48B78E0A" w14:textId="4F744F17" w:rsidR="00730629" w:rsidRDefault="00730629" w:rsidP="003A219E">
      <w:pPr>
        <w:tabs>
          <w:tab w:val="right" w:pos="14742"/>
        </w:tabs>
        <w:jc w:val="both"/>
        <w:rPr>
          <w:rFonts w:cstheme="minorHAnsi"/>
          <w:color w:val="000000"/>
        </w:rPr>
      </w:pPr>
      <w:r w:rsidRPr="0072552C">
        <w:rPr>
          <w:rFonts w:cstheme="minorHAnsi"/>
          <w:b/>
          <w:color w:val="000000"/>
        </w:rPr>
        <w:t>1) Bezpečnost občanů</w:t>
      </w:r>
      <w:r>
        <w:rPr>
          <w:rFonts w:cstheme="minorHAnsi"/>
          <w:color w:val="000000"/>
        </w:rPr>
        <w:t xml:space="preserve"> – dílčí cíle:</w:t>
      </w:r>
    </w:p>
    <w:p w14:paraId="3C0B027E" w14:textId="6DABEC7E" w:rsidR="00730629" w:rsidRPr="00730629" w:rsidRDefault="00730629" w:rsidP="00DD4D42">
      <w:pPr>
        <w:pStyle w:val="Odstavecseseznamem"/>
        <w:numPr>
          <w:ilvl w:val="0"/>
          <w:numId w:val="23"/>
        </w:numPr>
        <w:tabs>
          <w:tab w:val="right" w:pos="14742"/>
        </w:tabs>
        <w:spacing w:after="0"/>
        <w:jc w:val="both"/>
        <w:rPr>
          <w:rFonts w:asciiTheme="minorHAnsi" w:eastAsiaTheme="minorHAnsi" w:hAnsiTheme="minorHAnsi" w:cstheme="minorHAnsi"/>
          <w:color w:val="000000"/>
        </w:rPr>
      </w:pPr>
      <w:r w:rsidRPr="00730629">
        <w:rPr>
          <w:rFonts w:asciiTheme="minorHAnsi" w:eastAsiaTheme="minorHAnsi" w:hAnsiTheme="minorHAnsi" w:cstheme="minorHAnsi"/>
          <w:color w:val="000000"/>
        </w:rPr>
        <w:t>Podpora opatření a úkolů ochrany obyvatelstva</w:t>
      </w:r>
    </w:p>
    <w:p w14:paraId="2612A4C1" w14:textId="05AA036F" w:rsidR="00024864" w:rsidRPr="00730629" w:rsidRDefault="00730629" w:rsidP="00DD4D42">
      <w:pPr>
        <w:pStyle w:val="Odstavecseseznamem"/>
        <w:numPr>
          <w:ilvl w:val="0"/>
          <w:numId w:val="23"/>
        </w:numPr>
        <w:tabs>
          <w:tab w:val="right" w:pos="14742"/>
        </w:tabs>
        <w:spacing w:after="0"/>
        <w:jc w:val="both"/>
        <w:rPr>
          <w:rFonts w:asciiTheme="minorHAnsi" w:eastAsiaTheme="minorHAnsi" w:hAnsiTheme="minorHAnsi" w:cstheme="minorHAnsi"/>
          <w:color w:val="000000"/>
        </w:rPr>
      </w:pPr>
      <w:r w:rsidRPr="00730629">
        <w:rPr>
          <w:rFonts w:asciiTheme="minorHAnsi" w:eastAsiaTheme="minorHAnsi" w:hAnsiTheme="minorHAnsi" w:cstheme="minorHAnsi"/>
          <w:color w:val="000000"/>
        </w:rPr>
        <w:t>Zdokonalování služeb a prostředků ochrany obyvatelstva</w:t>
      </w:r>
    </w:p>
    <w:p w14:paraId="341B3D77" w14:textId="7C4B351A" w:rsidR="00024864" w:rsidRDefault="00730629" w:rsidP="00DD4D42">
      <w:pPr>
        <w:pStyle w:val="Odstavecseseznamem"/>
        <w:numPr>
          <w:ilvl w:val="0"/>
          <w:numId w:val="23"/>
        </w:numPr>
        <w:tabs>
          <w:tab w:val="right" w:pos="14742"/>
        </w:tabs>
        <w:spacing w:after="0"/>
        <w:jc w:val="both"/>
        <w:rPr>
          <w:rFonts w:asciiTheme="minorHAnsi" w:eastAsiaTheme="minorHAnsi" w:hAnsiTheme="minorHAnsi" w:cstheme="minorHAnsi"/>
          <w:color w:val="000000"/>
        </w:rPr>
      </w:pPr>
      <w:r w:rsidRPr="00730629">
        <w:rPr>
          <w:rFonts w:asciiTheme="minorHAnsi" w:eastAsiaTheme="minorHAnsi" w:hAnsiTheme="minorHAnsi" w:cstheme="minorHAnsi"/>
          <w:color w:val="000000"/>
        </w:rPr>
        <w:t>Bezpečnost měst a obcí, informování, vzdělávání a motivace občanů</w:t>
      </w:r>
    </w:p>
    <w:p w14:paraId="6C4124FF" w14:textId="286E1840" w:rsidR="0072552C" w:rsidRDefault="0072552C" w:rsidP="00DD4D42">
      <w:pPr>
        <w:pStyle w:val="Odstavecseseznamem"/>
        <w:numPr>
          <w:ilvl w:val="0"/>
          <w:numId w:val="23"/>
        </w:numPr>
        <w:tabs>
          <w:tab w:val="right" w:pos="14742"/>
        </w:tabs>
        <w:spacing w:after="0"/>
        <w:jc w:val="both"/>
        <w:rPr>
          <w:rFonts w:asciiTheme="minorHAnsi" w:eastAsiaTheme="minorHAnsi" w:hAnsiTheme="minorHAnsi" w:cstheme="minorHAnsi"/>
          <w:color w:val="000000"/>
        </w:rPr>
      </w:pPr>
      <w:r w:rsidRPr="0072552C">
        <w:rPr>
          <w:rFonts w:asciiTheme="minorHAnsi" w:eastAsiaTheme="minorHAnsi" w:hAnsiTheme="minorHAnsi" w:cstheme="minorHAnsi"/>
          <w:color w:val="000000"/>
        </w:rPr>
        <w:t>Vytváření účinných metod analýzy druhů a rozšířenosti kriminality a implementace efektivních nástrojů jejího potírání</w:t>
      </w:r>
    </w:p>
    <w:p w14:paraId="22A5116A" w14:textId="657BA465" w:rsidR="0072552C" w:rsidRDefault="0072552C" w:rsidP="00DD4D42">
      <w:pPr>
        <w:pStyle w:val="Odstavecseseznamem"/>
        <w:numPr>
          <w:ilvl w:val="0"/>
          <w:numId w:val="23"/>
        </w:numPr>
        <w:tabs>
          <w:tab w:val="right" w:pos="14742"/>
        </w:tabs>
        <w:spacing w:after="0"/>
        <w:jc w:val="both"/>
        <w:rPr>
          <w:rFonts w:asciiTheme="minorHAnsi" w:eastAsiaTheme="minorHAnsi" w:hAnsiTheme="minorHAnsi" w:cstheme="minorHAnsi"/>
          <w:color w:val="000000"/>
        </w:rPr>
      </w:pPr>
      <w:r w:rsidRPr="0072552C">
        <w:rPr>
          <w:rFonts w:asciiTheme="minorHAnsi" w:eastAsiaTheme="minorHAnsi" w:hAnsiTheme="minorHAnsi" w:cstheme="minorHAnsi"/>
          <w:color w:val="000000"/>
        </w:rPr>
        <w:t>Minimalizace kybernetické kriminality a zneužívání informací</w:t>
      </w:r>
    </w:p>
    <w:p w14:paraId="535E9F97" w14:textId="305B0160" w:rsidR="0072552C" w:rsidRDefault="0072552C" w:rsidP="00DD4D42">
      <w:pPr>
        <w:tabs>
          <w:tab w:val="right" w:pos="14742"/>
        </w:tabs>
        <w:spacing w:after="0"/>
        <w:jc w:val="both"/>
        <w:rPr>
          <w:rFonts w:cstheme="minorHAnsi"/>
          <w:color w:val="000000"/>
        </w:rPr>
      </w:pPr>
    </w:p>
    <w:p w14:paraId="2E5090E0" w14:textId="21534BF3" w:rsidR="0072552C" w:rsidRPr="0072552C" w:rsidRDefault="0072552C" w:rsidP="003A219E">
      <w:pPr>
        <w:tabs>
          <w:tab w:val="right" w:pos="14742"/>
        </w:tabs>
        <w:jc w:val="both"/>
        <w:rPr>
          <w:rFonts w:cstheme="minorHAnsi"/>
          <w:b/>
          <w:color w:val="000000"/>
        </w:rPr>
      </w:pPr>
      <w:r w:rsidRPr="0072552C">
        <w:rPr>
          <w:rFonts w:cstheme="minorHAnsi"/>
          <w:b/>
          <w:color w:val="000000"/>
        </w:rPr>
        <w:t>2) Bezpečnost kritických infrastruktur a zdrojů</w:t>
      </w:r>
      <w:r>
        <w:rPr>
          <w:rFonts w:cstheme="minorHAnsi"/>
          <w:b/>
          <w:color w:val="000000"/>
        </w:rPr>
        <w:t xml:space="preserve"> </w:t>
      </w:r>
      <w:r w:rsidRPr="0072552C">
        <w:rPr>
          <w:rFonts w:cstheme="minorHAnsi"/>
          <w:color w:val="000000"/>
        </w:rPr>
        <w:t>– dílčí cíle:</w:t>
      </w:r>
    </w:p>
    <w:p w14:paraId="0AE56E1E" w14:textId="54F90A4F" w:rsidR="00024864" w:rsidRDefault="0072552C"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72552C">
        <w:rPr>
          <w:rFonts w:asciiTheme="minorHAnsi" w:eastAsiaTheme="minorHAnsi" w:hAnsiTheme="minorHAnsi" w:cstheme="minorHAnsi"/>
          <w:color w:val="000000"/>
        </w:rPr>
        <w:t>Rozvoj alternativních nouzových a krizových procesů kritické infrastruktury</w:t>
      </w:r>
    </w:p>
    <w:p w14:paraId="710D6B69" w14:textId="5497E271" w:rsidR="0072552C" w:rsidRDefault="0072552C"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72552C">
        <w:rPr>
          <w:rFonts w:asciiTheme="minorHAnsi" w:eastAsiaTheme="minorHAnsi" w:hAnsiTheme="minorHAnsi" w:cstheme="minorHAnsi"/>
          <w:color w:val="000000"/>
        </w:rPr>
        <w:t>Zvyšování odolnosti kritické infrastruktury</w:t>
      </w:r>
    </w:p>
    <w:p w14:paraId="61D6DF5E" w14:textId="0149824D" w:rsidR="0072552C" w:rsidRDefault="0072552C"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72552C">
        <w:rPr>
          <w:rFonts w:asciiTheme="minorHAnsi" w:eastAsiaTheme="minorHAnsi" w:hAnsiTheme="minorHAnsi" w:cstheme="minorHAnsi"/>
          <w:color w:val="000000"/>
        </w:rPr>
        <w:t>Zajištění a rozvoj interoperability kritické infrastruktury</w:t>
      </w:r>
    </w:p>
    <w:p w14:paraId="7C1877BF" w14:textId="678ECC41" w:rsidR="00CD1E9C" w:rsidRDefault="00CD1E9C"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CD1E9C">
        <w:rPr>
          <w:rFonts w:asciiTheme="minorHAnsi" w:eastAsiaTheme="minorHAnsi" w:hAnsiTheme="minorHAnsi" w:cstheme="minorHAnsi"/>
          <w:color w:val="000000"/>
        </w:rPr>
        <w:t>Účinná detekce a identifikace hrozeb kritické infrastruktury</w:t>
      </w:r>
    </w:p>
    <w:p w14:paraId="6C3ECC2D" w14:textId="29C33BBC" w:rsidR="00A926DB" w:rsidRDefault="00A926DB"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A926DB">
        <w:rPr>
          <w:rFonts w:asciiTheme="minorHAnsi" w:eastAsiaTheme="minorHAnsi" w:hAnsiTheme="minorHAnsi" w:cstheme="minorHAnsi"/>
          <w:color w:val="000000"/>
        </w:rPr>
        <w:t>Rozvoj ICT, telematiky a kybernetické ochrany kritické infrastruktury</w:t>
      </w:r>
    </w:p>
    <w:p w14:paraId="41D769BF" w14:textId="4548F137" w:rsidR="00335F72" w:rsidRDefault="00335F72"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335F72">
        <w:rPr>
          <w:rFonts w:asciiTheme="minorHAnsi" w:eastAsiaTheme="minorHAnsi" w:hAnsiTheme="minorHAnsi" w:cstheme="minorHAnsi"/>
          <w:color w:val="000000"/>
        </w:rPr>
        <w:t>Vzájemné závislostí systémů kritické infrastruktury</w:t>
      </w:r>
    </w:p>
    <w:p w14:paraId="1A5AB3E2" w14:textId="4F633BA2" w:rsidR="003A219E" w:rsidRDefault="00335F72" w:rsidP="00DD4D42">
      <w:pPr>
        <w:pStyle w:val="Odstavecseseznamem"/>
        <w:numPr>
          <w:ilvl w:val="0"/>
          <w:numId w:val="25"/>
        </w:numPr>
        <w:tabs>
          <w:tab w:val="right" w:pos="14742"/>
        </w:tabs>
        <w:spacing w:after="0"/>
        <w:jc w:val="both"/>
        <w:rPr>
          <w:rFonts w:asciiTheme="minorHAnsi" w:eastAsiaTheme="minorHAnsi" w:hAnsiTheme="minorHAnsi" w:cstheme="minorHAnsi"/>
          <w:color w:val="000000"/>
        </w:rPr>
      </w:pPr>
      <w:r w:rsidRPr="00335F72">
        <w:rPr>
          <w:rFonts w:asciiTheme="minorHAnsi" w:eastAsiaTheme="minorHAnsi" w:hAnsiTheme="minorHAnsi" w:cstheme="minorHAnsi"/>
          <w:color w:val="000000"/>
        </w:rPr>
        <w:t>Informační podpora pro detekci možných nepříznivých ovlivňování funkce kritické infrastruktury</w:t>
      </w:r>
    </w:p>
    <w:p w14:paraId="2CF3856D" w14:textId="77777777" w:rsidR="003A219E" w:rsidRDefault="003A219E">
      <w:pPr>
        <w:rPr>
          <w:rFonts w:cstheme="minorHAnsi"/>
          <w:color w:val="000000"/>
        </w:rPr>
      </w:pPr>
      <w:r>
        <w:rPr>
          <w:rFonts w:cstheme="minorHAnsi"/>
          <w:color w:val="000000"/>
        </w:rPr>
        <w:br w:type="page"/>
      </w:r>
    </w:p>
    <w:p w14:paraId="78D01209" w14:textId="77777777" w:rsidR="00DF6770" w:rsidRPr="00DF6770" w:rsidRDefault="00DF6770" w:rsidP="00DD4D42">
      <w:pPr>
        <w:tabs>
          <w:tab w:val="right" w:pos="14742"/>
        </w:tabs>
        <w:spacing w:after="0"/>
        <w:jc w:val="both"/>
        <w:rPr>
          <w:rFonts w:cstheme="minorHAnsi"/>
          <w:color w:val="000000"/>
        </w:rPr>
      </w:pPr>
    </w:p>
    <w:p w14:paraId="42C0845E" w14:textId="171B7A3C" w:rsidR="00DF6770" w:rsidRDefault="00DF6770" w:rsidP="003A219E">
      <w:pPr>
        <w:tabs>
          <w:tab w:val="right" w:pos="14742"/>
        </w:tabs>
        <w:jc w:val="both"/>
        <w:rPr>
          <w:rFonts w:cstheme="minorHAnsi"/>
          <w:color w:val="000000"/>
        </w:rPr>
      </w:pPr>
      <w:r>
        <w:rPr>
          <w:rFonts w:cstheme="minorHAnsi"/>
          <w:b/>
          <w:color w:val="000000"/>
        </w:rPr>
        <w:t xml:space="preserve">3) </w:t>
      </w:r>
      <w:r w:rsidRPr="00DF6770">
        <w:rPr>
          <w:rFonts w:cstheme="minorHAnsi"/>
          <w:b/>
          <w:color w:val="000000"/>
        </w:rPr>
        <w:t>Krizové řízení a bezpečnostní politika</w:t>
      </w:r>
      <w:r w:rsidRPr="00DF6770">
        <w:rPr>
          <w:rFonts w:cstheme="minorHAnsi"/>
          <w:color w:val="000000"/>
        </w:rPr>
        <w:t xml:space="preserve"> </w:t>
      </w:r>
      <w:r>
        <w:rPr>
          <w:rFonts w:cstheme="minorHAnsi"/>
          <w:color w:val="000000"/>
        </w:rPr>
        <w:t>– dílčí cíle:</w:t>
      </w:r>
    </w:p>
    <w:p w14:paraId="6EA2DB4B" w14:textId="715B0165" w:rsidR="00DF6770" w:rsidRDefault="00DF6770"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F6770">
        <w:rPr>
          <w:rFonts w:asciiTheme="minorHAnsi" w:eastAsiaTheme="minorHAnsi" w:hAnsiTheme="minorHAnsi" w:cstheme="minorHAnsi"/>
          <w:color w:val="000000"/>
        </w:rPr>
        <w:t>Vyhodnocení efektivity strategických řídících a hodnotících dokumentů v oblasti bezpečnosti</w:t>
      </w:r>
    </w:p>
    <w:p w14:paraId="4B51739B" w14:textId="1A2B59D1" w:rsidR="00DF6770" w:rsidRPr="00DD4D42" w:rsidRDefault="00DF6770"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F6770">
        <w:rPr>
          <w:rFonts w:asciiTheme="minorHAnsi" w:eastAsiaTheme="minorHAnsi" w:hAnsiTheme="minorHAnsi" w:cstheme="minorHAnsi"/>
          <w:color w:val="000000"/>
        </w:rPr>
        <w:t xml:space="preserve">Podpora adaptability bezpečnostního systému ČR na změny </w:t>
      </w:r>
      <w:r w:rsidRPr="00DD4D42">
        <w:rPr>
          <w:rFonts w:asciiTheme="minorHAnsi" w:eastAsiaTheme="minorHAnsi" w:hAnsiTheme="minorHAnsi" w:cstheme="minorHAnsi"/>
          <w:color w:val="000000"/>
        </w:rPr>
        <w:t>v bezpečnostním prostředí a vznikající nové bezpečnostní</w:t>
      </w:r>
    </w:p>
    <w:p w14:paraId="380E82BE" w14:textId="5FB70452"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Analýza bezpečnostních hrozeb a tvorba scénářů</w:t>
      </w:r>
      <w:r w:rsidR="00354152">
        <w:rPr>
          <w:rFonts w:asciiTheme="minorHAnsi" w:eastAsiaTheme="minorHAnsi" w:hAnsiTheme="minorHAnsi" w:cstheme="minorHAnsi"/>
          <w:color w:val="000000"/>
        </w:rPr>
        <w:t xml:space="preserve"> vývoje bezpečnostní situace ve </w:t>
      </w:r>
      <w:r w:rsidRPr="00DD4D42">
        <w:rPr>
          <w:rFonts w:asciiTheme="minorHAnsi" w:eastAsiaTheme="minorHAnsi" w:hAnsiTheme="minorHAnsi" w:cstheme="minorHAnsi"/>
          <w:color w:val="000000"/>
        </w:rPr>
        <w:t>světě, Evropě a ČR</w:t>
      </w:r>
    </w:p>
    <w:p w14:paraId="1DF94191" w14:textId="4C5FC1ED"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Podpora specifických oblastí bezpečnosti</w:t>
      </w:r>
    </w:p>
    <w:p w14:paraId="109F910B" w14:textId="26085D80"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Zlepšení systémů získávání a třídění bezpečnostních informací</w:t>
      </w:r>
    </w:p>
    <w:p w14:paraId="29F7BB63" w14:textId="46613D31"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Analýza bezpečnostních informací</w:t>
      </w:r>
    </w:p>
    <w:p w14:paraId="1B75486F" w14:textId="3D5DF6E2"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Zdokonalování účinnosti bezpečnostního systému a krizového řízení</w:t>
      </w:r>
    </w:p>
    <w:p w14:paraId="58D51CFC" w14:textId="13CA678E" w:rsid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Zdokonalení systémů pro podporu obnovy</w:t>
      </w:r>
    </w:p>
    <w:p w14:paraId="56F37545" w14:textId="7FBEC4BD" w:rsidR="00DD4D42" w:rsidRPr="00DD4D42" w:rsidRDefault="00DD4D42" w:rsidP="00DD4D42">
      <w:pPr>
        <w:pStyle w:val="Odstavecseseznamem"/>
        <w:numPr>
          <w:ilvl w:val="0"/>
          <w:numId w:val="27"/>
        </w:numPr>
        <w:tabs>
          <w:tab w:val="right" w:pos="14742"/>
        </w:tabs>
        <w:spacing w:after="0"/>
        <w:jc w:val="both"/>
        <w:rPr>
          <w:rFonts w:asciiTheme="minorHAnsi" w:eastAsiaTheme="minorHAnsi" w:hAnsiTheme="minorHAnsi" w:cstheme="minorHAnsi"/>
          <w:color w:val="000000"/>
        </w:rPr>
      </w:pPr>
      <w:r w:rsidRPr="00DD4D42">
        <w:rPr>
          <w:rFonts w:asciiTheme="minorHAnsi" w:eastAsiaTheme="minorHAnsi" w:hAnsiTheme="minorHAnsi" w:cstheme="minorHAnsi"/>
          <w:color w:val="000000"/>
        </w:rPr>
        <w:t>Legislativní postupy a opatření vnitřní bezpečnosti státu, přírodních a antropogenních mimořádných událostí a krizových situací</w:t>
      </w:r>
    </w:p>
    <w:p w14:paraId="2C8D1DE0" w14:textId="36F3B8BD" w:rsidR="00052E0C" w:rsidRDefault="00052E0C" w:rsidP="008D7A46">
      <w:pPr>
        <w:tabs>
          <w:tab w:val="right" w:pos="14742"/>
        </w:tabs>
        <w:spacing w:after="0"/>
        <w:rPr>
          <w:highlight w:val="yellow"/>
        </w:rPr>
      </w:pPr>
    </w:p>
    <w:p w14:paraId="10D1CADD" w14:textId="5198A9D0" w:rsidR="00C243BB" w:rsidRDefault="006E52E6" w:rsidP="00AF714E">
      <w:pPr>
        <w:tabs>
          <w:tab w:val="right" w:pos="14742"/>
        </w:tabs>
        <w:spacing w:after="0"/>
        <w:jc w:val="both"/>
        <w:rPr>
          <w:highlight w:val="yellow"/>
        </w:rPr>
      </w:pPr>
      <w:r>
        <w:t xml:space="preserve">Dosažení cílů Programu </w:t>
      </w:r>
      <w:r w:rsidR="00C96254">
        <w:t xml:space="preserve">MV </w:t>
      </w:r>
      <w:r>
        <w:t>bylo vyhodnocováno na základě souboru indikátorů určených p</w:t>
      </w:r>
      <w:r w:rsidR="00C96254">
        <w:t>ro monitorování průběhu plnění p</w:t>
      </w:r>
      <w:r>
        <w:t>rogramu a hodn</w:t>
      </w:r>
      <w:r w:rsidR="00C96254">
        <w:t>ocení jeho celkové výkonnosti a </w:t>
      </w:r>
      <w:r w:rsidR="00670420">
        <w:t xml:space="preserve">úspěšnosti. </w:t>
      </w:r>
      <w:r w:rsidR="00AF714E">
        <w:t xml:space="preserve">Program </w:t>
      </w:r>
      <w:r w:rsidR="00C96254">
        <w:t>MV</w:t>
      </w:r>
      <w:r w:rsidR="00670420">
        <w:t xml:space="preserve"> výrazně</w:t>
      </w:r>
      <w:r w:rsidR="00C96254">
        <w:t xml:space="preserve"> </w:t>
      </w:r>
      <w:r w:rsidR="00AF714E">
        <w:t>překonal původní předpoklady, a to navzdory problémům s načasováním financování.</w:t>
      </w:r>
      <w:r w:rsidR="00670420">
        <w:t xml:space="preserve"> </w:t>
      </w:r>
      <w:r w:rsidR="00670420" w:rsidRPr="002C7B60">
        <w:rPr>
          <w:i/>
        </w:rPr>
        <w:t>Minimální počet celkem vybraných (podpořených) projektů</w:t>
      </w:r>
      <w:r w:rsidR="00670420">
        <w:t xml:space="preserve"> dosáhl hodnoty 199, přičemž předpokládaná byla 105. </w:t>
      </w:r>
      <w:r w:rsidR="00670420" w:rsidRPr="002C7B60">
        <w:rPr>
          <w:i/>
        </w:rPr>
        <w:t>Minimální počet projektů ř</w:t>
      </w:r>
      <w:r w:rsidR="00354152">
        <w:rPr>
          <w:i/>
        </w:rPr>
        <w:t>ešených ve spolupráci podniků a </w:t>
      </w:r>
      <w:r w:rsidR="00670420" w:rsidRPr="002C7B60">
        <w:rPr>
          <w:i/>
        </w:rPr>
        <w:t>výzkumných organizací</w:t>
      </w:r>
      <w:r w:rsidR="002C7B60">
        <w:t xml:space="preserve"> dosáhl hodnoty 79 a předpokládaná byla 15. </w:t>
      </w:r>
      <w:r w:rsidR="002C7B60" w:rsidRPr="002C7B60">
        <w:rPr>
          <w:i/>
        </w:rPr>
        <w:t>Minimální počet úspěšně ukončených projektů celkem</w:t>
      </w:r>
      <w:r w:rsidR="002C7B60">
        <w:t xml:space="preserve"> dosáhl hodnoty 194, přičemž se předpokládalo 88 projektů.</w:t>
      </w:r>
    </w:p>
    <w:p w14:paraId="1CA50410" w14:textId="77777777" w:rsidR="00C243BB" w:rsidRDefault="00C243BB" w:rsidP="008D7A46">
      <w:pPr>
        <w:tabs>
          <w:tab w:val="right" w:pos="14742"/>
        </w:tabs>
        <w:spacing w:after="0"/>
        <w:rPr>
          <w:highlight w:val="yellow"/>
        </w:rPr>
      </w:pPr>
    </w:p>
    <w:p w14:paraId="2410CA12" w14:textId="65C2F059" w:rsidR="00976FB8" w:rsidRDefault="00976FB8" w:rsidP="00976FB8">
      <w:pPr>
        <w:pStyle w:val="Nadpis3"/>
        <w:numPr>
          <w:ilvl w:val="0"/>
          <w:numId w:val="0"/>
        </w:numPr>
        <w:ind w:left="284"/>
      </w:pPr>
      <w:bookmarkStart w:id="43" w:name="_Toc176217920"/>
      <w:bookmarkStart w:id="44" w:name="_Toc182984813"/>
      <w:r>
        <w:t xml:space="preserve">2. </w:t>
      </w:r>
      <w:r w:rsidRPr="005F3EBF">
        <w:t>Výsledky programu</w:t>
      </w:r>
      <w:bookmarkEnd w:id="43"/>
      <w:bookmarkEnd w:id="44"/>
    </w:p>
    <w:p w14:paraId="23991D2D" w14:textId="01F8D733" w:rsidR="00052E0C" w:rsidRPr="003E7BE5" w:rsidRDefault="00C96254" w:rsidP="003E7BE5">
      <w:pPr>
        <w:tabs>
          <w:tab w:val="right" w:pos="14742"/>
        </w:tabs>
        <w:spacing w:after="0"/>
        <w:jc w:val="both"/>
      </w:pPr>
      <w:r>
        <w:t>Závěrečné hodnocení Programu MV</w:t>
      </w:r>
      <w:r w:rsidR="002C7B60">
        <w:t xml:space="preserve"> (Příloha D)</w:t>
      </w:r>
      <w:r w:rsidR="003E7BE5">
        <w:t xml:space="preserve"> uvádí, že v </w:t>
      </w:r>
      <w:r w:rsidR="002C7B60">
        <w:t>rámci projektů bylo vytvořeno p</w:t>
      </w:r>
      <w:r w:rsidR="003E7BE5" w:rsidRPr="003E7BE5">
        <w:t>odle databáze RIV vytvořeno 2 673 výsledků.</w:t>
      </w:r>
    </w:p>
    <w:p w14:paraId="4F4D9259" w14:textId="77777777" w:rsidR="003E7BE5" w:rsidRDefault="003E7BE5" w:rsidP="003E7BE5">
      <w:pPr>
        <w:tabs>
          <w:tab w:val="right" w:pos="14742"/>
        </w:tabs>
        <w:spacing w:after="0"/>
        <w:jc w:val="both"/>
        <w:rPr>
          <w:highlight w:val="yellow"/>
        </w:rPr>
      </w:pPr>
    </w:p>
    <w:p w14:paraId="4BC69C79" w14:textId="52E033A8" w:rsidR="00052E0C" w:rsidRDefault="003E7BE5" w:rsidP="003E7BE5">
      <w:pPr>
        <w:tabs>
          <w:tab w:val="right" w:pos="14742"/>
        </w:tabs>
        <w:spacing w:after="0"/>
        <w:jc w:val="both"/>
      </w:pPr>
      <w:r w:rsidRPr="003E7BE5">
        <w:t xml:space="preserve">V Programu </w:t>
      </w:r>
      <w:r w:rsidR="00C96254">
        <w:t xml:space="preserve">MV </w:t>
      </w:r>
      <w:r w:rsidRPr="003E7BE5">
        <w:t xml:space="preserve">tradičně dominují vedlejší – publikační – výsledky. To odpovídá masivnímu zapojení výzkumných organizací, nejen co do počtu, ale také co do intenzity aktivity v projektech. </w:t>
      </w:r>
      <w:r w:rsidR="002C7B60">
        <w:t>MV</w:t>
      </w:r>
      <w:r w:rsidRPr="003E7BE5">
        <w:t xml:space="preserve"> realizaci vedlejších výsledků v rámci Programu</w:t>
      </w:r>
      <w:r w:rsidR="00C96254">
        <w:t xml:space="preserve"> MV</w:t>
      </w:r>
      <w:r w:rsidRPr="003E7BE5">
        <w:t xml:space="preserve"> ani smluvní dokumentace nereguloval. Využívání příležitostí k publikacím v rámci realizace aplikovaných projektů považuje </w:t>
      </w:r>
      <w:r w:rsidR="002C7B60">
        <w:t>MV</w:t>
      </w:r>
      <w:r w:rsidRPr="003E7BE5">
        <w:t xml:space="preserve"> dlouhodobě za přínosnou. Mezi aplikovanými výsledky vynikají funkční vzory, tradiční metodiky a software. To opět reflektuje výše uvedené tematické silné stránky celého portfolia podpory i jednotlivých zúčastněných organizací. Výše uvedenou diverzitu Programu</w:t>
      </w:r>
      <w:r w:rsidR="00C96254">
        <w:t xml:space="preserve"> MV</w:t>
      </w:r>
      <w:r w:rsidRPr="003E7BE5">
        <w:t xml:space="preserve"> podtrhuje fakt, že v rámci podpory vznikly prakticky všechny typy výsledků, resp. všechny typy aplikačních výsledků a celá řada dalších výsledkových </w:t>
      </w:r>
      <w:r w:rsidR="00354152">
        <w:t>formátů, které byly zařazeny do </w:t>
      </w:r>
      <w:r w:rsidRPr="003E7BE5">
        <w:t>kategorie „Ostatní výsledky“.</w:t>
      </w:r>
    </w:p>
    <w:p w14:paraId="10C01349" w14:textId="77777777" w:rsidR="002C7B60" w:rsidRDefault="002C7B60" w:rsidP="008C129B">
      <w:pPr>
        <w:pStyle w:val="Text"/>
      </w:pPr>
    </w:p>
    <w:p w14:paraId="1D9387C2" w14:textId="2F781EED" w:rsidR="008C129B" w:rsidRPr="008C129B" w:rsidRDefault="00CA346B" w:rsidP="008C129B">
      <w:pPr>
        <w:pStyle w:val="Text"/>
      </w:pPr>
      <w:r>
        <w:t>V </w:t>
      </w:r>
      <w:r w:rsidR="002C7B60">
        <w:t>Z</w:t>
      </w:r>
      <w:r w:rsidR="008C129B" w:rsidRPr="008C129B">
        <w:t>ávěrečné</w:t>
      </w:r>
      <w:r>
        <w:t>m hodno</w:t>
      </w:r>
      <w:r w:rsidR="002C7B60">
        <w:t>c</w:t>
      </w:r>
      <w:r>
        <w:t xml:space="preserve">ení </w:t>
      </w:r>
      <w:proofErr w:type="spellStart"/>
      <w:r>
        <w:t>Porgramu</w:t>
      </w:r>
      <w:proofErr w:type="spellEnd"/>
      <w:r>
        <w:t xml:space="preserve"> MV</w:t>
      </w:r>
      <w:r w:rsidR="008C129B" w:rsidRPr="008C129B">
        <w:t xml:space="preserve"> je konstatováno, že vzhledem k obtížné zjistitelnosti míry úspěšné aplikace výsledků bezpečnostního výzkumu, bylo realizováno dotazníkové šetření mezi hlavními řešiteli 375 projektů bezpečnostního výzkumu, jejichž řešení započalo od roku 2015 </w:t>
      </w:r>
      <w:r w:rsidR="002C7B60">
        <w:t xml:space="preserve"> a trvalo </w:t>
      </w:r>
      <w:r w:rsidR="008C129B" w:rsidRPr="008C129B">
        <w:t xml:space="preserve">do </w:t>
      </w:r>
      <w:r w:rsidR="002C7B60">
        <w:t>doby vypracování Z</w:t>
      </w:r>
      <w:r w:rsidR="002C7B60" w:rsidRPr="008C129B">
        <w:t>ávěrečné</w:t>
      </w:r>
      <w:r w:rsidR="002C7B60">
        <w:t xml:space="preserve">ho hodnocení </w:t>
      </w:r>
      <w:proofErr w:type="spellStart"/>
      <w:r w:rsidR="002C7B60">
        <w:t>Porgramu</w:t>
      </w:r>
      <w:proofErr w:type="spellEnd"/>
      <w:r w:rsidR="002C7B60">
        <w:t xml:space="preserve"> MV</w:t>
      </w:r>
      <w:r w:rsidR="008C129B" w:rsidRPr="008C129B">
        <w:t>. V rámci tohoto šetření byl zahrnut celý soubor realizovaných projektů v</w:t>
      </w:r>
      <w:r>
        <w:t> </w:t>
      </w:r>
      <w:r w:rsidR="008C129B" w:rsidRPr="008C129B">
        <w:t>Programu</w:t>
      </w:r>
      <w:r>
        <w:t xml:space="preserve"> MV</w:t>
      </w:r>
      <w:r w:rsidR="008C129B" w:rsidRPr="008C129B">
        <w:t xml:space="preserve">, návratnost </w:t>
      </w:r>
      <w:r w:rsidR="008C129B" w:rsidRPr="008C129B">
        <w:lastRenderedPageBreak/>
        <w:t xml:space="preserve">dotazníků činila 29%. Klíčovou otázkou tohoto šetření pro </w:t>
      </w:r>
      <w:r>
        <w:t>závěrečné hodnocení Programu MV</w:t>
      </w:r>
      <w:r w:rsidR="008C129B" w:rsidRPr="008C129B">
        <w:t xml:space="preserve"> byl</w:t>
      </w:r>
      <w:r>
        <w:t>a</w:t>
      </w:r>
      <w:r w:rsidR="008C129B" w:rsidRPr="008C129B">
        <w:t xml:space="preserve"> míra implementace výsledků projektu do praxe. Navazující problém potom představuje míra takové implementace či využití potenciálu výsledků. </w:t>
      </w:r>
    </w:p>
    <w:p w14:paraId="3FCBD838" w14:textId="0A707099" w:rsidR="008C129B" w:rsidRPr="008C129B" w:rsidRDefault="008C129B" w:rsidP="008C129B">
      <w:pPr>
        <w:pStyle w:val="Text"/>
      </w:pPr>
      <w:r w:rsidRPr="008C129B">
        <w:t>V rámci šetření 82% respondentů uvedlo, že výsledky již byly implementovány, případně se na jejich uvedení do praxe v nejbližší době pracuje. R</w:t>
      </w:r>
      <w:r w:rsidR="00CA346B">
        <w:t>espondenti uvedli využití jak v </w:t>
      </w:r>
      <w:r w:rsidRPr="008C129B">
        <w:t xml:space="preserve">bezpečnostních složkách, tak v soukromoprávních subjektech i ve vlastní praxi. Implementace </w:t>
      </w:r>
      <w:proofErr w:type="spellStart"/>
      <w:r w:rsidRPr="008C129B">
        <w:t>vysledků</w:t>
      </w:r>
      <w:proofErr w:type="spellEnd"/>
      <w:r w:rsidRPr="008C129B">
        <w:t xml:space="preserve"> zahrnula volné šíření i přímé předání uživateli, komercionalizaci i další využití ve výzkumu a vývoji. Navazující vývoj probíhal jak s využitím programů bezpečnostního výzkumu (zejm</w:t>
      </w:r>
      <w:r w:rsidR="002C7B60">
        <w:t>éna</w:t>
      </w:r>
      <w:r w:rsidRPr="008C129B">
        <w:t xml:space="preserve"> </w:t>
      </w:r>
      <w:proofErr w:type="spellStart"/>
      <w:r w:rsidRPr="008C129B">
        <w:t>kyberbezpečnost</w:t>
      </w:r>
      <w:proofErr w:type="spellEnd"/>
      <w:r w:rsidRPr="008C129B">
        <w:t xml:space="preserve"> a online vyšetř</w:t>
      </w:r>
      <w:r w:rsidR="00354152">
        <w:t>ování), tak dalších národních i </w:t>
      </w:r>
      <w:r w:rsidRPr="008C129B">
        <w:t>mezinárodních programů podpory.</w:t>
      </w:r>
    </w:p>
    <w:p w14:paraId="4805E4E0" w14:textId="77777777" w:rsidR="003E7BE5" w:rsidRDefault="003E7BE5" w:rsidP="00233CDF">
      <w:pPr>
        <w:pStyle w:val="Text"/>
        <w:rPr>
          <w:b/>
          <w:highlight w:val="yellow"/>
        </w:rPr>
      </w:pPr>
    </w:p>
    <w:p w14:paraId="3F1950BE" w14:textId="17DA55DD" w:rsidR="00CD5AE0" w:rsidRDefault="00CD5AE0" w:rsidP="00CD5AE0">
      <w:pPr>
        <w:pStyle w:val="Nadpis3"/>
        <w:numPr>
          <w:ilvl w:val="0"/>
          <w:numId w:val="0"/>
        </w:numPr>
        <w:ind w:left="284"/>
      </w:pPr>
      <w:bookmarkStart w:id="45" w:name="_Toc176217921"/>
      <w:bookmarkStart w:id="46" w:name="_Toc182984814"/>
      <w:r>
        <w:t xml:space="preserve">3. </w:t>
      </w:r>
      <w:r w:rsidRPr="00302F79">
        <w:t>Průběh programu</w:t>
      </w:r>
      <w:bookmarkEnd w:id="45"/>
      <w:bookmarkEnd w:id="46"/>
    </w:p>
    <w:p w14:paraId="2A011424" w14:textId="2317E36B" w:rsidR="00CD5AE0" w:rsidRDefault="00CD5AE0" w:rsidP="00A12E19">
      <w:pPr>
        <w:pStyle w:val="Text"/>
        <w:keepNext w:val="0"/>
      </w:pPr>
      <w:r>
        <w:t xml:space="preserve">V rámci </w:t>
      </w:r>
      <w:r w:rsidRPr="00CD5AE0">
        <w:t>Program</w:t>
      </w:r>
      <w:r>
        <w:t xml:space="preserve">u </w:t>
      </w:r>
      <w:r w:rsidR="00CA346B">
        <w:t xml:space="preserve">MV </w:t>
      </w:r>
      <w:r>
        <w:t>byly realizovány</w:t>
      </w:r>
      <w:r w:rsidRPr="00CD5AE0">
        <w:t xml:space="preserve"> celkem 4 veřejné soutěže. Celkem bylo hodnoceno 804 přijatých návrhů projektů. Napříč soutěžemi bylo z formálních důvodů vyřazeno a dále nehodnoceno celkem 58 návrhů. Dalších 183 bylo iden</w:t>
      </w:r>
      <w:r>
        <w:t>tifikováno jako nezpůsobilých k </w:t>
      </w:r>
      <w:r w:rsidRPr="00CD5AE0">
        <w:t xml:space="preserve">podpoře (nesplnilo vylučovací kritéria). </w:t>
      </w:r>
      <w:r w:rsidR="004B56E9">
        <w:t xml:space="preserve">Program </w:t>
      </w:r>
      <w:r w:rsidR="00CA346B">
        <w:t xml:space="preserve">MV </w:t>
      </w:r>
      <w:r w:rsidRPr="00CD5AE0">
        <w:t>reprezentoval dominantní zdroj financování bezpečnostního výzkumu v daném období a byl realizová</w:t>
      </w:r>
      <w:r w:rsidR="004B56E9">
        <w:t>n jako nástroj komplementární k </w:t>
      </w:r>
      <w:r w:rsidRPr="00CD5AE0">
        <w:t>programu, který postihoval výzkumné potřeby bezpečn</w:t>
      </w:r>
      <w:r w:rsidR="004B56E9">
        <w:t xml:space="preserve">ostního systému. </w:t>
      </w:r>
    </w:p>
    <w:p w14:paraId="4C4EB236" w14:textId="77777777" w:rsidR="00CD5AE0" w:rsidRDefault="00CD5AE0" w:rsidP="00A12E19">
      <w:pPr>
        <w:pStyle w:val="Text"/>
        <w:keepNext w:val="0"/>
      </w:pPr>
      <w:r w:rsidRPr="00CD5AE0">
        <w:t>Výběr projektů probíhal postupem vytčeným Zákonem, a byl tak založen na minimálně dvou nezávislých externích oponentních posudcích. Za účelem zefektivnění výběrového procesu byly tyto posudky doplněny o expertní hodnocení potenciálu pro bezpečnostní přínos navrhovaných řešení. Charakter koncové množiny podpořených projektů byl proto znám nejdříve po ukončení poslední veřejné soutěže.</w:t>
      </w:r>
    </w:p>
    <w:p w14:paraId="3E401FB1" w14:textId="4D5E7BF8" w:rsidR="00E56E20" w:rsidRDefault="00CD5AE0" w:rsidP="00A12E19">
      <w:pPr>
        <w:pStyle w:val="Text"/>
        <w:keepNext w:val="0"/>
      </w:pPr>
      <w:r>
        <w:t xml:space="preserve">Plánovaný </w:t>
      </w:r>
      <w:r w:rsidRPr="00CD5AE0">
        <w:t>průběh</w:t>
      </w:r>
      <w:r>
        <w:t xml:space="preserve"> Programu</w:t>
      </w:r>
      <w:r w:rsidR="00A12E19">
        <w:t xml:space="preserve"> MV</w:t>
      </w:r>
      <w:r>
        <w:t xml:space="preserve"> byl ovlivněn</w:t>
      </w:r>
      <w:r w:rsidRPr="00CD5AE0">
        <w:t xml:space="preserve"> vnějšími vlivy</w:t>
      </w:r>
      <w:r>
        <w:t>. Jednalo</w:t>
      </w:r>
      <w:r w:rsidRPr="00CD5AE0">
        <w:t xml:space="preserve"> se především o zahájení první veřejné soutěže, které bylo kvůli alokaci finančních zdrojů posunuto o 8 měsíců, následně byl pak posunut celý harmonogram Programu</w:t>
      </w:r>
      <w:r w:rsidR="00A12E19">
        <w:t xml:space="preserve"> MV</w:t>
      </w:r>
      <w:r w:rsidRPr="00CD5AE0">
        <w:t>. Co se týče uvedených finančních indikátorů, čerpání podpory bylo ovlivněno charakterem projektů. Programové projekty byly efektivní, jak prokazují především jejich individuální nezávislá externí hodnocení v relevantních kritériích.</w:t>
      </w:r>
    </w:p>
    <w:p w14:paraId="2E3E06ED" w14:textId="255BBA8A" w:rsidR="003A219E" w:rsidRDefault="009D6817" w:rsidP="00A12E19">
      <w:pPr>
        <w:pStyle w:val="Text"/>
        <w:keepNext w:val="0"/>
      </w:pPr>
      <w:r>
        <w:t xml:space="preserve">Finanční alokace Programu </w:t>
      </w:r>
      <w:r w:rsidR="00A12E19">
        <w:t xml:space="preserve">MV </w:t>
      </w:r>
      <w:r>
        <w:t>umožnila saturaci celkem cca 24% legitimní poptávky. Úspěšnost návrhů napříč soutěžemi byla průměrně 30%. Podpořeno bylo 199 projekt</w:t>
      </w:r>
      <w:r w:rsidR="00A12E19">
        <w:t>ů, což </w:t>
      </w:r>
      <w:r>
        <w:t>znamená významné překonání relevantního indikátoru (105</w:t>
      </w:r>
      <w:r w:rsidR="00BB4C7F">
        <w:t xml:space="preserve"> projektů</w:t>
      </w:r>
      <w:r>
        <w:t>) pro průběh programu. Realizována byla také v danou dobu zcela ojedinělá tematicky specializovaná veřejná soutěž na podporu tehdy aktuálního tématu biologické ochrany. V té bylo podpořeno 27 návrhů projektů za více než 245 mil. Kč.</w:t>
      </w:r>
    </w:p>
    <w:p w14:paraId="4B0FF734" w14:textId="77777777" w:rsidR="003A219E" w:rsidRDefault="003A219E">
      <w:pPr>
        <w:rPr>
          <w:rFonts w:ascii="Arial" w:hAnsi="Arial" w:cs="Arial"/>
          <w:szCs w:val="24"/>
        </w:rPr>
      </w:pPr>
      <w:r>
        <w:br w:type="page"/>
      </w:r>
    </w:p>
    <w:p w14:paraId="31A1D24B" w14:textId="4288EB9C" w:rsidR="00E56E20" w:rsidRPr="00FF4057" w:rsidRDefault="00FF4057" w:rsidP="00FF4057">
      <w:pPr>
        <w:pStyle w:val="Nadpis3"/>
        <w:numPr>
          <w:ilvl w:val="0"/>
          <w:numId w:val="0"/>
        </w:numPr>
        <w:ind w:left="284"/>
      </w:pPr>
      <w:bookmarkStart w:id="47" w:name="_Toc176217922"/>
      <w:bookmarkStart w:id="48" w:name="_Toc182984815"/>
      <w:r>
        <w:lastRenderedPageBreak/>
        <w:t xml:space="preserve">4. </w:t>
      </w:r>
      <w:r w:rsidRPr="004552A9">
        <w:t>Plánované výdaje a reálná podpora</w:t>
      </w:r>
      <w:bookmarkEnd w:id="47"/>
      <w:bookmarkEnd w:id="48"/>
      <w:r w:rsidRPr="004552A9">
        <w:t xml:space="preserve"> </w:t>
      </w:r>
    </w:p>
    <w:p w14:paraId="30D3A526" w14:textId="3C7534A7" w:rsidR="00A12E19" w:rsidRDefault="00BB4C7F" w:rsidP="004E02F6">
      <w:pPr>
        <w:pStyle w:val="Text"/>
        <w:rPr>
          <w:highlight w:val="yellow"/>
        </w:rPr>
      </w:pPr>
      <w:r>
        <w:t>P</w:t>
      </w:r>
      <w:r w:rsidR="00A12E19" w:rsidRPr="00A12E19">
        <w:t>odíl státního rozpočtu na celkových výdajích překročil pl</w:t>
      </w:r>
      <w:r>
        <w:t>ánovaných 2 800 000 tis. Kč. Po </w:t>
      </w:r>
      <w:r w:rsidR="00A12E19" w:rsidRPr="00A12E19">
        <w:t>očištění o všechny modifikace vratky a úpravy v projektec</w:t>
      </w:r>
      <w:r w:rsidR="00A12E19">
        <w:t>h bylo vydáno 2 830 748 917 Kč.</w:t>
      </w:r>
      <w:r w:rsidR="00A12E19" w:rsidRPr="00A12E19">
        <w:t xml:space="preserve"> Program</w:t>
      </w:r>
      <w:r w:rsidR="00A12E19">
        <w:t xml:space="preserve"> MV</w:t>
      </w:r>
      <w:r w:rsidR="00A12E19" w:rsidRPr="00A12E19">
        <w:t>, zejm</w:t>
      </w:r>
      <w:r>
        <w:t>éna</w:t>
      </w:r>
      <w:r w:rsidR="00A12E19" w:rsidRPr="00A12E19">
        <w:t xml:space="preserve"> 4</w:t>
      </w:r>
      <w:r w:rsidR="00A12E19">
        <w:t>.</w:t>
      </w:r>
      <w:r w:rsidR="00A12E19" w:rsidRPr="00A12E19">
        <w:t xml:space="preserve"> veřejná soutěž specificky cílená na biologické hrozby, byl</w:t>
      </w:r>
      <w:r w:rsidR="00354152">
        <w:t> </w:t>
      </w:r>
      <w:r w:rsidR="00A12E19" w:rsidRPr="00A12E19">
        <w:t xml:space="preserve">dofinancován ve výši 208 301 928 Kč z programu IMPAKT, </w:t>
      </w:r>
      <w:r>
        <w:t xml:space="preserve">a to konkrétně </w:t>
      </w:r>
      <w:r w:rsidR="00A12E19" w:rsidRPr="00A12E19">
        <w:t>podprogramu 2, který nebyl realizován.</w:t>
      </w:r>
    </w:p>
    <w:p w14:paraId="65571CD7" w14:textId="32E2198A" w:rsidR="00753899" w:rsidRPr="009D6817" w:rsidRDefault="00753899" w:rsidP="00FF4057">
      <w:pPr>
        <w:pStyle w:val="Text"/>
      </w:pPr>
      <w:r w:rsidRPr="009D6817">
        <w:t>Celkové výdaje na Program</w:t>
      </w:r>
      <w:r w:rsidR="00BF7BBD">
        <w:t xml:space="preserve"> MV</w:t>
      </w:r>
      <w:r w:rsidRPr="009D6817">
        <w:t xml:space="preserve"> byly na období trvání pro</w:t>
      </w:r>
      <w:r w:rsidR="00BF7BBD">
        <w:t>gramu rozvrženy tak, aby byly v </w:t>
      </w:r>
      <w:r w:rsidRPr="009D6817">
        <w:t xml:space="preserve">souladu s postupným vyhlašováním veřejných soutěží. </w:t>
      </w:r>
      <w:r w:rsidR="009D6817" w:rsidRPr="009D6817">
        <w:t>Realizace Programu</w:t>
      </w:r>
      <w:r w:rsidR="00BF7BBD">
        <w:t xml:space="preserve"> MV</w:t>
      </w:r>
      <w:r w:rsidR="009D6817" w:rsidRPr="009D6817">
        <w:t xml:space="preserve"> byla komplikována</w:t>
      </w:r>
      <w:r w:rsidRPr="009D6817">
        <w:t xml:space="preserve"> něko</w:t>
      </w:r>
      <w:r w:rsidR="009D6817" w:rsidRPr="009D6817">
        <w:t>lika problémy, nejvýznamnějším faktorem</w:t>
      </w:r>
      <w:r w:rsidRPr="009D6817">
        <w:t xml:space="preserve"> byla p</w:t>
      </w:r>
      <w:r w:rsidR="00BF7BBD">
        <w:t>andemie COVID19, která</w:t>
      </w:r>
      <w:r w:rsidR="00BB4C7F">
        <w:t xml:space="preserve"> </w:t>
      </w:r>
      <w:r w:rsidR="009D6817" w:rsidRPr="009D6817">
        <w:t>ale</w:t>
      </w:r>
      <w:r w:rsidR="00BB4C7F">
        <w:t xml:space="preserve"> </w:t>
      </w:r>
      <w:r w:rsidR="009D6817" w:rsidRPr="009D6817">
        <w:t>následně</w:t>
      </w:r>
      <w:r w:rsidRPr="009D6817">
        <w:t xml:space="preserve"> umožnila dofinancování programu z přebytků ostatních aktivit bezpečnostního výzkumu, které díky </w:t>
      </w:r>
      <w:proofErr w:type="spellStart"/>
      <w:r w:rsidRPr="009D6817">
        <w:t>několikaletémů</w:t>
      </w:r>
      <w:proofErr w:type="spellEnd"/>
      <w:r w:rsidRPr="009D6817">
        <w:t xml:space="preserve"> </w:t>
      </w:r>
      <w:proofErr w:type="spellStart"/>
      <w:r w:rsidRPr="009D6817">
        <w:t>uplnému</w:t>
      </w:r>
      <w:proofErr w:type="spellEnd"/>
      <w:r w:rsidRPr="009D6817">
        <w:t xml:space="preserve"> zastavení mobility výzkumníků pozbyly relevance. </w:t>
      </w:r>
      <w:r w:rsidR="009D6817" w:rsidRPr="009D6817">
        <w:t>I přes tato</w:t>
      </w:r>
      <w:r w:rsidR="009D6817">
        <w:t xml:space="preserve"> úskalí se podařilo většinu</w:t>
      </w:r>
      <w:r w:rsidRPr="009D6817">
        <w:t xml:space="preserve"> indik</w:t>
      </w:r>
      <w:r w:rsidR="009D6817">
        <w:t xml:space="preserve">átorů realizace naplnit. </w:t>
      </w:r>
    </w:p>
    <w:p w14:paraId="56A6B6B1" w14:textId="63EAA4D7" w:rsidR="00E56E20" w:rsidRPr="003122DF" w:rsidRDefault="00BF7BBD" w:rsidP="00233CDF">
      <w:pPr>
        <w:pStyle w:val="Text"/>
      </w:pPr>
      <w:r>
        <w:t xml:space="preserve">Dle </w:t>
      </w:r>
      <w:r w:rsidR="00BB4C7F">
        <w:t>Z</w:t>
      </w:r>
      <w:r>
        <w:t>ávěrečného hodnocení Programu MV</w:t>
      </w:r>
      <w:r w:rsidR="00FD01C0">
        <w:t xml:space="preserve"> c</w:t>
      </w:r>
      <w:r w:rsidR="009D6817" w:rsidRPr="009D6817">
        <w:t>elková hodnota dot</w:t>
      </w:r>
      <w:r w:rsidR="00FD01C0">
        <w:t>ačních žádostí u předložených a </w:t>
      </w:r>
      <w:r w:rsidR="009D6817" w:rsidRPr="009D6817">
        <w:t xml:space="preserve">hodnocených návrhů projektů činila 11 914 695 tis. Kč, tj. cca 426% zamýšlené programové alokace. Průměrná úspěšnost návrhů projektů v soutěži činila 30%, což splnilo obecně vnímaný předpoklad, že Program </w:t>
      </w:r>
      <w:r>
        <w:t xml:space="preserve">MV </w:t>
      </w:r>
      <w:r w:rsidR="009D6817" w:rsidRPr="009D6817">
        <w:t>je dostatečně kompetitivn</w:t>
      </w:r>
      <w:r w:rsidR="00354152">
        <w:t>í a zároveň stále motivační pro </w:t>
      </w:r>
      <w:r w:rsidR="009D6817" w:rsidRPr="009D6817">
        <w:t>účast kvalitních týmů.</w:t>
      </w:r>
    </w:p>
    <w:p w14:paraId="4F7BA4F5" w14:textId="3CC8A7F9" w:rsidR="00E56E20" w:rsidRDefault="00E56E20" w:rsidP="00233CDF">
      <w:pPr>
        <w:pStyle w:val="Text"/>
        <w:rPr>
          <w:b/>
          <w:highlight w:val="yellow"/>
        </w:rPr>
      </w:pPr>
    </w:p>
    <w:p w14:paraId="78E0C748" w14:textId="42875E3A" w:rsidR="00E56E20" w:rsidRPr="003122DF" w:rsidRDefault="0098182D" w:rsidP="003122DF">
      <w:pPr>
        <w:pStyle w:val="Nadpis3"/>
        <w:numPr>
          <w:ilvl w:val="0"/>
          <w:numId w:val="0"/>
        </w:numPr>
        <w:ind w:left="284"/>
      </w:pPr>
      <w:bookmarkStart w:id="49" w:name="_Toc176217923"/>
      <w:bookmarkStart w:id="50" w:name="_Toc182984816"/>
      <w:r>
        <w:t xml:space="preserve">5. </w:t>
      </w:r>
      <w:r w:rsidRPr="005E1D14">
        <w:t>Přínosy programu</w:t>
      </w:r>
      <w:bookmarkEnd w:id="49"/>
      <w:bookmarkEnd w:id="50"/>
    </w:p>
    <w:p w14:paraId="4BFD1DA2" w14:textId="06401D57" w:rsidR="00E56E20" w:rsidRDefault="003122DF" w:rsidP="00233CDF">
      <w:pPr>
        <w:pStyle w:val="Text"/>
      </w:pPr>
      <w:r>
        <w:t>Závěrečn</w:t>
      </w:r>
      <w:r w:rsidR="00BF7BBD">
        <w:t>é</w:t>
      </w:r>
      <w:r>
        <w:t xml:space="preserve"> </w:t>
      </w:r>
      <w:r w:rsidR="00BF7BBD">
        <w:t>hodnocení</w:t>
      </w:r>
      <w:r>
        <w:t xml:space="preserve"> Programu </w:t>
      </w:r>
      <w:r w:rsidR="00BF7BBD">
        <w:t xml:space="preserve">MV </w:t>
      </w:r>
      <w:r>
        <w:t xml:space="preserve">uvádí, že mezi ukončenými projekty je více než 80% projektů, jejichž výsledky jsou v praxi aplikovány, nebo se aplikace v brzké době připravuje. Vlastní hodnocení potenciálu pro nasazení výsledků v bezpečnostní praxi ze strany řešitelů naznačuje cca 70% využití potenciálu již nasazených výsledků. Dále </w:t>
      </w:r>
      <w:r w:rsidR="00BB4C7F">
        <w:t>Závěrečné hodnocení Programu MV</w:t>
      </w:r>
      <w:r>
        <w:t xml:space="preserve"> uvádí, že v této fázi lze hodnotit předevší</w:t>
      </w:r>
      <w:r w:rsidR="00BB4C7F">
        <w:t>m dopady na příjemce podpory. V </w:t>
      </w:r>
      <w:r>
        <w:t xml:space="preserve">průzkumu mezi ukončenými projekty dominují pozitivní ohlasy na rozšíření a upevnění spolupráce s uživateli výsledků </w:t>
      </w:r>
      <w:proofErr w:type="spellStart"/>
      <w:r>
        <w:t>VaV</w:t>
      </w:r>
      <w:proofErr w:type="spellEnd"/>
      <w:r>
        <w:t xml:space="preserve"> a vysoce je hodnocen také přínos při zapojování </w:t>
      </w:r>
      <w:proofErr w:type="spellStart"/>
      <w:r>
        <w:t>juniorního</w:t>
      </w:r>
      <w:proofErr w:type="spellEnd"/>
      <w:r>
        <w:t xml:space="preserve"> výzkumného personálu. V tomto ohledu tedy lze na program nahlížet jako na pozitivní příspěvek dalším cílům politiky VaVaI.</w:t>
      </w:r>
    </w:p>
    <w:p w14:paraId="287830F5" w14:textId="25FA3F02" w:rsidR="003122DF" w:rsidRPr="00BF7BBD" w:rsidRDefault="00E7300C" w:rsidP="00233CDF">
      <w:pPr>
        <w:pStyle w:val="Text"/>
      </w:pPr>
      <w:r w:rsidRPr="00E7300C">
        <w:t>Mezi podpořenými subjekty dominují malé a střední podniky (65</w:t>
      </w:r>
      <w:r w:rsidR="00BB4C7F">
        <w:t xml:space="preserve"> subjektů</w:t>
      </w:r>
      <w:r w:rsidRPr="00E7300C">
        <w:t>). Největším příjemcem podpory jsou ale veřejné vysoké školy (cca 1 328 000 tis. Kč). Nadpoloviční většina projektů byla realizována v konsorciu (66%), přičemž 40% vš</w:t>
      </w:r>
      <w:r w:rsidR="00354152">
        <w:t>ech projektů bylo realizováno v </w:t>
      </w:r>
      <w:r w:rsidRPr="00E7300C">
        <w:t>konsorciu výzkumné organizace a podniku. Program</w:t>
      </w:r>
      <w:r w:rsidR="00BF7BBD">
        <w:t xml:space="preserve"> MV</w:t>
      </w:r>
      <w:r w:rsidRPr="00E7300C">
        <w:t xml:space="preserve"> splnil ambice v obl</w:t>
      </w:r>
      <w:r>
        <w:t>asti diverzifikované podpory, a </w:t>
      </w:r>
      <w:r w:rsidRPr="00E7300C">
        <w:t>to jak oborově (zastoupeno všech 6 hlavních oborových skupin FORD), tak z hlediska tematického rozsahu programu (zastoupeno 18/21 dílčích cílů programu, tj. 86%).</w:t>
      </w:r>
    </w:p>
    <w:p w14:paraId="2757D49D" w14:textId="77777777" w:rsidR="006974DB" w:rsidRDefault="006974DB">
      <w:pPr>
        <w:rPr>
          <w:rFonts w:ascii="Arial" w:hAnsi="Arial" w:cs="Arial"/>
          <w:b/>
          <w:szCs w:val="24"/>
          <w:highlight w:val="yellow"/>
        </w:rPr>
      </w:pPr>
      <w:r>
        <w:rPr>
          <w:b/>
          <w:highlight w:val="yellow"/>
        </w:rPr>
        <w:br w:type="page"/>
      </w:r>
    </w:p>
    <w:p w14:paraId="12A3716C" w14:textId="782C4C06" w:rsidR="006974DB" w:rsidRPr="00565ABB" w:rsidRDefault="006974DB" w:rsidP="00565ABB">
      <w:pPr>
        <w:pStyle w:val="Nadpis2"/>
      </w:pPr>
      <w:bookmarkStart w:id="51" w:name="_Toc182984817"/>
      <w:r>
        <w:lastRenderedPageBreak/>
        <w:t>Program na</w:t>
      </w:r>
      <w:r w:rsidR="00BF7BBD">
        <w:t xml:space="preserve"> podporu aplikovaného výzkumu a </w:t>
      </w:r>
      <w:r>
        <w:t>experimentálního výzkumu GAMA 2</w:t>
      </w:r>
      <w:r w:rsidR="00A24991">
        <w:t xml:space="preserve"> (2020</w:t>
      </w:r>
      <w:r w:rsidR="00B47D91">
        <w:t xml:space="preserve"> </w:t>
      </w:r>
      <w:r w:rsidR="00A24991">
        <w:t>-</w:t>
      </w:r>
      <w:r w:rsidR="00B47D91">
        <w:t xml:space="preserve"> </w:t>
      </w:r>
      <w:r w:rsidR="00A24991">
        <w:t>2022)</w:t>
      </w:r>
      <w:bookmarkEnd w:id="51"/>
      <w:r w:rsidRPr="00A346B4">
        <w:t xml:space="preserve"> </w:t>
      </w:r>
    </w:p>
    <w:p w14:paraId="3D2492CF" w14:textId="4EB54D89" w:rsidR="006974DB" w:rsidRDefault="006974DB" w:rsidP="00233CDF">
      <w:pPr>
        <w:pStyle w:val="Text"/>
      </w:pPr>
      <w:r>
        <w:t xml:space="preserve">Program GAMA 2 byl schválen usnesením vlády České republiky č. 218 ze dne 1. 4. 2019 s plánovaným rozpočtem </w:t>
      </w:r>
      <w:r w:rsidR="00D4343D" w:rsidRPr="00D4343D">
        <w:t>567,1 mi</w:t>
      </w:r>
      <w:r w:rsidR="00D4343D">
        <w:t xml:space="preserve">l. Kč, přičemž 550,0 mil. Kč </w:t>
      </w:r>
      <w:r w:rsidR="00D4343D" w:rsidRPr="00D4343D">
        <w:t xml:space="preserve">mělo být pokryto z výdajů státního rozpočtu a 17,1 mil. Kč z neveřejných zdrojů. </w:t>
      </w:r>
      <w:r w:rsidR="004F231F">
        <w:t xml:space="preserve">Program </w:t>
      </w:r>
      <w:r w:rsidR="001C087A">
        <w:t xml:space="preserve">GAMA 2 </w:t>
      </w:r>
      <w:r w:rsidR="004F231F">
        <w:t>navazoval na program GAMA.</w:t>
      </w:r>
    </w:p>
    <w:p w14:paraId="5EF76932" w14:textId="593BB129" w:rsidR="006974DB" w:rsidRDefault="006974DB" w:rsidP="00233CDF">
      <w:pPr>
        <w:pStyle w:val="Text"/>
      </w:pPr>
      <w:r>
        <w:t>Poskytovatel: Technologická agentura ČR</w:t>
      </w:r>
      <w:r w:rsidR="00463C5D">
        <w:t>.</w:t>
      </w:r>
    </w:p>
    <w:p w14:paraId="164473BA" w14:textId="0989B12F" w:rsidR="000B5634" w:rsidRDefault="006974DB" w:rsidP="00233CDF">
      <w:pPr>
        <w:pStyle w:val="Text"/>
      </w:pPr>
      <w:r>
        <w:t xml:space="preserve">Program </w:t>
      </w:r>
      <w:r w:rsidR="001C087A">
        <w:t xml:space="preserve">GAMA 2 </w:t>
      </w:r>
      <w:r>
        <w:t>byl zaměřen na podporu ověření výsledků aplikovaného výzkumu z hlediska jejich praktického uplatnění a na přípravu jejich následného ko</w:t>
      </w:r>
      <w:r w:rsidR="00354152">
        <w:t>merčního využití či využití pro </w:t>
      </w:r>
      <w:r>
        <w:t xml:space="preserve">potřeby společnosti. </w:t>
      </w:r>
    </w:p>
    <w:p w14:paraId="09E971F6" w14:textId="77777777" w:rsidR="000B5634" w:rsidRDefault="000B5634" w:rsidP="00233CDF">
      <w:pPr>
        <w:pStyle w:val="Text"/>
      </w:pPr>
    </w:p>
    <w:p w14:paraId="18BA94E3" w14:textId="77777777" w:rsidR="000B5634" w:rsidRPr="003C1CEF" w:rsidRDefault="000B5634" w:rsidP="000B5634">
      <w:pPr>
        <w:pStyle w:val="Nadpis3"/>
        <w:numPr>
          <w:ilvl w:val="0"/>
          <w:numId w:val="0"/>
        </w:numPr>
        <w:ind w:left="284"/>
      </w:pPr>
      <w:bookmarkStart w:id="52" w:name="_Toc176217925"/>
      <w:bookmarkStart w:id="53" w:name="_Toc182984818"/>
      <w:r>
        <w:t xml:space="preserve">1. </w:t>
      </w:r>
      <w:r w:rsidRPr="00B456EA">
        <w:t>Cíle programu a jejich plnění</w:t>
      </w:r>
      <w:bookmarkEnd w:id="52"/>
      <w:bookmarkEnd w:id="53"/>
    </w:p>
    <w:p w14:paraId="58FB8BA1" w14:textId="77777777" w:rsidR="003C1985" w:rsidRDefault="003C1985" w:rsidP="00233CDF">
      <w:pPr>
        <w:pStyle w:val="Text"/>
      </w:pPr>
      <w:r>
        <w:t>Hlavním cílem programu bylo v době jeho trvání podpořit vznik nových systémů komercializace ve výzkumných organizacích a podpořit zefektivnění systémů již existujících. Dalším cílem bylo ověření komerčního potenciálu dosažených výsledků výzkumu a vývoje a urychlit jejich využití v praxi např. formou nového nebo inovovaného výrobku, technologie či služby.</w:t>
      </w:r>
    </w:p>
    <w:p w14:paraId="299250CB" w14:textId="4B36F0CF" w:rsidR="003C1985" w:rsidRPr="003C1985" w:rsidRDefault="003C1985" w:rsidP="00233CDF">
      <w:pPr>
        <w:pStyle w:val="Text"/>
        <w:rPr>
          <w:u w:val="single"/>
        </w:rPr>
      </w:pPr>
      <w:r w:rsidRPr="003C1985">
        <w:rPr>
          <w:u w:val="single"/>
        </w:rPr>
        <w:t>Program</w:t>
      </w:r>
      <w:r w:rsidR="001C087A">
        <w:rPr>
          <w:u w:val="single"/>
        </w:rPr>
        <w:t xml:space="preserve"> GAMA 2</w:t>
      </w:r>
      <w:r w:rsidRPr="003C1985">
        <w:rPr>
          <w:u w:val="single"/>
        </w:rPr>
        <w:t xml:space="preserve"> byl členěn do dvou podprogramů:</w:t>
      </w:r>
    </w:p>
    <w:p w14:paraId="01980A03" w14:textId="2067A4C6" w:rsidR="003C1985" w:rsidRDefault="003C1985" w:rsidP="003C1985">
      <w:pPr>
        <w:pStyle w:val="Text"/>
      </w:pPr>
      <w:r>
        <w:t>1) Podprogram 1 - cíle:</w:t>
      </w:r>
      <w:r w:rsidRPr="003C1985">
        <w:t xml:space="preserve"> </w:t>
      </w:r>
    </w:p>
    <w:p w14:paraId="4A331D4E" w14:textId="6C26997C" w:rsidR="003C1985" w:rsidRDefault="003C1985" w:rsidP="003A219E">
      <w:pPr>
        <w:pStyle w:val="Text"/>
        <w:numPr>
          <w:ilvl w:val="0"/>
          <w:numId w:val="34"/>
        </w:numPr>
        <w:spacing w:after="0"/>
      </w:pPr>
      <w:r>
        <w:t xml:space="preserve">zaměření na podporu využití výsledků </w:t>
      </w:r>
      <w:r w:rsidR="004963DB">
        <w:t>výzkumu a vývoje</w:t>
      </w:r>
      <w:r w:rsidR="00354152">
        <w:t>, které nově vznikají ve </w:t>
      </w:r>
      <w:r w:rsidR="004963DB">
        <w:t>výzkumných organizacích</w:t>
      </w:r>
      <w:r>
        <w:t xml:space="preserve"> a mají vysoký potenciál pro uplatnění v nových nebo zdokonalených produktech, výrobních postupech nebo službách s vysokou přidanou hodnotou a vysokou pravděpodobností posílení konkurenceschopnosti</w:t>
      </w:r>
      <w:r w:rsidR="001C087A">
        <w:t>;</w:t>
      </w:r>
    </w:p>
    <w:p w14:paraId="5C0E3E45" w14:textId="3F9C920E" w:rsidR="003C1985" w:rsidRDefault="003C1985" w:rsidP="003A219E">
      <w:pPr>
        <w:pStyle w:val="Text"/>
        <w:numPr>
          <w:ilvl w:val="0"/>
          <w:numId w:val="34"/>
        </w:numPr>
        <w:spacing w:after="0"/>
      </w:pPr>
      <w:r>
        <w:t xml:space="preserve">orientace na systémovou podporu fáze </w:t>
      </w:r>
      <w:r w:rsidR="004963DB">
        <w:t>výzkumu a vývoje</w:t>
      </w:r>
      <w:r>
        <w:t xml:space="preserve"> od identifikace prakticky využitelného výsledku </w:t>
      </w:r>
      <w:r w:rsidR="004963DB">
        <w:t>výzkumu a vývoje</w:t>
      </w:r>
      <w:r>
        <w:t xml:space="preserve"> po jeho kome</w:t>
      </w:r>
      <w:r w:rsidR="004963DB">
        <w:t>rční ověření ve formě modelu (i </w:t>
      </w:r>
      <w:r>
        <w:t>počítačového), funkčního vzorku či prototypu, včetně jeho vlastností, vytvoření zkušební série a posouzení</w:t>
      </w:r>
      <w:r w:rsidR="00DB0BE6">
        <w:t>,</w:t>
      </w:r>
      <w:r w:rsidR="00927BF1">
        <w:t xml:space="preserve"> </w:t>
      </w:r>
      <w:r>
        <w:t>technologických, ekonomických, sociálních, zdravotních a dalších dopadů inovovaného produktu</w:t>
      </w:r>
      <w:r w:rsidR="001C087A">
        <w:t>;</w:t>
      </w:r>
    </w:p>
    <w:p w14:paraId="10551308" w14:textId="21FC193F" w:rsidR="003C1985" w:rsidRDefault="003C1985" w:rsidP="003A219E">
      <w:pPr>
        <w:pStyle w:val="Text"/>
        <w:numPr>
          <w:ilvl w:val="0"/>
          <w:numId w:val="34"/>
        </w:numPr>
        <w:spacing w:after="0"/>
      </w:pPr>
      <w:r>
        <w:t xml:space="preserve">přispění k vytvoření a zefektivnění fungování nezbytné podpůrné organizační struktury </w:t>
      </w:r>
      <w:r w:rsidR="004963DB">
        <w:t>výzkumných organizací</w:t>
      </w:r>
      <w:r>
        <w:t xml:space="preserve">, která je nutná pro komercializaci výsledků </w:t>
      </w:r>
      <w:r w:rsidR="004963DB">
        <w:t>výzkumu a vývoje</w:t>
      </w:r>
      <w:r w:rsidR="00DB0BE6">
        <w:t>.</w:t>
      </w:r>
    </w:p>
    <w:p w14:paraId="06106033" w14:textId="77777777" w:rsidR="003C1985" w:rsidRDefault="003C1985" w:rsidP="003C1985">
      <w:pPr>
        <w:pStyle w:val="Text"/>
        <w:ind w:left="360"/>
      </w:pPr>
    </w:p>
    <w:p w14:paraId="6D8FD54F" w14:textId="4B400A9E" w:rsidR="003C1985" w:rsidRDefault="003C1985" w:rsidP="003C1985">
      <w:pPr>
        <w:pStyle w:val="Text"/>
      </w:pPr>
      <w:r>
        <w:t>2) Podprogram 2 - cíle:</w:t>
      </w:r>
    </w:p>
    <w:p w14:paraId="67B8C0B7" w14:textId="57F09C93" w:rsidR="003C1985" w:rsidRDefault="003C1985" w:rsidP="003A219E">
      <w:pPr>
        <w:pStyle w:val="Text"/>
        <w:numPr>
          <w:ilvl w:val="0"/>
          <w:numId w:val="34"/>
        </w:numPr>
        <w:spacing w:after="0"/>
      </w:pPr>
      <w:r>
        <w:t>synergie s unijním programem Horizont 2020 a</w:t>
      </w:r>
      <w:r w:rsidR="004963DB">
        <w:t xml:space="preserve"> jeho nástupcem Horizont Evropa, přičemž</w:t>
      </w:r>
      <w:r>
        <w:t xml:space="preserve"> </w:t>
      </w:r>
      <w:r w:rsidR="004963DB">
        <w:t>p</w:t>
      </w:r>
      <w:r>
        <w:t>odpora byla mj. určena projektům, které uspěly v mezinárodním hodnocení, ale z důvodu nedostatku finančních prostředků nebyly v rámci daného nástroje podpořeny</w:t>
      </w:r>
      <w:r w:rsidR="001C087A">
        <w:t>;</w:t>
      </w:r>
    </w:p>
    <w:p w14:paraId="0C7063BF" w14:textId="03ECB06C" w:rsidR="003C1985" w:rsidRDefault="003C1985" w:rsidP="003A219E">
      <w:pPr>
        <w:pStyle w:val="Text"/>
        <w:numPr>
          <w:ilvl w:val="0"/>
          <w:numId w:val="34"/>
        </w:numPr>
        <w:spacing w:after="0"/>
      </w:pPr>
      <w:r>
        <w:t>zvýšení množství výsledků výzkumu a vývoje či inovativních řešení uplatnitelných v</w:t>
      </w:r>
      <w:r w:rsidR="001C087A">
        <w:t> </w:t>
      </w:r>
      <w:r>
        <w:t>praxi</w:t>
      </w:r>
      <w:r w:rsidR="001C087A">
        <w:t>;</w:t>
      </w:r>
      <w:r w:rsidR="00924BB0">
        <w:br w:type="page"/>
      </w:r>
    </w:p>
    <w:p w14:paraId="6B598924" w14:textId="1DFAC86D" w:rsidR="004A0655" w:rsidRDefault="003C1985" w:rsidP="003A219E">
      <w:pPr>
        <w:pStyle w:val="Text"/>
        <w:numPr>
          <w:ilvl w:val="0"/>
          <w:numId w:val="34"/>
        </w:numPr>
        <w:spacing w:after="0"/>
      </w:pPr>
      <w:r>
        <w:lastRenderedPageBreak/>
        <w:t>rozšířit nabídku a obchodní aktivity podniků inovací stávajících výrobků</w:t>
      </w:r>
      <w:r w:rsidR="004963DB">
        <w:t xml:space="preserve"> </w:t>
      </w:r>
      <w:r w:rsidR="004A0655">
        <w:t>a služeb</w:t>
      </w:r>
      <w:r w:rsidR="004963DB">
        <w:t xml:space="preserve"> </w:t>
      </w:r>
      <w:r w:rsidR="004A0655">
        <w:t>nebo vývojem zcela nových výrobků a služeb</w:t>
      </w:r>
      <w:r w:rsidR="001C087A">
        <w:t>;</w:t>
      </w:r>
    </w:p>
    <w:p w14:paraId="24FAE242" w14:textId="26DEE056" w:rsidR="003C1985" w:rsidRDefault="004A0655" w:rsidP="003A219E">
      <w:pPr>
        <w:pStyle w:val="Text"/>
        <w:numPr>
          <w:ilvl w:val="0"/>
          <w:numId w:val="34"/>
        </w:numPr>
        <w:spacing w:after="0"/>
      </w:pPr>
      <w:r>
        <w:t>zvýšit efektivitu výroby v podnicích prostřednictvím zavádění nových či významně vylepšených výrobních procesů</w:t>
      </w:r>
      <w:r w:rsidR="00DB0BE6">
        <w:t>.</w:t>
      </w:r>
    </w:p>
    <w:p w14:paraId="6B231098" w14:textId="0A85F9EB" w:rsidR="00ED0D7A" w:rsidRPr="00927BF1" w:rsidRDefault="00ED0D7A" w:rsidP="00927BF1">
      <w:pPr>
        <w:pStyle w:val="Text"/>
        <w:ind w:left="720"/>
      </w:pPr>
    </w:p>
    <w:p w14:paraId="16CF4D04" w14:textId="1FDDAF01" w:rsidR="00DF4084" w:rsidRPr="00DF4084" w:rsidRDefault="009E5C2E" w:rsidP="00233CDF">
      <w:pPr>
        <w:pStyle w:val="Text"/>
      </w:pPr>
      <w:r>
        <w:t xml:space="preserve">Dosažení cílů </w:t>
      </w:r>
      <w:r w:rsidR="001C087A">
        <w:t>Programu GAMA 2</w:t>
      </w:r>
      <w:r>
        <w:t xml:space="preserve"> bylo vyhodnocováno v souladu s aktuálně platnou </w:t>
      </w:r>
      <w:r w:rsidR="001C087A">
        <w:t>M 17+ a </w:t>
      </w:r>
      <w:r>
        <w:t xml:space="preserve">dle dalších podmínek stanovených vnitřními předpisy TA ČR. Plnění cílů </w:t>
      </w:r>
      <w:r w:rsidR="001C087A">
        <w:t>P</w:t>
      </w:r>
      <w:r>
        <w:t xml:space="preserve">rogramu </w:t>
      </w:r>
      <w:r w:rsidR="001C087A">
        <w:t xml:space="preserve">GAMA 2 </w:t>
      </w:r>
      <w:r w:rsidR="004963DB">
        <w:t>bylo</w:t>
      </w:r>
      <w:r>
        <w:t xml:space="preserve"> vyhodnocováno také na základě souboru indikátorů, výstupů, výsledků a dopadů určených pro</w:t>
      </w:r>
      <w:r w:rsidR="00CD1F3E">
        <w:t xml:space="preserve"> </w:t>
      </w:r>
      <w:r>
        <w:t>monitorování průběhu plnění programu a hodn</w:t>
      </w:r>
      <w:r w:rsidR="00354152">
        <w:t>ocení jeho celkové výkonnosti a </w:t>
      </w:r>
      <w:r>
        <w:t>úspěšnosti.</w:t>
      </w:r>
      <w:r w:rsidR="001C087A">
        <w:t xml:space="preserve"> Dle </w:t>
      </w:r>
      <w:r w:rsidR="004963DB">
        <w:t>Z</w:t>
      </w:r>
      <w:r w:rsidR="00DF4084">
        <w:t>ávěrečné</w:t>
      </w:r>
      <w:r w:rsidR="001C087A">
        <w:t>ho hodnocení</w:t>
      </w:r>
      <w:r w:rsidR="00DF4084">
        <w:t xml:space="preserve"> Program</w:t>
      </w:r>
      <w:r w:rsidR="004963DB">
        <w:t>u</w:t>
      </w:r>
      <w:r w:rsidR="001C087A">
        <w:t xml:space="preserve"> GAMA 2</w:t>
      </w:r>
      <w:r w:rsidR="004963DB">
        <w:t xml:space="preserve"> (Příloha E) byly</w:t>
      </w:r>
      <w:r w:rsidR="00DF4084">
        <w:t xml:space="preserve"> napln</w:t>
      </w:r>
      <w:r w:rsidR="004963DB">
        <w:t>ěny</w:t>
      </w:r>
      <w:r w:rsidR="00DF4084">
        <w:t xml:space="preserve"> cíle</w:t>
      </w:r>
      <w:r w:rsidR="004963DB">
        <w:t xml:space="preserve"> programu</w:t>
      </w:r>
      <w:r w:rsidR="00DF4084">
        <w:t>.</w:t>
      </w:r>
    </w:p>
    <w:p w14:paraId="19F03E7B" w14:textId="77777777" w:rsidR="00CD1F3E" w:rsidRDefault="00CD1F3E" w:rsidP="00233CDF">
      <w:pPr>
        <w:pStyle w:val="Text"/>
        <w:rPr>
          <w:b/>
          <w:highlight w:val="yellow"/>
        </w:rPr>
      </w:pPr>
    </w:p>
    <w:p w14:paraId="20401CED" w14:textId="42C78698" w:rsidR="00CD1F3E" w:rsidRPr="00CD1F3E" w:rsidRDefault="00CD1F3E" w:rsidP="00CD1F3E">
      <w:pPr>
        <w:keepNext/>
        <w:keepLines/>
        <w:spacing w:before="240" w:after="240" w:line="240" w:lineRule="auto"/>
        <w:ind w:left="284"/>
        <w:outlineLvl w:val="2"/>
        <w:rPr>
          <w:rFonts w:ascii="Arial" w:eastAsiaTheme="majorEastAsia" w:hAnsi="Arial" w:cs="Arial"/>
          <w:b/>
          <w:bCs/>
          <w:smallCaps/>
          <w:color w:val="365F91" w:themeColor="accent1" w:themeShade="BF"/>
          <w:sz w:val="26"/>
          <w:lang w:eastAsia="cs-CZ"/>
        </w:rPr>
      </w:pPr>
      <w:bookmarkStart w:id="54" w:name="_Toc176217926"/>
      <w:bookmarkStart w:id="55" w:name="_Toc182984819"/>
      <w:r>
        <w:rPr>
          <w:rFonts w:ascii="Arial" w:eastAsiaTheme="majorEastAsia" w:hAnsi="Arial" w:cs="Arial"/>
          <w:b/>
          <w:bCs/>
          <w:smallCaps/>
          <w:color w:val="365F91" w:themeColor="accent1" w:themeShade="BF"/>
          <w:sz w:val="26"/>
          <w:lang w:eastAsia="cs-CZ"/>
        </w:rPr>
        <w:t>2</w:t>
      </w:r>
      <w:r w:rsidRPr="00CD1F3E">
        <w:rPr>
          <w:rFonts w:ascii="Arial" w:eastAsiaTheme="majorEastAsia" w:hAnsi="Arial" w:cs="Arial"/>
          <w:b/>
          <w:bCs/>
          <w:smallCaps/>
          <w:color w:val="365F91" w:themeColor="accent1" w:themeShade="BF"/>
          <w:sz w:val="26"/>
          <w:lang w:eastAsia="cs-CZ"/>
        </w:rPr>
        <w:t xml:space="preserve">. </w:t>
      </w:r>
      <w:r w:rsidR="009C679E">
        <w:rPr>
          <w:rFonts w:ascii="Arial" w:eastAsiaTheme="majorEastAsia" w:hAnsi="Arial" w:cs="Arial"/>
          <w:b/>
          <w:bCs/>
          <w:smallCaps/>
          <w:color w:val="365F91" w:themeColor="accent1" w:themeShade="BF"/>
          <w:sz w:val="26"/>
          <w:lang w:eastAsia="cs-CZ"/>
        </w:rPr>
        <w:t>V</w:t>
      </w:r>
      <w:r>
        <w:rPr>
          <w:rFonts w:ascii="Arial" w:eastAsiaTheme="majorEastAsia" w:hAnsi="Arial" w:cs="Arial"/>
          <w:b/>
          <w:bCs/>
          <w:smallCaps/>
          <w:color w:val="365F91" w:themeColor="accent1" w:themeShade="BF"/>
          <w:sz w:val="26"/>
          <w:lang w:eastAsia="cs-CZ"/>
        </w:rPr>
        <w:t>ýsledky programu</w:t>
      </w:r>
      <w:bookmarkEnd w:id="54"/>
      <w:bookmarkEnd w:id="55"/>
    </w:p>
    <w:p w14:paraId="28FBFDFB" w14:textId="72BF0B89" w:rsidR="009E5C2E" w:rsidRPr="002E6924" w:rsidRDefault="002E6924" w:rsidP="007557A4">
      <w:pPr>
        <w:pStyle w:val="Text"/>
        <w:keepNext w:val="0"/>
      </w:pPr>
      <w:r w:rsidRPr="002E6924">
        <w:t xml:space="preserve">Výsledky všech podpořených projektů v Programu </w:t>
      </w:r>
      <w:r w:rsidR="004963DB">
        <w:t xml:space="preserve">GAMA 2 </w:t>
      </w:r>
      <w:r w:rsidRPr="002E6924">
        <w:t>musely být vykázány v příslušné kategorii klasifikace výsledků dle M</w:t>
      </w:r>
      <w:r w:rsidR="007557A4">
        <w:t xml:space="preserve"> </w:t>
      </w:r>
      <w:r w:rsidRPr="002E6924">
        <w:t xml:space="preserve">17+. </w:t>
      </w:r>
      <w:r w:rsidR="006E66B5">
        <w:t>V rámci programu bylo identifikováno</w:t>
      </w:r>
      <w:r w:rsidRPr="002E6924">
        <w:t xml:space="preserve"> celkem 888 výsledků/výstupů</w:t>
      </w:r>
      <w:r w:rsidR="006E66B5" w:rsidRPr="006E66B5">
        <w:t xml:space="preserve"> </w:t>
      </w:r>
      <w:r w:rsidR="006E66B5" w:rsidRPr="002E6924">
        <w:t>aplikovaného výz</w:t>
      </w:r>
      <w:r w:rsidR="006E66B5">
        <w:t>kumu</w:t>
      </w:r>
      <w:r w:rsidRPr="002E6924">
        <w:t>, z toho plán</w:t>
      </w:r>
      <w:r w:rsidR="006E66B5">
        <w:t>ovali</w:t>
      </w:r>
      <w:r w:rsidRPr="002E6924">
        <w:t xml:space="preserve"> řešitelé 792 implementovat, </w:t>
      </w:r>
      <w:r w:rsidR="006E66B5">
        <w:t>přičemž u 758 výsledků/výstupů bylo</w:t>
      </w:r>
      <w:r w:rsidRPr="002E6924">
        <w:t xml:space="preserve"> plánováno komerční využití. </w:t>
      </w:r>
    </w:p>
    <w:p w14:paraId="486BF49E" w14:textId="22A739BD" w:rsidR="00924BB0" w:rsidRDefault="009E5C2E" w:rsidP="007557A4">
      <w:pPr>
        <w:pStyle w:val="Text"/>
        <w:keepNext w:val="0"/>
        <w:rPr>
          <w:highlight w:val="yellow"/>
        </w:rPr>
      </w:pPr>
      <w:r w:rsidRPr="002E6924">
        <w:t>Konkrétní podporované aktivity projektů v</w:t>
      </w:r>
      <w:r w:rsidR="007557A4">
        <w:t xml:space="preserve"> Podprogramu </w:t>
      </w:r>
      <w:r w:rsidRPr="002E6924">
        <w:t>1 a projektů v</w:t>
      </w:r>
      <w:r w:rsidR="007557A4">
        <w:t> </w:t>
      </w:r>
      <w:r w:rsidRPr="002E6924">
        <w:t>P</w:t>
      </w:r>
      <w:r w:rsidR="007557A4">
        <w:t>odprogramu </w:t>
      </w:r>
      <w:r w:rsidRPr="002E6924">
        <w:t xml:space="preserve">2 měly vést zejména k výsledkům typu: vytvoření zkušební série; provedení zkušebních testů prokazujících ne/aplikovatelnost výsledků v </w:t>
      </w:r>
      <w:r w:rsidR="007557A4">
        <w:t>praxi (např. formou protokolu z </w:t>
      </w:r>
      <w:r w:rsidRPr="002E6924">
        <w:t>ověřování); konkrétní návrh nových podstatně zdokonalených výrobků, postupů nebo služeb formou modelu, funkčního vzorku apod.; technologie, u nichž byl ověřen komerční potenciál; provedený transfer technologie; prodej obchodní licence v rámci podpořeného projektu; příprava výrobků či služeb k praktickému využití nebo vstupu na trh.</w:t>
      </w:r>
    </w:p>
    <w:p w14:paraId="21F97046" w14:textId="231C3CC6" w:rsidR="00746BE2" w:rsidRPr="002E6924" w:rsidRDefault="00746BE2" w:rsidP="007557A4">
      <w:pPr>
        <w:pStyle w:val="Text"/>
        <w:keepNext w:val="0"/>
      </w:pPr>
      <w:r>
        <w:t xml:space="preserve">Počet dosažených výstupů byl splněn částečně. Výstupy / výsledky </w:t>
      </w:r>
      <w:r w:rsidR="00641950">
        <w:t>výzkumu a vývoje</w:t>
      </w:r>
      <w:r>
        <w:t xml:space="preserve"> vygenerované v rámci Podprogramu 1 svým počtem výrazně přesahují stanované indikátory, a to i v členění na jednotlivé typy výstupů / výsledků (celkový minimální počet byl stanoven na 240 výsledků / výstupů, reálně bylo uplatněno 888</w:t>
      </w:r>
      <w:r w:rsidR="00641950">
        <w:t>)</w:t>
      </w:r>
      <w:r>
        <w:t>. Jedná se o výstupy / výsledky jednotlivých dílčích projektů, které příjemci během řešení projektu realizovali. V rámci Podprogramu 2 bylo plánováno zpracování 30 studií proveditelnosti, reálně jich vzniklo 20.</w:t>
      </w:r>
    </w:p>
    <w:p w14:paraId="47224F4E" w14:textId="77777777" w:rsidR="00CD1F3E" w:rsidRDefault="00CD1F3E" w:rsidP="007557A4">
      <w:pPr>
        <w:pStyle w:val="Text"/>
        <w:keepNext w:val="0"/>
        <w:rPr>
          <w:b/>
          <w:highlight w:val="yellow"/>
        </w:rPr>
      </w:pPr>
    </w:p>
    <w:p w14:paraId="346EF6D0" w14:textId="77777777" w:rsidR="002E6924" w:rsidRDefault="002E6924" w:rsidP="002E6924">
      <w:pPr>
        <w:pStyle w:val="Nadpis3"/>
        <w:numPr>
          <w:ilvl w:val="0"/>
          <w:numId w:val="0"/>
        </w:numPr>
        <w:ind w:left="284"/>
      </w:pPr>
      <w:bookmarkStart w:id="56" w:name="_Toc176217927"/>
      <w:bookmarkStart w:id="57" w:name="_Toc182984820"/>
      <w:r>
        <w:t xml:space="preserve">3. </w:t>
      </w:r>
      <w:r w:rsidRPr="00302F79">
        <w:t>Průběh programu</w:t>
      </w:r>
      <w:bookmarkEnd w:id="56"/>
      <w:bookmarkEnd w:id="57"/>
    </w:p>
    <w:p w14:paraId="10E5960C" w14:textId="61DF6516" w:rsidR="00CD1F3E" w:rsidRDefault="00FF709D" w:rsidP="00233CDF">
      <w:pPr>
        <w:pStyle w:val="Text"/>
      </w:pPr>
      <w:r>
        <w:t>V rámci Programu</w:t>
      </w:r>
      <w:r w:rsidR="00781346">
        <w:t xml:space="preserve"> GAMA 2</w:t>
      </w:r>
      <w:r>
        <w:t xml:space="preserve"> byly vyhlášeny 4 výzvy, jedna pro </w:t>
      </w:r>
      <w:r w:rsidR="00641950">
        <w:t>P</w:t>
      </w:r>
      <w:r w:rsidR="00781346">
        <w:t xml:space="preserve">odprogram 1 </w:t>
      </w:r>
      <w:r>
        <w:t xml:space="preserve">a tři </w:t>
      </w:r>
      <w:r w:rsidR="00354152">
        <w:t>výzvy pro </w:t>
      </w:r>
      <w:r w:rsidR="00641950">
        <w:t>P</w:t>
      </w:r>
      <w:r w:rsidR="000329F4">
        <w:t>odprogram 2</w:t>
      </w:r>
      <w:r>
        <w:t xml:space="preserve">. </w:t>
      </w:r>
      <w:r w:rsidR="002E6924">
        <w:t>Dle podm</w:t>
      </w:r>
      <w:r w:rsidR="000329F4">
        <w:t xml:space="preserve">ínek programu byl </w:t>
      </w:r>
      <w:r w:rsidR="0005718A">
        <w:t>P</w:t>
      </w:r>
      <w:r w:rsidR="00781346">
        <w:t>odprogram 1</w:t>
      </w:r>
      <w:r w:rsidR="002E6924">
        <w:t xml:space="preserve"> vyhrazen pouze pro výzkumné organi</w:t>
      </w:r>
      <w:r w:rsidR="000329F4">
        <w:t>zace, zatímco</w:t>
      </w:r>
      <w:r w:rsidR="00781346">
        <w:t xml:space="preserve"> do</w:t>
      </w:r>
      <w:r w:rsidR="000329F4">
        <w:t xml:space="preserve"> </w:t>
      </w:r>
      <w:r w:rsidR="0005718A">
        <w:t>P</w:t>
      </w:r>
      <w:r w:rsidR="00781346">
        <w:t>odprogramu 2</w:t>
      </w:r>
      <w:r w:rsidR="002E6924">
        <w:t xml:space="preserve"> se mohly hlásit </w:t>
      </w:r>
      <w:r w:rsidR="00354152">
        <w:t>pouze malé a střední podniky. V </w:t>
      </w:r>
      <w:r w:rsidR="0005718A">
        <w:t>P</w:t>
      </w:r>
      <w:r w:rsidR="00781346">
        <w:t>odprogramu 1</w:t>
      </w:r>
      <w:r w:rsidR="002E6924">
        <w:t xml:space="preserve"> se na řešení 23 projektů podílelo 23 různých organizací, které úhrnně získaly podporu 393,2 mil. Kč. 19 projektů podpořených v </w:t>
      </w:r>
      <w:r w:rsidR="0005718A">
        <w:t>P</w:t>
      </w:r>
      <w:r w:rsidR="00781346">
        <w:t>odprogramu 2</w:t>
      </w:r>
      <w:r w:rsidR="00AE425D">
        <w:t xml:space="preserve"> se zúčastnilo 19 </w:t>
      </w:r>
      <w:r w:rsidR="002E6924">
        <w:t>organizací (celková podpora 22, 3 mil. Kč), z nichž 17 (89,5 %) bylo malých podniků a</w:t>
      </w:r>
      <w:r w:rsidR="00354152">
        <w:t> </w:t>
      </w:r>
      <w:r w:rsidR="002E6924">
        <w:t>2</w:t>
      </w:r>
      <w:r w:rsidR="00354152">
        <w:t> </w:t>
      </w:r>
      <w:r w:rsidR="002E6924">
        <w:t>(10,5</w:t>
      </w:r>
      <w:r w:rsidR="00354152">
        <w:t> </w:t>
      </w:r>
      <w:r w:rsidR="002E6924">
        <w:t>%) střední podniky. Rozložení podpory bylo v podstatě totožné, malé podniky získaly 87,9 % podpory (14,</w:t>
      </w:r>
      <w:r w:rsidR="00A615BE">
        <w:t>4 mil. Kč) a střední podniky 12 </w:t>
      </w:r>
      <w:r w:rsidR="002E6924">
        <w:t>% (1,9 mil. Kč).</w:t>
      </w:r>
    </w:p>
    <w:p w14:paraId="31FF99A9" w14:textId="38426D02" w:rsidR="00746BE2" w:rsidRDefault="00746BE2" w:rsidP="00233CDF">
      <w:pPr>
        <w:pStyle w:val="Text"/>
      </w:pPr>
      <w:r>
        <w:t xml:space="preserve">Plánovaný počet podpořených projektů nebyl splněn ani v jednom </w:t>
      </w:r>
      <w:r w:rsidR="0005718A">
        <w:t>podprogramu</w:t>
      </w:r>
      <w:r>
        <w:t xml:space="preserve">. V rámci </w:t>
      </w:r>
      <w:r w:rsidR="0005718A">
        <w:t xml:space="preserve">Podprogramu </w:t>
      </w:r>
      <w:r>
        <w:t xml:space="preserve">1 mělo být podpořeno 35 </w:t>
      </w:r>
      <w:r w:rsidR="0005718A">
        <w:t>projektů, skutečnost byla 23, v </w:t>
      </w:r>
      <w:proofErr w:type="spellStart"/>
      <w:r w:rsidR="0005718A">
        <w:t>Pdoprogramu</w:t>
      </w:r>
      <w:proofErr w:type="spellEnd"/>
      <w:r w:rsidR="0005718A">
        <w:t xml:space="preserve"> </w:t>
      </w:r>
      <w:r>
        <w:t xml:space="preserve">2 bylo </w:t>
      </w:r>
      <w:r>
        <w:lastRenderedPageBreak/>
        <w:t>podpořeno 19 projektů proti plánovaným 30. Bylo to způsobeno relativně krátkou dobou realizace programu a jeho specifiky, kdy bylo možné vyhlás</w:t>
      </w:r>
      <w:r w:rsidR="0005718A">
        <w:t xml:space="preserve">it pouze jednu veřejnou soutěž v Podprogramu 1 a tři v Podprogramu 2. </w:t>
      </w:r>
      <w:r>
        <w:t>Výrazně byl ale překročen předpokládaný minimální podíl ukončených projektů (95,6 % proti 80 %).</w:t>
      </w:r>
    </w:p>
    <w:p w14:paraId="5C3589C9" w14:textId="078B1ABA" w:rsidR="0086238C" w:rsidRDefault="0086238C" w:rsidP="00233CDF">
      <w:pPr>
        <w:pStyle w:val="Text"/>
      </w:pPr>
    </w:p>
    <w:p w14:paraId="26EFE5AC" w14:textId="5016B9A0" w:rsidR="0086238C" w:rsidRDefault="00463C5D" w:rsidP="0086238C">
      <w:pPr>
        <w:pStyle w:val="Nadpis3"/>
        <w:numPr>
          <w:ilvl w:val="0"/>
          <w:numId w:val="0"/>
        </w:numPr>
        <w:ind w:left="284"/>
      </w:pPr>
      <w:bookmarkStart w:id="58" w:name="_Toc176217928"/>
      <w:bookmarkStart w:id="59" w:name="_Toc182984821"/>
      <w:r>
        <w:t>4</w:t>
      </w:r>
      <w:r w:rsidR="009C679E">
        <w:t>. P</w:t>
      </w:r>
      <w:r w:rsidR="0086238C">
        <w:t>lánované výdaje a reálná podpora</w:t>
      </w:r>
      <w:bookmarkEnd w:id="58"/>
      <w:bookmarkEnd w:id="59"/>
    </w:p>
    <w:p w14:paraId="70CB0C77" w14:textId="48C221FE" w:rsidR="006F033D" w:rsidRDefault="000041CE" w:rsidP="000041CE">
      <w:pPr>
        <w:pStyle w:val="Text"/>
      </w:pPr>
      <w:r w:rsidRPr="004E02F6">
        <w:t>Program byl schválen s</w:t>
      </w:r>
      <w:r>
        <w:t xml:space="preserve"> plánovaným rozpočtem 550 mil.</w:t>
      </w:r>
      <w:r w:rsidRPr="004E02F6">
        <w:t xml:space="preserve"> Kč</w:t>
      </w:r>
      <w:r w:rsidR="00633711">
        <w:t xml:space="preserve"> s roky čerpání 2020 - 2022</w:t>
      </w:r>
      <w:r w:rsidR="0005718A">
        <w:t>. Při </w:t>
      </w:r>
      <w:r w:rsidR="006F033D">
        <w:t xml:space="preserve">plánování střednědobého výhledu a při samotné realizaci zákona o státním rozpočtu bylo </w:t>
      </w:r>
      <w:r w:rsidR="0005718A">
        <w:t xml:space="preserve">TA </w:t>
      </w:r>
      <w:r w:rsidR="006F033D">
        <w:t>ČR na realizaci programu GAMA 2 poskytnuto 512,4 mil. Kč. Z této částky bylo na realizaci podpořených projektů využito 415,5 mil. Kč. Naprostá většina prostředků (393 mi. Kč) byla využita na financování P</w:t>
      </w:r>
      <w:r w:rsidR="0005718A">
        <w:t xml:space="preserve">odprogramu </w:t>
      </w:r>
      <w:r w:rsidR="006F033D">
        <w:t>1, na projekty z</w:t>
      </w:r>
      <w:r w:rsidR="0005718A">
        <w:t> </w:t>
      </w:r>
      <w:r w:rsidR="006F033D">
        <w:t>P</w:t>
      </w:r>
      <w:r w:rsidR="0005718A">
        <w:t>odprogramu 2 bylo využito pouze 22,3 </w:t>
      </w:r>
      <w:r w:rsidR="006F033D">
        <w:t xml:space="preserve">mil. Kč (cca 5 %). Podíl proplacených prostředků představuje </w:t>
      </w:r>
      <w:r w:rsidR="00487D23">
        <w:t>81 % přidělené finanční částky</w:t>
      </w:r>
      <w:r w:rsidR="006F033D">
        <w:t>.</w:t>
      </w:r>
    </w:p>
    <w:p w14:paraId="0254C46F" w14:textId="252D36DE" w:rsidR="00905BAC" w:rsidRDefault="004F7327" w:rsidP="000041CE">
      <w:pPr>
        <w:pStyle w:val="Text"/>
      </w:pPr>
      <w:r>
        <w:t>Prostředky ze SR, které byly přiděleny na realizaci projektů v programu GAMA 2, TA ČR využila primárně v rámci samotného programu (cca 24 mil. Kč v roce 2021) a v letech 2020 a 2021 rovněž na rozšíření realizovaných projektů reagující na</w:t>
      </w:r>
      <w:r w:rsidR="00487D23">
        <w:t xml:space="preserve"> pandemii Covid-19 (cca 96 mil. </w:t>
      </w:r>
      <w:r>
        <w:t>Kč), jelikož se v těchto případech jednalo zpravidla o aktivity blízké a výrazně rozšiřující uplatnění výsledků výzkumu v praxi.</w:t>
      </w:r>
    </w:p>
    <w:p w14:paraId="37882935" w14:textId="77777777" w:rsidR="000041CE" w:rsidRPr="000041CE" w:rsidRDefault="000041CE" w:rsidP="000041CE">
      <w:pPr>
        <w:rPr>
          <w:lang w:eastAsia="cs-CZ"/>
        </w:rPr>
      </w:pPr>
    </w:p>
    <w:p w14:paraId="05A35701" w14:textId="3787C77E" w:rsidR="00463C5D" w:rsidRDefault="009C679E" w:rsidP="00463C5D">
      <w:pPr>
        <w:pStyle w:val="Nadpis3"/>
        <w:numPr>
          <w:ilvl w:val="0"/>
          <w:numId w:val="0"/>
        </w:numPr>
        <w:ind w:left="284"/>
      </w:pPr>
      <w:bookmarkStart w:id="60" w:name="_Toc176217929"/>
      <w:bookmarkStart w:id="61" w:name="_Toc182984822"/>
      <w:r>
        <w:t>5. P</w:t>
      </w:r>
      <w:r w:rsidR="00463C5D">
        <w:t>řínosy programu</w:t>
      </w:r>
      <w:bookmarkEnd w:id="60"/>
      <w:bookmarkEnd w:id="61"/>
    </w:p>
    <w:p w14:paraId="3EDB60BF" w14:textId="2285F7DE" w:rsidR="00905BAC" w:rsidRDefault="004F231F" w:rsidP="004F231F">
      <w:pPr>
        <w:jc w:val="both"/>
      </w:pPr>
      <w:r>
        <w:t xml:space="preserve">Podle institucionálního řazení byly mezi plánovanými uživateli výsledků/výstupů nejvíce zastoupeny národní ústřední vládní instituce, a to z více jak tří čtvrtin. Mezi tyto instituce jsou řazeny také veřejné vysoké školy, veřejné výzkumné instituce a organizační jednotky Akademie věd ČR. </w:t>
      </w:r>
    </w:p>
    <w:p w14:paraId="2208742A" w14:textId="2C032CA8" w:rsidR="004F231F" w:rsidRDefault="004F231F" w:rsidP="004F231F">
      <w:pPr>
        <w:jc w:val="both"/>
      </w:pPr>
      <w:r>
        <w:t>Z hlediska geografického dělení nejvíce uživatelů výsledků/výstupů s komerčním užitím pochází z Hlavního města Prahy a Jihomoravského kraje, dohromady 44,5 %. V Karlovarském kraji se nenašel ani jeden uživatel a ze zahraničí pochází dva uživatelé výsledků/výstupů. Celkem v Ústeckém, Moravskoslezském a Karlovarském kraji (dotčené regiony energetické transformace a regiony tzv. strukturálně postižené) se nachází 6,5 % uživatelů komerčního využití výsledků.</w:t>
      </w:r>
    </w:p>
    <w:p w14:paraId="6DE0D981" w14:textId="5C5C5BDE" w:rsidR="00746BE2" w:rsidRPr="00905BAC" w:rsidRDefault="00487D23" w:rsidP="004F231F">
      <w:pPr>
        <w:jc w:val="both"/>
        <w:rPr>
          <w:lang w:eastAsia="cs-CZ"/>
        </w:rPr>
      </w:pPr>
      <w:r>
        <w:t xml:space="preserve">Dle Závěrečné zprávy </w:t>
      </w:r>
      <w:r w:rsidR="00746BE2">
        <w:t>Programu</w:t>
      </w:r>
      <w:r>
        <w:t xml:space="preserve"> GAMA 2</w:t>
      </w:r>
      <w:r w:rsidR="00746BE2">
        <w:t xml:space="preserve"> vedly </w:t>
      </w:r>
      <w:r>
        <w:t xml:space="preserve">podpořené projekty </w:t>
      </w:r>
      <w:r w:rsidR="00746BE2">
        <w:t xml:space="preserve">ke zvýšení uplatnitelnosti výstupů / výsledků </w:t>
      </w:r>
      <w:proofErr w:type="spellStart"/>
      <w:r w:rsidR="00746BE2">
        <w:t>VaV</w:t>
      </w:r>
      <w:proofErr w:type="spellEnd"/>
      <w:r w:rsidR="00746BE2">
        <w:t>. V rámci P</w:t>
      </w:r>
      <w:r>
        <w:t xml:space="preserve">odprogramu </w:t>
      </w:r>
      <w:r w:rsidR="00746BE2">
        <w:t>1 vznikly ve všech organizacích systémy pro komercializaci jasně ukotvené v interních předpisech uchazečů. J</w:t>
      </w:r>
      <w:r w:rsidR="002765BD">
        <w:t xml:space="preserve">ejich součástí jsou i </w:t>
      </w:r>
      <w:r w:rsidR="00746BE2">
        <w:t>Rady pro komercializaci, které ve všech institucích fungují i po ukončení realizace projektu. V</w:t>
      </w:r>
      <w:r>
        <w:t> </w:t>
      </w:r>
      <w:r w:rsidR="00746BE2">
        <w:t>P</w:t>
      </w:r>
      <w:r>
        <w:t xml:space="preserve">odprogramu </w:t>
      </w:r>
      <w:r w:rsidR="00746BE2">
        <w:t xml:space="preserve">2 vznikaly studie proveditelnosti, které byly pro jednotlivé řešitele důležitou vstupenkou na příslušný trh. Program přispěl k naplňování cílů Národních priorit orientovaného výzkumu. Vazbu na tyto cíle vykazovaly všechny dílčí projekty </w:t>
      </w:r>
      <w:r>
        <w:t>Podprogramu 1</w:t>
      </w:r>
      <w:r w:rsidR="00746BE2">
        <w:t xml:space="preserve"> i všechny projekty podpořené v rámci P</w:t>
      </w:r>
      <w:r>
        <w:t xml:space="preserve">odprogramu </w:t>
      </w:r>
      <w:r w:rsidR="00746BE2">
        <w:t xml:space="preserve">2. Míra vlivu na plnění těchto cílů bude </w:t>
      </w:r>
      <w:r w:rsidR="00AE425D">
        <w:t>ze strany TA </w:t>
      </w:r>
      <w:r>
        <w:t xml:space="preserve">ČR </w:t>
      </w:r>
      <w:r w:rsidR="00746BE2">
        <w:t>ještě evaluován</w:t>
      </w:r>
      <w:r w:rsidR="00B47D91">
        <w:t>a</w:t>
      </w:r>
      <w:r w:rsidR="00746BE2">
        <w:t xml:space="preserve"> později, aby bylo možné relev</w:t>
      </w:r>
      <w:r w:rsidR="002765BD">
        <w:t>antně posoudit dlouhodobý přínos</w:t>
      </w:r>
      <w:r w:rsidR="00746BE2">
        <w:t xml:space="preserve"> Programu</w:t>
      </w:r>
      <w:r w:rsidR="00B47D91">
        <w:t xml:space="preserve"> GAMA 2</w:t>
      </w:r>
      <w:r w:rsidR="00746BE2">
        <w:t>.</w:t>
      </w:r>
    </w:p>
    <w:p w14:paraId="6EE04161" w14:textId="1DD96E99" w:rsidR="00EA16FD" w:rsidRPr="00565ABB" w:rsidRDefault="00EA16FD" w:rsidP="00EA16FD">
      <w:pPr>
        <w:pStyle w:val="Nadpis2"/>
      </w:pPr>
      <w:bookmarkStart w:id="62" w:name="_Toc182984823"/>
      <w:r>
        <w:lastRenderedPageBreak/>
        <w:t>„Program na podporu aplikovaného výzkumu ZÉTA“</w:t>
      </w:r>
      <w:r w:rsidR="00876255">
        <w:t xml:space="preserve"> (2017</w:t>
      </w:r>
      <w:r w:rsidR="00B47D91">
        <w:t> </w:t>
      </w:r>
      <w:r>
        <w:t>-</w:t>
      </w:r>
      <w:r w:rsidR="00B47D91">
        <w:t> </w:t>
      </w:r>
      <w:r>
        <w:t>2022)</w:t>
      </w:r>
      <w:bookmarkEnd w:id="62"/>
      <w:r w:rsidRPr="00A346B4">
        <w:t xml:space="preserve"> </w:t>
      </w:r>
    </w:p>
    <w:p w14:paraId="769AAEB0" w14:textId="4FFE7B13" w:rsidR="002548C4" w:rsidRDefault="00EA16FD" w:rsidP="00EA16FD">
      <w:pPr>
        <w:pStyle w:val="Text"/>
      </w:pPr>
      <w:r>
        <w:t xml:space="preserve">Program </w:t>
      </w:r>
      <w:r w:rsidR="00876255">
        <w:t>ZÉTA</w:t>
      </w:r>
      <w:r>
        <w:t xml:space="preserve"> byl schválen usnesením vlády České republiky </w:t>
      </w:r>
      <w:r w:rsidR="00876255">
        <w:t xml:space="preserve">č. 300 ze dne 7. dubna 2016 </w:t>
      </w:r>
      <w:r>
        <w:t>s plánovaným rozpočtem</w:t>
      </w:r>
      <w:r w:rsidR="00876255">
        <w:t xml:space="preserve"> 847.200 tis. Kč, z toho výdaje státního rozpočtu</w:t>
      </w:r>
      <w:r w:rsidR="00B47D91">
        <w:t xml:space="preserve"> byly</w:t>
      </w:r>
      <w:r w:rsidR="00876255">
        <w:t xml:space="preserve"> 720.000 tis. Kč</w:t>
      </w:r>
      <w:r w:rsidR="002548C4">
        <w:t>.</w:t>
      </w:r>
      <w:r w:rsidR="002548C4" w:rsidRPr="002548C4">
        <w:t xml:space="preserve"> </w:t>
      </w:r>
      <w:r w:rsidR="002548C4">
        <w:t>Usnesením vlády č. 565 ze dne 25. května 2020</w:t>
      </w:r>
      <w:r w:rsidR="002548C4" w:rsidRPr="002548C4">
        <w:t xml:space="preserve"> byl upraven rozpočet programu, konkrétně celkové výdaje ze státního rozpočtu byly </w:t>
      </w:r>
      <w:r w:rsidR="00B47D91">
        <w:t>navýšeny</w:t>
      </w:r>
      <w:r w:rsidR="002548C4" w:rsidRPr="002548C4">
        <w:t xml:space="preserve"> ze 720 mil. Kč na 1 520 mil. Kč. </w:t>
      </w:r>
    </w:p>
    <w:p w14:paraId="66A88233" w14:textId="7440D790" w:rsidR="00EA16FD" w:rsidRDefault="00EA16FD" w:rsidP="00EA16FD">
      <w:pPr>
        <w:pStyle w:val="Text"/>
      </w:pPr>
      <w:r>
        <w:t>Poskytovatel: Technologická agentura ČR (dále jen „TA ČR“).</w:t>
      </w:r>
    </w:p>
    <w:p w14:paraId="6643969C" w14:textId="0B1FF938" w:rsidR="00876255" w:rsidRDefault="00876255" w:rsidP="00EA16FD">
      <w:pPr>
        <w:pStyle w:val="Text"/>
      </w:pPr>
      <w:r>
        <w:t>Program byl</w:t>
      </w:r>
      <w:r w:rsidRPr="00876255">
        <w:t xml:space="preserve"> zaměřen na podporu spolupráce akademické sféry a podniků prostřednictvím zapojení posluchačů/posluchaček magisterských a doktorských studijních programů vys</w:t>
      </w:r>
      <w:r>
        <w:t>okých škol</w:t>
      </w:r>
      <w:r w:rsidRPr="00876255">
        <w:t xml:space="preserve"> a mladých výzkumn</w:t>
      </w:r>
      <w:r>
        <w:t xml:space="preserve">ých pracovníků/pracovnic </w:t>
      </w:r>
      <w:r w:rsidRPr="00876255">
        <w:t>ve věku do 35 let</w:t>
      </w:r>
      <w:r>
        <w:t>.</w:t>
      </w:r>
    </w:p>
    <w:p w14:paraId="2A426E28" w14:textId="77777777" w:rsidR="00876255" w:rsidRDefault="00876255" w:rsidP="00876255">
      <w:pPr>
        <w:pStyle w:val="Text"/>
      </w:pPr>
    </w:p>
    <w:p w14:paraId="00981E70" w14:textId="77777777" w:rsidR="004B35F3" w:rsidRPr="003C1CEF" w:rsidRDefault="004B35F3" w:rsidP="004B35F3">
      <w:pPr>
        <w:pStyle w:val="Nadpis3"/>
        <w:numPr>
          <w:ilvl w:val="0"/>
          <w:numId w:val="0"/>
        </w:numPr>
        <w:ind w:left="284"/>
      </w:pPr>
      <w:bookmarkStart w:id="63" w:name="_Toc182984824"/>
      <w:r>
        <w:t xml:space="preserve">1. </w:t>
      </w:r>
      <w:r w:rsidRPr="00B456EA">
        <w:t>Cíle programu a jejich plnění</w:t>
      </w:r>
      <w:bookmarkEnd w:id="63"/>
    </w:p>
    <w:p w14:paraId="3B350892" w14:textId="773DB8C3" w:rsidR="00876255" w:rsidRPr="00FA06D7" w:rsidRDefault="00FA06D7" w:rsidP="00876255">
      <w:pPr>
        <w:pStyle w:val="Text"/>
      </w:pPr>
      <w:r w:rsidRPr="00FA06D7">
        <w:t>Hlavním cílem Programu</w:t>
      </w:r>
      <w:r w:rsidR="00204013">
        <w:t xml:space="preserve"> </w:t>
      </w:r>
      <w:r w:rsidR="00204013" w:rsidRPr="00204013">
        <w:t>ZÉTA</w:t>
      </w:r>
      <w:r w:rsidRPr="00FA06D7">
        <w:t xml:space="preserve"> bylo</w:t>
      </w:r>
      <w:r w:rsidR="004B35F3" w:rsidRPr="00FA06D7">
        <w:t xml:space="preserve"> zapojení studujících a mladých výzkumných pracovníků do výzkumné a vývojové činnosti směřující k využití výsledků v praxi, zvýšení zájmu studujících a mladých výzkumných pracovníků o projekty s konkrétním praktickým dopadem a podpora takových projektů v akademické sféře obecně s propojením na hospodářskou sféru. Mladým výzkumníkům </w:t>
      </w:r>
      <w:r w:rsidRPr="00FA06D7">
        <w:t>P</w:t>
      </w:r>
      <w:r w:rsidR="001B5212">
        <w:t>ro</w:t>
      </w:r>
      <w:r w:rsidRPr="00FA06D7">
        <w:t>gram</w:t>
      </w:r>
      <w:r w:rsidR="00B002F9">
        <w:t xml:space="preserve"> ZÉTA</w:t>
      </w:r>
      <w:r w:rsidRPr="00FA06D7">
        <w:t xml:space="preserve"> </w:t>
      </w:r>
      <w:r w:rsidR="004B35F3" w:rsidRPr="00FA06D7">
        <w:t>nabídl lepší, zajímavější příležitosti účastnit se výzkumných projektů, formovat či spoluformovat (ve spolupráci s mentory a garanty výzkumu) vlastní výzkumné týmy a výzkumné záměry a současně účast v projektech podmiňoval praktickým, aplikačním zaměřením výzkumu a spoluprací s aplikační sférou, předst</w:t>
      </w:r>
      <w:r w:rsidRPr="00FA06D7">
        <w:t>avovanou nejen soukromým, ale i </w:t>
      </w:r>
      <w:r w:rsidR="004B35F3" w:rsidRPr="00FA06D7">
        <w:t>veřejný</w:t>
      </w:r>
      <w:r w:rsidRPr="00FA06D7">
        <w:t>m a neziskovým sektorem. Cílem P</w:t>
      </w:r>
      <w:r w:rsidR="004B35F3" w:rsidRPr="00FA06D7">
        <w:t>rogramu</w:t>
      </w:r>
      <w:r w:rsidR="00204013">
        <w:t xml:space="preserve"> </w:t>
      </w:r>
      <w:r w:rsidR="00204013" w:rsidRPr="00204013">
        <w:t>ZÉTA</w:t>
      </w:r>
      <w:r w:rsidR="004B35F3" w:rsidRPr="00FA06D7">
        <w:t xml:space="preserve"> bylo </w:t>
      </w:r>
      <w:r w:rsidRPr="00FA06D7">
        <w:t xml:space="preserve">také </w:t>
      </w:r>
      <w:r w:rsidR="004B35F3" w:rsidRPr="00FA06D7">
        <w:t>prostřednictvím projektů přispět k překlenování mezery, omezení či snížení bariér mezi akademickým sektorem a aplikační sférou.</w:t>
      </w:r>
    </w:p>
    <w:p w14:paraId="2BFD266E" w14:textId="6BE86F86" w:rsidR="001B5212" w:rsidRPr="001B5212" w:rsidRDefault="00FA06D7" w:rsidP="00876255">
      <w:pPr>
        <w:pStyle w:val="Text"/>
      </w:pPr>
      <w:r w:rsidRPr="001B5212">
        <w:t>Program</w:t>
      </w:r>
      <w:r w:rsidR="00B002F9">
        <w:t xml:space="preserve"> ZÉTA</w:t>
      </w:r>
      <w:r w:rsidRPr="001B5212">
        <w:t xml:space="preserve"> podporoval</w:t>
      </w:r>
      <w:r w:rsidR="004B35F3" w:rsidRPr="001B5212">
        <w:t xml:space="preserve"> zapojení mladých výzkumníků a studentů do projektů, v nichž budou mít příležitost spolupracovat s lidmi z praxe, na projektech, které jsou pro praxi přínosné</w:t>
      </w:r>
      <w:r w:rsidR="001B5212" w:rsidRPr="001B5212">
        <w:t>, a tím zvýšit zájem</w:t>
      </w:r>
      <w:r w:rsidR="004B35F3" w:rsidRPr="001B5212">
        <w:t xml:space="preserve"> mladých výzkumníků a st</w:t>
      </w:r>
      <w:r w:rsidR="00AE425D">
        <w:t>udentů o praktické problémy a o </w:t>
      </w:r>
      <w:r w:rsidR="004B35F3" w:rsidRPr="001B5212">
        <w:t>spolupráci s</w:t>
      </w:r>
      <w:r w:rsidR="001B5212" w:rsidRPr="001B5212">
        <w:t> </w:t>
      </w:r>
      <w:r w:rsidR="004B35F3" w:rsidRPr="001B5212">
        <w:t>praxí</w:t>
      </w:r>
      <w:r w:rsidR="001B5212" w:rsidRPr="001B5212">
        <w:t>, která nabídla</w:t>
      </w:r>
      <w:r w:rsidR="004B35F3" w:rsidRPr="001B5212">
        <w:t xml:space="preserve"> mladým výzkumníkům a studentům získat zkušenost ze spolupráce s praxí v době studia (vč. </w:t>
      </w:r>
      <w:r w:rsidR="001B5212">
        <w:t>doktorského)</w:t>
      </w:r>
      <w:r w:rsidR="001B5212" w:rsidRPr="001B5212">
        <w:t xml:space="preserve">. </w:t>
      </w:r>
      <w:r w:rsidR="001B5212">
        <w:t>Dále Program</w:t>
      </w:r>
      <w:r w:rsidR="00B002F9">
        <w:t xml:space="preserve"> ZÉTA</w:t>
      </w:r>
      <w:r w:rsidR="001B5212">
        <w:t xml:space="preserve"> o</w:t>
      </w:r>
      <w:r w:rsidR="001B5212" w:rsidRPr="001B5212">
        <w:t>tevřel</w:t>
      </w:r>
      <w:r w:rsidR="004B35F3" w:rsidRPr="001B5212">
        <w:t xml:space="preserve"> mladým výzkumníkům a studentům možnost účastnit se projektů, aniž by měli předchozí praxi, doložené výsledky nebo publikační činnost, což jsou jinak požadavky výzev podporujících veřejný výzkum</w:t>
      </w:r>
      <w:r w:rsidR="001B5212" w:rsidRPr="001B5212">
        <w:t xml:space="preserve">. </w:t>
      </w:r>
    </w:p>
    <w:p w14:paraId="4D1A8C33" w14:textId="5943F9D8" w:rsidR="004B35F3" w:rsidRPr="001B5212" w:rsidRDefault="001B5212" w:rsidP="00876255">
      <w:pPr>
        <w:pStyle w:val="Text"/>
      </w:pPr>
      <w:r w:rsidRPr="001B5212">
        <w:t>P</w:t>
      </w:r>
      <w:r w:rsidR="004B35F3" w:rsidRPr="001B5212">
        <w:t>řes účast studentů a mladých výzkumníků a kvůli nutno</w:t>
      </w:r>
      <w:r w:rsidR="00AE425D">
        <w:t>sti jejich podpory a vedení při </w:t>
      </w:r>
      <w:r w:rsidR="004B35F3" w:rsidRPr="001B5212">
        <w:t xml:space="preserve">výzkumu vytvářel </w:t>
      </w:r>
      <w:r w:rsidRPr="001B5212">
        <w:t>Program</w:t>
      </w:r>
      <w:r w:rsidR="00B002F9">
        <w:t xml:space="preserve"> ZÉTA</w:t>
      </w:r>
      <w:r w:rsidRPr="001B5212">
        <w:t xml:space="preserve"> </w:t>
      </w:r>
      <w:r w:rsidR="004B35F3" w:rsidRPr="001B5212">
        <w:t>další článek propojen</w:t>
      </w:r>
      <w:r w:rsidRPr="001B5212">
        <w:t>í mezi akademickou sférou a </w:t>
      </w:r>
      <w:r w:rsidR="004B35F3" w:rsidRPr="001B5212">
        <w:t>aplikační sférou. Program</w:t>
      </w:r>
      <w:r w:rsidR="00B002F9">
        <w:t xml:space="preserve"> ZÉTA</w:t>
      </w:r>
      <w:r w:rsidR="004B35F3" w:rsidRPr="001B5212">
        <w:t xml:space="preserve"> ta</w:t>
      </w:r>
      <w:r w:rsidRPr="001B5212">
        <w:t>ké nabízel mladým výzkumníkům a </w:t>
      </w:r>
      <w:r w:rsidR="004B35F3" w:rsidRPr="001B5212">
        <w:t>studentům další příjem, který získávají tím, že se věnují praktickému výzkumu.</w:t>
      </w:r>
    </w:p>
    <w:p w14:paraId="456B3834" w14:textId="68947144" w:rsidR="004B35F3" w:rsidRDefault="001B5212" w:rsidP="00876255">
      <w:pPr>
        <w:pStyle w:val="Text"/>
      </w:pPr>
      <w:r w:rsidRPr="001B5212">
        <w:t>Program</w:t>
      </w:r>
      <w:r w:rsidR="00B002F9">
        <w:t xml:space="preserve"> ZÉTA</w:t>
      </w:r>
      <w:r w:rsidRPr="001B5212">
        <w:t xml:space="preserve"> také podpoři</w:t>
      </w:r>
      <w:r w:rsidR="0073307F">
        <w:t>l</w:t>
      </w:r>
      <w:r w:rsidRPr="001B5212">
        <w:t xml:space="preserve"> k</w:t>
      </w:r>
      <w:r w:rsidR="004B35F3" w:rsidRPr="001B5212">
        <w:t>ariérní rozvoj, který lze, mimo jiné, chápat jako nové příležitosti ve výzkumu, získání dovedností v organizaci vlastního výzkumu a ve vedení týmů, příležitost přicházet s vlastními tématy výzkumu a rozvíjet je.</w:t>
      </w:r>
      <w:r w:rsidRPr="001B5212">
        <w:t xml:space="preserve"> Dalším cílem Programu</w:t>
      </w:r>
      <w:r w:rsidR="00B002F9">
        <w:t xml:space="preserve"> ZÉTA</w:t>
      </w:r>
      <w:r w:rsidRPr="001B5212">
        <w:t xml:space="preserve"> bylo z</w:t>
      </w:r>
      <w:r w:rsidR="004B35F3" w:rsidRPr="001B5212">
        <w:t xml:space="preserve">výšení </w:t>
      </w:r>
      <w:r w:rsidR="004B35F3" w:rsidRPr="001B5212">
        <w:lastRenderedPageBreak/>
        <w:t>příležitostí pro ženy (případně pro muže) ve výzkumných týmech, vyváženější slož</w:t>
      </w:r>
      <w:r>
        <w:t>ení týmů z </w:t>
      </w:r>
      <w:r w:rsidRPr="001B5212">
        <w:t>pohledu mužů a žen a zl</w:t>
      </w:r>
      <w:r w:rsidR="004B35F3" w:rsidRPr="001B5212">
        <w:t xml:space="preserve">epšení </w:t>
      </w:r>
      <w:proofErr w:type="spellStart"/>
      <w:r w:rsidR="004B35F3" w:rsidRPr="001B5212">
        <w:t>work-life</w:t>
      </w:r>
      <w:proofErr w:type="spellEnd"/>
      <w:r w:rsidR="004B35F3" w:rsidRPr="001B5212">
        <w:t xml:space="preserve"> balance mladých výzkumníků.</w:t>
      </w:r>
    </w:p>
    <w:p w14:paraId="14A89EEF" w14:textId="77777777" w:rsidR="001B5212" w:rsidRDefault="001B5212" w:rsidP="00876255">
      <w:pPr>
        <w:pStyle w:val="Text"/>
      </w:pPr>
    </w:p>
    <w:p w14:paraId="141465CC" w14:textId="63615821" w:rsidR="00395A52" w:rsidRPr="00CD1F3E" w:rsidRDefault="00395A52" w:rsidP="00395A52">
      <w:pPr>
        <w:keepNext/>
        <w:keepLines/>
        <w:spacing w:before="240" w:after="240" w:line="240" w:lineRule="auto"/>
        <w:ind w:left="284"/>
        <w:outlineLvl w:val="2"/>
        <w:rPr>
          <w:rFonts w:ascii="Arial" w:eastAsiaTheme="majorEastAsia" w:hAnsi="Arial" w:cs="Arial"/>
          <w:b/>
          <w:bCs/>
          <w:smallCaps/>
          <w:color w:val="365F91" w:themeColor="accent1" w:themeShade="BF"/>
          <w:sz w:val="26"/>
          <w:lang w:eastAsia="cs-CZ"/>
        </w:rPr>
      </w:pPr>
      <w:bookmarkStart w:id="64" w:name="_Toc182984825"/>
      <w:r>
        <w:rPr>
          <w:rFonts w:ascii="Arial" w:eastAsiaTheme="majorEastAsia" w:hAnsi="Arial" w:cs="Arial"/>
          <w:b/>
          <w:bCs/>
          <w:smallCaps/>
          <w:color w:val="365F91" w:themeColor="accent1" w:themeShade="BF"/>
          <w:sz w:val="26"/>
          <w:lang w:eastAsia="cs-CZ"/>
        </w:rPr>
        <w:t>2</w:t>
      </w:r>
      <w:r w:rsidRPr="00CD1F3E">
        <w:rPr>
          <w:rFonts w:ascii="Arial" w:eastAsiaTheme="majorEastAsia" w:hAnsi="Arial" w:cs="Arial"/>
          <w:b/>
          <w:bCs/>
          <w:smallCaps/>
          <w:color w:val="365F91" w:themeColor="accent1" w:themeShade="BF"/>
          <w:sz w:val="26"/>
          <w:lang w:eastAsia="cs-CZ"/>
        </w:rPr>
        <w:t xml:space="preserve">. </w:t>
      </w:r>
      <w:r w:rsidR="009C679E">
        <w:rPr>
          <w:rFonts w:ascii="Arial" w:eastAsiaTheme="majorEastAsia" w:hAnsi="Arial" w:cs="Arial"/>
          <w:b/>
          <w:bCs/>
          <w:smallCaps/>
          <w:color w:val="365F91" w:themeColor="accent1" w:themeShade="BF"/>
          <w:sz w:val="26"/>
          <w:lang w:eastAsia="cs-CZ"/>
        </w:rPr>
        <w:t>V</w:t>
      </w:r>
      <w:r>
        <w:rPr>
          <w:rFonts w:ascii="Arial" w:eastAsiaTheme="majorEastAsia" w:hAnsi="Arial" w:cs="Arial"/>
          <w:b/>
          <w:bCs/>
          <w:smallCaps/>
          <w:color w:val="365F91" w:themeColor="accent1" w:themeShade="BF"/>
          <w:sz w:val="26"/>
          <w:lang w:eastAsia="cs-CZ"/>
        </w:rPr>
        <w:t>ýsledky programu</w:t>
      </w:r>
      <w:bookmarkEnd w:id="64"/>
    </w:p>
    <w:p w14:paraId="27EE4C6D" w14:textId="057C0900" w:rsidR="004B35F3" w:rsidRDefault="00C2422E" w:rsidP="00876255">
      <w:pPr>
        <w:pStyle w:val="Text"/>
      </w:pPr>
      <w:r>
        <w:t>V</w:t>
      </w:r>
      <w:r w:rsidR="00B002F9">
        <w:t> </w:t>
      </w:r>
      <w:r>
        <w:t>Programu</w:t>
      </w:r>
      <w:r w:rsidR="00B002F9">
        <w:t xml:space="preserve"> ZÉTA</w:t>
      </w:r>
      <w:r>
        <w:t xml:space="preserve"> bylo formálně vykázáno 15 patentů a 126 užitných vzorů. Dále bylo v rámci Programu</w:t>
      </w:r>
      <w:r w:rsidR="00B002F9">
        <w:t xml:space="preserve"> ZÉTA</w:t>
      </w:r>
      <w:r>
        <w:t xml:space="preserve"> vykázáno 8 průmyslových </w:t>
      </w:r>
      <w:proofErr w:type="spellStart"/>
      <w:proofErr w:type="gramStart"/>
      <w:r>
        <w:t>vzorů,z</w:t>
      </w:r>
      <w:proofErr w:type="spellEnd"/>
      <w:r>
        <w:t xml:space="preserve"> nichž</w:t>
      </w:r>
      <w:proofErr w:type="gramEnd"/>
      <w:r>
        <w:t xml:space="preserve"> 2 mají mezinárodní ochranu a jsou aktivní (aplikace v letech 2018 a 2021). </w:t>
      </w:r>
      <w:r w:rsidR="00BA249B">
        <w:t>Mezi výsledky v kategorii „Ostatní“ bylo více než dvě třetiny výsledků identifikováno</w:t>
      </w:r>
      <w:r w:rsidR="002E000E">
        <w:t xml:space="preserve"> jako vědecká a výzkumná publikační činnost. Jedná se zejména o vědecké práce, výzk</w:t>
      </w:r>
      <w:r w:rsidR="00BA249B">
        <w:t>umné zprávy, analytické práce a </w:t>
      </w:r>
      <w:r w:rsidR="002E000E">
        <w:t>studi</w:t>
      </w:r>
      <w:r w:rsidR="00AE425D">
        <w:t>e. Jedná se o 344 výsledků, což </w:t>
      </w:r>
      <w:r w:rsidR="002E000E">
        <w:t>je 21 % ze všech vykázaných výsledků</w:t>
      </w:r>
      <w:r w:rsidR="00BA249B">
        <w:t xml:space="preserve"> v</w:t>
      </w:r>
      <w:r w:rsidR="00B002F9">
        <w:t> </w:t>
      </w:r>
      <w:r w:rsidR="00BA249B">
        <w:t>Programu</w:t>
      </w:r>
      <w:r w:rsidR="00B002F9">
        <w:t xml:space="preserve"> ZÉTA</w:t>
      </w:r>
      <w:r w:rsidR="00BA249B">
        <w:t>. Téměř 15</w:t>
      </w:r>
      <w:r w:rsidR="002E000E">
        <w:t xml:space="preserve"> % výsledků tvoří různé technické zprávy, technické </w:t>
      </w:r>
      <w:r w:rsidR="00B85C2D">
        <w:t>specifikace, reporty a manuály.</w:t>
      </w:r>
    </w:p>
    <w:p w14:paraId="1936984B" w14:textId="27883EDF" w:rsidR="000A540A" w:rsidRDefault="003E27C7" w:rsidP="00876255">
      <w:pPr>
        <w:pStyle w:val="Text"/>
      </w:pPr>
      <w:r>
        <w:t>V Závěrečné zprávě</w:t>
      </w:r>
      <w:r w:rsidR="00B85C2D">
        <w:t xml:space="preserve"> Programu ZÉTA (Příloha F)</w:t>
      </w:r>
      <w:r>
        <w:t xml:space="preserve"> je uvedeno, že přibližně u 40 % vykázaných výsledků lze předpokládat jejich uplatnitelnost, neboť se jedná o výstupy, které mají velmi blízko praktickému uplatnění (např. poloprovoz, funkční vzorek nebo patent). Čtyři vytvořené patenty dosahují očekávané hodnoty více jak 1</w:t>
      </w:r>
      <w:r w:rsidR="00B85C2D">
        <w:t xml:space="preserve"> mil.</w:t>
      </w:r>
      <w:r>
        <w:t xml:space="preserve"> </w:t>
      </w:r>
      <w:r w:rsidR="00B85C2D">
        <w:t xml:space="preserve">Kč </w:t>
      </w:r>
      <w:r>
        <w:t>a celková očekávaná hodnota mezinárodních patentů přesahuje 7</w:t>
      </w:r>
      <w:r w:rsidR="00B85C2D">
        <w:t xml:space="preserve"> mil Kč</w:t>
      </w:r>
      <w:r>
        <w:t>, což odpovídá pr</w:t>
      </w:r>
      <w:r w:rsidR="00AE425D">
        <w:t>ůměrné hodnotě necelých 700 000 </w:t>
      </w:r>
      <w:r>
        <w:t>Kč na jeden patent.</w:t>
      </w:r>
    </w:p>
    <w:p w14:paraId="30E0A9BC" w14:textId="77777777" w:rsidR="003A219E" w:rsidRDefault="003A219E" w:rsidP="00876255">
      <w:pPr>
        <w:pStyle w:val="Text"/>
      </w:pPr>
    </w:p>
    <w:p w14:paraId="572725F6" w14:textId="56BEA2BF" w:rsidR="004B35F3" w:rsidRPr="008E7034" w:rsidRDefault="009C679E" w:rsidP="004B35F3">
      <w:pPr>
        <w:pStyle w:val="Nadpis3"/>
        <w:numPr>
          <w:ilvl w:val="0"/>
          <w:numId w:val="0"/>
        </w:numPr>
        <w:ind w:left="284"/>
      </w:pPr>
      <w:bookmarkStart w:id="65" w:name="_Toc182984826"/>
      <w:r>
        <w:t>3. P</w:t>
      </w:r>
      <w:r w:rsidR="004B35F3" w:rsidRPr="008E7034">
        <w:t>růběh programu</w:t>
      </w:r>
      <w:bookmarkEnd w:id="65"/>
    </w:p>
    <w:p w14:paraId="715293AF" w14:textId="62E8F82E" w:rsidR="008E7034" w:rsidRPr="00CA3E5D" w:rsidRDefault="00A54D40" w:rsidP="008E7034">
      <w:pPr>
        <w:pStyle w:val="Text"/>
        <w:rPr>
          <w:highlight w:val="yellow"/>
        </w:rPr>
      </w:pPr>
      <w:r>
        <w:t>Délka trvání P</w:t>
      </w:r>
      <w:r w:rsidR="004A2BFE" w:rsidRPr="008E7034">
        <w:t xml:space="preserve">rogramu </w:t>
      </w:r>
      <w:r w:rsidR="00B85C2D">
        <w:t>ZÉTA</w:t>
      </w:r>
      <w:r w:rsidR="00B85C2D" w:rsidRPr="008E7034">
        <w:t xml:space="preserve"> </w:t>
      </w:r>
      <w:r w:rsidR="004A2BFE" w:rsidRPr="008E7034">
        <w:t>byla</w:t>
      </w:r>
      <w:r w:rsidR="008E7034" w:rsidRPr="008E7034">
        <w:t xml:space="preserve"> </w:t>
      </w:r>
      <w:r w:rsidR="004A2BFE" w:rsidRPr="008E7034">
        <w:t>n</w:t>
      </w:r>
      <w:r w:rsidR="00CA3E5D">
        <w:t xml:space="preserve">avržena na 9 let (2017 – </w:t>
      </w:r>
      <w:r w:rsidR="00CA3E5D" w:rsidRPr="00CA3E5D">
        <w:t>2025).</w:t>
      </w:r>
      <w:r w:rsidR="00B85C2D">
        <w:t xml:space="preserve"> </w:t>
      </w:r>
      <w:r w:rsidR="004B35F3" w:rsidRPr="00CA3E5D">
        <w:t>P</w:t>
      </w:r>
      <w:r w:rsidR="008E7034" w:rsidRPr="00CA3E5D">
        <w:t>rogram</w:t>
      </w:r>
      <w:r w:rsidR="00B85C2D">
        <w:t xml:space="preserve"> ZÉTA</w:t>
      </w:r>
      <w:r w:rsidR="008E7034" w:rsidRPr="008E7034">
        <w:t xml:space="preserve"> </w:t>
      </w:r>
      <w:r w:rsidR="004B35F3" w:rsidRPr="008E7034">
        <w:t xml:space="preserve">byl rozdělen na 4 veřejné soutěže. </w:t>
      </w:r>
      <w:r w:rsidR="008E7034" w:rsidRPr="008E7034">
        <w:t>První veřejná soutěž byla vyhlášena v roce 2016 se zahájením poskytování podpory v roce 2017. Následně byly veřejné s</w:t>
      </w:r>
      <w:r w:rsidR="00AE425D">
        <w:t>outěže vyhlašovány každoročně v </w:t>
      </w:r>
      <w:r w:rsidR="008E7034" w:rsidRPr="008E7034">
        <w:t>letech 2017 - 2021 se zahajováním poskytování podpory v letech 2018 - 2022. Minimální délka řešení projektů 12 měsíců, maximální délka 24 měsíců.</w:t>
      </w:r>
    </w:p>
    <w:p w14:paraId="66B8A524" w14:textId="11407C76" w:rsidR="004B35F3" w:rsidRDefault="00B85C2D" w:rsidP="004B35F3">
      <w:pPr>
        <w:jc w:val="both"/>
      </w:pPr>
      <w:r>
        <w:t>T</w:t>
      </w:r>
      <w:r w:rsidR="004B35F3" w:rsidRPr="008E7034">
        <w:t>řetí</w:t>
      </w:r>
      <w:r>
        <w:t xml:space="preserve"> veřejná</w:t>
      </w:r>
      <w:r w:rsidR="004B35F3" w:rsidRPr="008E7034">
        <w:t xml:space="preserve"> soutěž byla zaměřena na národní spolufinancování účasti v programu GENDER NET PLUS. Pravidly se proto tat</w:t>
      </w:r>
      <w:r w:rsidR="008E7034" w:rsidRPr="008E7034">
        <w:t>o soutěž odchylovala od zbytku Programu</w:t>
      </w:r>
      <w:r>
        <w:t xml:space="preserve"> ZÉTA</w:t>
      </w:r>
      <w:r w:rsidR="004B35F3" w:rsidRPr="008E7034">
        <w:t xml:space="preserve">. Jelikož počet podpořených projektů v </w:t>
      </w:r>
      <w:r w:rsidR="008E7034" w:rsidRPr="008E7034">
        <w:t>této soutěži byl zanedbatelný, nebylo v Závěrečné zprávě</w:t>
      </w:r>
      <w:r>
        <w:t xml:space="preserve"> Programu ZÉTA</w:t>
      </w:r>
      <w:r w:rsidR="008E7034" w:rsidRPr="008E7034">
        <w:t xml:space="preserve"> </w:t>
      </w:r>
      <w:r w:rsidR="00164722">
        <w:t xml:space="preserve">k této soutěži </w:t>
      </w:r>
      <w:r w:rsidR="004B35F3" w:rsidRPr="008E7034">
        <w:t>při hodnocení</w:t>
      </w:r>
      <w:r w:rsidR="008E7034" w:rsidRPr="008E7034">
        <w:t xml:space="preserve"> přihlíženo</w:t>
      </w:r>
      <w:r w:rsidR="004B35F3" w:rsidRPr="008E7034">
        <w:t>. Přestože pravidla jednotlivých veřejných soutěží byla mírně</w:t>
      </w:r>
      <w:r w:rsidR="008E7034" w:rsidRPr="008E7034">
        <w:t xml:space="preserve"> odlišná, podstata Programu</w:t>
      </w:r>
      <w:r w:rsidR="004B35F3" w:rsidRPr="008E7034">
        <w:t xml:space="preserve"> </w:t>
      </w:r>
      <w:r>
        <w:t>ZÉTA</w:t>
      </w:r>
      <w:r w:rsidRPr="008E7034">
        <w:t xml:space="preserve"> </w:t>
      </w:r>
      <w:r w:rsidR="004B35F3" w:rsidRPr="008E7034">
        <w:t>se neměnila, jeho cíle zůstávaly a dílčí změny se snažily přispět k větší efektivitě a reagovaly na zkušenosti nabyté při předcházejících veřejných soutěžích nebo ze zpětné vazby účastníků.</w:t>
      </w:r>
    </w:p>
    <w:p w14:paraId="6974F720" w14:textId="25E6712C" w:rsidR="004B35F3" w:rsidRDefault="00164722" w:rsidP="004B35F3">
      <w:pPr>
        <w:jc w:val="both"/>
        <w:rPr>
          <w:lang w:eastAsia="cs-CZ"/>
        </w:rPr>
      </w:pPr>
      <w:r w:rsidRPr="00164722">
        <w:rPr>
          <w:lang w:eastAsia="cs-CZ"/>
        </w:rPr>
        <w:t xml:space="preserve">Do Programu </w:t>
      </w:r>
      <w:r w:rsidR="00B85C2D">
        <w:t>ZÉTA</w:t>
      </w:r>
      <w:r w:rsidR="00B85C2D" w:rsidRPr="00164722">
        <w:rPr>
          <w:lang w:eastAsia="cs-CZ"/>
        </w:rPr>
        <w:t xml:space="preserve"> </w:t>
      </w:r>
      <w:r w:rsidR="004B35F3" w:rsidRPr="00164722">
        <w:rPr>
          <w:lang w:eastAsia="cs-CZ"/>
        </w:rPr>
        <w:t xml:space="preserve">se zapojilo přes 2000 mladých výzkumníků z </w:t>
      </w:r>
      <w:r w:rsidRPr="00164722">
        <w:rPr>
          <w:lang w:eastAsia="cs-CZ"/>
        </w:rPr>
        <w:t>velmi širokého spektra oborů, s </w:t>
      </w:r>
      <w:r w:rsidR="004B35F3" w:rsidRPr="00164722">
        <w:rPr>
          <w:lang w:eastAsia="cs-CZ"/>
        </w:rPr>
        <w:t>velmi různorodými předchozími zkušenostmi z aplikovaného v</w:t>
      </w:r>
      <w:r w:rsidRPr="00164722">
        <w:rPr>
          <w:lang w:eastAsia="cs-CZ"/>
        </w:rPr>
        <w:t>ýzkumu a velmi široké</w:t>
      </w:r>
      <w:r w:rsidR="004B35F3" w:rsidRPr="00164722">
        <w:rPr>
          <w:lang w:eastAsia="cs-CZ"/>
        </w:rPr>
        <w:t xml:space="preserve"> v</w:t>
      </w:r>
      <w:r w:rsidRPr="00164722">
        <w:rPr>
          <w:lang w:eastAsia="cs-CZ"/>
        </w:rPr>
        <w:t>ýzkumné orientace. Program</w:t>
      </w:r>
      <w:r w:rsidR="00B85C2D">
        <w:rPr>
          <w:lang w:eastAsia="cs-CZ"/>
        </w:rPr>
        <w:t xml:space="preserve"> </w:t>
      </w:r>
      <w:r w:rsidR="00B85C2D">
        <w:t>ZÉTA</w:t>
      </w:r>
      <w:r w:rsidRPr="00164722">
        <w:rPr>
          <w:lang w:eastAsia="cs-CZ"/>
        </w:rPr>
        <w:t xml:space="preserve"> </w:t>
      </w:r>
      <w:r w:rsidR="004B35F3" w:rsidRPr="00164722">
        <w:rPr>
          <w:lang w:eastAsia="cs-CZ"/>
        </w:rPr>
        <w:t>skutečně zapojova</w:t>
      </w:r>
      <w:r w:rsidR="00AE425D">
        <w:rPr>
          <w:lang w:eastAsia="cs-CZ"/>
        </w:rPr>
        <w:t>l mladé výzkumníky do výzkumu s </w:t>
      </w:r>
      <w:r w:rsidR="004B35F3" w:rsidRPr="00164722">
        <w:rPr>
          <w:lang w:eastAsia="cs-CZ"/>
        </w:rPr>
        <w:t>výsledky pro praxi a subjekty z aplikované sféry; jednalo se o po</w:t>
      </w:r>
      <w:r w:rsidRPr="00164722">
        <w:rPr>
          <w:lang w:eastAsia="cs-CZ"/>
        </w:rPr>
        <w:t xml:space="preserve">dmínku účasti v programu. Díky Programu </w:t>
      </w:r>
      <w:r w:rsidR="00B85C2D">
        <w:t>ZÉTA</w:t>
      </w:r>
      <w:r w:rsidR="00B85C2D" w:rsidRPr="00164722">
        <w:rPr>
          <w:lang w:eastAsia="cs-CZ"/>
        </w:rPr>
        <w:t xml:space="preserve"> </w:t>
      </w:r>
      <w:r w:rsidR="004B35F3" w:rsidRPr="00164722">
        <w:rPr>
          <w:lang w:eastAsia="cs-CZ"/>
        </w:rPr>
        <w:t>se zvýšil zájem výzkumníků o aplikovaný výzkum a o uplatnění výsledků v praxi především kvalitativním způsob</w:t>
      </w:r>
      <w:r w:rsidRPr="00164722">
        <w:rPr>
          <w:lang w:eastAsia="cs-CZ"/>
        </w:rPr>
        <w:t xml:space="preserve">em. </w:t>
      </w:r>
    </w:p>
    <w:p w14:paraId="54F1296C" w14:textId="5CD7D039" w:rsidR="004B35F3" w:rsidRDefault="004B35F3" w:rsidP="004B35F3">
      <w:pPr>
        <w:jc w:val="both"/>
      </w:pPr>
      <w:r w:rsidRPr="00164722">
        <w:t>S výše uvedeným souvisí i skutečnost, že pro většinu účastníků se jednalo o první větší zkušenost s plánováním a řízením vlastního výzkumného projektu, s řízením týmu a řešením výzkumných problémů. Role mentorů, pomáhajících mladým výzkumníkům byla v tomto ohledu velmi ceněná.</w:t>
      </w:r>
    </w:p>
    <w:p w14:paraId="7A62A4B3" w14:textId="6DCD251E" w:rsidR="004A2BFE" w:rsidRDefault="009C679E" w:rsidP="004A2BFE">
      <w:pPr>
        <w:pStyle w:val="Nadpis3"/>
        <w:numPr>
          <w:ilvl w:val="0"/>
          <w:numId w:val="0"/>
        </w:numPr>
        <w:ind w:left="284"/>
      </w:pPr>
      <w:bookmarkStart w:id="66" w:name="_Toc182984827"/>
      <w:r>
        <w:lastRenderedPageBreak/>
        <w:t>4. P</w:t>
      </w:r>
      <w:r w:rsidR="004A2BFE">
        <w:t>lánované výdaje a reálná podpora</w:t>
      </w:r>
      <w:bookmarkEnd w:id="66"/>
    </w:p>
    <w:p w14:paraId="3CAA2380" w14:textId="5CB29C6D" w:rsidR="00CA3E5D" w:rsidRDefault="00CA3E5D" w:rsidP="00CA3E5D">
      <w:pPr>
        <w:spacing w:before="120" w:after="120"/>
        <w:jc w:val="both"/>
        <w:rPr>
          <w:rFonts w:ascii="Arial" w:eastAsia="Arial" w:hAnsi="Arial" w:cs="Arial"/>
        </w:rPr>
      </w:pPr>
      <w:r>
        <w:rPr>
          <w:rFonts w:ascii="Arial" w:eastAsia="Arial" w:hAnsi="Arial" w:cs="Arial"/>
        </w:rPr>
        <w:t>V Programu</w:t>
      </w:r>
      <w:r w:rsidR="00533B18">
        <w:rPr>
          <w:rFonts w:ascii="Arial" w:eastAsia="Arial" w:hAnsi="Arial" w:cs="Arial"/>
        </w:rPr>
        <w:t xml:space="preserve"> byly</w:t>
      </w:r>
      <w:r>
        <w:rPr>
          <w:rFonts w:ascii="Arial" w:eastAsia="Arial" w:hAnsi="Arial" w:cs="Arial"/>
        </w:rPr>
        <w:t xml:space="preserve"> </w:t>
      </w:r>
      <w:r w:rsidRPr="00CA3E5D">
        <w:rPr>
          <w:rFonts w:ascii="Arial" w:eastAsia="Arial" w:hAnsi="Arial" w:cs="Arial"/>
        </w:rPr>
        <w:t>vyhl</w:t>
      </w:r>
      <w:r>
        <w:rPr>
          <w:rFonts w:ascii="Arial" w:eastAsia="Arial" w:hAnsi="Arial" w:cs="Arial"/>
        </w:rPr>
        <w:t>ášeny čtyři veřejné soutěže</w:t>
      </w:r>
      <w:r w:rsidRPr="00CA3E5D">
        <w:rPr>
          <w:rFonts w:ascii="Arial" w:eastAsia="Arial" w:hAnsi="Arial" w:cs="Arial"/>
        </w:rPr>
        <w:t>,</w:t>
      </w:r>
      <w:r>
        <w:rPr>
          <w:rFonts w:ascii="Arial" w:eastAsia="Arial" w:hAnsi="Arial" w:cs="Arial"/>
        </w:rPr>
        <w:t xml:space="preserve"> do kter</w:t>
      </w:r>
      <w:r w:rsidR="00533B18">
        <w:rPr>
          <w:rFonts w:ascii="Arial" w:eastAsia="Arial" w:hAnsi="Arial" w:cs="Arial"/>
        </w:rPr>
        <w:t>ých bylo podáno 874 projektů. V </w:t>
      </w:r>
      <w:r>
        <w:rPr>
          <w:rFonts w:ascii="Arial" w:eastAsia="Arial" w:hAnsi="Arial" w:cs="Arial"/>
        </w:rPr>
        <w:t xml:space="preserve">rámci 1. </w:t>
      </w:r>
      <w:r w:rsidR="00B85C2D">
        <w:rPr>
          <w:rFonts w:ascii="Arial" w:eastAsia="Arial" w:hAnsi="Arial" w:cs="Arial"/>
        </w:rPr>
        <w:t>veřejné soutěže</w:t>
      </w:r>
      <w:r>
        <w:rPr>
          <w:rFonts w:ascii="Arial" w:eastAsia="Arial" w:hAnsi="Arial" w:cs="Arial"/>
        </w:rPr>
        <w:t xml:space="preserve"> bylo podpořeno 119 projektů, ve 2. </w:t>
      </w:r>
      <w:r w:rsidR="00B85C2D">
        <w:rPr>
          <w:rFonts w:ascii="Arial" w:eastAsia="Arial" w:hAnsi="Arial" w:cs="Arial"/>
        </w:rPr>
        <w:t>veřejné soutěži</w:t>
      </w:r>
      <w:r>
        <w:rPr>
          <w:rFonts w:ascii="Arial" w:eastAsia="Arial" w:hAnsi="Arial" w:cs="Arial"/>
        </w:rPr>
        <w:t xml:space="preserve"> bylo podpořeno 118 </w:t>
      </w:r>
      <w:r w:rsidR="00533B18">
        <w:rPr>
          <w:rFonts w:ascii="Arial" w:eastAsia="Arial" w:hAnsi="Arial" w:cs="Arial"/>
        </w:rPr>
        <w:t>projektů. Třetí veřejná soutěž</w:t>
      </w:r>
      <w:r>
        <w:rPr>
          <w:rFonts w:ascii="Arial" w:eastAsia="Arial" w:hAnsi="Arial" w:cs="Arial"/>
        </w:rPr>
        <w:t xml:space="preserve"> byla vyhlášena pro úspěšné české uchazeče ze společné mezinárodní výzvy Gender Net Plus Call 2017 (ERA-NET </w:t>
      </w:r>
      <w:proofErr w:type="spellStart"/>
      <w:r>
        <w:rPr>
          <w:rFonts w:ascii="Arial" w:eastAsia="Arial" w:hAnsi="Arial" w:cs="Arial"/>
        </w:rPr>
        <w:t>Cofund</w:t>
      </w:r>
      <w:proofErr w:type="spellEnd"/>
      <w:r>
        <w:rPr>
          <w:rFonts w:ascii="Arial" w:eastAsia="Arial" w:hAnsi="Arial" w:cs="Arial"/>
        </w:rPr>
        <w:t xml:space="preserve">). Podpořeny byly 2 projekty. </w:t>
      </w:r>
    </w:p>
    <w:p w14:paraId="051E6D99" w14:textId="61F55C8C" w:rsidR="00CA3E5D" w:rsidRDefault="00CA3E5D" w:rsidP="00CA3E5D">
      <w:pPr>
        <w:jc w:val="both"/>
        <w:rPr>
          <w:lang w:eastAsia="cs-CZ"/>
        </w:rPr>
      </w:pPr>
      <w:r>
        <w:rPr>
          <w:rFonts w:ascii="Arial" w:eastAsia="Arial" w:hAnsi="Arial" w:cs="Arial"/>
        </w:rPr>
        <w:t xml:space="preserve">Celkem </w:t>
      </w:r>
      <w:r w:rsidR="00B85C2D">
        <w:rPr>
          <w:rFonts w:ascii="Arial" w:eastAsia="Arial" w:hAnsi="Arial" w:cs="Arial"/>
        </w:rPr>
        <w:t>byla plánována v</w:t>
      </w:r>
      <w:r>
        <w:rPr>
          <w:rFonts w:ascii="Arial" w:eastAsia="Arial" w:hAnsi="Arial" w:cs="Arial"/>
        </w:rPr>
        <w:t xml:space="preserve"> těchto třech veřejných soutěžích podpora projektů ze státního rozpočtu ve výši 815 mil. Kč. </w:t>
      </w:r>
    </w:p>
    <w:p w14:paraId="2C1CBC3F" w14:textId="29CB7B85" w:rsidR="000A540A" w:rsidRDefault="00CA3E5D" w:rsidP="00BC732D">
      <w:pPr>
        <w:jc w:val="both"/>
        <w:rPr>
          <w:lang w:eastAsia="cs-CZ"/>
        </w:rPr>
      </w:pPr>
      <w:r>
        <w:rPr>
          <w:lang w:eastAsia="cs-CZ"/>
        </w:rPr>
        <w:t xml:space="preserve">Usnesením vlády č ze dne </w:t>
      </w:r>
      <w:r w:rsidRPr="00CA3E5D">
        <w:rPr>
          <w:lang w:eastAsia="cs-CZ"/>
        </w:rPr>
        <w:t>ze dne 25. května 2020 č. 565 byl</w:t>
      </w:r>
      <w:r w:rsidR="00F108AA">
        <w:rPr>
          <w:lang w:eastAsia="cs-CZ"/>
        </w:rPr>
        <w:t xml:space="preserve"> upraven rozpočet P</w:t>
      </w:r>
      <w:r w:rsidRPr="00CA3E5D">
        <w:rPr>
          <w:lang w:eastAsia="cs-CZ"/>
        </w:rPr>
        <w:t>rogramu</w:t>
      </w:r>
      <w:r w:rsidR="00B85C2D">
        <w:rPr>
          <w:lang w:eastAsia="cs-CZ"/>
        </w:rPr>
        <w:t xml:space="preserve"> </w:t>
      </w:r>
      <w:r w:rsidR="00B85C2D">
        <w:t>ZÉTA</w:t>
      </w:r>
      <w:r w:rsidRPr="00CA3E5D">
        <w:rPr>
          <w:lang w:eastAsia="cs-CZ"/>
        </w:rPr>
        <w:t xml:space="preserve">, konkrétně celkové výdaje ze státního rozpočtu byly </w:t>
      </w:r>
      <w:r>
        <w:rPr>
          <w:lang w:eastAsia="cs-CZ"/>
        </w:rPr>
        <w:t>upraveny ze 720 mil. Kč na 1 520</w:t>
      </w:r>
      <w:r w:rsidRPr="00CA3E5D">
        <w:rPr>
          <w:lang w:eastAsia="cs-CZ"/>
        </w:rPr>
        <w:t xml:space="preserve"> mil. Kč. Rozpočet v letech 2017‒2019 byl upraven tak, aby odpovídal skutečně realizovaným výdajům. Navýšené finanční prostředky byly přerozděleny na </w:t>
      </w:r>
      <w:r w:rsidR="00AE425D">
        <w:rPr>
          <w:lang w:eastAsia="cs-CZ"/>
        </w:rPr>
        <w:t>léta 2020‒2022. V souvislosti s </w:t>
      </w:r>
      <w:r w:rsidRPr="00CA3E5D">
        <w:rPr>
          <w:lang w:eastAsia="cs-CZ"/>
        </w:rPr>
        <w:t>tím, byly upraveny také celkové náklady a neveřejné zdroje.</w:t>
      </w:r>
    </w:p>
    <w:p w14:paraId="2CF2E47B" w14:textId="77777777" w:rsidR="000F087D" w:rsidRDefault="000F087D" w:rsidP="00EA16FD">
      <w:pPr>
        <w:pStyle w:val="Text"/>
      </w:pPr>
    </w:p>
    <w:p w14:paraId="1E215C95" w14:textId="60AF3820" w:rsidR="006645DA" w:rsidRDefault="009C679E" w:rsidP="00865A5B">
      <w:pPr>
        <w:pStyle w:val="Nadpis3"/>
        <w:keepNext w:val="0"/>
        <w:numPr>
          <w:ilvl w:val="0"/>
          <w:numId w:val="0"/>
        </w:numPr>
        <w:ind w:left="284"/>
      </w:pPr>
      <w:bookmarkStart w:id="67" w:name="_Toc182984828"/>
      <w:r>
        <w:t>5. P</w:t>
      </w:r>
      <w:r w:rsidR="006645DA">
        <w:t>řínosy programu</w:t>
      </w:r>
      <w:bookmarkEnd w:id="67"/>
    </w:p>
    <w:p w14:paraId="08F9FFC3" w14:textId="38307A85" w:rsidR="0001377B" w:rsidRDefault="00B85C2D" w:rsidP="00865A5B">
      <w:pPr>
        <w:pStyle w:val="Text"/>
        <w:keepNext w:val="0"/>
        <w:keepLines/>
      </w:pPr>
      <w:r>
        <w:t>Hl</w:t>
      </w:r>
      <w:r w:rsidR="00865A5B">
        <w:t>a</w:t>
      </w:r>
      <w:r>
        <w:t>vními přínosy Programu ZÉTA</w:t>
      </w:r>
      <w:r w:rsidR="0001377B">
        <w:t xml:space="preserve"> </w:t>
      </w:r>
      <w:r>
        <w:t>byly</w:t>
      </w:r>
      <w:r w:rsidR="00865A5B">
        <w:t xml:space="preserve"> podle zapojených účastníků</w:t>
      </w:r>
      <w:r w:rsidR="0001377B">
        <w:t>:</w:t>
      </w:r>
    </w:p>
    <w:p w14:paraId="5E4E3D03" w14:textId="3465C4AA" w:rsidR="00865A5B" w:rsidRDefault="00865A5B" w:rsidP="003A219E">
      <w:pPr>
        <w:pStyle w:val="Text"/>
        <w:keepNext w:val="0"/>
        <w:keepLines/>
        <w:numPr>
          <w:ilvl w:val="0"/>
          <w:numId w:val="36"/>
        </w:numPr>
        <w:spacing w:after="0"/>
      </w:pPr>
      <w:r>
        <w:t>z</w:t>
      </w:r>
      <w:r w:rsidRPr="00865A5B">
        <w:t>ískání znalostí a zkušeností v</w:t>
      </w:r>
      <w:r>
        <w:t> </w:t>
      </w:r>
      <w:r w:rsidRPr="00865A5B">
        <w:t>oboru</w:t>
      </w:r>
      <w:r>
        <w:t>,</w:t>
      </w:r>
    </w:p>
    <w:p w14:paraId="21D5735C" w14:textId="42BA2D3D" w:rsidR="00865A5B" w:rsidRDefault="00865A5B" w:rsidP="003A219E">
      <w:pPr>
        <w:pStyle w:val="Text"/>
        <w:keepNext w:val="0"/>
        <w:keepLines/>
        <w:numPr>
          <w:ilvl w:val="0"/>
          <w:numId w:val="36"/>
        </w:numPr>
        <w:spacing w:after="0"/>
      </w:pPr>
      <w:r>
        <w:t>z</w:t>
      </w:r>
      <w:r w:rsidRPr="00865A5B">
        <w:t>výšení zkušeností s aplikovaným výzkumem</w:t>
      </w:r>
      <w:r>
        <w:t>,</w:t>
      </w:r>
    </w:p>
    <w:p w14:paraId="28A33974" w14:textId="2BC7BFE3" w:rsidR="00865A5B" w:rsidRDefault="00865A5B" w:rsidP="003A219E">
      <w:pPr>
        <w:pStyle w:val="Text"/>
        <w:keepNext w:val="0"/>
        <w:keepLines/>
        <w:numPr>
          <w:ilvl w:val="0"/>
          <w:numId w:val="36"/>
        </w:numPr>
        <w:spacing w:after="0"/>
      </w:pPr>
      <w:r>
        <w:t>z</w:t>
      </w:r>
      <w:r w:rsidRPr="00865A5B">
        <w:t>ískání nových kontaktů ve výzkumu</w:t>
      </w:r>
      <w:r>
        <w:t>,</w:t>
      </w:r>
    </w:p>
    <w:p w14:paraId="2089DF3C" w14:textId="38328743" w:rsidR="00865A5B" w:rsidRDefault="00865A5B" w:rsidP="003A219E">
      <w:pPr>
        <w:pStyle w:val="Text"/>
        <w:keepNext w:val="0"/>
        <w:keepLines/>
        <w:numPr>
          <w:ilvl w:val="0"/>
          <w:numId w:val="36"/>
        </w:numPr>
        <w:spacing w:after="0"/>
      </w:pPr>
      <w:r>
        <w:t>z</w:t>
      </w:r>
      <w:r w:rsidRPr="00865A5B">
        <w:t>výšení zájmu o aplikovaný výzkum</w:t>
      </w:r>
      <w:r>
        <w:t>,</w:t>
      </w:r>
    </w:p>
    <w:p w14:paraId="59E6EC15" w14:textId="41F2D15E" w:rsidR="00865A5B" w:rsidRDefault="00865A5B" w:rsidP="003A219E">
      <w:pPr>
        <w:pStyle w:val="Text"/>
        <w:keepNext w:val="0"/>
        <w:keepLines/>
        <w:numPr>
          <w:ilvl w:val="0"/>
          <w:numId w:val="36"/>
        </w:numPr>
        <w:spacing w:after="0"/>
      </w:pPr>
      <w:r>
        <w:t>získání kvalifikované pracovní síly,</w:t>
      </w:r>
    </w:p>
    <w:p w14:paraId="41168465" w14:textId="273BBBB5" w:rsidR="00865A5B" w:rsidRDefault="00865A5B" w:rsidP="003A219E">
      <w:pPr>
        <w:pStyle w:val="Text"/>
        <w:keepNext w:val="0"/>
        <w:keepLines/>
        <w:numPr>
          <w:ilvl w:val="0"/>
          <w:numId w:val="36"/>
        </w:numPr>
        <w:spacing w:after="0"/>
      </w:pPr>
      <w:r>
        <w:t>p</w:t>
      </w:r>
      <w:r w:rsidRPr="00865A5B">
        <w:t>oznání komplexnosti implementace výsledku do praxe</w:t>
      </w:r>
      <w:r>
        <w:t>,</w:t>
      </w:r>
    </w:p>
    <w:p w14:paraId="3433B3BA" w14:textId="6FD0C9D8" w:rsidR="00865A5B" w:rsidRDefault="00865A5B" w:rsidP="003A219E">
      <w:pPr>
        <w:pStyle w:val="Text"/>
        <w:keepNext w:val="0"/>
        <w:keepLines/>
        <w:numPr>
          <w:ilvl w:val="0"/>
          <w:numId w:val="36"/>
        </w:numPr>
        <w:spacing w:after="0"/>
      </w:pPr>
      <w:r>
        <w:t>z</w:t>
      </w:r>
      <w:r w:rsidRPr="00865A5B">
        <w:t>akotvení výzkumníka v akademickém prostředí</w:t>
      </w:r>
      <w:r>
        <w:t>.</w:t>
      </w:r>
    </w:p>
    <w:p w14:paraId="2A7C63FA" w14:textId="77777777" w:rsidR="00865A5B" w:rsidRDefault="00865A5B" w:rsidP="00865A5B">
      <w:pPr>
        <w:pStyle w:val="Text"/>
        <w:keepNext w:val="0"/>
        <w:keepLines/>
      </w:pPr>
    </w:p>
    <w:p w14:paraId="66CD7210" w14:textId="251B7C4D" w:rsidR="00865A5B" w:rsidRDefault="00865A5B" w:rsidP="00865A5B">
      <w:pPr>
        <w:pStyle w:val="Text"/>
        <w:keepNext w:val="0"/>
        <w:keepLines/>
      </w:pPr>
      <w:r>
        <w:t>Dalšími přínosy Programu ZÉTA byly podle zapojených účastníků:</w:t>
      </w:r>
    </w:p>
    <w:p w14:paraId="02D692C3" w14:textId="74337A80" w:rsidR="0001377B" w:rsidRPr="0001377B" w:rsidRDefault="003E27C7" w:rsidP="003A219E">
      <w:pPr>
        <w:pStyle w:val="Text"/>
        <w:keepNext w:val="0"/>
        <w:keepLines/>
        <w:numPr>
          <w:ilvl w:val="0"/>
          <w:numId w:val="36"/>
        </w:numPr>
        <w:spacing w:after="0"/>
      </w:pPr>
      <w:r w:rsidRPr="0001377B">
        <w:t>příležitost mladým, motivace a podpora mladých, omlazení týmů</w:t>
      </w:r>
      <w:r w:rsidR="0001377B" w:rsidRPr="0001377B">
        <w:t>,</w:t>
      </w:r>
      <w:r w:rsidRPr="0001377B">
        <w:t xml:space="preserve"> </w:t>
      </w:r>
    </w:p>
    <w:p w14:paraId="4678CE56" w14:textId="75EF6AF8" w:rsidR="0001377B" w:rsidRPr="0001377B" w:rsidRDefault="003E27C7" w:rsidP="003A219E">
      <w:pPr>
        <w:pStyle w:val="Text"/>
        <w:keepNext w:val="0"/>
        <w:keepLines/>
        <w:numPr>
          <w:ilvl w:val="0"/>
          <w:numId w:val="36"/>
        </w:numPr>
        <w:spacing w:after="0"/>
      </w:pPr>
      <w:r w:rsidRPr="0001377B">
        <w:t>zaměření mladých výzkumníků na aplikace jako alternativu akademického základního výzkumu, který přináší méně viditelné výsledky a trvá déle, v aplikacích j</w:t>
      </w:r>
      <w:r w:rsidR="0001377B" w:rsidRPr="0001377B">
        <w:t>sou vidět výsledky a </w:t>
      </w:r>
      <w:r w:rsidRPr="0001377B">
        <w:t>případný úspěch rychleji</w:t>
      </w:r>
      <w:r w:rsidR="0001377B" w:rsidRPr="0001377B">
        <w:t>,</w:t>
      </w:r>
      <w:r w:rsidRPr="0001377B">
        <w:t xml:space="preserve"> </w:t>
      </w:r>
    </w:p>
    <w:p w14:paraId="1E4600D0" w14:textId="7CE7B0A3" w:rsidR="0001377B" w:rsidRPr="0001377B" w:rsidRDefault="003E27C7" w:rsidP="003A219E">
      <w:pPr>
        <w:pStyle w:val="Text"/>
        <w:keepNext w:val="0"/>
        <w:keepLines/>
        <w:numPr>
          <w:ilvl w:val="0"/>
          <w:numId w:val="36"/>
        </w:numPr>
        <w:spacing w:after="0"/>
      </w:pPr>
      <w:r w:rsidRPr="0001377B">
        <w:t>odvaha - díky nastavení programu, řešit témata, která jsou z hlediska dosažení výsledků nejis</w:t>
      </w:r>
      <w:r w:rsidR="0001377B" w:rsidRPr="0001377B">
        <w:t>tější, možnost v projektech více zkoušet zcela nové věci,</w:t>
      </w:r>
      <w:r w:rsidRPr="0001377B">
        <w:t xml:space="preserve"> </w:t>
      </w:r>
    </w:p>
    <w:p w14:paraId="340EAE46" w14:textId="17FDF9BE" w:rsidR="0001377B" w:rsidRPr="0001377B" w:rsidRDefault="003E27C7" w:rsidP="003A219E">
      <w:pPr>
        <w:pStyle w:val="Text"/>
        <w:keepNext w:val="0"/>
        <w:keepLines/>
        <w:numPr>
          <w:ilvl w:val="0"/>
          <w:numId w:val="36"/>
        </w:numPr>
        <w:spacing w:after="0"/>
      </w:pPr>
      <w:r w:rsidRPr="0001377B">
        <w:t>prestiž, kontakty a zájem výzkumné komunity, „zařa</w:t>
      </w:r>
      <w:r w:rsidR="00AE425D">
        <w:t>zení se“ či lepší zasíťování do </w:t>
      </w:r>
      <w:r w:rsidRPr="0001377B">
        <w:t>výzkumné komunity, často i na hranici nebo mimo vlastní obor výzkumníka</w:t>
      </w:r>
      <w:r w:rsidR="0001377B" w:rsidRPr="0001377B">
        <w:t>,</w:t>
      </w:r>
      <w:r w:rsidRPr="0001377B">
        <w:t xml:space="preserve"> </w:t>
      </w:r>
    </w:p>
    <w:p w14:paraId="3B423F0A" w14:textId="6C328388" w:rsidR="0001377B" w:rsidRPr="0001377B" w:rsidRDefault="003E27C7" w:rsidP="003A219E">
      <w:pPr>
        <w:pStyle w:val="Text"/>
        <w:keepNext w:val="0"/>
        <w:keepLines/>
        <w:numPr>
          <w:ilvl w:val="0"/>
          <w:numId w:val="36"/>
        </w:numPr>
        <w:spacing w:after="0"/>
      </w:pPr>
      <w:r w:rsidRPr="0001377B">
        <w:t>komunikační dovednosti s odlišnými partnery, tj. s partnery</w:t>
      </w:r>
      <w:r w:rsidR="0001377B" w:rsidRPr="0001377B">
        <w:t xml:space="preserve"> z aplikační sféry, především z </w:t>
      </w:r>
      <w:r w:rsidRPr="0001377B">
        <w:t>průmyslu, ale i z veřejné správy - zkušenosti mladý</w:t>
      </w:r>
      <w:r w:rsidR="00AE425D">
        <w:t>ch výzkumníků s odpovědností za </w:t>
      </w:r>
      <w:r w:rsidRPr="0001377B">
        <w:t>p</w:t>
      </w:r>
      <w:r w:rsidR="0001377B" w:rsidRPr="0001377B">
        <w:t xml:space="preserve">rojekt, tým, výsledky, </w:t>
      </w:r>
      <w:proofErr w:type="spellStart"/>
      <w:proofErr w:type="gramStart"/>
      <w:r w:rsidR="0001377B" w:rsidRPr="0001377B">
        <w:t>peníze,atd</w:t>
      </w:r>
      <w:proofErr w:type="spellEnd"/>
      <w:r w:rsidR="0001377B" w:rsidRPr="0001377B">
        <w:t>.</w:t>
      </w:r>
      <w:proofErr w:type="gramEnd"/>
      <w:r w:rsidR="0001377B" w:rsidRPr="0001377B">
        <w:t>,</w:t>
      </w:r>
      <w:r w:rsidRPr="0001377B">
        <w:t xml:space="preserve"> </w:t>
      </w:r>
    </w:p>
    <w:p w14:paraId="10748FBB" w14:textId="05866E9C" w:rsidR="0001377B" w:rsidRPr="0001377B" w:rsidRDefault="003E27C7" w:rsidP="003A219E">
      <w:pPr>
        <w:pStyle w:val="Text"/>
        <w:keepNext w:val="0"/>
        <w:keepLines/>
        <w:numPr>
          <w:ilvl w:val="0"/>
          <w:numId w:val="36"/>
        </w:numPr>
        <w:spacing w:after="0"/>
      </w:pPr>
      <w:r w:rsidRPr="0001377B">
        <w:t xml:space="preserve">mezioborová spolupráce, širší rozhled v tématech výzkumu či možných tématech </w:t>
      </w:r>
    </w:p>
    <w:p w14:paraId="2DDFFA4F" w14:textId="77777777" w:rsidR="0001377B" w:rsidRDefault="003E27C7" w:rsidP="003A219E">
      <w:pPr>
        <w:pStyle w:val="Text"/>
        <w:keepNext w:val="0"/>
        <w:keepLines/>
        <w:numPr>
          <w:ilvl w:val="0"/>
          <w:numId w:val="36"/>
        </w:numPr>
        <w:spacing w:after="0"/>
      </w:pPr>
      <w:r w:rsidRPr="0001377B">
        <w:t xml:space="preserve">zahraniční kontakty a příležitosti ke spolupráci (zatím se moc neprojevily, ale byly identifikovány projekty, které účastníci připravují se zahraničním partnerem </w:t>
      </w:r>
    </w:p>
    <w:p w14:paraId="25925A9F" w14:textId="65E07F3D" w:rsidR="00291179" w:rsidRDefault="003E27C7" w:rsidP="003A219E">
      <w:pPr>
        <w:pStyle w:val="Text"/>
        <w:keepNext w:val="0"/>
        <w:keepLines/>
        <w:numPr>
          <w:ilvl w:val="0"/>
          <w:numId w:val="36"/>
        </w:numPr>
        <w:spacing w:after="0"/>
      </w:pPr>
      <w:r w:rsidRPr="0001377B">
        <w:t>zformování nových týmů (ojedinělé, ale stalo se), nové vybavení, příležitost rozjezdu, která se vydařila</w:t>
      </w:r>
      <w:r w:rsidR="00291179">
        <w:t>.</w:t>
      </w:r>
    </w:p>
    <w:p w14:paraId="0112CAFA" w14:textId="41AA0BA2" w:rsidR="00F706FA" w:rsidRPr="00047103" w:rsidRDefault="00F706FA" w:rsidP="00F706FA">
      <w:pPr>
        <w:keepNext/>
        <w:keepLines/>
        <w:pageBreakBefore/>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bookmarkStart w:id="68" w:name="_Toc182984829"/>
      <w:r w:rsidRPr="00047103">
        <w:rPr>
          <w:rFonts w:ascii="Arial" w:eastAsia="Times New Roman" w:hAnsi="Arial" w:cs="Arial"/>
          <w:b/>
          <w:bCs/>
          <w:color w:val="365F91" w:themeColor="accent1" w:themeShade="BF"/>
          <w:sz w:val="32"/>
          <w:szCs w:val="28"/>
        </w:rPr>
        <w:lastRenderedPageBreak/>
        <w:t>Program na p</w:t>
      </w:r>
      <w:r>
        <w:rPr>
          <w:rFonts w:ascii="Arial" w:eastAsia="Times New Roman" w:hAnsi="Arial" w:cs="Arial"/>
          <w:b/>
          <w:bCs/>
          <w:color w:val="365F91" w:themeColor="accent1" w:themeShade="BF"/>
          <w:sz w:val="32"/>
          <w:szCs w:val="28"/>
        </w:rPr>
        <w:t>odporu aplikovaného výzkumu TRIO</w:t>
      </w:r>
      <w:r w:rsidR="003A219E">
        <w:rPr>
          <w:rFonts w:ascii="Arial" w:eastAsia="Times New Roman" w:hAnsi="Arial" w:cs="Arial"/>
          <w:b/>
          <w:bCs/>
          <w:color w:val="365F91" w:themeColor="accent1" w:themeShade="BF"/>
          <w:sz w:val="32"/>
          <w:szCs w:val="28"/>
        </w:rPr>
        <w:t xml:space="preserve"> </w:t>
      </w:r>
      <w:r>
        <w:rPr>
          <w:rFonts w:ascii="Arial" w:eastAsia="Times New Roman" w:hAnsi="Arial" w:cs="Arial"/>
          <w:b/>
          <w:bCs/>
          <w:color w:val="365F91" w:themeColor="accent1" w:themeShade="BF"/>
          <w:sz w:val="32"/>
          <w:szCs w:val="28"/>
        </w:rPr>
        <w:t>(2018</w:t>
      </w:r>
      <w:r w:rsidR="00624959">
        <w:rPr>
          <w:rFonts w:ascii="Arial" w:eastAsia="Times New Roman" w:hAnsi="Arial" w:cs="Arial"/>
          <w:b/>
          <w:bCs/>
          <w:color w:val="365F91" w:themeColor="accent1" w:themeShade="BF"/>
          <w:sz w:val="32"/>
          <w:szCs w:val="28"/>
        </w:rPr>
        <w:t> </w:t>
      </w:r>
      <w:r w:rsidRPr="00047103">
        <w:rPr>
          <w:rFonts w:ascii="Arial" w:eastAsia="Times New Roman" w:hAnsi="Arial" w:cs="Arial"/>
          <w:b/>
          <w:bCs/>
          <w:color w:val="365F91" w:themeColor="accent1" w:themeShade="BF"/>
          <w:sz w:val="32"/>
          <w:szCs w:val="28"/>
        </w:rPr>
        <w:t>-</w:t>
      </w:r>
      <w:r w:rsidR="00624959">
        <w:rPr>
          <w:rFonts w:ascii="Arial" w:eastAsia="Times New Roman" w:hAnsi="Arial" w:cs="Arial"/>
          <w:b/>
          <w:bCs/>
          <w:color w:val="365F91" w:themeColor="accent1" w:themeShade="BF"/>
          <w:sz w:val="32"/>
          <w:szCs w:val="28"/>
        </w:rPr>
        <w:t> </w:t>
      </w:r>
      <w:r w:rsidRPr="00047103">
        <w:rPr>
          <w:rFonts w:ascii="Arial" w:eastAsia="Times New Roman" w:hAnsi="Arial" w:cs="Arial"/>
          <w:b/>
          <w:bCs/>
          <w:color w:val="365F91" w:themeColor="accent1" w:themeShade="BF"/>
          <w:sz w:val="32"/>
          <w:szCs w:val="28"/>
        </w:rPr>
        <w:t>2022)</w:t>
      </w:r>
      <w:bookmarkEnd w:id="68"/>
      <w:r w:rsidRPr="00047103">
        <w:rPr>
          <w:rFonts w:ascii="Arial" w:eastAsia="Times New Roman" w:hAnsi="Arial" w:cs="Arial"/>
          <w:b/>
          <w:bCs/>
          <w:color w:val="365F91" w:themeColor="accent1" w:themeShade="BF"/>
          <w:sz w:val="32"/>
          <w:szCs w:val="28"/>
        </w:rPr>
        <w:t xml:space="preserve"> </w:t>
      </w:r>
    </w:p>
    <w:p w14:paraId="49019B0F" w14:textId="6A73341F" w:rsidR="00F706FA" w:rsidRPr="0058136D" w:rsidRDefault="00F706FA" w:rsidP="00F706FA">
      <w:pPr>
        <w:pStyle w:val="Text"/>
      </w:pPr>
      <w:r w:rsidRPr="0058136D">
        <w:t>Program TRIO byl schválen usnesením vlády České republiky č. 379 ze dne 25. května 2015 na období 2016 až 2021. Usnesením vlády č. 280 ze dne 30. dubna 2018 byl text Programu</w:t>
      </w:r>
      <w:r w:rsidR="00624959">
        <w:t xml:space="preserve"> TRIO </w:t>
      </w:r>
      <w:r w:rsidRPr="0058136D">
        <w:t>změněn a Program</w:t>
      </w:r>
      <w:r w:rsidR="00624959">
        <w:t xml:space="preserve"> TRIO</w:t>
      </w:r>
      <w:r w:rsidRPr="0058136D">
        <w:t xml:space="preserve"> byl prodloužen až do roku 2022. Plánované celkové výdaje byly 8 950 mil. Kč, z toho výdaje ze státního rozpočtu 6 086 mil. Kč.</w:t>
      </w:r>
    </w:p>
    <w:p w14:paraId="5DA657CE" w14:textId="77777777" w:rsidR="00F706FA" w:rsidRPr="0058136D" w:rsidRDefault="00F706FA" w:rsidP="00F706FA">
      <w:pPr>
        <w:pStyle w:val="Text"/>
      </w:pPr>
      <w:r w:rsidRPr="0058136D">
        <w:t>Poskytovatel: Ministerstvo průmyslu a obchodu (dále jen „MPO“).</w:t>
      </w:r>
    </w:p>
    <w:p w14:paraId="51835878" w14:textId="77777777" w:rsidR="00F706FA" w:rsidRDefault="00F706FA" w:rsidP="00F706FA">
      <w:pPr>
        <w:pStyle w:val="Text"/>
      </w:pPr>
      <w:r>
        <w:t>Programu byl zaměřen na podporu aktivit v aplikovaném výzkumu a experimentálním vývoji, které budou využívat a dále rozvíjet potenciál v oblasti klíčových technologií (</w:t>
      </w:r>
      <w:proofErr w:type="spellStart"/>
      <w:r>
        <w:t>Key</w:t>
      </w:r>
      <w:proofErr w:type="spellEnd"/>
      <w:r>
        <w:t xml:space="preserve"> </w:t>
      </w:r>
      <w:proofErr w:type="spellStart"/>
      <w:r>
        <w:t>Enabling</w:t>
      </w:r>
      <w:proofErr w:type="spellEnd"/>
      <w:r>
        <w:t xml:space="preserve"> Technologies, dále jen „</w:t>
      </w:r>
      <w:proofErr w:type="spellStart"/>
      <w:r>
        <w:t>KETs</w:t>
      </w:r>
      <w:proofErr w:type="spellEnd"/>
      <w:r>
        <w:t xml:space="preserve">“). Jde o technologie náročné na znalosti a kvalifikovanou pracovní sílu, vyžadující zásadní podíl výzkumných aktivit a s rychlými inovačními cykly. </w:t>
      </w:r>
    </w:p>
    <w:p w14:paraId="36E5DD3E" w14:textId="77777777" w:rsidR="00F706FA" w:rsidRDefault="00F706FA" w:rsidP="00F706FA">
      <w:pPr>
        <w:pStyle w:val="Text"/>
        <w:ind w:left="720"/>
      </w:pPr>
    </w:p>
    <w:p w14:paraId="2B6571B6" w14:textId="77777777" w:rsidR="00F706FA" w:rsidRPr="00927756" w:rsidRDefault="00F706FA" w:rsidP="00F706FA">
      <w:pPr>
        <w:keepNext/>
        <w:keepLines/>
        <w:spacing w:before="240" w:after="240" w:line="240" w:lineRule="auto"/>
        <w:ind w:left="284"/>
        <w:outlineLvl w:val="2"/>
        <w:rPr>
          <w:rFonts w:ascii="Arial" w:eastAsiaTheme="majorEastAsia" w:hAnsi="Arial" w:cs="Arial"/>
          <w:b/>
          <w:bCs/>
          <w:smallCaps/>
          <w:color w:val="365F91" w:themeColor="accent1" w:themeShade="BF"/>
          <w:sz w:val="26"/>
          <w:lang w:eastAsia="cs-CZ"/>
        </w:rPr>
      </w:pPr>
      <w:bookmarkStart w:id="69" w:name="_Toc182984830"/>
      <w:r w:rsidRPr="00927756">
        <w:rPr>
          <w:rFonts w:ascii="Arial" w:eastAsiaTheme="majorEastAsia" w:hAnsi="Arial" w:cs="Arial"/>
          <w:b/>
          <w:bCs/>
          <w:smallCaps/>
          <w:color w:val="365F91" w:themeColor="accent1" w:themeShade="BF"/>
          <w:sz w:val="26"/>
          <w:lang w:eastAsia="cs-CZ"/>
        </w:rPr>
        <w:t>1. Cíle programu a jejich plnění</w:t>
      </w:r>
      <w:bookmarkEnd w:id="69"/>
    </w:p>
    <w:p w14:paraId="6DC812F4" w14:textId="51E45CC1" w:rsidR="00F706FA" w:rsidRDefault="00F706FA" w:rsidP="00F706FA">
      <w:pPr>
        <w:pStyle w:val="Text"/>
      </w:pPr>
      <w:r>
        <w:t>Hlavním cílem Programu</w:t>
      </w:r>
      <w:r w:rsidR="00FF3088">
        <w:t xml:space="preserve"> TRIO</w:t>
      </w:r>
      <w:r>
        <w:t xml:space="preserve"> bylo podpořit a</w:t>
      </w:r>
      <w:r w:rsidR="00AE425D">
        <w:t>ktivity v aplikovaném výzkumu a </w:t>
      </w:r>
      <w:r>
        <w:t xml:space="preserve">experimentálním vývoji, které budou využívat a dále rozvíjet potenciál v oblasti </w:t>
      </w:r>
      <w:proofErr w:type="spellStart"/>
      <w:r>
        <w:t>KETs</w:t>
      </w:r>
      <w:proofErr w:type="spellEnd"/>
      <w:r w:rsidR="00FF3088">
        <w:t>., </w:t>
      </w:r>
      <w:r>
        <w:t>které jsou uplatnitelné v nových produktech a službách s vysokou přidanou hodnotou a měly by přispět k hospodářskému růstu a zvyšování konkure</w:t>
      </w:r>
      <w:r w:rsidR="00AE425D">
        <w:t>nceschopnosti České republiky a </w:t>
      </w:r>
      <w:r>
        <w:t>Evropské unie.</w:t>
      </w:r>
    </w:p>
    <w:p w14:paraId="2F8C118E" w14:textId="3D1FE15E" w:rsidR="00F706FA" w:rsidRDefault="00F706FA" w:rsidP="00F706FA">
      <w:pPr>
        <w:pStyle w:val="Text"/>
      </w:pPr>
      <w:r>
        <w:t xml:space="preserve">V Programu </w:t>
      </w:r>
      <w:r w:rsidR="00FF3088">
        <w:t xml:space="preserve">TRIO </w:t>
      </w:r>
      <w:r>
        <w:t xml:space="preserve">byly podporovány projekty zaměřené na tyto </w:t>
      </w:r>
      <w:proofErr w:type="spellStart"/>
      <w:r>
        <w:t>KETs</w:t>
      </w:r>
      <w:proofErr w:type="spellEnd"/>
      <w:r>
        <w:t xml:space="preserve">: </w:t>
      </w:r>
    </w:p>
    <w:p w14:paraId="2B8A3241" w14:textId="47EF8967" w:rsidR="00F706FA" w:rsidRDefault="00F706FA" w:rsidP="003A219E">
      <w:pPr>
        <w:pStyle w:val="Text"/>
        <w:keepNext w:val="0"/>
        <w:keepLines/>
        <w:numPr>
          <w:ilvl w:val="0"/>
          <w:numId w:val="36"/>
        </w:numPr>
        <w:spacing w:after="0"/>
      </w:pPr>
      <w:proofErr w:type="spellStart"/>
      <w:r>
        <w:t>Fotonika</w:t>
      </w:r>
      <w:proofErr w:type="spellEnd"/>
    </w:p>
    <w:p w14:paraId="6FB6ADE5" w14:textId="2CAFC0F3" w:rsidR="00F706FA" w:rsidRDefault="00F706FA" w:rsidP="003A219E">
      <w:pPr>
        <w:pStyle w:val="Text"/>
        <w:keepNext w:val="0"/>
        <w:keepLines/>
        <w:numPr>
          <w:ilvl w:val="0"/>
          <w:numId w:val="36"/>
        </w:numPr>
        <w:spacing w:after="0"/>
      </w:pPr>
      <w:r>
        <w:t xml:space="preserve">Mikro- a </w:t>
      </w:r>
      <w:proofErr w:type="spellStart"/>
      <w:r>
        <w:t>nanoelektronika</w:t>
      </w:r>
      <w:proofErr w:type="spellEnd"/>
    </w:p>
    <w:p w14:paraId="4E3A1291" w14:textId="524432B5" w:rsidR="00F706FA" w:rsidRDefault="00F706FA" w:rsidP="003A219E">
      <w:pPr>
        <w:pStyle w:val="Text"/>
        <w:keepNext w:val="0"/>
        <w:keepLines/>
        <w:numPr>
          <w:ilvl w:val="0"/>
          <w:numId w:val="36"/>
        </w:numPr>
        <w:spacing w:after="0"/>
      </w:pPr>
      <w:r>
        <w:t>Nanotechnologie</w:t>
      </w:r>
    </w:p>
    <w:p w14:paraId="24E71F91" w14:textId="231F2DDE" w:rsidR="00F706FA" w:rsidRDefault="00F706FA" w:rsidP="003A219E">
      <w:pPr>
        <w:pStyle w:val="Text"/>
        <w:keepNext w:val="0"/>
        <w:keepLines/>
        <w:numPr>
          <w:ilvl w:val="0"/>
          <w:numId w:val="36"/>
        </w:numPr>
        <w:spacing w:after="0"/>
      </w:pPr>
      <w:r>
        <w:t>Průmyslové biotechnologie</w:t>
      </w:r>
    </w:p>
    <w:p w14:paraId="51B2BDD0" w14:textId="53000CE4" w:rsidR="00F706FA" w:rsidRDefault="00F706FA" w:rsidP="003A219E">
      <w:pPr>
        <w:pStyle w:val="Text"/>
        <w:keepNext w:val="0"/>
        <w:keepLines/>
        <w:numPr>
          <w:ilvl w:val="0"/>
          <w:numId w:val="36"/>
        </w:numPr>
        <w:spacing w:after="0"/>
      </w:pPr>
      <w:r>
        <w:t>Pokročilé materiály</w:t>
      </w:r>
    </w:p>
    <w:p w14:paraId="5128C0FC" w14:textId="5E344B5D" w:rsidR="00F706FA" w:rsidRDefault="00F706FA" w:rsidP="003A219E">
      <w:pPr>
        <w:pStyle w:val="Text"/>
        <w:keepNext w:val="0"/>
        <w:keepLines/>
        <w:numPr>
          <w:ilvl w:val="0"/>
          <w:numId w:val="36"/>
        </w:numPr>
        <w:spacing w:after="0"/>
      </w:pPr>
      <w:r>
        <w:t>Pokročilé výrobní technologie</w:t>
      </w:r>
    </w:p>
    <w:p w14:paraId="23805705" w14:textId="77777777" w:rsidR="00F706FA" w:rsidRPr="00927756" w:rsidRDefault="00F706FA" w:rsidP="00F706FA">
      <w:pPr>
        <w:pStyle w:val="Text"/>
        <w:spacing w:after="0"/>
      </w:pPr>
    </w:p>
    <w:p w14:paraId="0D971BA2" w14:textId="3F934308" w:rsidR="00F706FA" w:rsidRPr="00D07AF1" w:rsidRDefault="00F706FA" w:rsidP="00F706FA">
      <w:pPr>
        <w:pStyle w:val="Text"/>
      </w:pPr>
      <w:r w:rsidRPr="00D07AF1">
        <w:t>Mezi další cíle Programu</w:t>
      </w:r>
      <w:r w:rsidR="00FF3088">
        <w:t xml:space="preserve"> TRIO</w:t>
      </w:r>
      <w:r w:rsidRPr="00D07AF1">
        <w:t xml:space="preserve"> patřilo zvýšení produktivity a </w:t>
      </w:r>
      <w:r w:rsidR="00AE425D">
        <w:t>efektivity výzkumných aktivit v </w:t>
      </w:r>
      <w:r w:rsidRPr="00D07AF1">
        <w:t xml:space="preserve">podnicích (zejména malých a středních) a ve výzkumných organizacích, dále zvýšení kvality, flexibility a atraktivity produktů a služeb, posílení udržitelnosti rozvoje ekonomiky a jejího růstu včetně udržitelného materiálového hospodářství a výroby s minimálním dopadem materiálových toků na životní prostředí. </w:t>
      </w:r>
    </w:p>
    <w:p w14:paraId="790BCDE5" w14:textId="64DB497B" w:rsidR="00F706FA" w:rsidRPr="00D07AF1" w:rsidRDefault="00F706FA" w:rsidP="00F706FA">
      <w:pPr>
        <w:pStyle w:val="Text"/>
      </w:pPr>
      <w:r w:rsidRPr="00D07AF1">
        <w:t>Dalším z důležitých cílů bylo posílení účinné spolupráce ve výzkumu a vývoji mezi podniky a výzkumnými organizac</w:t>
      </w:r>
      <w:r>
        <w:t>emi, jejíž nízká intenzita je považována za jednu z hlavních slabin</w:t>
      </w:r>
      <w:r w:rsidRPr="00D07AF1">
        <w:t xml:space="preserve"> národního výzkumného systému. V</w:t>
      </w:r>
      <w:r w:rsidR="00FF3088">
        <w:t> </w:t>
      </w:r>
      <w:r w:rsidRPr="00D07AF1">
        <w:t>Programu</w:t>
      </w:r>
      <w:r w:rsidR="00FF3088">
        <w:t xml:space="preserve"> TRIO</w:t>
      </w:r>
      <w:r w:rsidRPr="00D07AF1">
        <w:t xml:space="preserve"> byly podpořeny výhradně projekty realizované ve spolupráci podniků a výzkumných organizací, a tím došlo ke zkvalitnění a</w:t>
      </w:r>
      <w:r w:rsidR="00AE425D">
        <w:t> </w:t>
      </w:r>
      <w:r w:rsidRPr="00D07AF1">
        <w:t xml:space="preserve">rozvoji inovační poptávky podniků a zvýšení relevance a aplikačního potenciálu výsledků výzkumných organizací. </w:t>
      </w:r>
    </w:p>
    <w:p w14:paraId="54E6C54C" w14:textId="662AFF72" w:rsidR="00F706FA" w:rsidRPr="00D07AF1" w:rsidRDefault="00F706FA" w:rsidP="00F706FA">
      <w:pPr>
        <w:pStyle w:val="Text"/>
      </w:pPr>
      <w:r w:rsidRPr="00D07AF1">
        <w:t>Program</w:t>
      </w:r>
      <w:r w:rsidR="00FF3088">
        <w:t xml:space="preserve"> TRIO</w:t>
      </w:r>
      <w:r w:rsidRPr="00D07AF1">
        <w:t xml:space="preserve"> svým zaměřením naplňoval Národní priority orientovaného výzkumu, experimentálního vývoje a inovací, a to zejména prioritu č. 1 </w:t>
      </w:r>
      <w:r w:rsidRPr="00AE425D">
        <w:rPr>
          <w:i/>
        </w:rPr>
        <w:t>„Konkurenceschopná ekonomika založená na znalostech“</w:t>
      </w:r>
      <w:r w:rsidRPr="00D07AF1">
        <w:t xml:space="preserve"> a prioritu č. 2 </w:t>
      </w:r>
      <w:r w:rsidRPr="00AE425D">
        <w:rPr>
          <w:i/>
        </w:rPr>
        <w:t>„Udržitelnost energetiky a materiálových zdrojů“</w:t>
      </w:r>
      <w:r w:rsidRPr="00D07AF1">
        <w:t xml:space="preserve">. Program </w:t>
      </w:r>
      <w:r w:rsidR="00FF3088">
        <w:t xml:space="preserve">TRIO </w:t>
      </w:r>
      <w:r w:rsidRPr="00D07AF1">
        <w:t xml:space="preserve">byl také v souladu s dokumentem Implementace Národních priorit </w:t>
      </w:r>
      <w:r w:rsidRPr="00D07AF1">
        <w:lastRenderedPageBreak/>
        <w:t xml:space="preserve">orientovaného výzkumu, experimentálního vývoje a inovací. Dále Program </w:t>
      </w:r>
      <w:r w:rsidR="00FF3088">
        <w:t xml:space="preserve">TRIO </w:t>
      </w:r>
      <w:r w:rsidR="00AE425D">
        <w:t>vycházel z </w:t>
      </w:r>
      <w:r w:rsidRPr="00D07AF1">
        <w:t xml:space="preserve">Aktualizace Národní politiky výzkumu, vývoje a inovací České republiky na léta 2009 až 2015 s výhledem do roku 2020, která mj. ukládala realizovat program na podporu aplikovaného výzkumu a experimentálního vývoje pro potřeby průmyslu za účelem posílení konkurenceschopnosti ČR. </w:t>
      </w:r>
    </w:p>
    <w:p w14:paraId="342BDF3C" w14:textId="5C63F227" w:rsidR="00F706FA" w:rsidRDefault="00F706FA" w:rsidP="00F706FA">
      <w:pPr>
        <w:pStyle w:val="Text"/>
      </w:pPr>
      <w:r w:rsidRPr="00D07AF1">
        <w:t xml:space="preserve">Po schválení změny Programu </w:t>
      </w:r>
      <w:r w:rsidR="000363D0">
        <w:t xml:space="preserve">TRIO </w:t>
      </w:r>
      <w:r w:rsidRPr="00D07AF1">
        <w:t>bylo upřesněno, že je realizován v souladu s Národní politikou výzkumu, vývoje a inovací na léta 2016</w:t>
      </w:r>
      <w:r w:rsidR="000363D0">
        <w:t xml:space="preserve"> </w:t>
      </w:r>
      <w:r w:rsidRPr="00D07AF1">
        <w:t>–</w:t>
      </w:r>
      <w:r w:rsidR="000363D0">
        <w:t xml:space="preserve"> </w:t>
      </w:r>
      <w:r w:rsidRPr="00D07AF1">
        <w:t>2020</w:t>
      </w:r>
      <w:r>
        <w:t xml:space="preserve"> a</w:t>
      </w:r>
      <w:r w:rsidRPr="00D07AF1">
        <w:t xml:space="preserve"> s akt</w:t>
      </w:r>
      <w:r>
        <w:t>ualizovanou Národní výzkumnou a </w:t>
      </w:r>
      <w:r w:rsidRPr="00D07AF1">
        <w:t>inovační strategií pro inteligentní specializaci České republiky (RIS3 strategie</w:t>
      </w:r>
      <w:r>
        <w:t>),</w:t>
      </w:r>
      <w:r w:rsidRPr="00D07AF1">
        <w:t xml:space="preserve"> zejména dosažení strategických cílů </w:t>
      </w:r>
      <w:proofErr w:type="gramStart"/>
      <w:r w:rsidRPr="00AE425D">
        <w:rPr>
          <w:i/>
        </w:rPr>
        <w:t>A.1:</w:t>
      </w:r>
      <w:proofErr w:type="gramEnd"/>
      <w:r w:rsidRPr="00AE425D">
        <w:rPr>
          <w:i/>
        </w:rPr>
        <w:t xml:space="preserve"> Zvýšit inovační poptávku ve firmách</w:t>
      </w:r>
      <w:r w:rsidRPr="00D07AF1">
        <w:t xml:space="preserve"> a </w:t>
      </w:r>
      <w:proofErr w:type="gramStart"/>
      <w:r w:rsidRPr="00AE425D">
        <w:rPr>
          <w:i/>
        </w:rPr>
        <w:t>C.1:</w:t>
      </w:r>
      <w:proofErr w:type="gramEnd"/>
      <w:r w:rsidRPr="00AE425D">
        <w:rPr>
          <w:i/>
        </w:rPr>
        <w:t xml:space="preserve"> Zvýšit relevanci výzkumu.</w:t>
      </w:r>
    </w:p>
    <w:p w14:paraId="649945D0" w14:textId="15067ECB" w:rsidR="000363D0" w:rsidRDefault="00F706FA" w:rsidP="00F706FA">
      <w:pPr>
        <w:pStyle w:val="Text"/>
      </w:pPr>
      <w:r>
        <w:t>Program</w:t>
      </w:r>
      <w:r w:rsidR="000363D0">
        <w:t xml:space="preserve"> </w:t>
      </w:r>
      <w:proofErr w:type="gramStart"/>
      <w:r w:rsidR="000363D0">
        <w:t>TRIO</w:t>
      </w:r>
      <w:proofErr w:type="gramEnd"/>
      <w:r w:rsidR="000363D0">
        <w:t xml:space="preserve"> naplnil všechny stanovené </w:t>
      </w:r>
      <w:proofErr w:type="gramStart"/>
      <w:r w:rsidR="000363D0">
        <w:t>indikátory</w:t>
      </w:r>
      <w:proofErr w:type="gramEnd"/>
      <w:r w:rsidR="000363D0">
        <w:t xml:space="preserve">, přičemž některé z nich výrazně překročil, např. </w:t>
      </w:r>
      <w:r w:rsidR="000363D0" w:rsidRPr="000363D0">
        <w:rPr>
          <w:i/>
        </w:rPr>
        <w:t>Minimální počet průmyslově chráněných výsledků</w:t>
      </w:r>
      <w:r w:rsidR="000363D0">
        <w:t xml:space="preserve"> dosáhl hodnoty 411 při plánované hodnotě 100.</w:t>
      </w:r>
    </w:p>
    <w:p w14:paraId="787AA85A" w14:textId="77777777" w:rsidR="00F706FA" w:rsidRDefault="00F706FA" w:rsidP="00F706FA"/>
    <w:p w14:paraId="14998965" w14:textId="17A9038A" w:rsidR="00F706FA" w:rsidRPr="00CD6992" w:rsidRDefault="00F706FA" w:rsidP="00F706FA">
      <w:pPr>
        <w:keepNext/>
        <w:keepLines/>
        <w:spacing w:before="240" w:after="240" w:line="240" w:lineRule="auto"/>
        <w:ind w:left="284"/>
        <w:outlineLvl w:val="2"/>
        <w:rPr>
          <w:rFonts w:ascii="Arial" w:eastAsiaTheme="majorEastAsia" w:hAnsi="Arial" w:cs="Arial"/>
          <w:b/>
          <w:bCs/>
          <w:smallCaps/>
          <w:color w:val="365F91" w:themeColor="accent1" w:themeShade="BF"/>
          <w:sz w:val="26"/>
          <w:lang w:eastAsia="cs-CZ"/>
        </w:rPr>
      </w:pPr>
      <w:bookmarkStart w:id="70" w:name="_Toc182984831"/>
      <w:r>
        <w:rPr>
          <w:rFonts w:ascii="Arial" w:eastAsiaTheme="majorEastAsia" w:hAnsi="Arial" w:cs="Arial"/>
          <w:b/>
          <w:bCs/>
          <w:smallCaps/>
          <w:color w:val="365F91" w:themeColor="accent1" w:themeShade="BF"/>
          <w:sz w:val="26"/>
          <w:lang w:eastAsia="cs-CZ"/>
        </w:rPr>
        <w:t>2</w:t>
      </w:r>
      <w:r w:rsidRPr="00CD1F3E">
        <w:rPr>
          <w:rFonts w:ascii="Arial" w:eastAsiaTheme="majorEastAsia" w:hAnsi="Arial" w:cs="Arial"/>
          <w:b/>
          <w:bCs/>
          <w:smallCaps/>
          <w:color w:val="365F91" w:themeColor="accent1" w:themeShade="BF"/>
          <w:sz w:val="26"/>
          <w:lang w:eastAsia="cs-CZ"/>
        </w:rPr>
        <w:t xml:space="preserve">. </w:t>
      </w:r>
      <w:r w:rsidR="009C679E">
        <w:rPr>
          <w:rFonts w:ascii="Arial" w:eastAsiaTheme="majorEastAsia" w:hAnsi="Arial" w:cs="Arial"/>
          <w:b/>
          <w:bCs/>
          <w:smallCaps/>
          <w:color w:val="365F91" w:themeColor="accent1" w:themeShade="BF"/>
          <w:sz w:val="26"/>
          <w:lang w:eastAsia="cs-CZ"/>
        </w:rPr>
        <w:t>V</w:t>
      </w:r>
      <w:r>
        <w:rPr>
          <w:rFonts w:ascii="Arial" w:eastAsiaTheme="majorEastAsia" w:hAnsi="Arial" w:cs="Arial"/>
          <w:b/>
          <w:bCs/>
          <w:smallCaps/>
          <w:color w:val="365F91" w:themeColor="accent1" w:themeShade="BF"/>
          <w:sz w:val="26"/>
          <w:lang w:eastAsia="cs-CZ"/>
        </w:rPr>
        <w:t>ýsledky programu</w:t>
      </w:r>
      <w:bookmarkEnd w:id="70"/>
    </w:p>
    <w:p w14:paraId="6138B58A" w14:textId="10F58958" w:rsidR="00F706FA" w:rsidRDefault="00F706FA" w:rsidP="00F706FA">
      <w:pPr>
        <w:jc w:val="both"/>
      </w:pPr>
      <w:r>
        <w:t xml:space="preserve">V Závěrečné zprávě </w:t>
      </w:r>
      <w:r w:rsidR="000363D0">
        <w:t xml:space="preserve">Programu TRIO (Příloha G) </w:t>
      </w:r>
      <w:r>
        <w:t xml:space="preserve">je uvedeno, že v rámci 495 podpořených projektů, nahlásili příjemci do RIV přes 3700 výsledků, tzn. přibližně sedm a půl výsledku na jeden podpořený projekt v průměru. </w:t>
      </w:r>
      <w:r w:rsidR="000363D0">
        <w:t>V</w:t>
      </w:r>
      <w:r>
        <w:t xml:space="preserve">ýsledky aplikované a technické, které představují hlavní (závazné) výsledky podpořených projektů, </w:t>
      </w:r>
      <w:r w:rsidR="000363D0">
        <w:t>dosáhly hodnoty</w:t>
      </w:r>
      <w:r>
        <w:t xml:space="preserve"> 1900 a většinu</w:t>
      </w:r>
      <w:r w:rsidR="000363D0">
        <w:t xml:space="preserve"> z nich</w:t>
      </w:r>
      <w:r>
        <w:t xml:space="preserve"> tvořily výsledky druhu G, tedy prototypy a funkční vzorky. Pětinu dále tvořily výsledky s průmyslově právní ochranou (patenty, užitné a průmyslové vzory) a další téměř pětinu představovaly výsledky druhu Z, tedy ověřené technologie a poloprovozy. N</w:t>
      </w:r>
      <w:r w:rsidR="00AE425D">
        <w:t>ecelá desetina pak připadala na </w:t>
      </w:r>
      <w:r>
        <w:t>výsledky druhu R – software. Kromě hlavních výsledků nahl</w:t>
      </w:r>
      <w:r w:rsidR="00AE425D">
        <w:t>ašovali příjemci podpory, resp. </w:t>
      </w:r>
      <w:r>
        <w:t xml:space="preserve">především další účastníci projektů, také vedlejší výsledky projektů, kterými byly většinou výsledky publikační – více než tisícovka statí a recenzovaných odborných článků, ale i další druhy výsledků včetně výzkumných zpráv, v menší míře také například workshopy. </w:t>
      </w:r>
    </w:p>
    <w:p w14:paraId="579964C5" w14:textId="765BCC79" w:rsidR="00F706FA" w:rsidRDefault="00F706FA" w:rsidP="00F706FA">
      <w:pPr>
        <w:jc w:val="both"/>
      </w:pPr>
      <w:r>
        <w:t xml:space="preserve">Souhrnně lze uvést, že v relaci s počtem účastí v projektech jsou nejčastějšími předkladateli výsledků výzkumné organizace, konkrétně především vysoké školy, přičemž u nich převládají výsledky druhu D – stať ve sborníku následované druhem J </w:t>
      </w:r>
      <w:r w:rsidR="00AE425D">
        <w:t>– recenzovaný odborný článek. U </w:t>
      </w:r>
      <w:r>
        <w:t>dalších typů výzkumných organizací je počet výsledků řádově nižší, u ústavů AV ČR jsou nejčastější výsledky druhu J, u soukromých VO je patrný výrazně vyšší podíl aplikovaných výsledků druhu G.</w:t>
      </w:r>
    </w:p>
    <w:p w14:paraId="7C3F9B4D" w14:textId="19A7AA1F" w:rsidR="003A219E" w:rsidRDefault="00F706FA" w:rsidP="00F706FA">
      <w:pPr>
        <w:jc w:val="both"/>
      </w:pPr>
      <w:r>
        <w:t xml:space="preserve">Závěrečná zpráva </w:t>
      </w:r>
      <w:r w:rsidR="00AD23C4">
        <w:t xml:space="preserve">Programu TRIO </w:t>
      </w:r>
      <w:r>
        <w:t>uvádí, že indikátor minimálního počtu dosažených výsledků byl splněn více než trojnásobně, a to pro výsledky aplikov</w:t>
      </w:r>
      <w:r w:rsidR="00AE425D">
        <w:t>ané, a více než čtyřnásobně pro </w:t>
      </w:r>
      <w:r>
        <w:t xml:space="preserve">výsledky s právní ochranou. </w:t>
      </w:r>
    </w:p>
    <w:p w14:paraId="50363137" w14:textId="77777777" w:rsidR="003A219E" w:rsidRDefault="003A219E">
      <w:r>
        <w:br w:type="page"/>
      </w:r>
    </w:p>
    <w:p w14:paraId="32D6505E" w14:textId="77777777" w:rsidR="00F706FA" w:rsidRDefault="00F706FA" w:rsidP="00F706FA">
      <w:pPr>
        <w:pStyle w:val="Nadpis3"/>
        <w:numPr>
          <w:ilvl w:val="0"/>
          <w:numId w:val="0"/>
        </w:numPr>
        <w:ind w:left="284"/>
      </w:pPr>
      <w:bookmarkStart w:id="71" w:name="_Toc182984832"/>
      <w:r>
        <w:lastRenderedPageBreak/>
        <w:t xml:space="preserve">3. </w:t>
      </w:r>
      <w:r w:rsidRPr="00302F79">
        <w:t>Průběh programu</w:t>
      </w:r>
      <w:bookmarkEnd w:id="71"/>
    </w:p>
    <w:p w14:paraId="62D5ED54" w14:textId="416A0B1B" w:rsidR="00F706FA" w:rsidRDefault="00F706FA" w:rsidP="00F706FA">
      <w:pPr>
        <w:jc w:val="both"/>
      </w:pPr>
      <w:r>
        <w:t>Vyhlášení prvních tří soutěží proběhlo v letech 2015 až 2017 t</w:t>
      </w:r>
      <w:r w:rsidR="00AE425D">
        <w:t>ak, jak bylo naplánováno. Třetí </w:t>
      </w:r>
      <w:r>
        <w:t>soutěž byla v průběhu roku vyhlášena podstatně dříve než první dvě z toho d</w:t>
      </w:r>
      <w:r w:rsidR="00AE425D">
        <w:t>ůvodu, aby </w:t>
      </w:r>
      <w:r>
        <w:t xml:space="preserve">vyhlášení výsledků proběhlo ještě před možným zahájením řešení projektů a zároveň nechávala prostor i pro projekty s maximální možnou délkou (tj. 48 měsíců) vzhledem k původně předpokládanému termínu ukončení Programu </w:t>
      </w:r>
      <w:r w:rsidR="00AD23C4">
        <w:t xml:space="preserve">TRIO </w:t>
      </w:r>
      <w:r>
        <w:t>k 31. prosinci 2021. N</w:t>
      </w:r>
      <w:r w:rsidR="00AE425D">
        <w:t>a </w:t>
      </w:r>
      <w:r>
        <w:t xml:space="preserve">základě schválení prodloužení programu usnesením vlády č. 280/18 byla dne 3. září 2018 vyhlášena 4. </w:t>
      </w:r>
      <w:r w:rsidR="00AD23C4">
        <w:t>veřejná soutěž</w:t>
      </w:r>
      <w:r>
        <w:t xml:space="preserve"> (s ukončením soutěžní lhůty dne 31. října 2018).</w:t>
      </w:r>
    </w:p>
    <w:p w14:paraId="18A5E10E" w14:textId="0E161E76" w:rsidR="00F706FA" w:rsidRDefault="00F706FA" w:rsidP="00F706FA">
      <w:pPr>
        <w:jc w:val="both"/>
      </w:pPr>
      <w:r>
        <w:t xml:space="preserve">V rámci vyhlášených </w:t>
      </w:r>
      <w:r w:rsidR="00AD23C4">
        <w:t>veřejných soutěží</w:t>
      </w:r>
      <w:r>
        <w:t xml:space="preserve"> bylo doručeno celkem 1472 návrhů projektů. Požadovaná dotace podaných návrhů projektů celkem činila přes 17,9 mld. Kč, plánované náklady necelých 25 mld. Kč.</w:t>
      </w:r>
      <w:r w:rsidR="00AD23C4">
        <w:t xml:space="preserve"> B</w:t>
      </w:r>
      <w:r w:rsidRPr="00BD5B91">
        <w:t>ylo podpořeno celkem 495</w:t>
      </w:r>
      <w:r>
        <w:t xml:space="preserve"> projektů. Úspěšnost uchazečů v</w:t>
      </w:r>
      <w:r w:rsidR="00AD23C4">
        <w:t> </w:t>
      </w:r>
      <w:r w:rsidRPr="00BD5B91">
        <w:t>Programu</w:t>
      </w:r>
      <w:r w:rsidR="00AD23C4">
        <w:t xml:space="preserve"> TRIO</w:t>
      </w:r>
      <w:r w:rsidRPr="00BD5B91">
        <w:t xml:space="preserve"> je téměř 34 %. Nejvyšší úspěšnost měli uchazeči ve 4. </w:t>
      </w:r>
      <w:r w:rsidR="00AD23C4">
        <w:t>veřejné soutěži</w:t>
      </w:r>
      <w:r w:rsidRPr="00BD5B91">
        <w:t>,</w:t>
      </w:r>
      <w:r w:rsidR="00AD23C4">
        <w:t xml:space="preserve"> kdy</w:t>
      </w:r>
      <w:r w:rsidR="00AE425D">
        <w:t> </w:t>
      </w:r>
      <w:r w:rsidR="00AD23C4" w:rsidRPr="00BD5B91">
        <w:t xml:space="preserve">bylo podpořeno </w:t>
      </w:r>
      <w:r w:rsidRPr="00BD5B91">
        <w:t xml:space="preserve">55 % doručených projektů. Vyšší úspěšnost byla umožněna finanční alokací soutěže a faktem, že počet přihlášených projektů byl o něco nižší než v prvních třech </w:t>
      </w:r>
      <w:r w:rsidR="00AD23C4">
        <w:t xml:space="preserve">veřejných </w:t>
      </w:r>
      <w:r w:rsidRPr="00BD5B91">
        <w:t>soutěžích. Formální kontrolou neprošlo celkem 167 projektů (11</w:t>
      </w:r>
      <w:r>
        <w:t xml:space="preserve"> %), z toho nejvíce v první a v </w:t>
      </w:r>
      <w:r w:rsidRPr="00BD5B91">
        <w:t>poslední veřejné soutěži (shodně 13 % z doručených projektů)</w:t>
      </w:r>
      <w:r>
        <w:t>.</w:t>
      </w:r>
    </w:p>
    <w:p w14:paraId="40ACE994" w14:textId="2C054669" w:rsidR="00F706FA" w:rsidRDefault="00F706FA" w:rsidP="00F706FA">
      <w:pPr>
        <w:jc w:val="both"/>
      </w:pPr>
      <w:r w:rsidRPr="00B63475">
        <w:t xml:space="preserve">Z hlediska zastoupení jednotlivých </w:t>
      </w:r>
      <w:proofErr w:type="spellStart"/>
      <w:r w:rsidRPr="00B63475">
        <w:t>KETs</w:t>
      </w:r>
      <w:proofErr w:type="spellEnd"/>
      <w:r w:rsidRPr="00B63475">
        <w:t xml:space="preserve"> se do Programu</w:t>
      </w:r>
      <w:r w:rsidR="00AD23C4">
        <w:t xml:space="preserve"> TRIO</w:t>
      </w:r>
      <w:r w:rsidRPr="00B63475">
        <w:t xml:space="preserve"> výrazně nejvíce hlásily projekty zaměřené na Pokročilé výrobní technologie a Pokročilé materiály. Ostatní </w:t>
      </w:r>
      <w:proofErr w:type="spellStart"/>
      <w:r w:rsidRPr="00B63475">
        <w:t>KETs</w:t>
      </w:r>
      <w:proofErr w:type="spellEnd"/>
      <w:r w:rsidRPr="00B63475">
        <w:t xml:space="preserve"> byly zastoupeny již relativně rovnoměrně, přičemž nejméně projektů se hlásilo do oblastí </w:t>
      </w:r>
      <w:proofErr w:type="spellStart"/>
      <w:r w:rsidRPr="00B63475">
        <w:t>Fotonika</w:t>
      </w:r>
      <w:proofErr w:type="spellEnd"/>
      <w:r w:rsidRPr="00B63475">
        <w:t xml:space="preserve"> a Nanotechnologie. Poměrně výrazné jsou </w:t>
      </w:r>
      <w:r>
        <w:t>rozdíly v úspěšnosti projektů v </w:t>
      </w:r>
      <w:r w:rsidRPr="00B63475">
        <w:t xml:space="preserve">jednotlivých oblastech </w:t>
      </w:r>
      <w:proofErr w:type="spellStart"/>
      <w:r w:rsidRPr="00B63475">
        <w:t>KETs</w:t>
      </w:r>
      <w:proofErr w:type="spellEnd"/>
      <w:r w:rsidRPr="00B63475">
        <w:t xml:space="preserve">. </w:t>
      </w:r>
    </w:p>
    <w:p w14:paraId="4489AE1A" w14:textId="6D86D1C9" w:rsidR="00F706FA" w:rsidRDefault="00F706FA" w:rsidP="00F706FA">
      <w:pPr>
        <w:pStyle w:val="Text"/>
      </w:pPr>
      <w:r w:rsidRPr="00B63475">
        <w:t>Nejvyšší úspěšnost (40 %) mají projekty spadající do oblasti Pokročilé materiály, naopak nejméně úspěšné (18 %) jsou projekty zaměřené na Prům</w:t>
      </w:r>
      <w:r w:rsidR="00AE425D">
        <w:t>yslové biotechnologie. Jedním </w:t>
      </w:r>
      <w:r>
        <w:t xml:space="preserve">z důvodů bylo </w:t>
      </w:r>
      <w:r w:rsidRPr="00B63475">
        <w:t>to, že průmyslové biotechnologie jsou poměrně přesně definované, řada uchazečů si však tento pojem vykládala příliš extenzivně a ta</w:t>
      </w:r>
      <w:r w:rsidR="00AE425D">
        <w:t>kové projekty často ve </w:t>
      </w:r>
      <w:r w:rsidRPr="00B63475">
        <w:t>skutečn</w:t>
      </w:r>
      <w:r>
        <w:t>osti tuto technologii neobsahovaly</w:t>
      </w:r>
      <w:r w:rsidRPr="00B63475">
        <w:t xml:space="preserve"> (ne každý projekt pracující s biologickým materiálem lze zařadit do kategorie průmyslové biotechnologie).</w:t>
      </w:r>
    </w:p>
    <w:p w14:paraId="70E90564" w14:textId="77777777" w:rsidR="00F706FA" w:rsidRDefault="00F706FA" w:rsidP="00F706FA">
      <w:pPr>
        <w:pStyle w:val="Text"/>
      </w:pPr>
    </w:p>
    <w:p w14:paraId="3680C763" w14:textId="76A18733" w:rsidR="00F706FA" w:rsidRDefault="00F706FA" w:rsidP="00F706FA">
      <w:pPr>
        <w:pStyle w:val="Nadpis3"/>
        <w:numPr>
          <w:ilvl w:val="0"/>
          <w:numId w:val="0"/>
        </w:numPr>
        <w:ind w:left="284"/>
      </w:pPr>
      <w:bookmarkStart w:id="72" w:name="_Toc182984833"/>
      <w:r>
        <w:t xml:space="preserve">4. </w:t>
      </w:r>
      <w:r w:rsidR="009C679E">
        <w:t>P</w:t>
      </w:r>
      <w:r>
        <w:t>lánované výdaje a reálná podpora</w:t>
      </w:r>
      <w:bookmarkEnd w:id="72"/>
    </w:p>
    <w:p w14:paraId="056DF6C3" w14:textId="253CD872" w:rsidR="00F706FA" w:rsidRDefault="00F706FA" w:rsidP="00F706FA">
      <w:pPr>
        <w:pStyle w:val="Text"/>
      </w:pPr>
      <w:r>
        <w:t xml:space="preserve">Program TRIO v původní podobě měl být realizován do roku 2021 s předpokládanými náklady přes 6 mld. Kč a objemem poskytnuté podpory 3,7 mld. Kč. </w:t>
      </w:r>
      <w:r w:rsidR="00AD23C4">
        <w:t>Usnesením ze dne 30. 4. 2018 č. </w:t>
      </w:r>
      <w:r>
        <w:t>280 však schválila vláda upravené znění Programu</w:t>
      </w:r>
      <w:r w:rsidR="00AD23C4">
        <w:t xml:space="preserve"> TRIO</w:t>
      </w:r>
      <w:r>
        <w:t xml:space="preserve"> s dobou realizace do roku 2022 včetně, celkovými očekávanými náklady 8,95 mld. Kč, podp</w:t>
      </w:r>
      <w:r w:rsidR="00AD23C4">
        <w:t>orou ze státního rozpočtu 6,086 </w:t>
      </w:r>
      <w:r>
        <w:t>mld. Kč a intenzitou podpory průměrně 68 %.</w:t>
      </w:r>
    </w:p>
    <w:p w14:paraId="79D984F3" w14:textId="3EBB60DE" w:rsidR="00F706FA" w:rsidRDefault="00F706FA" w:rsidP="00AD23C4">
      <w:pPr>
        <w:pStyle w:val="Text"/>
      </w:pPr>
      <w:r>
        <w:t>Závěrečná zpráva</w:t>
      </w:r>
      <w:r w:rsidR="00AD23C4">
        <w:t xml:space="preserve"> Programu TRIO</w:t>
      </w:r>
      <w:r>
        <w:t xml:space="preserve"> uvádí, že  bylo v rámci čtyř </w:t>
      </w:r>
      <w:r w:rsidR="00AD23C4">
        <w:t>veřejných soutěží</w:t>
      </w:r>
      <w:r>
        <w:t xml:space="preserve"> podpořeno celkem 495 projektů s celkovými uznanými náklady za celou dobu realizace ve výši</w:t>
      </w:r>
      <w:r w:rsidR="00AE425D">
        <w:t xml:space="preserve"> cca </w:t>
      </w:r>
      <w:r w:rsidR="00AD23C4">
        <w:t>9,3 </w:t>
      </w:r>
      <w:r>
        <w:t>mld. Kč. Na jejich řešení byla poskytnuta podpora v celkovém objemu 6,2 mld. Kč. Průměrná dosažená intenzita podpory tak činí 67 %</w:t>
      </w:r>
      <w:r w:rsidR="00AD23C4">
        <w:t>.</w:t>
      </w:r>
      <w:r>
        <w:t xml:space="preserve"> Poměr podpory k nákladům projektů tak byl téměř přesně dodržen, realizovaný objem podpory </w:t>
      </w:r>
      <w:r w:rsidR="00AD23C4">
        <w:t xml:space="preserve">a </w:t>
      </w:r>
      <w:r>
        <w:t xml:space="preserve">uznaných nákladů </w:t>
      </w:r>
      <w:r w:rsidR="00AD23C4">
        <w:t>je nepatrně</w:t>
      </w:r>
      <w:r>
        <w:t xml:space="preserve"> vyšší, </w:t>
      </w:r>
      <w:r>
        <w:lastRenderedPageBreak/>
        <w:t>než jsou hodnoty ve schváleném textu Programu</w:t>
      </w:r>
      <w:r w:rsidR="00AD23C4">
        <w:t xml:space="preserve"> TRIO</w:t>
      </w:r>
      <w:r>
        <w:t xml:space="preserve">. Důvodem </w:t>
      </w:r>
      <w:r w:rsidR="00AD23C4">
        <w:t xml:space="preserve">o něco vyšší intenzity podpory </w:t>
      </w:r>
      <w:r>
        <w:t xml:space="preserve">byl především vyšší podíl výzkumných organizací, které získávají až 100% podporu. </w:t>
      </w:r>
    </w:p>
    <w:p w14:paraId="418F4B4B" w14:textId="77777777" w:rsidR="00F706FA" w:rsidRDefault="00F706FA" w:rsidP="00F706FA">
      <w:pPr>
        <w:pStyle w:val="Text"/>
      </w:pPr>
    </w:p>
    <w:p w14:paraId="3148654C" w14:textId="7C2F2B79" w:rsidR="00F706FA" w:rsidRDefault="009C679E" w:rsidP="00F706FA">
      <w:pPr>
        <w:pStyle w:val="Nadpis3"/>
        <w:numPr>
          <w:ilvl w:val="0"/>
          <w:numId w:val="0"/>
        </w:numPr>
        <w:ind w:left="284"/>
      </w:pPr>
      <w:bookmarkStart w:id="73" w:name="_Toc182984834"/>
      <w:r>
        <w:t>5. P</w:t>
      </w:r>
      <w:r w:rsidR="00F706FA">
        <w:t>řínosy programu</w:t>
      </w:r>
      <w:bookmarkEnd w:id="73"/>
    </w:p>
    <w:p w14:paraId="4162E169" w14:textId="6739C050" w:rsidR="00F706FA" w:rsidRDefault="00F706FA" w:rsidP="00F706FA">
      <w:pPr>
        <w:jc w:val="both"/>
      </w:pPr>
      <w:r>
        <w:t>Jedním z hlavních cílů</w:t>
      </w:r>
      <w:r w:rsidR="002801EE">
        <w:t xml:space="preserve"> a zároveň přínosem</w:t>
      </w:r>
      <w:r>
        <w:t xml:space="preserve"> Programu </w:t>
      </w:r>
      <w:r w:rsidR="002801EE">
        <w:t xml:space="preserve">TRIO </w:t>
      </w:r>
      <w:r w:rsidR="00AE425D">
        <w:t>bylo svým zaměřením přispět ke </w:t>
      </w:r>
      <w:r>
        <w:t xml:space="preserve">zvýšení výzkumné a inovační aktivity podniků, technologické modernizaci výroby a iniciace rozvoje spolupráce podniků s jinými subjekty, zejména s výzkumnými organizacemi. Zvýšení významu </w:t>
      </w:r>
      <w:r w:rsidR="002801EE">
        <w:t>výzkumu a vývoje</w:t>
      </w:r>
      <w:r>
        <w:t xml:space="preserve"> pro rozvoj firem mění pozici těchto aktivit v rámci činností podpořených podniků, a tedy způsobuje změnu v jejich chování ve smyslu zvyšování celkové inovativnosti a technologické modernizace podniků. Samotná technologická modernizace výroby zvyšuje konkurenceschopnost podniků a napomáhá lépe zvládat změny tržních podmínek. </w:t>
      </w:r>
    </w:p>
    <w:p w14:paraId="096E59F5" w14:textId="71CF664C" w:rsidR="00F706FA" w:rsidRDefault="00F706FA" w:rsidP="00F706FA">
      <w:pPr>
        <w:jc w:val="both"/>
      </w:pPr>
      <w:r>
        <w:t>Většina projektů (294) byla realizována ve spolupráci s jedním dalším účastníkem projektu (povinně s výzkumnou organizací), u zbytku šlo o spolupráci tří</w:t>
      </w:r>
      <w:r w:rsidR="00AE425D">
        <w:t xml:space="preserve"> či čtyř subjektů. V případě 45 </w:t>
      </w:r>
      <w:r>
        <w:t>projektů, bylo využito nejvyššího možného počtu účastníků projektu (čtyři účastníci) a koordinátorem ve více než polovině případů byl malý podnik.</w:t>
      </w:r>
    </w:p>
    <w:p w14:paraId="697DB330" w14:textId="45B9F7FC" w:rsidR="00F706FA" w:rsidRDefault="002801EE" w:rsidP="00F706FA">
      <w:pPr>
        <w:jc w:val="both"/>
      </w:pPr>
      <w:r>
        <w:t xml:space="preserve">Program </w:t>
      </w:r>
      <w:proofErr w:type="gramStart"/>
      <w:r>
        <w:t>TRIO</w:t>
      </w:r>
      <w:proofErr w:type="gramEnd"/>
      <w:r>
        <w:t xml:space="preserve"> rovněž přinesl</w:t>
      </w:r>
      <w:r w:rsidR="00F706FA">
        <w:t xml:space="preserve"> přímé ekonomické </w:t>
      </w:r>
      <w:proofErr w:type="gramStart"/>
      <w:r w:rsidR="00F706FA">
        <w:t>přínosy</w:t>
      </w:r>
      <w:proofErr w:type="gramEnd"/>
      <w:r w:rsidR="00F706FA">
        <w:t xml:space="preserve"> z realizace projektů. Očekávané ekonomické přínosy, zejména pak zvýšení tržeb podniků související s implementací výsledků projektů do praxe, udává uchazeč-koordinátor již v návrhu projektu a dokládá je rovněž přiloženou analýzou trhu či jiným relevantním podkladem s tím, že kalkulovány jsou s ohledem na druhy výsledků projektů a způsob jejich tržního uplatnění především tržby za přímý prodej vyvinutých produktů či výtěžek z prodeje licencí či z realizace. </w:t>
      </w:r>
    </w:p>
    <w:p w14:paraId="16503891" w14:textId="6A67B0D0" w:rsidR="00F706FA" w:rsidRPr="0072070D" w:rsidRDefault="00F706FA" w:rsidP="00F706FA">
      <w:pPr>
        <w:jc w:val="both"/>
      </w:pPr>
      <w:r>
        <w:t>Do přínosů projektů bývají dále zahrnovány rovněž úspory materiálu, energií či jiných nákladů, které se pak projeví ve vyšší ziskovosti. Plán přínosů v žádosti je uváděn na období pěti let po ukončení realizace projektu, aby v rámci hodnocení návrhu projektu mohl být posouzen dlouhodobější horizont plánu zavádění výsledků výzkumu do praxe. Sledování a vyhodnocování skutečně dosažených přínosů projektu se provádí ve třech letech násl</w:t>
      </w:r>
      <w:r w:rsidR="002801EE">
        <w:t>edujících po ukončení projektu.</w:t>
      </w:r>
    </w:p>
    <w:p w14:paraId="1CB7AFC0" w14:textId="589AF2F6" w:rsidR="00F706FA" w:rsidRPr="0072070D" w:rsidRDefault="00F706FA" w:rsidP="00F706FA">
      <w:pPr>
        <w:jc w:val="both"/>
      </w:pPr>
      <w:r w:rsidRPr="0072070D">
        <w:t>Program svým zaměřením na rozvoj klíčových technologií, spolupráci podniků s výzkumnými organizacemi a transfer výsledků výzkumu do průmyslových aplikací přispěl ke zkvalitnění výzkumného ekosystému v ČR.</w:t>
      </w:r>
      <w:r w:rsidR="00664DBA">
        <w:t xml:space="preserve"> Jednalo se konkrétně zejména o z</w:t>
      </w:r>
      <w:r w:rsidR="00664DBA" w:rsidRPr="00664DBA">
        <w:t>výšení výzkumné a inovační aktivity</w:t>
      </w:r>
      <w:r w:rsidR="00664DBA">
        <w:t>, t</w:t>
      </w:r>
      <w:r w:rsidR="00664DBA" w:rsidRPr="00664DBA">
        <w:t>echnologick</w:t>
      </w:r>
      <w:r w:rsidR="00664DBA">
        <w:t>ou</w:t>
      </w:r>
      <w:r w:rsidR="00664DBA" w:rsidRPr="00664DBA">
        <w:t xml:space="preserve"> modernizac</w:t>
      </w:r>
      <w:r w:rsidR="00664DBA">
        <w:t>i</w:t>
      </w:r>
      <w:r w:rsidR="00664DBA" w:rsidRPr="00664DBA">
        <w:t xml:space="preserve"> výroby</w:t>
      </w:r>
      <w:r w:rsidR="00664DBA">
        <w:t xml:space="preserve"> a o i</w:t>
      </w:r>
      <w:r w:rsidR="00664DBA" w:rsidRPr="00664DBA">
        <w:t>niciac</w:t>
      </w:r>
      <w:r w:rsidR="00664DBA">
        <w:t>i</w:t>
      </w:r>
      <w:r w:rsidR="00664DBA" w:rsidRPr="00664DBA">
        <w:t xml:space="preserve"> a rozvoj spolupráce podniků s jinými subjekty</w:t>
      </w:r>
      <w:r w:rsidR="00664DBA">
        <w:t>.</w:t>
      </w:r>
    </w:p>
    <w:p w14:paraId="353EADE5" w14:textId="77777777" w:rsidR="00906ACB" w:rsidRDefault="00906ACB" w:rsidP="00436F04">
      <w:pPr>
        <w:tabs>
          <w:tab w:val="right" w:pos="14742"/>
        </w:tabs>
        <w:spacing w:after="0"/>
        <w:rPr>
          <w:highlight w:val="yellow"/>
        </w:rPr>
      </w:pPr>
    </w:p>
    <w:p w14:paraId="2F3439D1" w14:textId="62A53B76" w:rsidR="00436F04" w:rsidRPr="003A219E" w:rsidRDefault="00436F04" w:rsidP="003A219E">
      <w:pPr>
        <w:keepNext/>
        <w:keepLines/>
        <w:pageBreakBefore/>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bookmarkStart w:id="74" w:name="_Toc182984835"/>
      <w:r w:rsidRPr="003A219E">
        <w:rPr>
          <w:rFonts w:ascii="Arial" w:eastAsia="Times New Roman" w:hAnsi="Arial" w:cs="Arial"/>
          <w:b/>
          <w:bCs/>
          <w:color w:val="365F91" w:themeColor="accent1" w:themeShade="BF"/>
          <w:sz w:val="32"/>
          <w:szCs w:val="28"/>
        </w:rPr>
        <w:lastRenderedPageBreak/>
        <mc:AlternateContent>
          <mc:Choice Requires="wps">
            <w:drawing>
              <wp:anchor distT="0" distB="0" distL="114300" distR="114300" simplePos="0" relativeHeight="252124160" behindDoc="0" locked="0" layoutInCell="1" allowOverlap="1" wp14:anchorId="019AC1AC" wp14:editId="2904A68C">
                <wp:simplePos x="0" y="0"/>
                <wp:positionH relativeFrom="column">
                  <wp:posOffset>9897110</wp:posOffset>
                </wp:positionH>
                <wp:positionV relativeFrom="paragraph">
                  <wp:posOffset>646430</wp:posOffset>
                </wp:positionV>
                <wp:extent cx="3072977" cy="803910"/>
                <wp:effectExtent l="0" t="0" r="0" b="0"/>
                <wp:wrapNone/>
                <wp:docPr id="2" name="Zaoblený obdélník 2"/>
                <wp:cNvGraphicFramePr/>
                <a:graphic xmlns:a="http://schemas.openxmlformats.org/drawingml/2006/main">
                  <a:graphicData uri="http://schemas.microsoft.com/office/word/2010/wordprocessingShape">
                    <wps:wsp>
                      <wps:cNvSpPr/>
                      <wps:spPr>
                        <a:xfrm>
                          <a:off x="0" y="0"/>
                          <a:ext cx="3072977" cy="803910"/>
                        </a:xfrm>
                        <a:prstGeom prst="roundRect">
                          <a:avLst/>
                        </a:prstGeom>
                        <a:noFill/>
                        <a:ln w="25400" cap="flat" cmpd="sng" algn="ctr">
                          <a:noFill/>
                          <a:prstDash val="solid"/>
                        </a:ln>
                        <a:effectLst/>
                      </wps:spPr>
                      <wps:txbx>
                        <w:txbxContent>
                          <w:p w14:paraId="32A7F7D4" w14:textId="77777777" w:rsidR="00354152" w:rsidRPr="00BE0F60" w:rsidRDefault="00354152" w:rsidP="00436F04">
                            <w:pPr>
                              <w:spacing w:after="0" w:line="240" w:lineRule="auto"/>
                              <w:jc w:val="right"/>
                              <w:rPr>
                                <w:i/>
                                <w:color w:val="BFBFBF" w:themeColor="background1" w:themeShade="BF"/>
                                <w:sz w:val="18"/>
                                <w:szCs w:val="18"/>
                              </w:rPr>
                            </w:pPr>
                            <w:r w:rsidRPr="00BE0F60">
                              <w:rPr>
                                <w:i/>
                                <w:color w:val="BFBFBF" w:themeColor="background1" w:themeShade="BF"/>
                                <w:sz w:val="18"/>
                                <w:szCs w:val="18"/>
                              </w:rPr>
                              <w:t>Zdroj: IS VaVaI; datum exportu 15. ledna 2021</w:t>
                            </w:r>
                          </w:p>
                          <w:p w14:paraId="70DB4CE4" w14:textId="4EA95EFA" w:rsidR="00354152" w:rsidRPr="00BE0F60" w:rsidRDefault="00354152" w:rsidP="00436F04">
                            <w:pPr>
                              <w:spacing w:after="0" w:line="240" w:lineRule="auto"/>
                              <w:jc w:val="right"/>
                              <w:rPr>
                                <w:i/>
                                <w:color w:val="BFBFBF" w:themeColor="background1" w:themeShade="BF"/>
                                <w:sz w:val="18"/>
                                <w:szCs w:val="18"/>
                              </w:rPr>
                            </w:pPr>
                            <w:r w:rsidRPr="00BE0F60">
                              <w:rPr>
                                <w:i/>
                                <w:color w:val="BFBFBF" w:themeColor="background1" w:themeShade="BF"/>
                                <w:sz w:val="18"/>
                                <w:szCs w:val="18"/>
                              </w:rPr>
                              <w:t>Zpracoval: Odbor RVVI</w:t>
                            </w:r>
                            <w:r w:rsidRPr="00BE0F60">
                              <w:rPr>
                                <w:i/>
                                <w:color w:val="BFBFBF" w:themeColor="background1" w:themeShade="BF"/>
                                <w:sz w:val="18"/>
                                <w:szCs w:val="18"/>
                              </w:rPr>
                              <w:tab/>
                              <w:t xml:space="preserve">Verze ze dne </w:t>
                            </w:r>
                            <w:r w:rsidRPr="00BE0F60">
                              <w:rPr>
                                <w:i/>
                                <w:color w:val="BFBFBF" w:themeColor="background1" w:themeShade="BF"/>
                                <w:sz w:val="18"/>
                                <w:szCs w:val="18"/>
                              </w:rPr>
                              <w:fldChar w:fldCharType="begin"/>
                            </w:r>
                            <w:r w:rsidRPr="00BE0F60">
                              <w:rPr>
                                <w:i/>
                                <w:color w:val="BFBFBF" w:themeColor="background1" w:themeShade="BF"/>
                                <w:sz w:val="18"/>
                                <w:szCs w:val="18"/>
                              </w:rPr>
                              <w:instrText xml:space="preserve"> TIME \@ "d.M.yyyy" </w:instrText>
                            </w:r>
                            <w:r w:rsidRPr="00BE0F60">
                              <w:rPr>
                                <w:i/>
                                <w:color w:val="BFBFBF" w:themeColor="background1" w:themeShade="BF"/>
                                <w:sz w:val="18"/>
                                <w:szCs w:val="18"/>
                              </w:rPr>
                              <w:fldChar w:fldCharType="separate"/>
                            </w:r>
                            <w:r>
                              <w:rPr>
                                <w:i/>
                                <w:noProof/>
                                <w:color w:val="BFBFBF" w:themeColor="background1" w:themeShade="BF"/>
                                <w:sz w:val="18"/>
                                <w:szCs w:val="18"/>
                              </w:rPr>
                              <w:t>20.11.2024</w:t>
                            </w:r>
                            <w:r w:rsidRPr="00BE0F60">
                              <w:rPr>
                                <w:i/>
                                <w:color w:val="BFBFBF" w:themeColor="background1" w:themeShade="BF"/>
                                <w:sz w:val="18"/>
                                <w:szCs w:val="18"/>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9AC1AC" id="Zaoblený obdélník 2" o:spid="_x0000_s1026" style="position:absolute;left:0;text-align:left;margin-left:779.3pt;margin-top:50.9pt;width:241.95pt;height:63.3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" filled="f" stroked="f" strokeweight="2pt">
                <v:textbox>
                  <w:txbxContent>
                    <w:p w14:paraId="32A7F7D4" w14:textId="77777777" w:rsidR="00354152" w:rsidRPr="00BE0F60" w:rsidRDefault="00354152" w:rsidP="00436F04">
                      <w:pPr>
                        <w:spacing w:after="0" w:line="240" w:lineRule="auto"/>
                        <w:jc w:val="right"/>
                        <w:rPr>
                          <w:i/>
                          <w:color w:val="BFBFBF" w:themeColor="background1" w:themeShade="BF"/>
                          <w:sz w:val="18"/>
                          <w:szCs w:val="18"/>
                        </w:rPr>
                      </w:pPr>
                      <w:r w:rsidRPr="00BE0F60">
                        <w:rPr>
                          <w:i/>
                          <w:color w:val="BFBFBF" w:themeColor="background1" w:themeShade="BF"/>
                          <w:sz w:val="18"/>
                          <w:szCs w:val="18"/>
                        </w:rPr>
                        <w:t>Zdroj: IS VaVaI; datum exportu 15. ledna 2021</w:t>
                      </w:r>
                    </w:p>
                    <w:p w14:paraId="70DB4CE4" w14:textId="4EA95EFA" w:rsidR="00354152" w:rsidRPr="00BE0F60" w:rsidRDefault="00354152" w:rsidP="00436F04">
                      <w:pPr>
                        <w:spacing w:after="0" w:line="240" w:lineRule="auto"/>
                        <w:jc w:val="right"/>
                        <w:rPr>
                          <w:i/>
                          <w:color w:val="BFBFBF" w:themeColor="background1" w:themeShade="BF"/>
                          <w:sz w:val="18"/>
                          <w:szCs w:val="18"/>
                        </w:rPr>
                      </w:pPr>
                      <w:r w:rsidRPr="00BE0F60">
                        <w:rPr>
                          <w:i/>
                          <w:color w:val="BFBFBF" w:themeColor="background1" w:themeShade="BF"/>
                          <w:sz w:val="18"/>
                          <w:szCs w:val="18"/>
                        </w:rPr>
                        <w:t>Zpracoval: Odbor RVVI</w:t>
                      </w:r>
                      <w:r w:rsidRPr="00BE0F60">
                        <w:rPr>
                          <w:i/>
                          <w:color w:val="BFBFBF" w:themeColor="background1" w:themeShade="BF"/>
                          <w:sz w:val="18"/>
                          <w:szCs w:val="18"/>
                        </w:rPr>
                        <w:tab/>
                        <w:t xml:space="preserve">Verze ze dne </w:t>
                      </w:r>
                      <w:r w:rsidRPr="00BE0F60">
                        <w:rPr>
                          <w:i/>
                          <w:color w:val="BFBFBF" w:themeColor="background1" w:themeShade="BF"/>
                          <w:sz w:val="18"/>
                          <w:szCs w:val="18"/>
                        </w:rPr>
                        <w:fldChar w:fldCharType="begin"/>
                      </w:r>
                      <w:r w:rsidRPr="00BE0F60">
                        <w:rPr>
                          <w:i/>
                          <w:color w:val="BFBFBF" w:themeColor="background1" w:themeShade="BF"/>
                          <w:sz w:val="18"/>
                          <w:szCs w:val="18"/>
                        </w:rPr>
                        <w:instrText xml:space="preserve"> TIME \@ "d.M.yyyy" </w:instrText>
                      </w:r>
                      <w:r w:rsidRPr="00BE0F60">
                        <w:rPr>
                          <w:i/>
                          <w:color w:val="BFBFBF" w:themeColor="background1" w:themeShade="BF"/>
                          <w:sz w:val="18"/>
                          <w:szCs w:val="18"/>
                        </w:rPr>
                        <w:fldChar w:fldCharType="separate"/>
                      </w:r>
                      <w:r>
                        <w:rPr>
                          <w:i/>
                          <w:noProof/>
                          <w:color w:val="BFBFBF" w:themeColor="background1" w:themeShade="BF"/>
                          <w:sz w:val="18"/>
                          <w:szCs w:val="18"/>
                        </w:rPr>
                        <w:t>20.11.2024</w:t>
                      </w:r>
                      <w:r w:rsidRPr="00BE0F60">
                        <w:rPr>
                          <w:i/>
                          <w:color w:val="BFBFBF" w:themeColor="background1" w:themeShade="BF"/>
                          <w:sz w:val="18"/>
                          <w:szCs w:val="18"/>
                        </w:rPr>
                        <w:fldChar w:fldCharType="end"/>
                      </w:r>
                    </w:p>
                  </w:txbxContent>
                </v:textbox>
              </v:roundrect>
            </w:pict>
          </mc:Fallback>
        </mc:AlternateContent>
      </w:r>
      <w:r w:rsidRPr="003A219E">
        <w:rPr>
          <w:rFonts w:ascii="Arial" w:eastAsia="Times New Roman" w:hAnsi="Arial" w:cs="Arial"/>
          <w:b/>
          <w:bCs/>
          <w:color w:val="365F91" w:themeColor="accent1" w:themeShade="BF"/>
          <w:sz w:val="32"/>
          <w:szCs w:val="28"/>
        </w:rPr>
        <w:t>Závěry a doporučení</w:t>
      </w:r>
      <w:bookmarkEnd w:id="74"/>
    </w:p>
    <w:p w14:paraId="2C3675A5" w14:textId="197149C8" w:rsidR="00894A5E" w:rsidRPr="00EC0BCD" w:rsidRDefault="00F826E7" w:rsidP="008E6893">
      <w:pPr>
        <w:widowControl w:val="0"/>
        <w:spacing w:before="240"/>
        <w:jc w:val="both"/>
      </w:pPr>
      <w:r w:rsidRPr="00EC0BCD">
        <w:t>N</w:t>
      </w:r>
      <w:r w:rsidR="00894A5E" w:rsidRPr="00EC0BCD">
        <w:t>a základě údajů od poskytovatel</w:t>
      </w:r>
      <w:r w:rsidR="00124809" w:rsidRPr="00EC0BCD">
        <w:t>ů</w:t>
      </w:r>
      <w:r w:rsidR="00894A5E" w:rsidRPr="00EC0BCD">
        <w:t xml:space="preserve"> posoudila</w:t>
      </w:r>
      <w:r w:rsidR="00124809" w:rsidRPr="00EC0BCD">
        <w:t xml:space="preserve"> RVVI</w:t>
      </w:r>
      <w:r w:rsidR="00894A5E" w:rsidRPr="00EC0BCD">
        <w:t xml:space="preserve"> soulad programů s Národními prioritami orientovaného</w:t>
      </w:r>
      <w:r w:rsidR="00BB5EDD" w:rsidRPr="00EC0BCD">
        <w:t xml:space="preserve"> výzkumu, vývoje a inovací a s i</w:t>
      </w:r>
      <w:r w:rsidR="00894A5E" w:rsidRPr="00EC0BCD">
        <w:t>mplementací Národních priorit orientovaného výzkumu, ex</w:t>
      </w:r>
      <w:r w:rsidR="00BB5EDD" w:rsidRPr="00EC0BCD">
        <w:t>perimentálního vývoje a inovací.</w:t>
      </w:r>
    </w:p>
    <w:p w14:paraId="0B6B7AFC" w14:textId="4925CE7C" w:rsidR="00673230" w:rsidRPr="00EC0BCD" w:rsidRDefault="00FF754C" w:rsidP="008E6893">
      <w:pPr>
        <w:widowControl w:val="0"/>
        <w:jc w:val="both"/>
      </w:pPr>
      <w:r w:rsidRPr="00EC0BCD">
        <w:t>RVVI ocenila kvalitu zprac</w:t>
      </w:r>
      <w:r w:rsidR="00EC0BCD">
        <w:t>ování závěrečných hodnocení všech</w:t>
      </w:r>
      <w:r w:rsidRPr="00EC0BCD">
        <w:t xml:space="preserve"> programů</w:t>
      </w:r>
      <w:r w:rsidR="008E6893">
        <w:t xml:space="preserve"> a skupin grantových projektů</w:t>
      </w:r>
      <w:r w:rsidRPr="00EC0BCD">
        <w:t xml:space="preserve"> a doporučuje poskytovatel</w:t>
      </w:r>
      <w:r w:rsidR="00124809" w:rsidRPr="00EC0BCD">
        <w:t>ům</w:t>
      </w:r>
      <w:r w:rsidR="008E6893">
        <w:t xml:space="preserve"> a věcně příslušným resortům</w:t>
      </w:r>
      <w:r w:rsidRPr="00EC0BCD">
        <w:t>:</w:t>
      </w:r>
    </w:p>
    <w:p w14:paraId="46B28D64" w14:textId="0AA4057C" w:rsidR="00673230" w:rsidRPr="00EC0BCD" w:rsidRDefault="005244BE" w:rsidP="008E6893">
      <w:pPr>
        <w:pStyle w:val="Odstavecseseznamem"/>
        <w:widowControl w:val="0"/>
        <w:numPr>
          <w:ilvl w:val="0"/>
          <w:numId w:val="10"/>
        </w:numPr>
        <w:jc w:val="both"/>
        <w:rPr>
          <w:rFonts w:asciiTheme="minorHAnsi" w:hAnsiTheme="minorHAnsi" w:cstheme="minorHAnsi"/>
        </w:rPr>
      </w:pPr>
      <w:r>
        <w:rPr>
          <w:rFonts w:asciiTheme="minorHAnsi" w:hAnsiTheme="minorHAnsi" w:cstheme="minorHAnsi"/>
        </w:rPr>
        <w:t>dále sledovat a vyhodnocovat</w:t>
      </w:r>
      <w:r w:rsidR="00FF754C" w:rsidRPr="00EC0BCD">
        <w:rPr>
          <w:rFonts w:asciiTheme="minorHAnsi" w:hAnsiTheme="minorHAnsi" w:cstheme="minorHAnsi"/>
        </w:rPr>
        <w:t xml:space="preserve"> dopady ukončených programů,</w:t>
      </w:r>
    </w:p>
    <w:p w14:paraId="2B37E578" w14:textId="21062B96" w:rsidR="00673230" w:rsidRPr="00EC0BCD" w:rsidRDefault="00FF754C" w:rsidP="008E6893">
      <w:pPr>
        <w:pStyle w:val="Odstavecseseznamem"/>
        <w:widowControl w:val="0"/>
        <w:numPr>
          <w:ilvl w:val="0"/>
          <w:numId w:val="10"/>
        </w:numPr>
        <w:jc w:val="both"/>
        <w:rPr>
          <w:rFonts w:asciiTheme="minorHAnsi" w:hAnsiTheme="minorHAnsi" w:cstheme="minorHAnsi"/>
        </w:rPr>
      </w:pPr>
      <w:r w:rsidRPr="00EC0BCD">
        <w:rPr>
          <w:rFonts w:asciiTheme="minorHAnsi" w:hAnsiTheme="minorHAnsi" w:cstheme="minorHAnsi"/>
        </w:rPr>
        <w:t>velmi důsledně dbát na to, aby p</w:t>
      </w:r>
      <w:r w:rsidR="005244BE">
        <w:rPr>
          <w:rFonts w:asciiTheme="minorHAnsi" w:hAnsiTheme="minorHAnsi" w:cstheme="minorHAnsi"/>
        </w:rPr>
        <w:t>rogramy</w:t>
      </w:r>
      <w:r w:rsidR="008E6893">
        <w:rPr>
          <w:rFonts w:asciiTheme="minorHAnsi" w:hAnsiTheme="minorHAnsi" w:cstheme="minorHAnsi"/>
        </w:rPr>
        <w:t xml:space="preserve"> (skupiny grantových projektů)</w:t>
      </w:r>
      <w:r w:rsidRPr="00EC0BCD">
        <w:rPr>
          <w:rFonts w:asciiTheme="minorHAnsi" w:hAnsiTheme="minorHAnsi" w:cstheme="minorHAnsi"/>
        </w:rPr>
        <w:t xml:space="preserve"> již v průběhu</w:t>
      </w:r>
      <w:r w:rsidR="005244BE">
        <w:rPr>
          <w:rFonts w:asciiTheme="minorHAnsi" w:hAnsiTheme="minorHAnsi" w:cstheme="minorHAnsi"/>
        </w:rPr>
        <w:t xml:space="preserve"> realizace plnily své poslání a </w:t>
      </w:r>
      <w:r w:rsidRPr="00EC0BCD">
        <w:rPr>
          <w:rFonts w:asciiTheme="minorHAnsi" w:hAnsiTheme="minorHAnsi" w:cstheme="minorHAnsi"/>
        </w:rPr>
        <w:t>vytyčené cíle a tomu přizpůsobit kritéria výběru návrhů projektů a jejich hodnocení,</w:t>
      </w:r>
    </w:p>
    <w:p w14:paraId="18228A9B" w14:textId="0265A9AB" w:rsidR="00673230" w:rsidRPr="00EC0BCD" w:rsidRDefault="00FF754C" w:rsidP="008E6893">
      <w:pPr>
        <w:pStyle w:val="Odstavecseseznamem"/>
        <w:widowControl w:val="0"/>
        <w:numPr>
          <w:ilvl w:val="0"/>
          <w:numId w:val="10"/>
        </w:numPr>
        <w:jc w:val="both"/>
        <w:rPr>
          <w:rFonts w:asciiTheme="minorHAnsi" w:hAnsiTheme="minorHAnsi" w:cstheme="minorHAnsi"/>
        </w:rPr>
      </w:pPr>
      <w:r w:rsidRPr="00EC0BCD">
        <w:rPr>
          <w:rFonts w:asciiTheme="minorHAnsi" w:hAnsiTheme="minorHAnsi" w:cstheme="minorHAnsi"/>
        </w:rPr>
        <w:t>volit taková kritéria výběru návrhů projektů, která pov</w:t>
      </w:r>
      <w:r w:rsidR="00DE6B18" w:rsidRPr="00EC0BCD">
        <w:rPr>
          <w:rFonts w:asciiTheme="minorHAnsi" w:hAnsiTheme="minorHAnsi" w:cstheme="minorHAnsi"/>
        </w:rPr>
        <w:t>edou ke splnění cílů programu a k </w:t>
      </w:r>
      <w:r w:rsidRPr="00EC0BCD">
        <w:rPr>
          <w:rFonts w:asciiTheme="minorHAnsi" w:hAnsiTheme="minorHAnsi" w:cstheme="minorHAnsi"/>
        </w:rPr>
        <w:t>získání kvalitních výsledků,</w:t>
      </w:r>
    </w:p>
    <w:p w14:paraId="6252439B" w14:textId="5AFC6E59" w:rsidR="00934D46" w:rsidRDefault="00FF754C" w:rsidP="008E6893">
      <w:pPr>
        <w:pStyle w:val="Odstavecseseznamem"/>
        <w:widowControl w:val="0"/>
        <w:numPr>
          <w:ilvl w:val="0"/>
          <w:numId w:val="10"/>
        </w:numPr>
        <w:jc w:val="both"/>
        <w:rPr>
          <w:rFonts w:asciiTheme="minorHAnsi" w:hAnsiTheme="minorHAnsi" w:cstheme="minorHAnsi"/>
        </w:rPr>
      </w:pPr>
      <w:r w:rsidRPr="00EC0BCD">
        <w:rPr>
          <w:rFonts w:asciiTheme="minorHAnsi" w:hAnsiTheme="minorHAnsi" w:cstheme="minorHAnsi"/>
        </w:rPr>
        <w:t>důsledně provádět monitoring jednotlivých projektů v průběhu jejich řešení a v případě potřeby provádět ve spolupráci s příjemcem ú</w:t>
      </w:r>
      <w:r w:rsidR="008E6893">
        <w:rPr>
          <w:rFonts w:asciiTheme="minorHAnsi" w:hAnsiTheme="minorHAnsi" w:cstheme="minorHAnsi"/>
        </w:rPr>
        <w:t>čelové podpory potřebné korekce,</w:t>
      </w:r>
    </w:p>
    <w:p w14:paraId="212243FF" w14:textId="5D1B6931" w:rsidR="008E6893" w:rsidRDefault="008E6893" w:rsidP="008E6893">
      <w:pPr>
        <w:pStyle w:val="Odstavecseseznamem"/>
        <w:widowControl w:val="0"/>
        <w:numPr>
          <w:ilvl w:val="0"/>
          <w:numId w:val="10"/>
        </w:numPr>
        <w:jc w:val="both"/>
        <w:rPr>
          <w:rFonts w:asciiTheme="minorHAnsi" w:hAnsiTheme="minorHAnsi" w:cstheme="minorHAnsi"/>
        </w:rPr>
      </w:pPr>
      <w:r>
        <w:rPr>
          <w:rFonts w:asciiTheme="minorHAnsi" w:hAnsiTheme="minorHAnsi" w:cstheme="minorHAnsi"/>
        </w:rPr>
        <w:t>dodržovat</w:t>
      </w:r>
      <w:r w:rsidRPr="008E6893">
        <w:rPr>
          <w:rFonts w:asciiTheme="minorHAnsi" w:hAnsiTheme="minorHAnsi" w:cstheme="minorHAnsi"/>
        </w:rPr>
        <w:t xml:space="preserve"> povinnost ustanovení uvedených v § 5 odst. (3) zákona č. 130/2002 Sb., které se týkají podmínek pro změnu programu</w:t>
      </w:r>
      <w:r>
        <w:rPr>
          <w:rFonts w:asciiTheme="minorHAnsi" w:hAnsiTheme="minorHAnsi" w:cstheme="minorHAnsi"/>
        </w:rPr>
        <w:t xml:space="preserve"> </w:t>
      </w:r>
      <w:r w:rsidRPr="008E6893">
        <w:rPr>
          <w:rFonts w:asciiTheme="minorHAnsi" w:hAnsiTheme="minorHAnsi" w:cstheme="minorHAnsi"/>
        </w:rPr>
        <w:t>(skupin</w:t>
      </w:r>
      <w:r>
        <w:rPr>
          <w:rFonts w:asciiTheme="minorHAnsi" w:hAnsiTheme="minorHAnsi" w:cstheme="minorHAnsi"/>
        </w:rPr>
        <w:t>u</w:t>
      </w:r>
      <w:r w:rsidRPr="008E6893">
        <w:rPr>
          <w:rFonts w:asciiTheme="minorHAnsi" w:hAnsiTheme="minorHAnsi" w:cstheme="minorHAnsi"/>
        </w:rPr>
        <w:t xml:space="preserve"> grantových projektů), a vyzývá je, aby v případě rizika nedodržení parametrů uvedeného v ustanovení pod</w:t>
      </w:r>
      <w:r>
        <w:rPr>
          <w:rFonts w:asciiTheme="minorHAnsi" w:hAnsiTheme="minorHAnsi" w:cstheme="minorHAnsi"/>
        </w:rPr>
        <w:t>nikli příslušná opatření, např. </w:t>
      </w:r>
      <w:r w:rsidRPr="008E6893">
        <w:rPr>
          <w:rFonts w:asciiTheme="minorHAnsi" w:hAnsiTheme="minorHAnsi" w:cstheme="minorHAnsi"/>
        </w:rPr>
        <w:t>předložili návrh na změnu programu</w:t>
      </w:r>
      <w:r>
        <w:rPr>
          <w:rFonts w:asciiTheme="minorHAnsi" w:hAnsiTheme="minorHAnsi" w:cstheme="minorHAnsi"/>
        </w:rPr>
        <w:t xml:space="preserve"> (skupinu grantových projektů)</w:t>
      </w:r>
      <w:r w:rsidRPr="008E6893">
        <w:rPr>
          <w:rFonts w:asciiTheme="minorHAnsi" w:hAnsiTheme="minorHAnsi" w:cstheme="minorHAnsi"/>
        </w:rPr>
        <w:t>, a informovali o tom R</w:t>
      </w:r>
      <w:r>
        <w:rPr>
          <w:rFonts w:asciiTheme="minorHAnsi" w:hAnsiTheme="minorHAnsi" w:cstheme="minorHAnsi"/>
        </w:rPr>
        <w:t>VVI.</w:t>
      </w:r>
    </w:p>
    <w:p w14:paraId="7F9F585C" w14:textId="16F02D74" w:rsidR="008E6893" w:rsidRDefault="008E6893" w:rsidP="008E6893">
      <w:pPr>
        <w:widowControl w:val="0"/>
        <w:jc w:val="both"/>
        <w:rPr>
          <w:rFonts w:cstheme="minorHAnsi"/>
        </w:rPr>
      </w:pPr>
    </w:p>
    <w:p w14:paraId="170C7C1B" w14:textId="77777777" w:rsidR="003A219E" w:rsidRPr="008E6893" w:rsidRDefault="003A219E" w:rsidP="008E6893">
      <w:pPr>
        <w:widowControl w:val="0"/>
        <w:jc w:val="both"/>
        <w:rPr>
          <w:rFonts w:cstheme="minorHAnsi"/>
        </w:rPr>
      </w:pPr>
    </w:p>
    <w:p w14:paraId="15FB644A" w14:textId="528D4E5E" w:rsidR="0084247E" w:rsidRPr="003A219E" w:rsidRDefault="0084247E" w:rsidP="003A219E">
      <w:pPr>
        <w:keepNext/>
        <w:keepLines/>
        <w:pBdr>
          <w:bottom w:val="single" w:sz="6" w:space="1" w:color="365F91" w:themeColor="accent1" w:themeShade="BF"/>
        </w:pBdr>
        <w:spacing w:before="200" w:after="320"/>
        <w:jc w:val="center"/>
        <w:outlineLvl w:val="1"/>
        <w:rPr>
          <w:rFonts w:ascii="Arial" w:eastAsia="Times New Roman" w:hAnsi="Arial" w:cs="Arial"/>
          <w:b/>
          <w:bCs/>
          <w:color w:val="365F91" w:themeColor="accent1" w:themeShade="BF"/>
          <w:sz w:val="32"/>
          <w:szCs w:val="28"/>
        </w:rPr>
      </w:pPr>
      <w:bookmarkStart w:id="75" w:name="_Toc182984836"/>
      <w:r w:rsidRPr="003A219E">
        <w:rPr>
          <w:rFonts w:ascii="Arial" w:eastAsia="Times New Roman" w:hAnsi="Arial" w:cs="Arial"/>
          <w:b/>
          <w:bCs/>
          <w:color w:val="365F91" w:themeColor="accent1" w:themeShade="BF"/>
          <w:sz w:val="32"/>
          <w:szCs w:val="28"/>
        </w:rPr>
        <mc:AlternateContent>
          <mc:Choice Requires="wps">
            <w:drawing>
              <wp:anchor distT="0" distB="0" distL="114300" distR="114300" simplePos="0" relativeHeight="252122112" behindDoc="0" locked="0" layoutInCell="1" allowOverlap="1" wp14:anchorId="684329BF" wp14:editId="73A56D6F">
                <wp:simplePos x="0" y="0"/>
                <wp:positionH relativeFrom="column">
                  <wp:posOffset>9897110</wp:posOffset>
                </wp:positionH>
                <wp:positionV relativeFrom="paragraph">
                  <wp:posOffset>646430</wp:posOffset>
                </wp:positionV>
                <wp:extent cx="3072977" cy="803910"/>
                <wp:effectExtent l="0" t="0" r="0" b="0"/>
                <wp:wrapNone/>
                <wp:docPr id="354" name="Zaoblený obdélník 320"/>
                <wp:cNvGraphicFramePr/>
                <a:graphic xmlns:a="http://schemas.openxmlformats.org/drawingml/2006/main">
                  <a:graphicData uri="http://schemas.microsoft.com/office/word/2010/wordprocessingShape">
                    <wps:wsp>
                      <wps:cNvSpPr/>
                      <wps:spPr>
                        <a:xfrm>
                          <a:off x="0" y="0"/>
                          <a:ext cx="3072977" cy="803910"/>
                        </a:xfrm>
                        <a:prstGeom prst="roundRect">
                          <a:avLst/>
                        </a:prstGeom>
                        <a:noFill/>
                        <a:ln>
                          <a:noFill/>
                        </a:ln>
                      </wps:spPr>
                      <wps:style>
                        <a:lnRef idx="2">
                          <a:schemeClr val="accent3"/>
                        </a:lnRef>
                        <a:fillRef idx="1">
                          <a:schemeClr val="lt1"/>
                        </a:fillRef>
                        <a:effectRef idx="0">
                          <a:schemeClr val="accent3"/>
                        </a:effectRef>
                        <a:fontRef idx="minor">
                          <a:schemeClr val="dk1"/>
                        </a:fontRef>
                      </wps:style>
                      <wps:txbx>
                        <w:txbxContent>
                          <w:p w14:paraId="67EF3CD2" w14:textId="77777777" w:rsidR="00354152" w:rsidRPr="00BE0F60" w:rsidRDefault="00354152" w:rsidP="0084247E">
                            <w:pPr>
                              <w:spacing w:after="0" w:line="240" w:lineRule="auto"/>
                              <w:jc w:val="right"/>
                              <w:rPr>
                                <w:i/>
                                <w:color w:val="BFBFBF" w:themeColor="background1" w:themeShade="BF"/>
                                <w:sz w:val="18"/>
                                <w:szCs w:val="18"/>
                              </w:rPr>
                            </w:pPr>
                            <w:r w:rsidRPr="00BE0F60">
                              <w:rPr>
                                <w:i/>
                                <w:color w:val="BFBFBF" w:themeColor="background1" w:themeShade="BF"/>
                                <w:sz w:val="18"/>
                                <w:szCs w:val="18"/>
                              </w:rPr>
                              <w:t>Zdroj: IS VaVaI; datum exportu 15. ledna 2021</w:t>
                            </w:r>
                          </w:p>
                          <w:p w14:paraId="5FFD416B" w14:textId="42DBF6A0" w:rsidR="00354152" w:rsidRPr="00BE0F60" w:rsidRDefault="00354152" w:rsidP="0084247E">
                            <w:pPr>
                              <w:spacing w:after="0" w:line="240" w:lineRule="auto"/>
                              <w:jc w:val="right"/>
                              <w:rPr>
                                <w:i/>
                                <w:color w:val="BFBFBF" w:themeColor="background1" w:themeShade="BF"/>
                                <w:sz w:val="18"/>
                                <w:szCs w:val="18"/>
                              </w:rPr>
                            </w:pPr>
                            <w:r w:rsidRPr="00BE0F60">
                              <w:rPr>
                                <w:i/>
                                <w:color w:val="BFBFBF" w:themeColor="background1" w:themeShade="BF"/>
                                <w:sz w:val="18"/>
                                <w:szCs w:val="18"/>
                              </w:rPr>
                              <w:t>Zpracoval: Odbor RVVI</w:t>
                            </w:r>
                            <w:r w:rsidRPr="00BE0F60">
                              <w:rPr>
                                <w:i/>
                                <w:color w:val="BFBFBF" w:themeColor="background1" w:themeShade="BF"/>
                                <w:sz w:val="18"/>
                                <w:szCs w:val="18"/>
                              </w:rPr>
                              <w:tab/>
                              <w:t xml:space="preserve">Verze ze dne </w:t>
                            </w:r>
                            <w:r w:rsidRPr="00BE0F60">
                              <w:rPr>
                                <w:i/>
                                <w:color w:val="BFBFBF" w:themeColor="background1" w:themeShade="BF"/>
                                <w:sz w:val="18"/>
                                <w:szCs w:val="18"/>
                              </w:rPr>
                              <w:fldChar w:fldCharType="begin"/>
                            </w:r>
                            <w:r w:rsidRPr="00BE0F60">
                              <w:rPr>
                                <w:i/>
                                <w:color w:val="BFBFBF" w:themeColor="background1" w:themeShade="BF"/>
                                <w:sz w:val="18"/>
                                <w:szCs w:val="18"/>
                              </w:rPr>
                              <w:instrText xml:space="preserve"> TIME \@ "d.M.yyyy" </w:instrText>
                            </w:r>
                            <w:r w:rsidRPr="00BE0F60">
                              <w:rPr>
                                <w:i/>
                                <w:color w:val="BFBFBF" w:themeColor="background1" w:themeShade="BF"/>
                                <w:sz w:val="18"/>
                                <w:szCs w:val="18"/>
                              </w:rPr>
                              <w:fldChar w:fldCharType="separate"/>
                            </w:r>
                            <w:r>
                              <w:rPr>
                                <w:i/>
                                <w:noProof/>
                                <w:color w:val="BFBFBF" w:themeColor="background1" w:themeShade="BF"/>
                                <w:sz w:val="18"/>
                                <w:szCs w:val="18"/>
                              </w:rPr>
                              <w:t>20.11.2024</w:t>
                            </w:r>
                            <w:r w:rsidRPr="00BE0F60">
                              <w:rPr>
                                <w:i/>
                                <w:color w:val="BFBFBF" w:themeColor="background1" w:themeShade="BF"/>
                                <w:sz w:val="18"/>
                                <w:szCs w:val="18"/>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4329BF" id="Zaoblený obdélník 320" o:spid="_x0000_s1027" style="position:absolute;left:0;text-align:left;margin-left:779.3pt;margin-top:50.9pt;width:241.95pt;height:63.3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" filled="f" stroked="f" strokeweight="2pt">
                <v:textbox>
                  <w:txbxContent>
                    <w:p w14:paraId="67EF3CD2" w14:textId="77777777" w:rsidR="00354152" w:rsidRPr="00BE0F60" w:rsidRDefault="00354152" w:rsidP="0084247E">
                      <w:pPr>
                        <w:spacing w:after="0" w:line="240" w:lineRule="auto"/>
                        <w:jc w:val="right"/>
                        <w:rPr>
                          <w:i/>
                          <w:color w:val="BFBFBF" w:themeColor="background1" w:themeShade="BF"/>
                          <w:sz w:val="18"/>
                          <w:szCs w:val="18"/>
                        </w:rPr>
                      </w:pPr>
                      <w:r w:rsidRPr="00BE0F60">
                        <w:rPr>
                          <w:i/>
                          <w:color w:val="BFBFBF" w:themeColor="background1" w:themeShade="BF"/>
                          <w:sz w:val="18"/>
                          <w:szCs w:val="18"/>
                        </w:rPr>
                        <w:t>Zdroj: IS VaVaI; datum exportu 15. ledna 2021</w:t>
                      </w:r>
                    </w:p>
                    <w:p w14:paraId="5FFD416B" w14:textId="42DBF6A0" w:rsidR="00354152" w:rsidRPr="00BE0F60" w:rsidRDefault="00354152" w:rsidP="0084247E">
                      <w:pPr>
                        <w:spacing w:after="0" w:line="240" w:lineRule="auto"/>
                        <w:jc w:val="right"/>
                        <w:rPr>
                          <w:i/>
                          <w:color w:val="BFBFBF" w:themeColor="background1" w:themeShade="BF"/>
                          <w:sz w:val="18"/>
                          <w:szCs w:val="18"/>
                        </w:rPr>
                      </w:pPr>
                      <w:r w:rsidRPr="00BE0F60">
                        <w:rPr>
                          <w:i/>
                          <w:color w:val="BFBFBF" w:themeColor="background1" w:themeShade="BF"/>
                          <w:sz w:val="18"/>
                          <w:szCs w:val="18"/>
                        </w:rPr>
                        <w:t>Zpracoval: Odbor RVVI</w:t>
                      </w:r>
                      <w:r w:rsidRPr="00BE0F60">
                        <w:rPr>
                          <w:i/>
                          <w:color w:val="BFBFBF" w:themeColor="background1" w:themeShade="BF"/>
                          <w:sz w:val="18"/>
                          <w:szCs w:val="18"/>
                        </w:rPr>
                        <w:tab/>
                        <w:t xml:space="preserve">Verze ze dne </w:t>
                      </w:r>
                      <w:r w:rsidRPr="00BE0F60">
                        <w:rPr>
                          <w:i/>
                          <w:color w:val="BFBFBF" w:themeColor="background1" w:themeShade="BF"/>
                          <w:sz w:val="18"/>
                          <w:szCs w:val="18"/>
                        </w:rPr>
                        <w:fldChar w:fldCharType="begin"/>
                      </w:r>
                      <w:r w:rsidRPr="00BE0F60">
                        <w:rPr>
                          <w:i/>
                          <w:color w:val="BFBFBF" w:themeColor="background1" w:themeShade="BF"/>
                          <w:sz w:val="18"/>
                          <w:szCs w:val="18"/>
                        </w:rPr>
                        <w:instrText xml:space="preserve"> TIME \@ "d.M.yyyy" </w:instrText>
                      </w:r>
                      <w:r w:rsidRPr="00BE0F60">
                        <w:rPr>
                          <w:i/>
                          <w:color w:val="BFBFBF" w:themeColor="background1" w:themeShade="BF"/>
                          <w:sz w:val="18"/>
                          <w:szCs w:val="18"/>
                        </w:rPr>
                        <w:fldChar w:fldCharType="separate"/>
                      </w:r>
                      <w:r>
                        <w:rPr>
                          <w:i/>
                          <w:noProof/>
                          <w:color w:val="BFBFBF" w:themeColor="background1" w:themeShade="BF"/>
                          <w:sz w:val="18"/>
                          <w:szCs w:val="18"/>
                        </w:rPr>
                        <w:t>20.11.2024</w:t>
                      </w:r>
                      <w:r w:rsidRPr="00BE0F60">
                        <w:rPr>
                          <w:i/>
                          <w:color w:val="BFBFBF" w:themeColor="background1" w:themeShade="BF"/>
                          <w:sz w:val="18"/>
                          <w:szCs w:val="18"/>
                        </w:rPr>
                        <w:fldChar w:fldCharType="end"/>
                      </w:r>
                    </w:p>
                  </w:txbxContent>
                </v:textbox>
              </v:roundrect>
            </w:pict>
          </mc:Fallback>
        </mc:AlternateContent>
      </w:r>
      <w:r w:rsidRPr="003A219E">
        <w:rPr>
          <w:rFonts w:ascii="Arial" w:eastAsia="Times New Roman" w:hAnsi="Arial" w:cs="Arial"/>
          <w:b/>
          <w:bCs/>
          <w:color w:val="365F91" w:themeColor="accent1" w:themeShade="BF"/>
          <w:sz w:val="32"/>
          <w:szCs w:val="28"/>
        </w:rPr>
        <w:t>Přílohy</w:t>
      </w:r>
      <w:bookmarkEnd w:id="75"/>
    </w:p>
    <w:p w14:paraId="11ED8EBE" w14:textId="7A2752C4" w:rsidR="0084247E" w:rsidRPr="009C679E" w:rsidRDefault="002233EE" w:rsidP="00124809">
      <w:pPr>
        <w:pStyle w:val="Odrka"/>
        <w:jc w:val="left"/>
        <w:rPr>
          <w:b/>
          <w:bCs/>
        </w:rPr>
      </w:pPr>
      <w:r w:rsidRPr="009C679E">
        <w:rPr>
          <w:b/>
          <w:bCs/>
        </w:rPr>
        <w:t>Příloha </w:t>
      </w:r>
      <w:r w:rsidR="009C679E" w:rsidRPr="009C679E">
        <w:rPr>
          <w:b/>
          <w:bCs/>
        </w:rPr>
        <w:t>A</w:t>
      </w:r>
      <w:r w:rsidRPr="009C679E">
        <w:rPr>
          <w:b/>
          <w:bCs/>
        </w:rPr>
        <w:t> </w:t>
      </w:r>
      <w:r w:rsidR="003D11F0" w:rsidRPr="009C679E">
        <w:rPr>
          <w:bCs/>
        </w:rPr>
        <w:t xml:space="preserve">Závěrečné hodnocení </w:t>
      </w:r>
      <w:r w:rsidR="001704BB" w:rsidRPr="009C679E">
        <w:rPr>
          <w:bCs/>
        </w:rPr>
        <w:t>Programu</w:t>
      </w:r>
      <w:r w:rsidR="009E34FC" w:rsidRPr="009C679E">
        <w:rPr>
          <w:bCs/>
        </w:rPr>
        <w:t xml:space="preserve"> </w:t>
      </w:r>
      <w:r w:rsidR="009C679E" w:rsidRPr="009C679E">
        <w:rPr>
          <w:bCs/>
        </w:rPr>
        <w:t>NAKI II</w:t>
      </w:r>
    </w:p>
    <w:p w14:paraId="64998F2F" w14:textId="1A4F3962" w:rsidR="003D11F0" w:rsidRPr="009C679E" w:rsidRDefault="003D11F0" w:rsidP="00124809">
      <w:pPr>
        <w:pStyle w:val="Odrka"/>
      </w:pPr>
      <w:r w:rsidRPr="009C679E">
        <w:rPr>
          <w:b/>
          <w:bCs/>
        </w:rPr>
        <w:t xml:space="preserve">Příloha </w:t>
      </w:r>
      <w:r w:rsidR="009C679E" w:rsidRPr="009C679E">
        <w:rPr>
          <w:b/>
          <w:bCs/>
        </w:rPr>
        <w:t>B</w:t>
      </w:r>
      <w:r w:rsidR="002233EE" w:rsidRPr="009C679E">
        <w:t xml:space="preserve"> Závěrečné hodnoc</w:t>
      </w:r>
      <w:r w:rsidR="009C679E" w:rsidRPr="009C679E">
        <w:t>ení Programu MO</w:t>
      </w:r>
    </w:p>
    <w:p w14:paraId="7DFDD8D4" w14:textId="6D2FB311" w:rsidR="009C679E" w:rsidRPr="009C679E" w:rsidRDefault="009C679E" w:rsidP="009C679E">
      <w:pPr>
        <w:pStyle w:val="Odrka"/>
      </w:pPr>
      <w:r w:rsidRPr="009C679E">
        <w:rPr>
          <w:b/>
          <w:bCs/>
        </w:rPr>
        <w:t>Příloha C</w:t>
      </w:r>
      <w:r w:rsidRPr="009C679E">
        <w:t xml:space="preserve"> Závěrečné hodnocení Programu ERC</w:t>
      </w:r>
    </w:p>
    <w:p w14:paraId="7F3B3F93" w14:textId="41A7B49F" w:rsidR="009C679E" w:rsidRPr="009C679E" w:rsidRDefault="009C679E" w:rsidP="009C679E">
      <w:pPr>
        <w:pStyle w:val="Odrka"/>
      </w:pPr>
      <w:r w:rsidRPr="009C679E">
        <w:rPr>
          <w:b/>
          <w:bCs/>
        </w:rPr>
        <w:t>Příloha D</w:t>
      </w:r>
      <w:r w:rsidRPr="009C679E">
        <w:t xml:space="preserve"> Závěrečné hodnocení Programu MV</w:t>
      </w:r>
    </w:p>
    <w:p w14:paraId="2D9F3D14" w14:textId="0BF54A1F" w:rsidR="009C679E" w:rsidRPr="009C679E" w:rsidRDefault="009C679E" w:rsidP="009C679E">
      <w:pPr>
        <w:pStyle w:val="Odrka"/>
      </w:pPr>
      <w:r w:rsidRPr="009C679E">
        <w:rPr>
          <w:b/>
          <w:bCs/>
        </w:rPr>
        <w:t>Příloha E</w:t>
      </w:r>
      <w:r w:rsidRPr="009C679E">
        <w:t xml:space="preserve"> Závěrečné hodnocení Programu GAMA2</w:t>
      </w:r>
    </w:p>
    <w:p w14:paraId="0AE9F389" w14:textId="58F7CF61" w:rsidR="009C679E" w:rsidRPr="009C679E" w:rsidRDefault="009C679E" w:rsidP="009C679E">
      <w:pPr>
        <w:pStyle w:val="Odrka"/>
      </w:pPr>
      <w:r w:rsidRPr="009C679E">
        <w:rPr>
          <w:b/>
          <w:bCs/>
        </w:rPr>
        <w:t>Příloha F</w:t>
      </w:r>
      <w:r w:rsidRPr="009C679E">
        <w:t xml:space="preserve"> Závěrečné hodnocení Programu ZÉTA</w:t>
      </w:r>
    </w:p>
    <w:p w14:paraId="08BB5B7F" w14:textId="7A285F7B" w:rsidR="009C679E" w:rsidRPr="009C679E" w:rsidRDefault="009C679E" w:rsidP="009C679E">
      <w:pPr>
        <w:pStyle w:val="Odrka"/>
      </w:pPr>
      <w:r w:rsidRPr="009C679E">
        <w:rPr>
          <w:b/>
          <w:bCs/>
        </w:rPr>
        <w:t>Příloha G</w:t>
      </w:r>
      <w:r w:rsidRPr="009C679E">
        <w:t xml:space="preserve"> Závěrečné hodnocení Programu TRIO</w:t>
      </w:r>
    </w:p>
    <w:p w14:paraId="41C561B4" w14:textId="709667EA" w:rsidR="003D11F0" w:rsidRPr="002233EE" w:rsidRDefault="003D11F0" w:rsidP="00124809">
      <w:pPr>
        <w:pStyle w:val="Odrka"/>
        <w:jc w:val="left"/>
      </w:pPr>
      <w:r w:rsidRPr="009C679E">
        <w:rPr>
          <w:b/>
          <w:bCs/>
        </w:rPr>
        <w:t xml:space="preserve">Příloha </w:t>
      </w:r>
      <w:r w:rsidR="009C679E" w:rsidRPr="009C679E">
        <w:rPr>
          <w:b/>
          <w:bCs/>
        </w:rPr>
        <w:t>H</w:t>
      </w:r>
      <w:r w:rsidRPr="009C679E">
        <w:t xml:space="preserve"> Vyjádření KHV k</w:t>
      </w:r>
      <w:r w:rsidR="009C679E" w:rsidRPr="009C679E">
        <w:t> z</w:t>
      </w:r>
      <w:r w:rsidRPr="009C679E">
        <w:t>ávěrečn</w:t>
      </w:r>
      <w:r w:rsidR="009C679E" w:rsidRPr="009C679E">
        <w:t>ým hodnocením</w:t>
      </w:r>
      <w:r w:rsidRPr="009C679E">
        <w:t xml:space="preserve"> </w:t>
      </w:r>
      <w:r w:rsidR="009C679E" w:rsidRPr="009C679E">
        <w:t>p</w:t>
      </w:r>
      <w:r w:rsidR="002E73C9" w:rsidRPr="009C679E">
        <w:t>rogram</w:t>
      </w:r>
      <w:r w:rsidR="009C679E" w:rsidRPr="009C679E">
        <w:t>ů</w:t>
      </w:r>
    </w:p>
    <w:p w14:paraId="22DD2D83" w14:textId="31EF5D57" w:rsidR="005619D6" w:rsidRPr="005619D6" w:rsidRDefault="005619D6" w:rsidP="003D11F0">
      <w:pPr>
        <w:pStyle w:val="Odrka"/>
        <w:rPr>
          <w:b/>
        </w:rPr>
      </w:pPr>
    </w:p>
    <w:sectPr w:rsidR="005619D6" w:rsidRPr="005619D6" w:rsidSect="00017F77">
      <w:headerReference w:type="default" r:id="rId12"/>
      <w:pgSz w:w="11906" w:h="16840"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CC162" w14:textId="77777777" w:rsidR="00CB3F91" w:rsidRDefault="00CB3F91" w:rsidP="005658B8">
      <w:pPr>
        <w:spacing w:after="0" w:line="240" w:lineRule="auto"/>
      </w:pPr>
      <w:r>
        <w:separator/>
      </w:r>
    </w:p>
  </w:endnote>
  <w:endnote w:type="continuationSeparator" w:id="0">
    <w:p w14:paraId="545A1605" w14:textId="77777777" w:rsidR="00CB3F91" w:rsidRDefault="00CB3F91" w:rsidP="00565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644041"/>
      <w:docPartObj>
        <w:docPartGallery w:val="Page Numbers (Bottom of Page)"/>
        <w:docPartUnique/>
      </w:docPartObj>
    </w:sdtPr>
    <w:sdtContent>
      <w:p w14:paraId="40B4DDB8" w14:textId="7E15D66A" w:rsidR="00354152" w:rsidRDefault="00354152">
        <w:pPr>
          <w:pStyle w:val="Zpat"/>
          <w:jc w:val="right"/>
        </w:pPr>
        <w:r>
          <w:fldChar w:fldCharType="begin"/>
        </w:r>
        <w:r>
          <w:instrText>PAGE   \* MERGEFORMAT</w:instrText>
        </w:r>
        <w:r>
          <w:fldChar w:fldCharType="separate"/>
        </w:r>
        <w:r w:rsidR="00DB55D4">
          <w:rPr>
            <w:noProof/>
          </w:rPr>
          <w:t>5</w:t>
        </w:r>
        <w:r>
          <w:fldChar w:fldCharType="end"/>
        </w:r>
      </w:p>
    </w:sdtContent>
  </w:sdt>
  <w:p w14:paraId="02C0942C" w14:textId="77777777" w:rsidR="00354152" w:rsidRDefault="00354152" w:rsidP="00C52C38">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8D12F" w14:textId="77777777" w:rsidR="00CB3F91" w:rsidRDefault="00CB3F91" w:rsidP="005658B8">
      <w:pPr>
        <w:spacing w:after="0" w:line="240" w:lineRule="auto"/>
      </w:pPr>
      <w:r>
        <w:separator/>
      </w:r>
    </w:p>
  </w:footnote>
  <w:footnote w:type="continuationSeparator" w:id="0">
    <w:p w14:paraId="7EF9DB3F" w14:textId="77777777" w:rsidR="00CB3F91" w:rsidRDefault="00CB3F91" w:rsidP="005658B8">
      <w:pPr>
        <w:spacing w:after="0" w:line="240" w:lineRule="auto"/>
      </w:pPr>
      <w:r>
        <w:continuationSeparator/>
      </w:r>
    </w:p>
  </w:footnote>
  <w:footnote w:id="1">
    <w:p w14:paraId="092630B5" w14:textId="1D12E8DC" w:rsidR="00354152" w:rsidRDefault="00354152">
      <w:pPr>
        <w:pStyle w:val="Textpoznpodarou"/>
      </w:pPr>
      <w:r>
        <w:rPr>
          <w:rStyle w:val="Znakapoznpodarou"/>
        </w:rPr>
        <w:footnoteRef/>
      </w:r>
      <w:r>
        <w:t xml:space="preserve"> Pro potřeby dokumentu v sobě pojem „program“ zahrnuje jak programy, tak i skupiny grantových projektů v návaznosti na § 3 odst. 2 </w:t>
      </w:r>
      <w:r w:rsidRPr="00354152">
        <w:t xml:space="preserve">písm. </w:t>
      </w:r>
      <w:r>
        <w:t>a) a b)</w:t>
      </w:r>
      <w:r w:rsidRPr="00354152">
        <w:t xml:space="preserve"> zákona č. 130/2002 Sb., o podpoře výzkumu, experimentálního vývoje a inovací z veřejných prostředků a o změně některých souvisejících zákonů, ve znění pozdějších předpisů</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4152" w:rsidRPr="00687149" w14:paraId="238D6448" w14:textId="77777777" w:rsidTr="00A73BFC">
      <w:trPr>
        <w:trHeight w:val="686"/>
      </w:trPr>
      <w:tc>
        <w:tcPr>
          <w:tcW w:w="8188" w:type="dxa"/>
          <w:tcBorders>
            <w:top w:val="nil"/>
            <w:left w:val="nil"/>
            <w:bottom w:val="nil"/>
            <w:right w:val="nil"/>
          </w:tcBorders>
          <w:vAlign w:val="center"/>
        </w:tcPr>
        <w:p w14:paraId="12AC3D2C" w14:textId="77777777" w:rsidR="00354152" w:rsidRPr="009758E5" w:rsidRDefault="00354152" w:rsidP="00A73BFC">
          <w:pPr>
            <w:pStyle w:val="Zhlav"/>
            <w:tabs>
              <w:tab w:val="clear" w:pos="4536"/>
              <w:tab w:val="clear" w:pos="9072"/>
            </w:tabs>
            <w:ind w:firstLine="1985"/>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60800" behindDoc="0" locked="0" layoutInCell="1" allowOverlap="1" wp14:anchorId="608387F1" wp14:editId="3103083C">
                <wp:simplePos x="0" y="0"/>
                <wp:positionH relativeFrom="column">
                  <wp:posOffset>635</wp:posOffset>
                </wp:positionH>
                <wp:positionV relativeFrom="paragraph">
                  <wp:posOffset>-68638</wp:posOffset>
                </wp:positionV>
                <wp:extent cx="914760" cy="277200"/>
                <wp:effectExtent l="0" t="0" r="0" b="8890"/>
                <wp:wrapNone/>
                <wp:docPr id="244" name="Obrázek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Pr="00D27C56">
            <w:rPr>
              <w:rFonts w:ascii="Arial" w:hAnsi="Arial" w:cs="Arial"/>
              <w:b/>
            </w:rPr>
            <w:t>Rad</w:t>
          </w:r>
          <w:r>
            <w:rPr>
              <w:rFonts w:ascii="Arial" w:hAnsi="Arial" w:cs="Arial"/>
              <w:b/>
            </w:rPr>
            <w:t>a </w:t>
          </w:r>
          <w:r w:rsidRPr="00D27C56">
            <w:rPr>
              <w:rFonts w:ascii="Arial" w:hAnsi="Arial" w:cs="Arial"/>
              <w:b/>
            </w:rPr>
            <w:t>pr</w:t>
          </w:r>
          <w:r>
            <w:rPr>
              <w:rFonts w:ascii="Arial" w:hAnsi="Arial" w:cs="Arial"/>
              <w:b/>
            </w:rPr>
            <w:t>o </w:t>
          </w:r>
          <w:r w:rsidRPr="00D27C56">
            <w:rPr>
              <w:rFonts w:ascii="Arial" w:hAnsi="Arial" w:cs="Arial"/>
              <w:b/>
            </w:rPr>
            <w:t xml:space="preserve">výzkum, vývoj </w:t>
          </w:r>
          <w:r>
            <w:rPr>
              <w:rFonts w:ascii="Arial" w:hAnsi="Arial" w:cs="Arial"/>
              <w:b/>
            </w:rPr>
            <w:t>a </w:t>
          </w:r>
          <w:r w:rsidRPr="00D27C56">
            <w:rPr>
              <w:rFonts w:ascii="Arial" w:hAnsi="Arial" w:cs="Arial"/>
              <w:b/>
            </w:rPr>
            <w:t>inova</w:t>
          </w:r>
          <w:r w:rsidRPr="009758E5">
            <w:rPr>
              <w:rFonts w:ascii="Arial" w:hAnsi="Arial" w:cs="Arial"/>
              <w:b/>
            </w:rPr>
            <w:t>ce</w:t>
          </w:r>
        </w:p>
      </w:tc>
      <w:tc>
        <w:tcPr>
          <w:tcW w:w="1559" w:type="dxa"/>
          <w:tcBorders>
            <w:top w:val="nil"/>
            <w:left w:val="nil"/>
            <w:bottom w:val="nil"/>
            <w:right w:val="nil"/>
          </w:tcBorders>
          <w:shd w:val="clear" w:color="auto" w:fill="auto"/>
          <w:vAlign w:val="center"/>
        </w:tcPr>
        <w:p w14:paraId="74B3749B" w14:textId="7A7F1E5C" w:rsidR="00354152" w:rsidRPr="00687149" w:rsidRDefault="00354152" w:rsidP="006A7BB4">
          <w:pPr>
            <w:pStyle w:val="Zhlav"/>
            <w:jc w:val="center"/>
            <w:rPr>
              <w:rFonts w:ascii="Arial" w:hAnsi="Arial" w:cs="Arial"/>
              <w:b/>
              <w:sz w:val="28"/>
              <w:szCs w:val="28"/>
            </w:rPr>
          </w:pPr>
          <w:r w:rsidRPr="00AE01DC">
            <w:rPr>
              <w:rFonts w:ascii="Arial" w:hAnsi="Arial" w:cs="Arial"/>
              <w:b/>
              <w:color w:val="FFFFFF" w:themeColor="background1"/>
              <w:sz w:val="28"/>
              <w:szCs w:val="28"/>
            </w:rPr>
            <w:t>III.</w:t>
          </w:r>
        </w:p>
      </w:tc>
    </w:tr>
  </w:tbl>
  <w:p w14:paraId="024CEF4F" w14:textId="77777777" w:rsidR="00354152" w:rsidRDefault="0035415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3BA5F" w14:textId="77657391" w:rsidR="00354152" w:rsidRPr="00976D0A" w:rsidRDefault="00354152" w:rsidP="00976D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95DD2" w14:textId="13B26E0E" w:rsidR="00354152" w:rsidRPr="006975CE" w:rsidRDefault="00354152" w:rsidP="008C0D87">
    <w:pPr>
      <w:pStyle w:val="Zhlav"/>
      <w:jc w:val="right"/>
      <w:rPr>
        <w:rFonts w:ascii="Cambria" w:hAnsi="Cambria" w:cs="Arial"/>
        <w:i/>
        <w:color w:val="1F497D"/>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D6255" w14:textId="626F96D1" w:rsidR="00354152" w:rsidRPr="00DE6B18" w:rsidRDefault="00354152" w:rsidP="00DE6B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340"/>
        </w:tabs>
        <w:ind w:left="340" w:hanging="340"/>
      </w:pPr>
      <w:rPr>
        <w:rFonts w:ascii="Wingdings" w:hAnsi="Wingdings"/>
      </w:rPr>
    </w:lvl>
  </w:abstractNum>
  <w:abstractNum w:abstractNumId="1" w15:restartNumberingAfterBreak="0">
    <w:nsid w:val="00000007"/>
    <w:multiLevelType w:val="singleLevel"/>
    <w:tmpl w:val="00000007"/>
    <w:name w:val="WW8Num14"/>
    <w:lvl w:ilvl="0">
      <w:start w:val="1"/>
      <w:numFmt w:val="decimal"/>
      <w:lvlText w:val="%1."/>
      <w:lvlJc w:val="left"/>
      <w:pPr>
        <w:tabs>
          <w:tab w:val="num" w:pos="0"/>
        </w:tabs>
        <w:ind w:left="720" w:hanging="360"/>
      </w:pPr>
    </w:lvl>
  </w:abstractNum>
  <w:abstractNum w:abstractNumId="2" w15:restartNumberingAfterBreak="0">
    <w:nsid w:val="0000000A"/>
    <w:multiLevelType w:val="singleLevel"/>
    <w:tmpl w:val="0000000A"/>
    <w:name w:val="WW8Num26"/>
    <w:lvl w:ilvl="0">
      <w:start w:val="1"/>
      <w:numFmt w:val="lowerLetter"/>
      <w:lvlText w:val="%1)"/>
      <w:lvlJc w:val="left"/>
      <w:pPr>
        <w:tabs>
          <w:tab w:val="num" w:pos="0"/>
        </w:tabs>
        <w:ind w:left="720" w:hanging="360"/>
      </w:pPr>
    </w:lvl>
  </w:abstractNum>
  <w:abstractNum w:abstractNumId="3" w15:restartNumberingAfterBreak="0">
    <w:nsid w:val="04707933"/>
    <w:multiLevelType w:val="hybridMultilevel"/>
    <w:tmpl w:val="EE780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944260"/>
    <w:multiLevelType w:val="hybridMultilevel"/>
    <w:tmpl w:val="C952D1D2"/>
    <w:lvl w:ilvl="0" w:tplc="FC78509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710ED9"/>
    <w:multiLevelType w:val="hybridMultilevel"/>
    <w:tmpl w:val="5F329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A23403"/>
    <w:multiLevelType w:val="multilevel"/>
    <w:tmpl w:val="5F32924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47217DA"/>
    <w:multiLevelType w:val="hybridMultilevel"/>
    <w:tmpl w:val="B7941A8A"/>
    <w:lvl w:ilvl="0" w:tplc="B0F06FA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CC65C0"/>
    <w:multiLevelType w:val="hybridMultilevel"/>
    <w:tmpl w:val="74D0E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A4134C"/>
    <w:multiLevelType w:val="hybridMultilevel"/>
    <w:tmpl w:val="E9B2F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525FD"/>
    <w:multiLevelType w:val="hybridMultilevel"/>
    <w:tmpl w:val="AB08F90A"/>
    <w:lvl w:ilvl="0" w:tplc="C7C2DDBA">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2" w15:restartNumberingAfterBreak="0">
    <w:nsid w:val="3A786082"/>
    <w:multiLevelType w:val="hybridMultilevel"/>
    <w:tmpl w:val="569C39E2"/>
    <w:lvl w:ilvl="0" w:tplc="1FDC9DA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A024A4"/>
    <w:multiLevelType w:val="multilevel"/>
    <w:tmpl w:val="FCA25B8E"/>
    <w:lvl w:ilvl="0">
      <w:start w:val="7"/>
      <w:numFmt w:val="decimal"/>
      <w:lvlText w:val="%1"/>
      <w:lvlJc w:val="left"/>
      <w:pPr>
        <w:ind w:left="43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3."/>
      <w:lvlJc w:val="left"/>
      <w:pPr>
        <w:ind w:left="1004" w:hanging="720"/>
      </w:pPr>
      <w:rPr>
        <w:rFonts w:ascii="Arial" w:eastAsiaTheme="minorHAnsi" w:hAnsi="Arial" w:cs="Arial"/>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2685964"/>
    <w:multiLevelType w:val="hybridMultilevel"/>
    <w:tmpl w:val="229E6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235FD1"/>
    <w:multiLevelType w:val="hybridMultilevel"/>
    <w:tmpl w:val="1A9669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FB4E4C"/>
    <w:multiLevelType w:val="hybridMultilevel"/>
    <w:tmpl w:val="068A2450"/>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7" w15:restartNumberingAfterBreak="0">
    <w:nsid w:val="569D0A5C"/>
    <w:multiLevelType w:val="hybridMultilevel"/>
    <w:tmpl w:val="5C9667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A493388"/>
    <w:multiLevelType w:val="hybridMultilevel"/>
    <w:tmpl w:val="003E83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15:restartNumberingAfterBreak="0">
    <w:nsid w:val="73902145"/>
    <w:multiLevelType w:val="hybridMultilevel"/>
    <w:tmpl w:val="156423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223256"/>
    <w:multiLevelType w:val="hybridMultilevel"/>
    <w:tmpl w:val="715C31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79B4E2F"/>
    <w:multiLevelType w:val="hybridMultilevel"/>
    <w:tmpl w:val="5F329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C208E6"/>
    <w:multiLevelType w:val="hybridMultilevel"/>
    <w:tmpl w:val="5F329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C02D41"/>
    <w:multiLevelType w:val="hybridMultilevel"/>
    <w:tmpl w:val="BC243D64"/>
    <w:lvl w:ilvl="0" w:tplc="CC0EC7B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9"/>
  </w:num>
  <w:num w:numId="8">
    <w:abstractNumId w:val="13"/>
    <w:lvlOverride w:ilvl="0">
      <w:startOverride w:val="7"/>
    </w:lvlOverride>
    <w:lvlOverride w:ilvl="1">
      <w:startOverride w:val="1"/>
    </w:lvlOverride>
    <w:lvlOverride w:ilvl="2">
      <w:startOverride w:val="1"/>
    </w:lvlOverride>
  </w:num>
  <w:num w:numId="9">
    <w:abstractNumId w:val="14"/>
  </w:num>
  <w:num w:numId="10">
    <w:abstractNumId w:val="8"/>
  </w:num>
  <w:num w:numId="11">
    <w:abstractNumId w:val="20"/>
  </w:num>
  <w:num w:numId="12">
    <w:abstractNumId w:val="21"/>
  </w:num>
  <w:num w:numId="13">
    <w:abstractNumId w:val="24"/>
  </w:num>
  <w:num w:numId="14">
    <w:abstractNumId w:val="17"/>
  </w:num>
  <w:num w:numId="1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2"/>
  </w:num>
  <w:num w:numId="24">
    <w:abstractNumId w:val="6"/>
  </w:num>
  <w:num w:numId="25">
    <w:abstractNumId w:val="15"/>
  </w:num>
  <w:num w:numId="26">
    <w:abstractNumId w:val="23"/>
  </w:num>
  <w:num w:numId="27">
    <w:abstractNumId w:val="5"/>
  </w:num>
  <w:num w:numId="28">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9"/>
  </w:num>
  <w:num w:numId="36">
    <w:abstractNumId w:val="10"/>
  </w:num>
  <w:num w:numId="37">
    <w:abstractNumId w:val="11"/>
  </w:num>
  <w:num w:numId="3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2E"/>
    <w:rsid w:val="00000C4E"/>
    <w:rsid w:val="00001109"/>
    <w:rsid w:val="00001245"/>
    <w:rsid w:val="00002B22"/>
    <w:rsid w:val="000032B0"/>
    <w:rsid w:val="00004170"/>
    <w:rsid w:val="000041CE"/>
    <w:rsid w:val="0000546D"/>
    <w:rsid w:val="00011F99"/>
    <w:rsid w:val="0001225B"/>
    <w:rsid w:val="00013538"/>
    <w:rsid w:val="0001377B"/>
    <w:rsid w:val="00013DC7"/>
    <w:rsid w:val="00014859"/>
    <w:rsid w:val="000156ED"/>
    <w:rsid w:val="00015E2E"/>
    <w:rsid w:val="00016ED1"/>
    <w:rsid w:val="0001793A"/>
    <w:rsid w:val="00017F77"/>
    <w:rsid w:val="00024864"/>
    <w:rsid w:val="00027326"/>
    <w:rsid w:val="000302FF"/>
    <w:rsid w:val="000307D2"/>
    <w:rsid w:val="000329F4"/>
    <w:rsid w:val="00035BB0"/>
    <w:rsid w:val="000363D0"/>
    <w:rsid w:val="0003646C"/>
    <w:rsid w:val="000415DD"/>
    <w:rsid w:val="000421D2"/>
    <w:rsid w:val="00044BE9"/>
    <w:rsid w:val="00045747"/>
    <w:rsid w:val="00046725"/>
    <w:rsid w:val="000503C2"/>
    <w:rsid w:val="0005100F"/>
    <w:rsid w:val="00052E0C"/>
    <w:rsid w:val="00053175"/>
    <w:rsid w:val="000545E4"/>
    <w:rsid w:val="000550F6"/>
    <w:rsid w:val="00055BD6"/>
    <w:rsid w:val="0005718A"/>
    <w:rsid w:val="00060603"/>
    <w:rsid w:val="000629FE"/>
    <w:rsid w:val="00063F74"/>
    <w:rsid w:val="00065FE0"/>
    <w:rsid w:val="000712B8"/>
    <w:rsid w:val="00073116"/>
    <w:rsid w:val="00073D54"/>
    <w:rsid w:val="00074213"/>
    <w:rsid w:val="00075CE0"/>
    <w:rsid w:val="000800F1"/>
    <w:rsid w:val="00080836"/>
    <w:rsid w:val="000835B6"/>
    <w:rsid w:val="00083F1B"/>
    <w:rsid w:val="000877D1"/>
    <w:rsid w:val="00087EF3"/>
    <w:rsid w:val="00090F72"/>
    <w:rsid w:val="000A0F46"/>
    <w:rsid w:val="000A2E25"/>
    <w:rsid w:val="000A540A"/>
    <w:rsid w:val="000A75A3"/>
    <w:rsid w:val="000B0AD7"/>
    <w:rsid w:val="000B177A"/>
    <w:rsid w:val="000B4E4D"/>
    <w:rsid w:val="000B4E82"/>
    <w:rsid w:val="000B4ED0"/>
    <w:rsid w:val="000B5634"/>
    <w:rsid w:val="000B5B3B"/>
    <w:rsid w:val="000C0E23"/>
    <w:rsid w:val="000C21BE"/>
    <w:rsid w:val="000C4AFB"/>
    <w:rsid w:val="000C54D0"/>
    <w:rsid w:val="000C58FB"/>
    <w:rsid w:val="000D2A32"/>
    <w:rsid w:val="000D3181"/>
    <w:rsid w:val="000D4A6B"/>
    <w:rsid w:val="000D6DF4"/>
    <w:rsid w:val="000E2AC1"/>
    <w:rsid w:val="000E3CBA"/>
    <w:rsid w:val="000E4477"/>
    <w:rsid w:val="000E4570"/>
    <w:rsid w:val="000E4F68"/>
    <w:rsid w:val="000F05BD"/>
    <w:rsid w:val="000F06A9"/>
    <w:rsid w:val="000F087D"/>
    <w:rsid w:val="000F231E"/>
    <w:rsid w:val="000F5CEF"/>
    <w:rsid w:val="000F77C8"/>
    <w:rsid w:val="001009A1"/>
    <w:rsid w:val="001015F7"/>
    <w:rsid w:val="00104D4C"/>
    <w:rsid w:val="001053F1"/>
    <w:rsid w:val="001067F9"/>
    <w:rsid w:val="001113A8"/>
    <w:rsid w:val="00112CA6"/>
    <w:rsid w:val="00114675"/>
    <w:rsid w:val="00117D17"/>
    <w:rsid w:val="00120C0C"/>
    <w:rsid w:val="00121A94"/>
    <w:rsid w:val="00121E78"/>
    <w:rsid w:val="001223EF"/>
    <w:rsid w:val="00124809"/>
    <w:rsid w:val="0013046D"/>
    <w:rsid w:val="001315A3"/>
    <w:rsid w:val="00131FDF"/>
    <w:rsid w:val="001324B2"/>
    <w:rsid w:val="00133D39"/>
    <w:rsid w:val="00137563"/>
    <w:rsid w:val="00145054"/>
    <w:rsid w:val="00146748"/>
    <w:rsid w:val="00151741"/>
    <w:rsid w:val="00152CAD"/>
    <w:rsid w:val="00154A40"/>
    <w:rsid w:val="00155CF0"/>
    <w:rsid w:val="001561DF"/>
    <w:rsid w:val="00156509"/>
    <w:rsid w:val="001617DE"/>
    <w:rsid w:val="00164722"/>
    <w:rsid w:val="001666F6"/>
    <w:rsid w:val="00166D72"/>
    <w:rsid w:val="001702BD"/>
    <w:rsid w:val="001704BB"/>
    <w:rsid w:val="0017053F"/>
    <w:rsid w:val="001717A9"/>
    <w:rsid w:val="00181BAC"/>
    <w:rsid w:val="001856FF"/>
    <w:rsid w:val="001865F2"/>
    <w:rsid w:val="001903DA"/>
    <w:rsid w:val="00193DEE"/>
    <w:rsid w:val="00196358"/>
    <w:rsid w:val="001A02A1"/>
    <w:rsid w:val="001A4F3A"/>
    <w:rsid w:val="001A59D1"/>
    <w:rsid w:val="001A66F8"/>
    <w:rsid w:val="001A6A17"/>
    <w:rsid w:val="001A75BA"/>
    <w:rsid w:val="001B06B9"/>
    <w:rsid w:val="001B5212"/>
    <w:rsid w:val="001B637F"/>
    <w:rsid w:val="001B7E68"/>
    <w:rsid w:val="001C087A"/>
    <w:rsid w:val="001C0901"/>
    <w:rsid w:val="001C15EC"/>
    <w:rsid w:val="001C1EFD"/>
    <w:rsid w:val="001C1FF7"/>
    <w:rsid w:val="001C6DCB"/>
    <w:rsid w:val="001D03B4"/>
    <w:rsid w:val="001D2E86"/>
    <w:rsid w:val="001D3ADE"/>
    <w:rsid w:val="001D55C2"/>
    <w:rsid w:val="001D70E9"/>
    <w:rsid w:val="001D739E"/>
    <w:rsid w:val="001E6009"/>
    <w:rsid w:val="001E66B2"/>
    <w:rsid w:val="001E73E7"/>
    <w:rsid w:val="0020003D"/>
    <w:rsid w:val="00200E37"/>
    <w:rsid w:val="0020144D"/>
    <w:rsid w:val="00203366"/>
    <w:rsid w:val="00204013"/>
    <w:rsid w:val="00206641"/>
    <w:rsid w:val="00206C51"/>
    <w:rsid w:val="00207C56"/>
    <w:rsid w:val="00210B45"/>
    <w:rsid w:val="002113F7"/>
    <w:rsid w:val="0021282F"/>
    <w:rsid w:val="00212CF5"/>
    <w:rsid w:val="0021495D"/>
    <w:rsid w:val="002149DD"/>
    <w:rsid w:val="00215E21"/>
    <w:rsid w:val="00220701"/>
    <w:rsid w:val="002233EE"/>
    <w:rsid w:val="00224F1C"/>
    <w:rsid w:val="00232C26"/>
    <w:rsid w:val="00232DF6"/>
    <w:rsid w:val="00233CDF"/>
    <w:rsid w:val="00235135"/>
    <w:rsid w:val="002359A5"/>
    <w:rsid w:val="00235F1D"/>
    <w:rsid w:val="002363B9"/>
    <w:rsid w:val="002418FC"/>
    <w:rsid w:val="002424F3"/>
    <w:rsid w:val="00243457"/>
    <w:rsid w:val="00243A49"/>
    <w:rsid w:val="00246A54"/>
    <w:rsid w:val="002470A7"/>
    <w:rsid w:val="00247814"/>
    <w:rsid w:val="002500FB"/>
    <w:rsid w:val="002548C4"/>
    <w:rsid w:val="002558FA"/>
    <w:rsid w:val="002618DF"/>
    <w:rsid w:val="00262176"/>
    <w:rsid w:val="00263144"/>
    <w:rsid w:val="00264CC9"/>
    <w:rsid w:val="00271993"/>
    <w:rsid w:val="00272878"/>
    <w:rsid w:val="0027515B"/>
    <w:rsid w:val="002765BD"/>
    <w:rsid w:val="002801EE"/>
    <w:rsid w:val="0028289A"/>
    <w:rsid w:val="0028298F"/>
    <w:rsid w:val="00282A68"/>
    <w:rsid w:val="0028455B"/>
    <w:rsid w:val="002850CD"/>
    <w:rsid w:val="002852BD"/>
    <w:rsid w:val="002859A9"/>
    <w:rsid w:val="00285CF7"/>
    <w:rsid w:val="00287130"/>
    <w:rsid w:val="00290264"/>
    <w:rsid w:val="00290787"/>
    <w:rsid w:val="00291179"/>
    <w:rsid w:val="00296AE2"/>
    <w:rsid w:val="00296BE8"/>
    <w:rsid w:val="002A0860"/>
    <w:rsid w:val="002A0BFE"/>
    <w:rsid w:val="002A3155"/>
    <w:rsid w:val="002A48B6"/>
    <w:rsid w:val="002A53C3"/>
    <w:rsid w:val="002A5496"/>
    <w:rsid w:val="002A6032"/>
    <w:rsid w:val="002A6E3B"/>
    <w:rsid w:val="002A70D3"/>
    <w:rsid w:val="002A70ED"/>
    <w:rsid w:val="002A7D75"/>
    <w:rsid w:val="002B0DF1"/>
    <w:rsid w:val="002B2C01"/>
    <w:rsid w:val="002B33F1"/>
    <w:rsid w:val="002B5D84"/>
    <w:rsid w:val="002B6C17"/>
    <w:rsid w:val="002C1760"/>
    <w:rsid w:val="002C7B60"/>
    <w:rsid w:val="002D0B28"/>
    <w:rsid w:val="002D0EB3"/>
    <w:rsid w:val="002D1D6F"/>
    <w:rsid w:val="002D3D52"/>
    <w:rsid w:val="002D5875"/>
    <w:rsid w:val="002E000E"/>
    <w:rsid w:val="002E1E8B"/>
    <w:rsid w:val="002E1F51"/>
    <w:rsid w:val="002E486A"/>
    <w:rsid w:val="002E52B2"/>
    <w:rsid w:val="002E5A3B"/>
    <w:rsid w:val="002E61B6"/>
    <w:rsid w:val="002E6924"/>
    <w:rsid w:val="002E73C9"/>
    <w:rsid w:val="002E7A5B"/>
    <w:rsid w:val="002F37F3"/>
    <w:rsid w:val="002F43B6"/>
    <w:rsid w:val="002F47FB"/>
    <w:rsid w:val="002F5E65"/>
    <w:rsid w:val="00300E03"/>
    <w:rsid w:val="00302F79"/>
    <w:rsid w:val="00305C2D"/>
    <w:rsid w:val="00307248"/>
    <w:rsid w:val="003106DB"/>
    <w:rsid w:val="003107AC"/>
    <w:rsid w:val="003122DF"/>
    <w:rsid w:val="00312776"/>
    <w:rsid w:val="0031312A"/>
    <w:rsid w:val="0031455B"/>
    <w:rsid w:val="0032268B"/>
    <w:rsid w:val="003248BE"/>
    <w:rsid w:val="00324B68"/>
    <w:rsid w:val="00331B10"/>
    <w:rsid w:val="00332C50"/>
    <w:rsid w:val="00332FF6"/>
    <w:rsid w:val="00333412"/>
    <w:rsid w:val="00333626"/>
    <w:rsid w:val="003339A3"/>
    <w:rsid w:val="00335F72"/>
    <w:rsid w:val="0034172F"/>
    <w:rsid w:val="003428A2"/>
    <w:rsid w:val="00342938"/>
    <w:rsid w:val="003429E0"/>
    <w:rsid w:val="00346283"/>
    <w:rsid w:val="00346BF6"/>
    <w:rsid w:val="00354152"/>
    <w:rsid w:val="0035464E"/>
    <w:rsid w:val="00354C0C"/>
    <w:rsid w:val="00354F7E"/>
    <w:rsid w:val="003550CD"/>
    <w:rsid w:val="00355933"/>
    <w:rsid w:val="00356311"/>
    <w:rsid w:val="003567CC"/>
    <w:rsid w:val="00357377"/>
    <w:rsid w:val="00360214"/>
    <w:rsid w:val="00363A68"/>
    <w:rsid w:val="00363B17"/>
    <w:rsid w:val="00364436"/>
    <w:rsid w:val="00366E37"/>
    <w:rsid w:val="0036754E"/>
    <w:rsid w:val="00367F94"/>
    <w:rsid w:val="00370504"/>
    <w:rsid w:val="00371B0F"/>
    <w:rsid w:val="00372AAD"/>
    <w:rsid w:val="003738F0"/>
    <w:rsid w:val="00373971"/>
    <w:rsid w:val="00375E5A"/>
    <w:rsid w:val="003827EF"/>
    <w:rsid w:val="00385593"/>
    <w:rsid w:val="00390E00"/>
    <w:rsid w:val="00391A80"/>
    <w:rsid w:val="00392847"/>
    <w:rsid w:val="00395A52"/>
    <w:rsid w:val="003971CF"/>
    <w:rsid w:val="003A1F12"/>
    <w:rsid w:val="003A219E"/>
    <w:rsid w:val="003A5578"/>
    <w:rsid w:val="003A5E10"/>
    <w:rsid w:val="003A6512"/>
    <w:rsid w:val="003B195A"/>
    <w:rsid w:val="003B1E1D"/>
    <w:rsid w:val="003B23CD"/>
    <w:rsid w:val="003B3A0A"/>
    <w:rsid w:val="003B4710"/>
    <w:rsid w:val="003B4DFA"/>
    <w:rsid w:val="003B613E"/>
    <w:rsid w:val="003B7E53"/>
    <w:rsid w:val="003C1985"/>
    <w:rsid w:val="003C1CEF"/>
    <w:rsid w:val="003C287C"/>
    <w:rsid w:val="003C6E51"/>
    <w:rsid w:val="003C751A"/>
    <w:rsid w:val="003C7C3A"/>
    <w:rsid w:val="003D01B9"/>
    <w:rsid w:val="003D11F0"/>
    <w:rsid w:val="003D4788"/>
    <w:rsid w:val="003D6F1C"/>
    <w:rsid w:val="003E1E7E"/>
    <w:rsid w:val="003E27C7"/>
    <w:rsid w:val="003E2D65"/>
    <w:rsid w:val="003E3650"/>
    <w:rsid w:val="003E36B5"/>
    <w:rsid w:val="003E42D6"/>
    <w:rsid w:val="003E56DE"/>
    <w:rsid w:val="003E5C8C"/>
    <w:rsid w:val="003E7BE5"/>
    <w:rsid w:val="003F39A5"/>
    <w:rsid w:val="003F5B3F"/>
    <w:rsid w:val="003F6BE6"/>
    <w:rsid w:val="00400A30"/>
    <w:rsid w:val="004010BB"/>
    <w:rsid w:val="00403B59"/>
    <w:rsid w:val="00404D79"/>
    <w:rsid w:val="00404FC1"/>
    <w:rsid w:val="0041249C"/>
    <w:rsid w:val="00416159"/>
    <w:rsid w:val="00421A27"/>
    <w:rsid w:val="0042209E"/>
    <w:rsid w:val="00422EA4"/>
    <w:rsid w:val="00425ACF"/>
    <w:rsid w:val="0042631D"/>
    <w:rsid w:val="0043130C"/>
    <w:rsid w:val="00433166"/>
    <w:rsid w:val="00435BC3"/>
    <w:rsid w:val="00436F04"/>
    <w:rsid w:val="004376D8"/>
    <w:rsid w:val="00437BB7"/>
    <w:rsid w:val="0044054F"/>
    <w:rsid w:val="00443F5A"/>
    <w:rsid w:val="004463D9"/>
    <w:rsid w:val="004513E2"/>
    <w:rsid w:val="00452784"/>
    <w:rsid w:val="0045385C"/>
    <w:rsid w:val="00454637"/>
    <w:rsid w:val="00454B25"/>
    <w:rsid w:val="004552A9"/>
    <w:rsid w:val="00455404"/>
    <w:rsid w:val="00460239"/>
    <w:rsid w:val="00462AEA"/>
    <w:rsid w:val="00463C5D"/>
    <w:rsid w:val="004651CE"/>
    <w:rsid w:val="004673DA"/>
    <w:rsid w:val="00470ECD"/>
    <w:rsid w:val="00471C35"/>
    <w:rsid w:val="00472F5E"/>
    <w:rsid w:val="00475E65"/>
    <w:rsid w:val="0047722A"/>
    <w:rsid w:val="00480AAF"/>
    <w:rsid w:val="00482F37"/>
    <w:rsid w:val="00485F9C"/>
    <w:rsid w:val="004862A7"/>
    <w:rsid w:val="00486D97"/>
    <w:rsid w:val="00487D23"/>
    <w:rsid w:val="004929EA"/>
    <w:rsid w:val="004963DB"/>
    <w:rsid w:val="00496431"/>
    <w:rsid w:val="004A0655"/>
    <w:rsid w:val="004A2983"/>
    <w:rsid w:val="004A2BFE"/>
    <w:rsid w:val="004A4BCF"/>
    <w:rsid w:val="004A677F"/>
    <w:rsid w:val="004A6C9F"/>
    <w:rsid w:val="004A7CA2"/>
    <w:rsid w:val="004B03BB"/>
    <w:rsid w:val="004B0FC1"/>
    <w:rsid w:val="004B1C0D"/>
    <w:rsid w:val="004B35F3"/>
    <w:rsid w:val="004B368D"/>
    <w:rsid w:val="004B56E9"/>
    <w:rsid w:val="004B5770"/>
    <w:rsid w:val="004B60EF"/>
    <w:rsid w:val="004B7BE8"/>
    <w:rsid w:val="004C0C38"/>
    <w:rsid w:val="004C0E5C"/>
    <w:rsid w:val="004C32DB"/>
    <w:rsid w:val="004C34D5"/>
    <w:rsid w:val="004C3805"/>
    <w:rsid w:val="004C6F72"/>
    <w:rsid w:val="004C7FC7"/>
    <w:rsid w:val="004D0F58"/>
    <w:rsid w:val="004D1094"/>
    <w:rsid w:val="004D1843"/>
    <w:rsid w:val="004D1E4F"/>
    <w:rsid w:val="004D3F7F"/>
    <w:rsid w:val="004D596E"/>
    <w:rsid w:val="004D5B31"/>
    <w:rsid w:val="004D6283"/>
    <w:rsid w:val="004E02F6"/>
    <w:rsid w:val="004F19D3"/>
    <w:rsid w:val="004F1D14"/>
    <w:rsid w:val="004F231F"/>
    <w:rsid w:val="004F2F79"/>
    <w:rsid w:val="004F7146"/>
    <w:rsid w:val="004F7327"/>
    <w:rsid w:val="004F74EE"/>
    <w:rsid w:val="004F79AF"/>
    <w:rsid w:val="00500972"/>
    <w:rsid w:val="00502188"/>
    <w:rsid w:val="0050388B"/>
    <w:rsid w:val="00505B6B"/>
    <w:rsid w:val="005070E0"/>
    <w:rsid w:val="005101FF"/>
    <w:rsid w:val="00511408"/>
    <w:rsid w:val="005115BF"/>
    <w:rsid w:val="00513BE9"/>
    <w:rsid w:val="00515A9D"/>
    <w:rsid w:val="005169D8"/>
    <w:rsid w:val="00517DEA"/>
    <w:rsid w:val="00521CC4"/>
    <w:rsid w:val="00521D11"/>
    <w:rsid w:val="005244BE"/>
    <w:rsid w:val="005256D2"/>
    <w:rsid w:val="00525D8C"/>
    <w:rsid w:val="00526DF9"/>
    <w:rsid w:val="005301C5"/>
    <w:rsid w:val="0053119B"/>
    <w:rsid w:val="0053287F"/>
    <w:rsid w:val="00532D1E"/>
    <w:rsid w:val="00533B18"/>
    <w:rsid w:val="00534C30"/>
    <w:rsid w:val="00536FAF"/>
    <w:rsid w:val="005373B0"/>
    <w:rsid w:val="00537DFD"/>
    <w:rsid w:val="00543C87"/>
    <w:rsid w:val="005449C8"/>
    <w:rsid w:val="00547EC5"/>
    <w:rsid w:val="00550DFD"/>
    <w:rsid w:val="00550EED"/>
    <w:rsid w:val="00550F61"/>
    <w:rsid w:val="005522FA"/>
    <w:rsid w:val="00552A53"/>
    <w:rsid w:val="00553342"/>
    <w:rsid w:val="005619D6"/>
    <w:rsid w:val="00562FC0"/>
    <w:rsid w:val="00564994"/>
    <w:rsid w:val="00564F7F"/>
    <w:rsid w:val="005658B8"/>
    <w:rsid w:val="00565ABB"/>
    <w:rsid w:val="005719D7"/>
    <w:rsid w:val="00573F3B"/>
    <w:rsid w:val="00577031"/>
    <w:rsid w:val="005808E9"/>
    <w:rsid w:val="00583D47"/>
    <w:rsid w:val="0058450D"/>
    <w:rsid w:val="0058726D"/>
    <w:rsid w:val="00595EE2"/>
    <w:rsid w:val="00597089"/>
    <w:rsid w:val="00597A55"/>
    <w:rsid w:val="00597F7E"/>
    <w:rsid w:val="005A0697"/>
    <w:rsid w:val="005A5070"/>
    <w:rsid w:val="005B13E1"/>
    <w:rsid w:val="005B1540"/>
    <w:rsid w:val="005B2AE1"/>
    <w:rsid w:val="005B3A58"/>
    <w:rsid w:val="005B42D4"/>
    <w:rsid w:val="005B4436"/>
    <w:rsid w:val="005B63E9"/>
    <w:rsid w:val="005C041C"/>
    <w:rsid w:val="005C07BD"/>
    <w:rsid w:val="005C4171"/>
    <w:rsid w:val="005C6D86"/>
    <w:rsid w:val="005C7B53"/>
    <w:rsid w:val="005D05B4"/>
    <w:rsid w:val="005D140F"/>
    <w:rsid w:val="005D1C5C"/>
    <w:rsid w:val="005D1DED"/>
    <w:rsid w:val="005D260E"/>
    <w:rsid w:val="005D453A"/>
    <w:rsid w:val="005D62D6"/>
    <w:rsid w:val="005D7F4B"/>
    <w:rsid w:val="005E1D14"/>
    <w:rsid w:val="005E3700"/>
    <w:rsid w:val="005E40F8"/>
    <w:rsid w:val="005E46FD"/>
    <w:rsid w:val="005E4F40"/>
    <w:rsid w:val="005F0B45"/>
    <w:rsid w:val="005F160A"/>
    <w:rsid w:val="005F224B"/>
    <w:rsid w:val="005F25ED"/>
    <w:rsid w:val="005F3205"/>
    <w:rsid w:val="005F343B"/>
    <w:rsid w:val="005F3EBF"/>
    <w:rsid w:val="005F42A8"/>
    <w:rsid w:val="005F4A96"/>
    <w:rsid w:val="005F5965"/>
    <w:rsid w:val="005F5D1F"/>
    <w:rsid w:val="005F7E64"/>
    <w:rsid w:val="006004D1"/>
    <w:rsid w:val="0060347A"/>
    <w:rsid w:val="0060385E"/>
    <w:rsid w:val="006044EC"/>
    <w:rsid w:val="0060667E"/>
    <w:rsid w:val="006079A2"/>
    <w:rsid w:val="006133A0"/>
    <w:rsid w:val="00614D54"/>
    <w:rsid w:val="00617AEE"/>
    <w:rsid w:val="00617D9C"/>
    <w:rsid w:val="00624959"/>
    <w:rsid w:val="00633711"/>
    <w:rsid w:val="00641950"/>
    <w:rsid w:val="00641F89"/>
    <w:rsid w:val="00645F31"/>
    <w:rsid w:val="00646C03"/>
    <w:rsid w:val="00647761"/>
    <w:rsid w:val="0065121B"/>
    <w:rsid w:val="00651360"/>
    <w:rsid w:val="00653CB1"/>
    <w:rsid w:val="00655AD7"/>
    <w:rsid w:val="00662574"/>
    <w:rsid w:val="00662D73"/>
    <w:rsid w:val="006645DA"/>
    <w:rsid w:val="00664DBA"/>
    <w:rsid w:val="00670420"/>
    <w:rsid w:val="00672C35"/>
    <w:rsid w:val="00673230"/>
    <w:rsid w:val="0067641D"/>
    <w:rsid w:val="0068015C"/>
    <w:rsid w:val="00682453"/>
    <w:rsid w:val="006825BE"/>
    <w:rsid w:val="00687149"/>
    <w:rsid w:val="00687595"/>
    <w:rsid w:val="00687C74"/>
    <w:rsid w:val="00687CEC"/>
    <w:rsid w:val="00690E2F"/>
    <w:rsid w:val="006934F4"/>
    <w:rsid w:val="006974DB"/>
    <w:rsid w:val="006A3029"/>
    <w:rsid w:val="006A7BB4"/>
    <w:rsid w:val="006B3398"/>
    <w:rsid w:val="006B423F"/>
    <w:rsid w:val="006B4CE1"/>
    <w:rsid w:val="006B78B0"/>
    <w:rsid w:val="006B79C8"/>
    <w:rsid w:val="006C278B"/>
    <w:rsid w:val="006C28BB"/>
    <w:rsid w:val="006C2CC0"/>
    <w:rsid w:val="006C44C0"/>
    <w:rsid w:val="006C7D53"/>
    <w:rsid w:val="006D2E7F"/>
    <w:rsid w:val="006D60AE"/>
    <w:rsid w:val="006D6B40"/>
    <w:rsid w:val="006E00F9"/>
    <w:rsid w:val="006E0A61"/>
    <w:rsid w:val="006E0B9F"/>
    <w:rsid w:val="006E3522"/>
    <w:rsid w:val="006E3544"/>
    <w:rsid w:val="006E52E6"/>
    <w:rsid w:val="006E66B5"/>
    <w:rsid w:val="006F033D"/>
    <w:rsid w:val="006F0C88"/>
    <w:rsid w:val="006F3200"/>
    <w:rsid w:val="006F5166"/>
    <w:rsid w:val="006F62B3"/>
    <w:rsid w:val="00700657"/>
    <w:rsid w:val="00701F11"/>
    <w:rsid w:val="00702BD5"/>
    <w:rsid w:val="00703FF2"/>
    <w:rsid w:val="00704417"/>
    <w:rsid w:val="00710EF4"/>
    <w:rsid w:val="00712C0E"/>
    <w:rsid w:val="0071558B"/>
    <w:rsid w:val="007168A8"/>
    <w:rsid w:val="00721D6E"/>
    <w:rsid w:val="007225AC"/>
    <w:rsid w:val="0072314B"/>
    <w:rsid w:val="0072552C"/>
    <w:rsid w:val="0072556F"/>
    <w:rsid w:val="00725FB9"/>
    <w:rsid w:val="0072666F"/>
    <w:rsid w:val="00726D37"/>
    <w:rsid w:val="007270AE"/>
    <w:rsid w:val="00730629"/>
    <w:rsid w:val="00731122"/>
    <w:rsid w:val="00731735"/>
    <w:rsid w:val="00732537"/>
    <w:rsid w:val="00733002"/>
    <w:rsid w:val="0073307F"/>
    <w:rsid w:val="00737521"/>
    <w:rsid w:val="00737CE9"/>
    <w:rsid w:val="00746BE2"/>
    <w:rsid w:val="00746CB0"/>
    <w:rsid w:val="00747266"/>
    <w:rsid w:val="0074736D"/>
    <w:rsid w:val="007478DD"/>
    <w:rsid w:val="00750901"/>
    <w:rsid w:val="00751654"/>
    <w:rsid w:val="007521A0"/>
    <w:rsid w:val="00752244"/>
    <w:rsid w:val="00752C1E"/>
    <w:rsid w:val="00753899"/>
    <w:rsid w:val="007557A4"/>
    <w:rsid w:val="0075662C"/>
    <w:rsid w:val="00756D9A"/>
    <w:rsid w:val="0076158B"/>
    <w:rsid w:val="00764881"/>
    <w:rsid w:val="007676B0"/>
    <w:rsid w:val="00773FA7"/>
    <w:rsid w:val="007751C2"/>
    <w:rsid w:val="00776E50"/>
    <w:rsid w:val="00780057"/>
    <w:rsid w:val="00780A7F"/>
    <w:rsid w:val="00781346"/>
    <w:rsid w:val="00781561"/>
    <w:rsid w:val="00784988"/>
    <w:rsid w:val="00784AE7"/>
    <w:rsid w:val="0078612E"/>
    <w:rsid w:val="00790636"/>
    <w:rsid w:val="0079178D"/>
    <w:rsid w:val="00791D3C"/>
    <w:rsid w:val="0079344F"/>
    <w:rsid w:val="00794FF1"/>
    <w:rsid w:val="007A173E"/>
    <w:rsid w:val="007A6224"/>
    <w:rsid w:val="007A6CC1"/>
    <w:rsid w:val="007A737E"/>
    <w:rsid w:val="007A7755"/>
    <w:rsid w:val="007B0242"/>
    <w:rsid w:val="007B082D"/>
    <w:rsid w:val="007B0D09"/>
    <w:rsid w:val="007B38F9"/>
    <w:rsid w:val="007B3D51"/>
    <w:rsid w:val="007C01E8"/>
    <w:rsid w:val="007C0B64"/>
    <w:rsid w:val="007C1619"/>
    <w:rsid w:val="007C357E"/>
    <w:rsid w:val="007C3C2F"/>
    <w:rsid w:val="007C5BE3"/>
    <w:rsid w:val="007D0FF1"/>
    <w:rsid w:val="007D48FF"/>
    <w:rsid w:val="007D75AD"/>
    <w:rsid w:val="007E007A"/>
    <w:rsid w:val="007E428F"/>
    <w:rsid w:val="007E6CF7"/>
    <w:rsid w:val="007E711D"/>
    <w:rsid w:val="007E72F6"/>
    <w:rsid w:val="007E7BD8"/>
    <w:rsid w:val="007F0158"/>
    <w:rsid w:val="007F4667"/>
    <w:rsid w:val="007F4DBC"/>
    <w:rsid w:val="008016CF"/>
    <w:rsid w:val="0080200B"/>
    <w:rsid w:val="00802FCF"/>
    <w:rsid w:val="008047B4"/>
    <w:rsid w:val="008063D6"/>
    <w:rsid w:val="00810E95"/>
    <w:rsid w:val="00812965"/>
    <w:rsid w:val="00812FB9"/>
    <w:rsid w:val="008153C5"/>
    <w:rsid w:val="00816668"/>
    <w:rsid w:val="008166D8"/>
    <w:rsid w:val="00817754"/>
    <w:rsid w:val="008212FF"/>
    <w:rsid w:val="00824B06"/>
    <w:rsid w:val="00826068"/>
    <w:rsid w:val="00832BC0"/>
    <w:rsid w:val="008348B9"/>
    <w:rsid w:val="00836615"/>
    <w:rsid w:val="008403B0"/>
    <w:rsid w:val="00841837"/>
    <w:rsid w:val="0084247E"/>
    <w:rsid w:val="00850691"/>
    <w:rsid w:val="008546EC"/>
    <w:rsid w:val="00856CB4"/>
    <w:rsid w:val="0085737C"/>
    <w:rsid w:val="00860B83"/>
    <w:rsid w:val="0086238C"/>
    <w:rsid w:val="008647F9"/>
    <w:rsid w:val="00864B6A"/>
    <w:rsid w:val="00865A5B"/>
    <w:rsid w:val="00876255"/>
    <w:rsid w:val="00877036"/>
    <w:rsid w:val="00880EEB"/>
    <w:rsid w:val="00881854"/>
    <w:rsid w:val="00881DE5"/>
    <w:rsid w:val="00883B2D"/>
    <w:rsid w:val="008848CB"/>
    <w:rsid w:val="00884BC4"/>
    <w:rsid w:val="00886A55"/>
    <w:rsid w:val="008901FE"/>
    <w:rsid w:val="00893DE1"/>
    <w:rsid w:val="00894228"/>
    <w:rsid w:val="00894954"/>
    <w:rsid w:val="00894A5E"/>
    <w:rsid w:val="008952CA"/>
    <w:rsid w:val="008A5975"/>
    <w:rsid w:val="008A67EA"/>
    <w:rsid w:val="008B367C"/>
    <w:rsid w:val="008B50DD"/>
    <w:rsid w:val="008B6408"/>
    <w:rsid w:val="008B749B"/>
    <w:rsid w:val="008C0D87"/>
    <w:rsid w:val="008C129B"/>
    <w:rsid w:val="008C5F7D"/>
    <w:rsid w:val="008C74D7"/>
    <w:rsid w:val="008D427F"/>
    <w:rsid w:val="008D5F1D"/>
    <w:rsid w:val="008D7A46"/>
    <w:rsid w:val="008D7A52"/>
    <w:rsid w:val="008E09AE"/>
    <w:rsid w:val="008E1416"/>
    <w:rsid w:val="008E2400"/>
    <w:rsid w:val="008E3B00"/>
    <w:rsid w:val="008E41BA"/>
    <w:rsid w:val="008E5523"/>
    <w:rsid w:val="008E5BD9"/>
    <w:rsid w:val="008E6893"/>
    <w:rsid w:val="008E7034"/>
    <w:rsid w:val="008E7E19"/>
    <w:rsid w:val="008F2324"/>
    <w:rsid w:val="008F2941"/>
    <w:rsid w:val="008F2B87"/>
    <w:rsid w:val="008F4FDF"/>
    <w:rsid w:val="008F588C"/>
    <w:rsid w:val="009015D6"/>
    <w:rsid w:val="00905BAC"/>
    <w:rsid w:val="00906142"/>
    <w:rsid w:val="00906ACB"/>
    <w:rsid w:val="00910B75"/>
    <w:rsid w:val="00910E4B"/>
    <w:rsid w:val="00912AD6"/>
    <w:rsid w:val="00912C66"/>
    <w:rsid w:val="00913DE1"/>
    <w:rsid w:val="00915A97"/>
    <w:rsid w:val="00916EBA"/>
    <w:rsid w:val="00920520"/>
    <w:rsid w:val="009245D0"/>
    <w:rsid w:val="00924BB0"/>
    <w:rsid w:val="0092601F"/>
    <w:rsid w:val="00927BAA"/>
    <w:rsid w:val="00927BF1"/>
    <w:rsid w:val="0093031D"/>
    <w:rsid w:val="00930B97"/>
    <w:rsid w:val="00934D46"/>
    <w:rsid w:val="00935FA4"/>
    <w:rsid w:val="009429B3"/>
    <w:rsid w:val="00942F07"/>
    <w:rsid w:val="00943364"/>
    <w:rsid w:val="00943C7F"/>
    <w:rsid w:val="0094616A"/>
    <w:rsid w:val="00947DE8"/>
    <w:rsid w:val="00950835"/>
    <w:rsid w:val="009509B6"/>
    <w:rsid w:val="00950B62"/>
    <w:rsid w:val="00951D15"/>
    <w:rsid w:val="0095321E"/>
    <w:rsid w:val="00954694"/>
    <w:rsid w:val="00954EBE"/>
    <w:rsid w:val="00955D73"/>
    <w:rsid w:val="0096018B"/>
    <w:rsid w:val="00961707"/>
    <w:rsid w:val="00962043"/>
    <w:rsid w:val="00963075"/>
    <w:rsid w:val="00965E1F"/>
    <w:rsid w:val="00970221"/>
    <w:rsid w:val="009707D1"/>
    <w:rsid w:val="0097099F"/>
    <w:rsid w:val="00970B3C"/>
    <w:rsid w:val="00970BE2"/>
    <w:rsid w:val="00970F50"/>
    <w:rsid w:val="009711CA"/>
    <w:rsid w:val="009731E7"/>
    <w:rsid w:val="00973E7D"/>
    <w:rsid w:val="00975BA7"/>
    <w:rsid w:val="0097688E"/>
    <w:rsid w:val="00976D0A"/>
    <w:rsid w:val="00976FB8"/>
    <w:rsid w:val="00980D33"/>
    <w:rsid w:val="0098182D"/>
    <w:rsid w:val="00982CA6"/>
    <w:rsid w:val="00987E29"/>
    <w:rsid w:val="00991BDF"/>
    <w:rsid w:val="00992587"/>
    <w:rsid w:val="009926A0"/>
    <w:rsid w:val="0099770C"/>
    <w:rsid w:val="00997955"/>
    <w:rsid w:val="009A0204"/>
    <w:rsid w:val="009A6871"/>
    <w:rsid w:val="009A7210"/>
    <w:rsid w:val="009B2207"/>
    <w:rsid w:val="009B2C69"/>
    <w:rsid w:val="009B5EFB"/>
    <w:rsid w:val="009B6845"/>
    <w:rsid w:val="009B7489"/>
    <w:rsid w:val="009C289C"/>
    <w:rsid w:val="009C3321"/>
    <w:rsid w:val="009C417B"/>
    <w:rsid w:val="009C5343"/>
    <w:rsid w:val="009C679E"/>
    <w:rsid w:val="009C7531"/>
    <w:rsid w:val="009D01F9"/>
    <w:rsid w:val="009D0FC6"/>
    <w:rsid w:val="009D134E"/>
    <w:rsid w:val="009D18C9"/>
    <w:rsid w:val="009D240F"/>
    <w:rsid w:val="009D5017"/>
    <w:rsid w:val="009D5502"/>
    <w:rsid w:val="009D6817"/>
    <w:rsid w:val="009D7687"/>
    <w:rsid w:val="009E16B2"/>
    <w:rsid w:val="009E1F43"/>
    <w:rsid w:val="009E2AA9"/>
    <w:rsid w:val="009E34FC"/>
    <w:rsid w:val="009E56BC"/>
    <w:rsid w:val="009E5C2E"/>
    <w:rsid w:val="009E6721"/>
    <w:rsid w:val="009E6D5A"/>
    <w:rsid w:val="009E78F5"/>
    <w:rsid w:val="009F0222"/>
    <w:rsid w:val="009F3294"/>
    <w:rsid w:val="009F34E3"/>
    <w:rsid w:val="009F4051"/>
    <w:rsid w:val="009F45D7"/>
    <w:rsid w:val="009F518D"/>
    <w:rsid w:val="009F7F56"/>
    <w:rsid w:val="00A05161"/>
    <w:rsid w:val="00A05BC9"/>
    <w:rsid w:val="00A070DD"/>
    <w:rsid w:val="00A11528"/>
    <w:rsid w:val="00A12E19"/>
    <w:rsid w:val="00A150BC"/>
    <w:rsid w:val="00A16A2D"/>
    <w:rsid w:val="00A24676"/>
    <w:rsid w:val="00A24991"/>
    <w:rsid w:val="00A276DE"/>
    <w:rsid w:val="00A346B4"/>
    <w:rsid w:val="00A36562"/>
    <w:rsid w:val="00A3681B"/>
    <w:rsid w:val="00A37B76"/>
    <w:rsid w:val="00A4031D"/>
    <w:rsid w:val="00A40D42"/>
    <w:rsid w:val="00A50AFA"/>
    <w:rsid w:val="00A52FC9"/>
    <w:rsid w:val="00A53013"/>
    <w:rsid w:val="00A53C69"/>
    <w:rsid w:val="00A54D40"/>
    <w:rsid w:val="00A569C7"/>
    <w:rsid w:val="00A57F50"/>
    <w:rsid w:val="00A615BE"/>
    <w:rsid w:val="00A623DE"/>
    <w:rsid w:val="00A64CB2"/>
    <w:rsid w:val="00A67885"/>
    <w:rsid w:val="00A703F6"/>
    <w:rsid w:val="00A730CA"/>
    <w:rsid w:val="00A73BFC"/>
    <w:rsid w:val="00A74FE0"/>
    <w:rsid w:val="00A76ABD"/>
    <w:rsid w:val="00A77A70"/>
    <w:rsid w:val="00A829C5"/>
    <w:rsid w:val="00A83CBD"/>
    <w:rsid w:val="00A926DB"/>
    <w:rsid w:val="00A9459E"/>
    <w:rsid w:val="00AA0751"/>
    <w:rsid w:val="00AA10F3"/>
    <w:rsid w:val="00AA6577"/>
    <w:rsid w:val="00AA7F73"/>
    <w:rsid w:val="00AB00B8"/>
    <w:rsid w:val="00AB30D6"/>
    <w:rsid w:val="00AB6596"/>
    <w:rsid w:val="00AB7C16"/>
    <w:rsid w:val="00AC017A"/>
    <w:rsid w:val="00AC0CB6"/>
    <w:rsid w:val="00AC23FF"/>
    <w:rsid w:val="00AC2743"/>
    <w:rsid w:val="00AC3157"/>
    <w:rsid w:val="00AC5B5D"/>
    <w:rsid w:val="00AC5BE4"/>
    <w:rsid w:val="00AC68D3"/>
    <w:rsid w:val="00AD0D5D"/>
    <w:rsid w:val="00AD23C4"/>
    <w:rsid w:val="00AD42D7"/>
    <w:rsid w:val="00AD6C68"/>
    <w:rsid w:val="00AE01DC"/>
    <w:rsid w:val="00AE04F8"/>
    <w:rsid w:val="00AE425D"/>
    <w:rsid w:val="00AE42E7"/>
    <w:rsid w:val="00AE4FDC"/>
    <w:rsid w:val="00AE51C8"/>
    <w:rsid w:val="00AE65B4"/>
    <w:rsid w:val="00AF12C0"/>
    <w:rsid w:val="00AF32FD"/>
    <w:rsid w:val="00AF3620"/>
    <w:rsid w:val="00AF6695"/>
    <w:rsid w:val="00AF714E"/>
    <w:rsid w:val="00B002F9"/>
    <w:rsid w:val="00B010CB"/>
    <w:rsid w:val="00B014B1"/>
    <w:rsid w:val="00B015FE"/>
    <w:rsid w:val="00B02153"/>
    <w:rsid w:val="00B0465A"/>
    <w:rsid w:val="00B10B51"/>
    <w:rsid w:val="00B1303F"/>
    <w:rsid w:val="00B135CA"/>
    <w:rsid w:val="00B20BD3"/>
    <w:rsid w:val="00B21B71"/>
    <w:rsid w:val="00B24411"/>
    <w:rsid w:val="00B27C44"/>
    <w:rsid w:val="00B27F2F"/>
    <w:rsid w:val="00B31D2B"/>
    <w:rsid w:val="00B3220E"/>
    <w:rsid w:val="00B32BF8"/>
    <w:rsid w:val="00B34AB5"/>
    <w:rsid w:val="00B35919"/>
    <w:rsid w:val="00B35B97"/>
    <w:rsid w:val="00B4176A"/>
    <w:rsid w:val="00B456EA"/>
    <w:rsid w:val="00B45CEA"/>
    <w:rsid w:val="00B47D91"/>
    <w:rsid w:val="00B509E5"/>
    <w:rsid w:val="00B55538"/>
    <w:rsid w:val="00B55915"/>
    <w:rsid w:val="00B55CE6"/>
    <w:rsid w:val="00B5625D"/>
    <w:rsid w:val="00B56527"/>
    <w:rsid w:val="00B57322"/>
    <w:rsid w:val="00B600BB"/>
    <w:rsid w:val="00B60C81"/>
    <w:rsid w:val="00B612CC"/>
    <w:rsid w:val="00B61C68"/>
    <w:rsid w:val="00B676B2"/>
    <w:rsid w:val="00B72276"/>
    <w:rsid w:val="00B81794"/>
    <w:rsid w:val="00B81B2C"/>
    <w:rsid w:val="00B85AD3"/>
    <w:rsid w:val="00B85C2D"/>
    <w:rsid w:val="00B85C9F"/>
    <w:rsid w:val="00B86D6C"/>
    <w:rsid w:val="00B93678"/>
    <w:rsid w:val="00B93E79"/>
    <w:rsid w:val="00B96461"/>
    <w:rsid w:val="00B9650A"/>
    <w:rsid w:val="00B969E1"/>
    <w:rsid w:val="00BA2303"/>
    <w:rsid w:val="00BA249B"/>
    <w:rsid w:val="00BA345C"/>
    <w:rsid w:val="00BA3772"/>
    <w:rsid w:val="00BA3EC5"/>
    <w:rsid w:val="00BA511B"/>
    <w:rsid w:val="00BA71C0"/>
    <w:rsid w:val="00BB170A"/>
    <w:rsid w:val="00BB1CCB"/>
    <w:rsid w:val="00BB248C"/>
    <w:rsid w:val="00BB355D"/>
    <w:rsid w:val="00BB4B34"/>
    <w:rsid w:val="00BB4C7F"/>
    <w:rsid w:val="00BB590F"/>
    <w:rsid w:val="00BB5EDD"/>
    <w:rsid w:val="00BB6A69"/>
    <w:rsid w:val="00BC152A"/>
    <w:rsid w:val="00BC30EC"/>
    <w:rsid w:val="00BC35E3"/>
    <w:rsid w:val="00BC53DA"/>
    <w:rsid w:val="00BC6E32"/>
    <w:rsid w:val="00BC732D"/>
    <w:rsid w:val="00BD0830"/>
    <w:rsid w:val="00BD2E48"/>
    <w:rsid w:val="00BD354A"/>
    <w:rsid w:val="00BD4220"/>
    <w:rsid w:val="00BD4DE8"/>
    <w:rsid w:val="00BD5515"/>
    <w:rsid w:val="00BD6F49"/>
    <w:rsid w:val="00BE0F60"/>
    <w:rsid w:val="00BE1395"/>
    <w:rsid w:val="00BE573A"/>
    <w:rsid w:val="00BE61B3"/>
    <w:rsid w:val="00BE76E4"/>
    <w:rsid w:val="00BF09EC"/>
    <w:rsid w:val="00BF2629"/>
    <w:rsid w:val="00BF3152"/>
    <w:rsid w:val="00BF3238"/>
    <w:rsid w:val="00BF3FEA"/>
    <w:rsid w:val="00BF5485"/>
    <w:rsid w:val="00BF5692"/>
    <w:rsid w:val="00BF7BBD"/>
    <w:rsid w:val="00C00086"/>
    <w:rsid w:val="00C031F8"/>
    <w:rsid w:val="00C03B2E"/>
    <w:rsid w:val="00C03DA1"/>
    <w:rsid w:val="00C048F6"/>
    <w:rsid w:val="00C0578E"/>
    <w:rsid w:val="00C05FFC"/>
    <w:rsid w:val="00C07C0F"/>
    <w:rsid w:val="00C12B7D"/>
    <w:rsid w:val="00C12C82"/>
    <w:rsid w:val="00C138A4"/>
    <w:rsid w:val="00C13DED"/>
    <w:rsid w:val="00C20353"/>
    <w:rsid w:val="00C20971"/>
    <w:rsid w:val="00C2422E"/>
    <w:rsid w:val="00C243BB"/>
    <w:rsid w:val="00C30ADF"/>
    <w:rsid w:val="00C3492F"/>
    <w:rsid w:val="00C34CEC"/>
    <w:rsid w:val="00C35075"/>
    <w:rsid w:val="00C41EB4"/>
    <w:rsid w:val="00C434A7"/>
    <w:rsid w:val="00C43A25"/>
    <w:rsid w:val="00C44845"/>
    <w:rsid w:val="00C50C4E"/>
    <w:rsid w:val="00C51988"/>
    <w:rsid w:val="00C52C38"/>
    <w:rsid w:val="00C535C9"/>
    <w:rsid w:val="00C55D1C"/>
    <w:rsid w:val="00C56A1E"/>
    <w:rsid w:val="00C64FB0"/>
    <w:rsid w:val="00C71C69"/>
    <w:rsid w:val="00C74C9A"/>
    <w:rsid w:val="00C74D99"/>
    <w:rsid w:val="00C75080"/>
    <w:rsid w:val="00C75FCD"/>
    <w:rsid w:val="00C77B01"/>
    <w:rsid w:val="00C82F3B"/>
    <w:rsid w:val="00C82F55"/>
    <w:rsid w:val="00C86461"/>
    <w:rsid w:val="00C91D4C"/>
    <w:rsid w:val="00C92D9F"/>
    <w:rsid w:val="00C93158"/>
    <w:rsid w:val="00C96254"/>
    <w:rsid w:val="00C96358"/>
    <w:rsid w:val="00C9761E"/>
    <w:rsid w:val="00C97BA6"/>
    <w:rsid w:val="00CA12FB"/>
    <w:rsid w:val="00CA273F"/>
    <w:rsid w:val="00CA346B"/>
    <w:rsid w:val="00CA3E5D"/>
    <w:rsid w:val="00CA3FEF"/>
    <w:rsid w:val="00CA5844"/>
    <w:rsid w:val="00CA5B39"/>
    <w:rsid w:val="00CA730D"/>
    <w:rsid w:val="00CB06D3"/>
    <w:rsid w:val="00CB15E3"/>
    <w:rsid w:val="00CB37C6"/>
    <w:rsid w:val="00CB3F91"/>
    <w:rsid w:val="00CB4D58"/>
    <w:rsid w:val="00CB4E2F"/>
    <w:rsid w:val="00CB586E"/>
    <w:rsid w:val="00CB6138"/>
    <w:rsid w:val="00CB72EE"/>
    <w:rsid w:val="00CC5C46"/>
    <w:rsid w:val="00CC7604"/>
    <w:rsid w:val="00CD1E9C"/>
    <w:rsid w:val="00CD1F3E"/>
    <w:rsid w:val="00CD27A9"/>
    <w:rsid w:val="00CD2BDB"/>
    <w:rsid w:val="00CD33CA"/>
    <w:rsid w:val="00CD444A"/>
    <w:rsid w:val="00CD4776"/>
    <w:rsid w:val="00CD5AE0"/>
    <w:rsid w:val="00CD7B42"/>
    <w:rsid w:val="00CE0CB9"/>
    <w:rsid w:val="00CE1557"/>
    <w:rsid w:val="00CE249C"/>
    <w:rsid w:val="00CE35E7"/>
    <w:rsid w:val="00CE3D63"/>
    <w:rsid w:val="00CE5B6E"/>
    <w:rsid w:val="00CE713A"/>
    <w:rsid w:val="00CE7D8E"/>
    <w:rsid w:val="00CF560D"/>
    <w:rsid w:val="00D0010A"/>
    <w:rsid w:val="00D00211"/>
    <w:rsid w:val="00D01700"/>
    <w:rsid w:val="00D021C3"/>
    <w:rsid w:val="00D024C2"/>
    <w:rsid w:val="00D0432E"/>
    <w:rsid w:val="00D05E90"/>
    <w:rsid w:val="00D06822"/>
    <w:rsid w:val="00D07B81"/>
    <w:rsid w:val="00D1188C"/>
    <w:rsid w:val="00D165B3"/>
    <w:rsid w:val="00D21B28"/>
    <w:rsid w:val="00D21C12"/>
    <w:rsid w:val="00D24374"/>
    <w:rsid w:val="00D24A50"/>
    <w:rsid w:val="00D25815"/>
    <w:rsid w:val="00D2647E"/>
    <w:rsid w:val="00D30127"/>
    <w:rsid w:val="00D32EDA"/>
    <w:rsid w:val="00D33ABB"/>
    <w:rsid w:val="00D36B82"/>
    <w:rsid w:val="00D37826"/>
    <w:rsid w:val="00D403A4"/>
    <w:rsid w:val="00D40C90"/>
    <w:rsid w:val="00D4343D"/>
    <w:rsid w:val="00D450AB"/>
    <w:rsid w:val="00D4695B"/>
    <w:rsid w:val="00D46CB0"/>
    <w:rsid w:val="00D56F95"/>
    <w:rsid w:val="00D615A1"/>
    <w:rsid w:val="00D61699"/>
    <w:rsid w:val="00D63D88"/>
    <w:rsid w:val="00D72116"/>
    <w:rsid w:val="00D72813"/>
    <w:rsid w:val="00D72C3F"/>
    <w:rsid w:val="00D73666"/>
    <w:rsid w:val="00D769E6"/>
    <w:rsid w:val="00D85164"/>
    <w:rsid w:val="00D8634D"/>
    <w:rsid w:val="00D916AE"/>
    <w:rsid w:val="00D93EC7"/>
    <w:rsid w:val="00D9590C"/>
    <w:rsid w:val="00DA3971"/>
    <w:rsid w:val="00DA3B0A"/>
    <w:rsid w:val="00DA4A72"/>
    <w:rsid w:val="00DB0597"/>
    <w:rsid w:val="00DB0BE6"/>
    <w:rsid w:val="00DB310F"/>
    <w:rsid w:val="00DB55D4"/>
    <w:rsid w:val="00DB6679"/>
    <w:rsid w:val="00DB6C34"/>
    <w:rsid w:val="00DC57F7"/>
    <w:rsid w:val="00DC6684"/>
    <w:rsid w:val="00DC6D40"/>
    <w:rsid w:val="00DC723D"/>
    <w:rsid w:val="00DD081C"/>
    <w:rsid w:val="00DD08DF"/>
    <w:rsid w:val="00DD2075"/>
    <w:rsid w:val="00DD23BB"/>
    <w:rsid w:val="00DD2B70"/>
    <w:rsid w:val="00DD32E6"/>
    <w:rsid w:val="00DD4D42"/>
    <w:rsid w:val="00DD4EDB"/>
    <w:rsid w:val="00DD6D63"/>
    <w:rsid w:val="00DD78CC"/>
    <w:rsid w:val="00DD79FC"/>
    <w:rsid w:val="00DE02F1"/>
    <w:rsid w:val="00DE1A31"/>
    <w:rsid w:val="00DE4F16"/>
    <w:rsid w:val="00DE6B18"/>
    <w:rsid w:val="00DF1085"/>
    <w:rsid w:val="00DF2006"/>
    <w:rsid w:val="00DF2D52"/>
    <w:rsid w:val="00DF4084"/>
    <w:rsid w:val="00DF6770"/>
    <w:rsid w:val="00DF6C89"/>
    <w:rsid w:val="00DF7BC0"/>
    <w:rsid w:val="00E002EE"/>
    <w:rsid w:val="00E05DA4"/>
    <w:rsid w:val="00E0644F"/>
    <w:rsid w:val="00E16362"/>
    <w:rsid w:val="00E17BF0"/>
    <w:rsid w:val="00E31691"/>
    <w:rsid w:val="00E40008"/>
    <w:rsid w:val="00E402F2"/>
    <w:rsid w:val="00E45707"/>
    <w:rsid w:val="00E54E33"/>
    <w:rsid w:val="00E56E20"/>
    <w:rsid w:val="00E57A1E"/>
    <w:rsid w:val="00E606E7"/>
    <w:rsid w:val="00E60A97"/>
    <w:rsid w:val="00E616DE"/>
    <w:rsid w:val="00E641ED"/>
    <w:rsid w:val="00E643D1"/>
    <w:rsid w:val="00E65808"/>
    <w:rsid w:val="00E66718"/>
    <w:rsid w:val="00E6706E"/>
    <w:rsid w:val="00E67A95"/>
    <w:rsid w:val="00E67D90"/>
    <w:rsid w:val="00E7277F"/>
    <w:rsid w:val="00E7300C"/>
    <w:rsid w:val="00E7416B"/>
    <w:rsid w:val="00E745D3"/>
    <w:rsid w:val="00E7513C"/>
    <w:rsid w:val="00E7565F"/>
    <w:rsid w:val="00E76A17"/>
    <w:rsid w:val="00E834DF"/>
    <w:rsid w:val="00E8404E"/>
    <w:rsid w:val="00E85ED4"/>
    <w:rsid w:val="00E86368"/>
    <w:rsid w:val="00E87E7E"/>
    <w:rsid w:val="00EA0430"/>
    <w:rsid w:val="00EA16FD"/>
    <w:rsid w:val="00EA21EB"/>
    <w:rsid w:val="00EA35F1"/>
    <w:rsid w:val="00EA426B"/>
    <w:rsid w:val="00EA468C"/>
    <w:rsid w:val="00EA6552"/>
    <w:rsid w:val="00EB076D"/>
    <w:rsid w:val="00EB0E8B"/>
    <w:rsid w:val="00EB184E"/>
    <w:rsid w:val="00EB2808"/>
    <w:rsid w:val="00EB760D"/>
    <w:rsid w:val="00EC03CF"/>
    <w:rsid w:val="00EC0BCD"/>
    <w:rsid w:val="00EC1B13"/>
    <w:rsid w:val="00EC5A74"/>
    <w:rsid w:val="00EC6966"/>
    <w:rsid w:val="00ED0D7A"/>
    <w:rsid w:val="00ED1768"/>
    <w:rsid w:val="00ED1979"/>
    <w:rsid w:val="00ED30CA"/>
    <w:rsid w:val="00EE1C3D"/>
    <w:rsid w:val="00EE24BA"/>
    <w:rsid w:val="00EE2EC8"/>
    <w:rsid w:val="00EE743D"/>
    <w:rsid w:val="00EF2CC1"/>
    <w:rsid w:val="00EF6634"/>
    <w:rsid w:val="00EF6A12"/>
    <w:rsid w:val="00EF6EAF"/>
    <w:rsid w:val="00F01317"/>
    <w:rsid w:val="00F01747"/>
    <w:rsid w:val="00F108AA"/>
    <w:rsid w:val="00F16547"/>
    <w:rsid w:val="00F16A3C"/>
    <w:rsid w:val="00F252D0"/>
    <w:rsid w:val="00F27D07"/>
    <w:rsid w:val="00F304EE"/>
    <w:rsid w:val="00F319C4"/>
    <w:rsid w:val="00F34BFE"/>
    <w:rsid w:val="00F37CC7"/>
    <w:rsid w:val="00F400E7"/>
    <w:rsid w:val="00F43183"/>
    <w:rsid w:val="00F43740"/>
    <w:rsid w:val="00F450EB"/>
    <w:rsid w:val="00F47DA5"/>
    <w:rsid w:val="00F5030E"/>
    <w:rsid w:val="00F51782"/>
    <w:rsid w:val="00F54203"/>
    <w:rsid w:val="00F5517B"/>
    <w:rsid w:val="00F60A4F"/>
    <w:rsid w:val="00F60D7C"/>
    <w:rsid w:val="00F61541"/>
    <w:rsid w:val="00F619A3"/>
    <w:rsid w:val="00F65691"/>
    <w:rsid w:val="00F66A8A"/>
    <w:rsid w:val="00F706FA"/>
    <w:rsid w:val="00F7278C"/>
    <w:rsid w:val="00F73683"/>
    <w:rsid w:val="00F73D65"/>
    <w:rsid w:val="00F75770"/>
    <w:rsid w:val="00F76629"/>
    <w:rsid w:val="00F76874"/>
    <w:rsid w:val="00F76898"/>
    <w:rsid w:val="00F77720"/>
    <w:rsid w:val="00F80CF2"/>
    <w:rsid w:val="00F826E7"/>
    <w:rsid w:val="00F831AE"/>
    <w:rsid w:val="00F8475D"/>
    <w:rsid w:val="00F86199"/>
    <w:rsid w:val="00F86E97"/>
    <w:rsid w:val="00F913D7"/>
    <w:rsid w:val="00FA06D7"/>
    <w:rsid w:val="00FA1B10"/>
    <w:rsid w:val="00FA1E6B"/>
    <w:rsid w:val="00FA1F84"/>
    <w:rsid w:val="00FA3C6A"/>
    <w:rsid w:val="00FA509E"/>
    <w:rsid w:val="00FB074E"/>
    <w:rsid w:val="00FB1792"/>
    <w:rsid w:val="00FB28F9"/>
    <w:rsid w:val="00FB2EE4"/>
    <w:rsid w:val="00FB30AE"/>
    <w:rsid w:val="00FB45C6"/>
    <w:rsid w:val="00FB4F42"/>
    <w:rsid w:val="00FB74EF"/>
    <w:rsid w:val="00FC0B87"/>
    <w:rsid w:val="00FC1761"/>
    <w:rsid w:val="00FC2D3C"/>
    <w:rsid w:val="00FC6B7B"/>
    <w:rsid w:val="00FD01C0"/>
    <w:rsid w:val="00FD08B9"/>
    <w:rsid w:val="00FD3B9D"/>
    <w:rsid w:val="00FD4F92"/>
    <w:rsid w:val="00FD5276"/>
    <w:rsid w:val="00FD6F6E"/>
    <w:rsid w:val="00FE1029"/>
    <w:rsid w:val="00FE1235"/>
    <w:rsid w:val="00FE127B"/>
    <w:rsid w:val="00FE428E"/>
    <w:rsid w:val="00FE6A99"/>
    <w:rsid w:val="00FF0A4E"/>
    <w:rsid w:val="00FF1398"/>
    <w:rsid w:val="00FF3088"/>
    <w:rsid w:val="00FF4057"/>
    <w:rsid w:val="00FF4803"/>
    <w:rsid w:val="00FF709D"/>
    <w:rsid w:val="00FF75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7A134"/>
  <w15:docId w15:val="{138A34EB-13F5-43D1-8380-3AFC4DD3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1F3E"/>
  </w:style>
  <w:style w:type="paragraph" w:styleId="Nadpis1">
    <w:name w:val="heading 1"/>
    <w:basedOn w:val="Normln"/>
    <w:next w:val="Normln"/>
    <w:link w:val="Nadpis1Char"/>
    <w:autoRedefine/>
    <w:uiPriority w:val="9"/>
    <w:qFormat/>
    <w:rsid w:val="001B06B9"/>
    <w:pPr>
      <w:keepNext/>
      <w:keepLines/>
      <w:pageBreakBefore/>
      <w:spacing w:before="240" w:after="120" w:line="240" w:lineRule="auto"/>
      <w:jc w:val="both"/>
      <w:outlineLvl w:val="0"/>
    </w:pPr>
    <w:rPr>
      <w:rFonts w:ascii="Arial" w:eastAsiaTheme="majorEastAsia" w:hAnsi="Arial" w:cstheme="majorBidi"/>
      <w:b/>
      <w:bCs/>
      <w:smallCaps/>
      <w:color w:val="365F91" w:themeColor="accent1" w:themeShade="BF"/>
      <w:sz w:val="32"/>
      <w:szCs w:val="28"/>
    </w:rPr>
  </w:style>
  <w:style w:type="paragraph" w:styleId="Nadpis2">
    <w:name w:val="heading 2"/>
    <w:basedOn w:val="Normln"/>
    <w:next w:val="Normln"/>
    <w:link w:val="Nadpis2Char"/>
    <w:autoRedefine/>
    <w:uiPriority w:val="9"/>
    <w:qFormat/>
    <w:rsid w:val="0068015C"/>
    <w:pPr>
      <w:keepNext/>
      <w:keepLines/>
      <w:pageBreakBefore/>
      <w:pBdr>
        <w:bottom w:val="single" w:sz="6" w:space="1" w:color="365F91" w:themeColor="accent1" w:themeShade="BF"/>
      </w:pBdr>
      <w:spacing w:before="200" w:after="320"/>
      <w:jc w:val="center"/>
      <w:outlineLvl w:val="1"/>
    </w:pPr>
    <w:rPr>
      <w:rFonts w:ascii="Arial" w:eastAsia="Times New Roman" w:hAnsi="Arial" w:cs="Arial"/>
      <w:b/>
      <w:bCs/>
      <w:color w:val="365F91" w:themeColor="accent1" w:themeShade="BF"/>
      <w:sz w:val="32"/>
      <w:szCs w:val="28"/>
    </w:rPr>
  </w:style>
  <w:style w:type="paragraph" w:styleId="Nadpis3">
    <w:name w:val="heading 3"/>
    <w:basedOn w:val="Obsah1"/>
    <w:next w:val="Normln"/>
    <w:link w:val="Nadpis3Char"/>
    <w:autoRedefine/>
    <w:uiPriority w:val="9"/>
    <w:qFormat/>
    <w:rsid w:val="00074213"/>
    <w:pPr>
      <w:keepNext/>
      <w:keepLines/>
      <w:numPr>
        <w:ilvl w:val="2"/>
        <w:numId w:val="22"/>
      </w:numPr>
      <w:spacing w:before="240" w:after="240" w:line="240" w:lineRule="auto"/>
      <w:outlineLvl w:val="2"/>
    </w:pPr>
    <w:rPr>
      <w:rFonts w:ascii="Arial" w:eastAsiaTheme="majorEastAsia" w:hAnsi="Arial" w:cs="Arial"/>
      <w:bCs/>
      <w:smallCaps/>
      <w:color w:val="365F91" w:themeColor="accent1" w:themeShade="BF"/>
      <w:sz w:val="26"/>
    </w:rPr>
  </w:style>
  <w:style w:type="paragraph" w:styleId="Nadpis4">
    <w:name w:val="heading 4"/>
    <w:basedOn w:val="Normln"/>
    <w:next w:val="Normln"/>
    <w:link w:val="Nadpis4Char"/>
    <w:uiPriority w:val="9"/>
    <w:qFormat/>
    <w:rsid w:val="00D615A1"/>
    <w:pPr>
      <w:keepNext/>
      <w:keepLines/>
      <w:spacing w:before="200" w:after="0"/>
      <w:ind w:left="864" w:hanging="864"/>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D615A1"/>
    <w:pPr>
      <w:keepNext/>
      <w:keepLines/>
      <w:spacing w:before="200" w:after="0"/>
      <w:ind w:left="1008" w:hanging="1008"/>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D615A1"/>
    <w:pPr>
      <w:keepNext/>
      <w:keepLines/>
      <w:spacing w:before="200" w:after="0"/>
      <w:ind w:left="1152" w:hanging="1152"/>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D615A1"/>
    <w:pPr>
      <w:keepNext/>
      <w:keepLines/>
      <w:spacing w:before="200" w:after="0"/>
      <w:ind w:left="1296" w:hanging="1296"/>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D615A1"/>
    <w:pPr>
      <w:keepNext/>
      <w:keepLines/>
      <w:spacing w:before="200" w:after="0"/>
      <w:ind w:left="1440" w:hanging="144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rsid w:val="00D615A1"/>
    <w:pPr>
      <w:keepNext/>
      <w:keepLines/>
      <w:spacing w:before="200" w:after="0"/>
      <w:ind w:left="1584" w:hanging="1584"/>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B1E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B1E1D"/>
  </w:style>
  <w:style w:type="paragraph" w:styleId="Zpat">
    <w:name w:val="footer"/>
    <w:basedOn w:val="Normln"/>
    <w:link w:val="ZpatChar"/>
    <w:uiPriority w:val="99"/>
    <w:unhideWhenUsed/>
    <w:rsid w:val="005658B8"/>
    <w:pPr>
      <w:tabs>
        <w:tab w:val="center" w:pos="4536"/>
        <w:tab w:val="right" w:pos="9072"/>
      </w:tabs>
      <w:spacing w:after="0" w:line="240" w:lineRule="auto"/>
    </w:pPr>
  </w:style>
  <w:style w:type="character" w:customStyle="1" w:styleId="ZpatChar">
    <w:name w:val="Zápatí Char"/>
    <w:basedOn w:val="Standardnpsmoodstavce"/>
    <w:link w:val="Zpat"/>
    <w:uiPriority w:val="99"/>
    <w:rsid w:val="005658B8"/>
  </w:style>
  <w:style w:type="paragraph" w:styleId="Textbubliny">
    <w:name w:val="Balloon Text"/>
    <w:basedOn w:val="Normln"/>
    <w:link w:val="TextbublinyChar"/>
    <w:uiPriority w:val="99"/>
    <w:semiHidden/>
    <w:unhideWhenUsed/>
    <w:rsid w:val="005658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658B8"/>
    <w:rPr>
      <w:rFonts w:ascii="Tahoma" w:hAnsi="Tahoma" w:cs="Tahoma"/>
      <w:sz w:val="16"/>
      <w:szCs w:val="16"/>
    </w:rPr>
  </w:style>
  <w:style w:type="table" w:styleId="Mkatabulky">
    <w:name w:val="Table Grid"/>
    <w:basedOn w:val="Normlntabulka"/>
    <w:uiPriority w:val="59"/>
    <w:rsid w:val="00565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qFormat/>
    <w:rsid w:val="005658B8"/>
    <w:pPr>
      <w:pBdr>
        <w:bottom w:val="single" w:sz="8" w:space="4" w:color="4F81BD" w:themeColor="accent1"/>
      </w:pBdr>
      <w:spacing w:before="4000" w:after="300" w:line="240" w:lineRule="auto"/>
      <w:contextualSpacing/>
      <w:jc w:val="center"/>
    </w:pPr>
    <w:rPr>
      <w:rFonts w:asciiTheme="majorHAnsi" w:eastAsiaTheme="majorEastAsia" w:hAnsiTheme="majorHAnsi" w:cstheme="majorBidi"/>
      <w:smallCaps/>
      <w:color w:val="17365D" w:themeColor="text2" w:themeShade="BF"/>
      <w:spacing w:val="5"/>
      <w:kern w:val="28"/>
      <w:sz w:val="52"/>
      <w:szCs w:val="52"/>
      <w:lang w:eastAsia="cs-CZ"/>
    </w:rPr>
  </w:style>
  <w:style w:type="character" w:customStyle="1" w:styleId="NzevChar">
    <w:name w:val="Název Char"/>
    <w:basedOn w:val="Standardnpsmoodstavce"/>
    <w:link w:val="Nzev"/>
    <w:rsid w:val="005658B8"/>
    <w:rPr>
      <w:rFonts w:asciiTheme="majorHAnsi" w:eastAsiaTheme="majorEastAsia" w:hAnsiTheme="majorHAnsi" w:cstheme="majorBidi"/>
      <w:smallCaps/>
      <w:color w:val="17365D" w:themeColor="text2" w:themeShade="BF"/>
      <w:spacing w:val="5"/>
      <w:kern w:val="28"/>
      <w:sz w:val="52"/>
      <w:szCs w:val="52"/>
      <w:lang w:eastAsia="cs-CZ"/>
    </w:rPr>
  </w:style>
  <w:style w:type="character" w:customStyle="1" w:styleId="Nadpis1Char">
    <w:name w:val="Nadpis 1 Char"/>
    <w:basedOn w:val="Standardnpsmoodstavce"/>
    <w:link w:val="Nadpis1"/>
    <w:uiPriority w:val="9"/>
    <w:rsid w:val="001B06B9"/>
    <w:rPr>
      <w:rFonts w:ascii="Arial" w:eastAsiaTheme="majorEastAsia" w:hAnsi="Arial" w:cstheme="majorBidi"/>
      <w:b/>
      <w:bCs/>
      <w:smallCaps/>
      <w:color w:val="365F91" w:themeColor="accent1" w:themeShade="BF"/>
      <w:sz w:val="32"/>
      <w:szCs w:val="28"/>
    </w:rPr>
  </w:style>
  <w:style w:type="paragraph" w:styleId="Nadpisobsahu">
    <w:name w:val="TOC Heading"/>
    <w:basedOn w:val="Nadpis1"/>
    <w:next w:val="Normln"/>
    <w:uiPriority w:val="39"/>
    <w:unhideWhenUsed/>
    <w:qFormat/>
    <w:rsid w:val="005658B8"/>
    <w:pPr>
      <w:outlineLvl w:val="9"/>
    </w:pPr>
    <w:rPr>
      <w:lang w:eastAsia="cs-CZ"/>
    </w:rPr>
  </w:style>
  <w:style w:type="paragraph" w:styleId="Obsah2">
    <w:name w:val="toc 2"/>
    <w:basedOn w:val="Normln"/>
    <w:next w:val="Normln"/>
    <w:autoRedefine/>
    <w:uiPriority w:val="39"/>
    <w:unhideWhenUsed/>
    <w:qFormat/>
    <w:rsid w:val="00951D15"/>
    <w:pPr>
      <w:tabs>
        <w:tab w:val="right" w:leader="dot" w:pos="9062"/>
      </w:tabs>
      <w:spacing w:after="100"/>
      <w:ind w:left="220"/>
    </w:pPr>
    <w:rPr>
      <w:rFonts w:eastAsiaTheme="minorEastAsia"/>
      <w:noProof/>
      <w:lang w:eastAsia="cs-CZ"/>
    </w:rPr>
  </w:style>
  <w:style w:type="paragraph" w:styleId="Obsah1">
    <w:name w:val="toc 1"/>
    <w:basedOn w:val="Normln"/>
    <w:next w:val="Normln"/>
    <w:autoRedefine/>
    <w:uiPriority w:val="39"/>
    <w:unhideWhenUsed/>
    <w:qFormat/>
    <w:rsid w:val="00EF6A12"/>
    <w:pPr>
      <w:spacing w:after="100"/>
    </w:pPr>
    <w:rPr>
      <w:rFonts w:eastAsiaTheme="minorEastAsia"/>
      <w:b/>
      <w:sz w:val="24"/>
      <w:lang w:eastAsia="cs-CZ"/>
    </w:rPr>
  </w:style>
  <w:style w:type="paragraph" w:styleId="Obsah3">
    <w:name w:val="toc 3"/>
    <w:basedOn w:val="Normln"/>
    <w:next w:val="Normln"/>
    <w:autoRedefine/>
    <w:uiPriority w:val="39"/>
    <w:unhideWhenUsed/>
    <w:qFormat/>
    <w:rsid w:val="005658B8"/>
    <w:pPr>
      <w:spacing w:after="100"/>
      <w:ind w:left="440"/>
    </w:pPr>
    <w:rPr>
      <w:rFonts w:eastAsiaTheme="minorEastAsia"/>
      <w:lang w:eastAsia="cs-CZ"/>
    </w:rPr>
  </w:style>
  <w:style w:type="character" w:styleId="Hypertextovodkaz">
    <w:name w:val="Hyperlink"/>
    <w:basedOn w:val="Standardnpsmoodstavce"/>
    <w:uiPriority w:val="99"/>
    <w:unhideWhenUsed/>
    <w:rsid w:val="005658B8"/>
    <w:rPr>
      <w:color w:val="0000FF" w:themeColor="hyperlink"/>
      <w:u w:val="single"/>
    </w:rPr>
  </w:style>
  <w:style w:type="character" w:customStyle="1" w:styleId="Nadpis2Char">
    <w:name w:val="Nadpis 2 Char"/>
    <w:basedOn w:val="Standardnpsmoodstavce"/>
    <w:link w:val="Nadpis2"/>
    <w:uiPriority w:val="9"/>
    <w:rsid w:val="0068015C"/>
    <w:rPr>
      <w:rFonts w:ascii="Arial" w:eastAsia="Times New Roman" w:hAnsi="Arial" w:cs="Arial"/>
      <w:b/>
      <w:bCs/>
      <w:color w:val="365F91" w:themeColor="accent1" w:themeShade="BF"/>
      <w:sz w:val="32"/>
      <w:szCs w:val="28"/>
    </w:rPr>
  </w:style>
  <w:style w:type="character" w:customStyle="1" w:styleId="Nadpis3Char">
    <w:name w:val="Nadpis 3 Char"/>
    <w:basedOn w:val="Standardnpsmoodstavce"/>
    <w:link w:val="Nadpis3"/>
    <w:uiPriority w:val="9"/>
    <w:rsid w:val="00074213"/>
    <w:rPr>
      <w:rFonts w:ascii="Arial" w:eastAsiaTheme="majorEastAsia" w:hAnsi="Arial" w:cs="Arial"/>
      <w:b/>
      <w:bCs/>
      <w:smallCaps/>
      <w:color w:val="365F91" w:themeColor="accent1" w:themeShade="BF"/>
      <w:sz w:val="26"/>
      <w:lang w:eastAsia="cs-CZ"/>
    </w:rPr>
  </w:style>
  <w:style w:type="character" w:customStyle="1" w:styleId="Nadpis4Char">
    <w:name w:val="Nadpis 4 Char"/>
    <w:basedOn w:val="Standardnpsmoodstavce"/>
    <w:link w:val="Nadpis4"/>
    <w:uiPriority w:val="9"/>
    <w:rsid w:val="00D615A1"/>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D615A1"/>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D615A1"/>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D615A1"/>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D615A1"/>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D615A1"/>
    <w:rPr>
      <w:rFonts w:asciiTheme="majorHAnsi" w:eastAsiaTheme="majorEastAsia" w:hAnsiTheme="majorHAnsi" w:cstheme="majorBidi"/>
      <w:i/>
      <w:iCs/>
      <w:color w:val="404040"/>
      <w:sz w:val="20"/>
      <w:szCs w:val="20"/>
      <w:lang w:eastAsia="cs-CZ"/>
    </w:rPr>
  </w:style>
  <w:style w:type="paragraph" w:styleId="Odstavecseseznamem">
    <w:name w:val="List Paragraph"/>
    <w:aliases w:val="Nad,Odstavec_muj,Název grafu,nad 1"/>
    <w:basedOn w:val="Normln"/>
    <w:link w:val="OdstavecseseznamemChar"/>
    <w:qFormat/>
    <w:rsid w:val="00D615A1"/>
    <w:pPr>
      <w:ind w:left="720"/>
      <w:contextualSpacing/>
    </w:pPr>
    <w:rPr>
      <w:rFonts w:ascii="Calibri" w:eastAsia="Calibri" w:hAnsi="Calibri" w:cs="Times New Roman"/>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qFormat/>
    <w:rsid w:val="0027515B"/>
    <w:pPr>
      <w:spacing w:after="0" w:line="240" w:lineRule="auto"/>
      <w:jc w:val="both"/>
    </w:pPr>
    <w:rPr>
      <w:rFonts w:ascii="Arial" w:eastAsia="Calibri" w:hAnsi="Arial" w:cs="Times New Roman"/>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27515B"/>
    <w:rPr>
      <w:rFonts w:ascii="Arial" w:eastAsia="Calibri" w:hAnsi="Arial" w:cs="Times New Roman"/>
      <w:sz w:val="20"/>
      <w:szCs w:val="20"/>
    </w:rPr>
  </w:style>
  <w:style w:type="character" w:styleId="Znakapoznpodarou">
    <w:name w:val="footnote reference"/>
    <w:rsid w:val="00D615A1"/>
    <w:rPr>
      <w:rFonts w:cs="Times New Roman"/>
      <w:vertAlign w:val="superscript"/>
    </w:rPr>
  </w:style>
  <w:style w:type="numbering" w:customStyle="1" w:styleId="Styl3">
    <w:name w:val="Styl3"/>
    <w:uiPriority w:val="99"/>
    <w:rsid w:val="00D615A1"/>
    <w:pPr>
      <w:numPr>
        <w:numId w:val="2"/>
      </w:numPr>
    </w:pPr>
  </w:style>
  <w:style w:type="character" w:customStyle="1" w:styleId="OdstavecseseznamemChar">
    <w:name w:val="Odstavec se seznamem Char"/>
    <w:aliases w:val="Nad Char,Odstavec_muj Char,Název grafu Char,nad 1 Char"/>
    <w:link w:val="Odstavecseseznamem"/>
    <w:locked/>
    <w:rsid w:val="00D615A1"/>
    <w:rPr>
      <w:rFonts w:ascii="Calibri" w:eastAsia="Calibri" w:hAnsi="Calibri" w:cs="Times New Roman"/>
    </w:rPr>
  </w:style>
  <w:style w:type="paragraph" w:customStyle="1" w:styleId="Styl1">
    <w:name w:val="Styl1"/>
    <w:basedOn w:val="Normln"/>
    <w:link w:val="Styl1Char"/>
    <w:qFormat/>
    <w:rsid w:val="00F304EE"/>
    <w:rPr>
      <w:rFonts w:ascii="Cambria" w:hAnsi="Cambria"/>
      <w:b/>
      <w:smallCaps/>
      <w:color w:val="24AA26"/>
      <w:sz w:val="32"/>
    </w:rPr>
  </w:style>
  <w:style w:type="paragraph" w:styleId="Normlnweb">
    <w:name w:val="Normal (Web)"/>
    <w:basedOn w:val="Normln"/>
    <w:uiPriority w:val="99"/>
    <w:semiHidden/>
    <w:unhideWhenUsed/>
    <w:rsid w:val="00D615A1"/>
    <w:pPr>
      <w:spacing w:before="100" w:beforeAutospacing="1" w:after="100" w:afterAutospacing="1" w:line="240" w:lineRule="auto"/>
    </w:pPr>
    <w:rPr>
      <w:rFonts w:ascii="Times New Roman" w:eastAsiaTheme="minorEastAsia" w:hAnsi="Times New Roman" w:cs="Times New Roman"/>
      <w:sz w:val="24"/>
      <w:szCs w:val="24"/>
      <w:lang w:eastAsia="cs-CZ"/>
    </w:rPr>
  </w:style>
  <w:style w:type="paragraph" w:styleId="Zkladntext2">
    <w:name w:val="Body Text 2"/>
    <w:basedOn w:val="Normln"/>
    <w:link w:val="Zkladntext2Char"/>
    <w:rsid w:val="00D615A1"/>
    <w:pPr>
      <w:spacing w:after="0" w:line="240" w:lineRule="auto"/>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D615A1"/>
    <w:rPr>
      <w:rFonts w:ascii="Times New Roman" w:eastAsia="Times New Roman" w:hAnsi="Times New Roman" w:cs="Times New Roman"/>
      <w:sz w:val="24"/>
      <w:szCs w:val="20"/>
      <w:lang w:eastAsia="cs-CZ"/>
    </w:rPr>
  </w:style>
  <w:style w:type="paragraph" w:customStyle="1" w:styleId="Default">
    <w:name w:val="Default"/>
    <w:rsid w:val="00D615A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Styl1Char">
    <w:name w:val="Styl1 Char"/>
    <w:link w:val="Styl1"/>
    <w:rsid w:val="00F304EE"/>
    <w:rPr>
      <w:rFonts w:ascii="Cambria" w:hAnsi="Cambria"/>
      <w:b/>
      <w:smallCaps/>
      <w:color w:val="24AA26"/>
      <w:sz w:val="32"/>
    </w:rPr>
  </w:style>
  <w:style w:type="paragraph" w:customStyle="1" w:styleId="Nadpis1bile">
    <w:name w:val="Nadpis_1_bile"/>
    <w:basedOn w:val="Nadpis1"/>
    <w:qFormat/>
    <w:rsid w:val="003B1E1D"/>
    <w:rPr>
      <w:color w:val="FFFFFF" w:themeColor="background1"/>
    </w:rPr>
  </w:style>
  <w:style w:type="paragraph" w:customStyle="1" w:styleId="Nadpisobsah">
    <w:name w:val="Nadpis_obsah"/>
    <w:basedOn w:val="Nadpis1"/>
    <w:qFormat/>
    <w:rsid w:val="00BD354A"/>
    <w:pPr>
      <w:spacing w:after="480"/>
    </w:pPr>
  </w:style>
  <w:style w:type="paragraph" w:customStyle="1" w:styleId="Text">
    <w:name w:val="_Text"/>
    <w:basedOn w:val="Normln"/>
    <w:qFormat/>
    <w:rsid w:val="00DF6C89"/>
    <w:pPr>
      <w:keepNext/>
      <w:spacing w:after="120"/>
      <w:jc w:val="both"/>
    </w:pPr>
    <w:rPr>
      <w:rFonts w:ascii="Arial" w:hAnsi="Arial" w:cs="Arial"/>
      <w:szCs w:val="24"/>
    </w:rPr>
  </w:style>
  <w:style w:type="paragraph" w:customStyle="1" w:styleId="Odrka">
    <w:name w:val="_Odrážka"/>
    <w:basedOn w:val="Odstavecseseznamem"/>
    <w:qFormat/>
    <w:rsid w:val="00F43740"/>
    <w:pPr>
      <w:shd w:val="clear" w:color="auto" w:fill="FFFFFF" w:themeFill="background1"/>
      <w:spacing w:after="120"/>
      <w:ind w:left="0"/>
      <w:contextualSpacing w:val="0"/>
      <w:jc w:val="both"/>
    </w:pPr>
    <w:rPr>
      <w:rFonts w:ascii="Arial" w:hAnsi="Arial" w:cs="Arial"/>
      <w:szCs w:val="24"/>
    </w:rPr>
  </w:style>
  <w:style w:type="paragraph" w:customStyle="1" w:styleId="Vsledky">
    <w:name w:val="_Výsledky"/>
    <w:basedOn w:val="Nadpis3"/>
    <w:next w:val="Odrka"/>
    <w:qFormat/>
    <w:rsid w:val="0027515B"/>
    <w:pPr>
      <w:numPr>
        <w:ilvl w:val="0"/>
        <w:numId w:val="0"/>
      </w:numPr>
      <w:autoSpaceDE w:val="0"/>
      <w:autoSpaceDN w:val="0"/>
      <w:adjustRightInd w:val="0"/>
      <w:jc w:val="both"/>
    </w:pPr>
    <w:rPr>
      <w:bCs w:val="0"/>
      <w:smallCaps w:val="0"/>
      <w:color w:val="auto"/>
      <w:sz w:val="24"/>
    </w:rPr>
  </w:style>
  <w:style w:type="paragraph" w:customStyle="1" w:styleId="Programzvr">
    <w:name w:val="_Program_závěr"/>
    <w:basedOn w:val="Nadpis4"/>
    <w:next w:val="Odrka"/>
    <w:autoRedefine/>
    <w:qFormat/>
    <w:rsid w:val="0000546D"/>
    <w:pPr>
      <w:spacing w:before="0" w:after="120"/>
      <w:ind w:left="862" w:hanging="720"/>
      <w:jc w:val="both"/>
    </w:pPr>
    <w:rPr>
      <w:rFonts w:ascii="Arial" w:hAnsi="Arial" w:cs="Arial"/>
      <w:i w:val="0"/>
      <w:color w:val="auto"/>
      <w:sz w:val="24"/>
      <w:szCs w:val="24"/>
    </w:rPr>
  </w:style>
  <w:style w:type="character" w:styleId="Odkaznakoment">
    <w:name w:val="annotation reference"/>
    <w:basedOn w:val="Standardnpsmoodstavce"/>
    <w:uiPriority w:val="99"/>
    <w:semiHidden/>
    <w:unhideWhenUsed/>
    <w:rsid w:val="0079344F"/>
    <w:rPr>
      <w:sz w:val="16"/>
      <w:szCs w:val="16"/>
    </w:rPr>
  </w:style>
  <w:style w:type="paragraph" w:styleId="Textkomente">
    <w:name w:val="annotation text"/>
    <w:basedOn w:val="Normln"/>
    <w:link w:val="TextkomenteChar"/>
    <w:uiPriority w:val="99"/>
    <w:semiHidden/>
    <w:unhideWhenUsed/>
    <w:rsid w:val="0079344F"/>
    <w:pPr>
      <w:spacing w:line="240" w:lineRule="auto"/>
    </w:pPr>
    <w:rPr>
      <w:sz w:val="20"/>
      <w:szCs w:val="20"/>
    </w:rPr>
  </w:style>
  <w:style w:type="character" w:customStyle="1" w:styleId="TextkomenteChar">
    <w:name w:val="Text komentáře Char"/>
    <w:basedOn w:val="Standardnpsmoodstavce"/>
    <w:link w:val="Textkomente"/>
    <w:uiPriority w:val="99"/>
    <w:semiHidden/>
    <w:rsid w:val="0079344F"/>
    <w:rPr>
      <w:sz w:val="20"/>
      <w:szCs w:val="20"/>
    </w:rPr>
  </w:style>
  <w:style w:type="paragraph" w:styleId="Pedmtkomente">
    <w:name w:val="annotation subject"/>
    <w:basedOn w:val="Textkomente"/>
    <w:next w:val="Textkomente"/>
    <w:link w:val="PedmtkomenteChar"/>
    <w:uiPriority w:val="99"/>
    <w:semiHidden/>
    <w:unhideWhenUsed/>
    <w:rsid w:val="0079344F"/>
    <w:rPr>
      <w:b/>
      <w:bCs/>
    </w:rPr>
  </w:style>
  <w:style w:type="character" w:customStyle="1" w:styleId="PedmtkomenteChar">
    <w:name w:val="Předmět komentáře Char"/>
    <w:basedOn w:val="TextkomenteChar"/>
    <w:link w:val="Pedmtkomente"/>
    <w:uiPriority w:val="99"/>
    <w:semiHidden/>
    <w:rsid w:val="0079344F"/>
    <w:rPr>
      <w:b/>
      <w:bCs/>
      <w:sz w:val="20"/>
      <w:szCs w:val="20"/>
    </w:rPr>
  </w:style>
  <w:style w:type="character" w:styleId="Siln">
    <w:name w:val="Strong"/>
    <w:basedOn w:val="Standardnpsmoodstavce"/>
    <w:qFormat/>
    <w:rsid w:val="00F619A3"/>
    <w:rPr>
      <w:b/>
      <w:bCs/>
    </w:rPr>
  </w:style>
  <w:style w:type="paragraph" w:styleId="Revize">
    <w:name w:val="Revision"/>
    <w:hidden/>
    <w:uiPriority w:val="99"/>
    <w:semiHidden/>
    <w:rsid w:val="00AC0CB6"/>
    <w:pPr>
      <w:spacing w:after="0" w:line="240" w:lineRule="auto"/>
    </w:pPr>
  </w:style>
  <w:style w:type="paragraph" w:styleId="Bezmezer">
    <w:name w:val="No Spacing"/>
    <w:uiPriority w:val="1"/>
    <w:qFormat/>
    <w:rsid w:val="007A173E"/>
    <w:pPr>
      <w:spacing w:after="0" w:line="240" w:lineRule="auto"/>
    </w:pPr>
  </w:style>
  <w:style w:type="paragraph" w:customStyle="1" w:styleId="Textodstavce">
    <w:name w:val="Text odstavce"/>
    <w:basedOn w:val="Default"/>
    <w:next w:val="Default"/>
    <w:link w:val="TextodstavceChar"/>
    <w:rsid w:val="00A50AFA"/>
    <w:rPr>
      <w:rFonts w:eastAsiaTheme="minorHAnsi"/>
      <w:color w:val="auto"/>
      <w:lang w:eastAsia="en-US"/>
    </w:rPr>
  </w:style>
  <w:style w:type="character" w:customStyle="1" w:styleId="TextodstavceChar">
    <w:name w:val="Text odstavce Char"/>
    <w:basedOn w:val="Standardnpsmoodstavce"/>
    <w:link w:val="Textodstavce"/>
    <w:uiPriority w:val="99"/>
    <w:rsid w:val="00A50AFA"/>
    <w:rPr>
      <w:rFonts w:ascii="Times New Roman" w:hAnsi="Times New Roman" w:cs="Times New Roman"/>
      <w:sz w:val="24"/>
      <w:szCs w:val="24"/>
    </w:rPr>
  </w:style>
  <w:style w:type="paragraph" w:customStyle="1" w:styleId="StylZkladntextCalibri">
    <w:name w:val="Styl +Základní text Calibri"/>
    <w:basedOn w:val="Normln"/>
    <w:rsid w:val="006C2CC0"/>
    <w:pPr>
      <w:suppressAutoHyphens/>
      <w:spacing w:before="120" w:after="120" w:line="240" w:lineRule="auto"/>
      <w:jc w:val="both"/>
    </w:pPr>
    <w:rPr>
      <w:rFonts w:ascii="Calibri" w:eastAsia="Times New Roman" w:hAnsi="Calibri" w:cs="Calibri"/>
      <w:sz w:val="24"/>
      <w:szCs w:val="24"/>
      <w:lang w:eastAsia="ar-SA"/>
    </w:rPr>
  </w:style>
  <w:style w:type="numbering" w:customStyle="1" w:styleId="Styl2">
    <w:name w:val="Styl2"/>
    <w:uiPriority w:val="99"/>
    <w:rsid w:val="0027199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521959">
      <w:bodyDiv w:val="1"/>
      <w:marLeft w:val="0"/>
      <w:marRight w:val="0"/>
      <w:marTop w:val="0"/>
      <w:marBottom w:val="0"/>
      <w:divBdr>
        <w:top w:val="none" w:sz="0" w:space="0" w:color="auto"/>
        <w:left w:val="none" w:sz="0" w:space="0" w:color="auto"/>
        <w:bottom w:val="none" w:sz="0" w:space="0" w:color="auto"/>
        <w:right w:val="none" w:sz="0" w:space="0" w:color="auto"/>
      </w:divBdr>
    </w:div>
    <w:div w:id="882327791">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298534411">
      <w:bodyDiv w:val="1"/>
      <w:marLeft w:val="0"/>
      <w:marRight w:val="0"/>
      <w:marTop w:val="0"/>
      <w:marBottom w:val="0"/>
      <w:divBdr>
        <w:top w:val="none" w:sz="0" w:space="0" w:color="auto"/>
        <w:left w:val="none" w:sz="0" w:space="0" w:color="auto"/>
        <w:bottom w:val="none" w:sz="0" w:space="0" w:color="auto"/>
        <w:right w:val="none" w:sz="0" w:space="0" w:color="auto"/>
      </w:divBdr>
    </w:div>
    <w:div w:id="1400860045">
      <w:bodyDiv w:val="1"/>
      <w:marLeft w:val="0"/>
      <w:marRight w:val="0"/>
      <w:marTop w:val="0"/>
      <w:marBottom w:val="0"/>
      <w:divBdr>
        <w:top w:val="none" w:sz="0" w:space="0" w:color="auto"/>
        <w:left w:val="none" w:sz="0" w:space="0" w:color="auto"/>
        <w:bottom w:val="none" w:sz="0" w:space="0" w:color="auto"/>
        <w:right w:val="none" w:sz="0" w:space="0" w:color="auto"/>
      </w:divBdr>
    </w:div>
    <w:div w:id="142071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AB4AD-D615-4A2C-AEB1-0483F076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28</Pages>
  <Words>9785</Words>
  <Characters>57737</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Lysý Petr</dc:creator>
  <cp:lastModifiedBy>VVI</cp:lastModifiedBy>
  <cp:revision>3</cp:revision>
  <cp:lastPrinted>2024-06-24T13:02:00Z</cp:lastPrinted>
  <dcterms:created xsi:type="dcterms:W3CDTF">2024-11-20T07:38:00Z</dcterms:created>
  <dcterms:modified xsi:type="dcterms:W3CDTF">2024-11-20T07:55:00Z</dcterms:modified>
</cp:coreProperties>
</file>