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155AFF" w:rsidRPr="008C1073" w:rsidP="00A86F2F" w14:paraId="52C8459A" w14:textId="77777777">
      <w:pPr>
        <w:pStyle w:val="Title"/>
        <w:jc w:val="center"/>
        <w:rPr>
          <w:rFonts w:ascii="Arial" w:hAnsi="Arial"/>
          <w:b/>
          <w:bCs/>
          <w:sz w:val="36"/>
          <w:szCs w:val="36"/>
        </w:rPr>
      </w:pPr>
      <w:bookmarkStart w:id="0" w:name="_u07hf8k7mlcf" w:colFirst="0" w:colLast="0"/>
      <w:bookmarkEnd w:id="0"/>
      <w:r w:rsidRPr="008C1073">
        <w:rPr>
          <w:rFonts w:ascii="Arial" w:hAnsi="Arial"/>
          <w:b/>
          <w:bCs/>
          <w:sz w:val="36"/>
          <w:szCs w:val="36"/>
        </w:rPr>
        <w:t xml:space="preserve">Ex ante analýza </w:t>
      </w:r>
    </w:p>
    <w:p w:rsidR="000D2B04" w:rsidRPr="008C1073" w:rsidP="00A86F2F" w14:paraId="00000001" w14:textId="216458E4">
      <w:pPr>
        <w:pStyle w:val="Title"/>
        <w:jc w:val="center"/>
        <w:rPr>
          <w:rFonts w:ascii="Arial" w:hAnsi="Arial"/>
          <w:b/>
          <w:bCs/>
          <w:sz w:val="36"/>
          <w:szCs w:val="36"/>
        </w:rPr>
      </w:pPr>
      <w:r w:rsidRPr="008C1073">
        <w:rPr>
          <w:rFonts w:ascii="Arial" w:hAnsi="Arial"/>
          <w:b/>
          <w:bCs/>
          <w:sz w:val="36"/>
          <w:szCs w:val="36"/>
        </w:rPr>
        <w:t>Proof</w:t>
      </w:r>
      <w:r w:rsidRPr="008C1073">
        <w:rPr>
          <w:rFonts w:ascii="Arial" w:hAnsi="Arial"/>
          <w:b/>
          <w:bCs/>
          <w:sz w:val="36"/>
          <w:szCs w:val="36"/>
        </w:rPr>
        <w:t xml:space="preserve"> </w:t>
      </w:r>
      <w:r w:rsidRPr="008C1073">
        <w:rPr>
          <w:rFonts w:ascii="Arial" w:hAnsi="Arial"/>
          <w:b/>
          <w:bCs/>
          <w:sz w:val="36"/>
          <w:szCs w:val="36"/>
        </w:rPr>
        <w:t>of</w:t>
      </w:r>
      <w:r w:rsidRPr="008C1073">
        <w:rPr>
          <w:rFonts w:ascii="Arial" w:hAnsi="Arial"/>
          <w:b/>
          <w:bCs/>
          <w:sz w:val="36"/>
          <w:szCs w:val="36"/>
        </w:rPr>
        <w:t xml:space="preserve"> </w:t>
      </w:r>
      <w:r w:rsidRPr="008C1073">
        <w:rPr>
          <w:rFonts w:ascii="Arial" w:hAnsi="Arial"/>
          <w:b/>
          <w:bCs/>
          <w:sz w:val="36"/>
          <w:szCs w:val="36"/>
        </w:rPr>
        <w:t>Concept</w:t>
      </w:r>
    </w:p>
    <w:p w:rsidR="00A86F2F" w:rsidRPr="008C1073" w14:paraId="17D8B58C" w14:textId="32F30ADB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sdt>
      <w:sdtPr>
        <w:rPr>
          <w:rFonts w:ascii="Arial" w:hAnsi="Arial"/>
          <w:color w:val="auto"/>
          <w:sz w:val="22"/>
          <w:szCs w:val="22"/>
        </w:rPr>
        <w:id w:val="1992061176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A86F2F" w:rsidRPr="008C1073" w:rsidP="00117834" w14:paraId="6D3605C0" w14:textId="3F304F4A">
          <w:pPr>
            <w:pStyle w:val="Subtitle"/>
            <w:rPr>
              <w:rStyle w:val="IntenseEmphasis"/>
              <w:rFonts w:ascii="Arial" w:hAnsi="Arial"/>
              <w:sz w:val="22"/>
              <w:szCs w:val="22"/>
            </w:rPr>
          </w:pPr>
          <w:r w:rsidRPr="008C1073">
            <w:rPr>
              <w:rStyle w:val="IntenseEmphasis"/>
              <w:rFonts w:ascii="Arial" w:hAnsi="Arial"/>
              <w:sz w:val="22"/>
              <w:szCs w:val="22"/>
            </w:rPr>
            <w:t>Obsah</w:t>
          </w:r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r w:rsidRPr="008C1073">
            <w:rPr>
              <w:rFonts w:ascii="Arial" w:hAnsi="Arial"/>
              <w:sz w:val="22"/>
            </w:rPr>
            <w:fldChar w:fldCharType="begin"/>
          </w:r>
          <w:r w:rsidRPr="008C1073">
            <w:rPr>
              <w:rFonts w:ascii="Arial" w:hAnsi="Arial"/>
              <w:sz w:val="22"/>
            </w:rPr>
            <w:instrText xml:space="preserve"> TOC \o "1-3" \h \z \u </w:instrText>
          </w:r>
          <w:r w:rsidRPr="008C1073">
            <w:rPr>
              <w:rFonts w:ascii="Arial" w:hAnsi="Arial"/>
              <w:sz w:val="22"/>
            </w:rPr>
            <w:fldChar w:fldCharType="separate"/>
          </w:r>
          <w:hyperlink w:anchor="_Toc256000000" w:history="1">
            <w:r>
              <w:rPr>
                <w:rStyle w:val="Hyperlink"/>
                <w:rFonts w:ascii="Arial" w:hAnsi="Arial"/>
              </w:rPr>
              <w:t>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Úvod</w:t>
            </w:r>
            <w:r>
              <w:tab/>
            </w:r>
            <w:r>
              <w:fldChar w:fldCharType="begin"/>
            </w:r>
            <w:r>
              <w:instrText xml:space="preserve"> PAGEREF _Toc256000000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1" w:history="1">
            <w:r>
              <w:rPr>
                <w:rStyle w:val="Hyperlink"/>
                <w:rFonts w:ascii="Arial" w:hAnsi="Arial"/>
              </w:rPr>
              <w:t>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Zaměření a cíle skupiny grantových projektů</w:t>
            </w:r>
            <w:r>
              <w:tab/>
            </w:r>
            <w:r>
              <w:fldChar w:fldCharType="begin"/>
            </w:r>
            <w:r>
              <w:instrText xml:space="preserve"> PAGEREF _Toc256000001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2" w:history="1">
            <w:r>
              <w:rPr>
                <w:rStyle w:val="Hyperlink"/>
                <w:rFonts w:ascii="Arial" w:hAnsi="Arial"/>
              </w:rPr>
              <w:t>3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Postavení </w:t>
            </w:r>
            <w:r w:rsidRPr="008C1073">
              <w:rPr>
                <w:rStyle w:val="Hyperlink"/>
                <w:rFonts w:ascii="Arial" w:hAnsi="Arial"/>
              </w:rPr>
              <w:t>PoC</w:t>
            </w:r>
            <w:r w:rsidRPr="008C1073">
              <w:rPr>
                <w:rStyle w:val="Hyperlink"/>
                <w:rFonts w:ascii="Arial" w:hAnsi="Arial"/>
              </w:rPr>
              <w:t xml:space="preserve"> v podpoře výzkumu</w:t>
            </w:r>
            <w:r>
              <w:tab/>
            </w:r>
            <w:r>
              <w:fldChar w:fldCharType="begin"/>
            </w:r>
            <w:r>
              <w:instrText xml:space="preserve"> PAGEREF _Toc256000002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3" w:history="1">
            <w:r>
              <w:rPr>
                <w:rStyle w:val="Hyperlink"/>
                <w:rFonts w:ascii="Arial" w:hAnsi="Arial"/>
              </w:rPr>
              <w:t>4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Analýza současného stavu v ČR</w:t>
            </w:r>
            <w:r>
              <w:tab/>
            </w:r>
            <w:r>
              <w:fldChar w:fldCharType="begin"/>
            </w:r>
            <w:r>
              <w:instrText xml:space="preserve"> PAGEREF _Toc256000003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4" w:history="1">
            <w:r>
              <w:rPr>
                <w:rStyle w:val="Hyperlink"/>
                <w:rFonts w:ascii="Arial" w:hAnsi="Arial"/>
              </w:rPr>
              <w:t>4.1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Výzkumný a inovační ekosystém</w:t>
            </w:r>
            <w:r>
              <w:tab/>
            </w:r>
            <w:r>
              <w:fldChar w:fldCharType="begin"/>
            </w:r>
            <w:r>
              <w:instrText xml:space="preserve"> PAGEREF _Toc256000004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5" w:history="1">
            <w:r>
              <w:rPr>
                <w:rStyle w:val="Hyperlink"/>
                <w:rFonts w:ascii="Arial" w:hAnsi="Arial"/>
              </w:rPr>
              <w:t>4.2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Investice do výzkumu a vývoje</w:t>
            </w:r>
            <w:r>
              <w:tab/>
            </w:r>
            <w:r>
              <w:fldChar w:fldCharType="begin"/>
            </w:r>
            <w:r>
              <w:instrText xml:space="preserve"> PAGEREF _Toc256000005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6" w:history="1">
            <w:r>
              <w:rPr>
                <w:rStyle w:val="Hyperlink"/>
                <w:rFonts w:ascii="Arial" w:hAnsi="Arial"/>
              </w:rPr>
              <w:t>4.3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Transfer technologií a komercializace</w:t>
            </w:r>
            <w:r>
              <w:tab/>
            </w:r>
            <w:r>
              <w:fldChar w:fldCharType="begin"/>
            </w:r>
            <w:r>
              <w:instrText xml:space="preserve"> PAGEREF _Toc256000006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7" w:history="1">
            <w:r>
              <w:rPr>
                <w:rStyle w:val="Hyperlink"/>
                <w:rFonts w:ascii="Arial" w:hAnsi="Arial"/>
              </w:rPr>
              <w:t>4.4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Spolupráce mezi akademickou sférou a průmyslem</w:t>
            </w:r>
            <w:r>
              <w:tab/>
            </w:r>
            <w:r>
              <w:fldChar w:fldCharType="begin"/>
            </w:r>
            <w:r>
              <w:instrText xml:space="preserve"> PAGEREF _Toc256000007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8" w:history="1">
            <w:r>
              <w:rPr>
                <w:rStyle w:val="Hyperlink"/>
                <w:rFonts w:ascii="Arial" w:hAnsi="Arial"/>
              </w:rPr>
              <w:t>4.5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Právní a administrativní překážky</w:t>
            </w:r>
            <w:r>
              <w:tab/>
            </w:r>
            <w:r>
              <w:fldChar w:fldCharType="begin"/>
            </w:r>
            <w:r>
              <w:instrText xml:space="preserve"> PAGEREF _Toc256000008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09" w:history="1">
            <w:r>
              <w:rPr>
                <w:rStyle w:val="Hyperlink"/>
                <w:rFonts w:ascii="Arial" w:hAnsi="Arial"/>
              </w:rPr>
              <w:t>4.6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Financování a podpora komercializace</w:t>
            </w:r>
            <w:r>
              <w:tab/>
            </w:r>
            <w:r>
              <w:fldChar w:fldCharType="begin"/>
            </w:r>
            <w:r>
              <w:instrText xml:space="preserve"> PAGEREF _Toc256000009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0" w:history="1">
            <w:r>
              <w:rPr>
                <w:rStyle w:val="Hyperlink"/>
                <w:rFonts w:ascii="Arial" w:hAnsi="Arial"/>
              </w:rPr>
              <w:t>4.7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Regionální rozdíly v inovačním ekosystému</w:t>
            </w:r>
            <w:r>
              <w:tab/>
            </w:r>
            <w:r>
              <w:fldChar w:fldCharType="begin"/>
            </w:r>
            <w:r>
              <w:instrText xml:space="preserve"> PAGEREF _Toc256000010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1" w:history="1">
            <w:r>
              <w:rPr>
                <w:rStyle w:val="Hyperlink"/>
                <w:rFonts w:ascii="Arial" w:hAnsi="Arial"/>
              </w:rPr>
              <w:t>5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Programy </w:t>
            </w:r>
            <w:r w:rsidRPr="008C1073" w:rsidR="00E3620C">
              <w:rPr>
                <w:rStyle w:val="Hyperlink"/>
                <w:rFonts w:ascii="Arial" w:hAnsi="Arial"/>
              </w:rPr>
              <w:t>PoC</w:t>
            </w:r>
            <w:r w:rsidRPr="008C1073">
              <w:rPr>
                <w:rStyle w:val="Hyperlink"/>
                <w:rFonts w:ascii="Arial" w:hAnsi="Arial"/>
              </w:rPr>
              <w:t xml:space="preserve"> v evropském kontextu</w:t>
            </w:r>
            <w:r>
              <w:tab/>
            </w:r>
            <w:r>
              <w:fldChar w:fldCharType="begin"/>
            </w:r>
            <w:r>
              <w:instrText xml:space="preserve"> PAGEREF _Toc256000011 \h 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2" w:history="1">
            <w:r>
              <w:rPr>
                <w:rStyle w:val="Hyperlink"/>
                <w:rFonts w:ascii="Arial" w:hAnsi="Arial"/>
              </w:rPr>
              <w:t>5.1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ERC </w:t>
            </w:r>
            <w:r w:rsidRPr="008C1073" w:rsidR="00160810">
              <w:rPr>
                <w:rStyle w:val="Hyperlink"/>
                <w:rFonts w:ascii="Arial" w:hAnsi="Arial"/>
              </w:rPr>
              <w:t>PoC</w:t>
            </w:r>
            <w:r>
              <w:tab/>
            </w:r>
            <w:r>
              <w:fldChar w:fldCharType="begin"/>
            </w:r>
            <w:r>
              <w:instrText xml:space="preserve"> PAGEREF _Toc256000012 \h 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3" w:history="1">
            <w:r>
              <w:rPr>
                <w:rStyle w:val="Hyperlink"/>
                <w:rFonts w:ascii="Arial" w:hAnsi="Arial"/>
              </w:rPr>
              <w:t>5.2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Národní programy </w:t>
            </w:r>
            <w:r w:rsidRPr="008C1073">
              <w:rPr>
                <w:rStyle w:val="Hyperlink"/>
                <w:rFonts w:ascii="Arial" w:hAnsi="Arial"/>
              </w:rPr>
              <w:t>PoC</w:t>
            </w:r>
            <w:r w:rsidRPr="008C1073">
              <w:rPr>
                <w:rStyle w:val="Hyperlink"/>
                <w:rFonts w:ascii="Arial" w:hAnsi="Arial"/>
              </w:rPr>
              <w:t xml:space="preserve"> v Evropě</w:t>
            </w:r>
            <w:r>
              <w:tab/>
            </w:r>
            <w:r>
              <w:fldChar w:fldCharType="begin"/>
            </w:r>
            <w:r>
              <w:instrText xml:space="preserve"> PAGEREF _Toc256000013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4" w:history="1">
            <w:r>
              <w:rPr>
                <w:rStyle w:val="Hyperlink"/>
                <w:rFonts w:ascii="Arial" w:hAnsi="Arial"/>
              </w:rPr>
              <w:t>5.3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Předběžné výsledky a dopady </w:t>
            </w:r>
            <w:r w:rsidRPr="008C1073">
              <w:rPr>
                <w:rStyle w:val="Hyperlink"/>
                <w:rFonts w:ascii="Arial" w:hAnsi="Arial"/>
              </w:rPr>
              <w:t>PoC</w:t>
            </w:r>
            <w:r w:rsidRPr="008C1073">
              <w:rPr>
                <w:rStyle w:val="Hyperlink"/>
                <w:rFonts w:ascii="Arial" w:hAnsi="Arial"/>
              </w:rPr>
              <w:t xml:space="preserve"> programů</w:t>
            </w:r>
            <w:r>
              <w:tab/>
            </w:r>
            <w:r>
              <w:fldChar w:fldCharType="begin"/>
            </w:r>
            <w:r>
              <w:instrText xml:space="preserve"> PAGEREF _Toc256000014 \h </w:instrText>
            </w:r>
            <w:r>
              <w:fldChar w:fldCharType="separate"/>
            </w:r>
            <w:r>
              <w:t>18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5" w:history="1">
            <w:r>
              <w:rPr>
                <w:rStyle w:val="Hyperlink"/>
                <w:rFonts w:ascii="Arial" w:hAnsi="Arial"/>
              </w:rPr>
              <w:t>6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Potenciál pro </w:t>
            </w:r>
            <w:r w:rsidRPr="008C1073" w:rsidR="00160810">
              <w:rPr>
                <w:rStyle w:val="Hyperlink"/>
                <w:rFonts w:ascii="Arial" w:hAnsi="Arial"/>
              </w:rPr>
              <w:t>PoC</w:t>
            </w:r>
            <w:r w:rsidRPr="008C1073">
              <w:rPr>
                <w:rStyle w:val="Hyperlink"/>
                <w:rFonts w:ascii="Arial" w:hAnsi="Arial"/>
              </w:rPr>
              <w:t xml:space="preserve"> v ČR</w:t>
            </w:r>
            <w:r>
              <w:tab/>
            </w:r>
            <w:r>
              <w:fldChar w:fldCharType="begin"/>
            </w:r>
            <w:r>
              <w:instrText xml:space="preserve"> PAGEREF _Toc256000015 \h </w:instrText>
            </w:r>
            <w:r>
              <w:fldChar w:fldCharType="separate"/>
            </w:r>
            <w:r>
              <w:t>20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6" w:history="1">
            <w:r>
              <w:rPr>
                <w:rStyle w:val="Hyperlink"/>
                <w:rFonts w:ascii="Arial" w:hAnsi="Arial"/>
              </w:rPr>
              <w:t>6.1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Zájem výzkumníků </w:t>
            </w:r>
            <w:r w:rsidRPr="008C1073" w:rsidR="008B71DC">
              <w:rPr>
                <w:rStyle w:val="Hyperlink"/>
                <w:rFonts w:ascii="Arial" w:hAnsi="Arial"/>
              </w:rPr>
              <w:t xml:space="preserve">a výzkumnic </w:t>
            </w:r>
            <w:r w:rsidRPr="008C1073">
              <w:rPr>
                <w:rStyle w:val="Hyperlink"/>
                <w:rFonts w:ascii="Arial" w:hAnsi="Arial"/>
              </w:rPr>
              <w:t>o komercializaci</w:t>
            </w:r>
            <w:r w:rsidRPr="008C1073" w:rsidR="00D450F8">
              <w:rPr>
                <w:rStyle w:val="Hyperlink"/>
                <w:rFonts w:ascii="Arial" w:hAnsi="Arial"/>
              </w:rPr>
              <w:t xml:space="preserve"> a inovace</w:t>
            </w:r>
            <w:r>
              <w:tab/>
            </w:r>
            <w:r>
              <w:fldChar w:fldCharType="begin"/>
            </w:r>
            <w:r>
              <w:instrText xml:space="preserve"> PAGEREF _Toc256000016 \h </w:instrText>
            </w:r>
            <w:r>
              <w:fldChar w:fldCharType="separate"/>
            </w:r>
            <w:r>
              <w:t>20</w:t>
            </w:r>
            <w:r>
              <w:fldChar w:fldCharType="end"/>
            </w:r>
          </w:hyperlink>
        </w:p>
        <w:p>
          <w:pPr>
            <w:pStyle w:val="TOC2"/>
            <w:tabs>
              <w:tab w:val="left" w:pos="8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7" w:history="1">
            <w:r>
              <w:rPr>
                <w:rStyle w:val="Hyperlink"/>
                <w:rFonts w:ascii="Arial" w:hAnsi="Arial"/>
              </w:rPr>
              <w:t>6.2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 xml:space="preserve">Překážky pro výzkumníky </w:t>
            </w:r>
            <w:r w:rsidRPr="008C1073" w:rsidR="00945A00">
              <w:rPr>
                <w:rStyle w:val="Hyperlink"/>
                <w:rFonts w:ascii="Arial" w:hAnsi="Arial"/>
              </w:rPr>
              <w:t xml:space="preserve">a výzkumnice </w:t>
            </w:r>
            <w:r w:rsidRPr="008C1073">
              <w:rPr>
                <w:rStyle w:val="Hyperlink"/>
                <w:rFonts w:ascii="Arial" w:hAnsi="Arial"/>
              </w:rPr>
              <w:t>při komercializaci</w:t>
            </w:r>
            <w:r>
              <w:tab/>
            </w:r>
            <w:r>
              <w:fldChar w:fldCharType="begin"/>
            </w:r>
            <w:r>
              <w:instrText xml:space="preserve"> PAGEREF _Toc256000017 \h </w:instrText>
            </w:r>
            <w:r>
              <w:fldChar w:fldCharType="separate"/>
            </w:r>
            <w:r>
              <w:t>20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32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8" w:history="1">
            <w:r>
              <w:rPr>
                <w:rStyle w:val="Hyperlink"/>
                <w:rFonts w:ascii="Arial" w:hAnsi="Arial"/>
              </w:rPr>
              <w:t>6.2.1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Nedostatek času a motivace</w:t>
            </w:r>
            <w:r>
              <w:tab/>
            </w:r>
            <w:r>
              <w:fldChar w:fldCharType="begin"/>
            </w:r>
            <w:r>
              <w:instrText xml:space="preserve"> PAGEREF _Toc256000018 \h </w:instrText>
            </w:r>
            <w:r>
              <w:fldChar w:fldCharType="separate"/>
            </w:r>
            <w:r>
              <w:t>20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32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19" w:history="1">
            <w:r>
              <w:rPr>
                <w:rStyle w:val="Hyperlink"/>
                <w:rFonts w:ascii="Arial" w:hAnsi="Arial"/>
              </w:rPr>
              <w:t>6.2.2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Nedostatečné znalosti a dovednosti v oblasti podnikání</w:t>
            </w:r>
            <w:r>
              <w:tab/>
            </w:r>
            <w:r>
              <w:fldChar w:fldCharType="begin"/>
            </w:r>
            <w:r>
              <w:instrText xml:space="preserve"> PAGEREF _Toc256000019 \h </w:instrText>
            </w:r>
            <w:r>
              <w:fldChar w:fldCharType="separate"/>
            </w:r>
            <w:r>
              <w:t>21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32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20" w:history="1">
            <w:r>
              <w:rPr>
                <w:rStyle w:val="Hyperlink"/>
                <w:rFonts w:ascii="Arial" w:hAnsi="Arial"/>
              </w:rPr>
              <w:t>6.2.3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Právní a administrativní bariéry</w:t>
            </w:r>
            <w:r>
              <w:tab/>
            </w:r>
            <w:r>
              <w:fldChar w:fldCharType="begin"/>
            </w:r>
            <w:r>
              <w:instrText xml:space="preserve"> PAGEREF _Toc256000020 \h </w:instrText>
            </w:r>
            <w:r>
              <w:fldChar w:fldCharType="separate"/>
            </w:r>
            <w:r>
              <w:t>21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32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21" w:history="1">
            <w:r>
              <w:rPr>
                <w:rStyle w:val="Hyperlink"/>
                <w:rFonts w:ascii="Arial" w:hAnsi="Arial"/>
              </w:rPr>
              <w:t>6.2.4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Financování raných fází komercializace</w:t>
            </w:r>
            <w:r>
              <w:tab/>
            </w:r>
            <w:r>
              <w:fldChar w:fldCharType="begin"/>
            </w:r>
            <w:r>
              <w:instrText xml:space="preserve"> PAGEREF _Toc256000021 \h </w:instrText>
            </w:r>
            <w:r>
              <w:fldChar w:fldCharType="separate"/>
            </w:r>
            <w:r>
              <w:t>21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80"/>
              <w:tab w:val="right" w:leader="dot" w:pos="9019"/>
            </w:tabs>
            <w:rPr>
              <w:rFonts w:asciiTheme="minorHAnsi" w:hAnsiTheme="minorHAnsi"/>
              <w:noProof/>
              <w:sz w:val="22"/>
            </w:rPr>
          </w:pPr>
          <w:hyperlink w:anchor="_Toc256000022" w:history="1">
            <w:r>
              <w:rPr>
                <w:rStyle w:val="Hyperlink"/>
                <w:rFonts w:ascii="Arial" w:hAnsi="Arial"/>
              </w:rPr>
              <w:t>7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8C1073">
              <w:rPr>
                <w:rStyle w:val="Hyperlink"/>
                <w:rFonts w:ascii="Arial" w:hAnsi="Arial"/>
              </w:rPr>
              <w:t>Závěr</w:t>
            </w:r>
            <w:r>
              <w:tab/>
            </w:r>
            <w:r>
              <w:fldChar w:fldCharType="begin"/>
            </w:r>
            <w:r>
              <w:instrText xml:space="preserve"> PAGEREF _Toc256000022 \h </w:instrText>
            </w:r>
            <w:r>
              <w:fldChar w:fldCharType="separate"/>
            </w:r>
            <w:r>
              <w:t>22</w:t>
            </w:r>
            <w:r>
              <w:fldChar w:fldCharType="end"/>
            </w:r>
          </w:hyperlink>
        </w:p>
        <w:p w:rsidR="00A86F2F" w:rsidRPr="008C1073">
          <w:pPr>
            <w:rPr>
              <w:rFonts w:ascii="Arial" w:hAnsi="Arial"/>
              <w:sz w:val="22"/>
            </w:rPr>
          </w:pPr>
          <w:r w:rsidRPr="008C1073">
            <w:rPr>
              <w:rFonts w:ascii="Arial" w:hAnsi="Arial"/>
              <w:b/>
              <w:bCs/>
              <w:sz w:val="22"/>
            </w:rPr>
            <w:fldChar w:fldCharType="end"/>
          </w:r>
        </w:p>
      </w:sdtContent>
    </w:sdt>
    <w:p w:rsidR="00A86F2F" w:rsidRPr="008C1073" w:rsidP="000A5A05" w14:paraId="30F448E7" w14:textId="77777777">
      <w:pPr>
        <w:rPr>
          <w:rFonts w:ascii="Arial" w:hAnsi="Arial"/>
          <w:sz w:val="22"/>
        </w:rPr>
      </w:pPr>
    </w:p>
    <w:p w:rsidR="000D2B04" w:rsidRPr="008C1073" w14:paraId="00000002" w14:textId="77777777">
      <w:pPr>
        <w:rPr>
          <w:rFonts w:ascii="Arial" w:hAnsi="Arial"/>
          <w:sz w:val="22"/>
        </w:rPr>
      </w:pPr>
    </w:p>
    <w:p w:rsidR="00A86F2F" w:rsidRPr="008C1073" w14:paraId="35FDC0A9" w14:textId="4C493F00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p w:rsidR="000D2B04" w:rsidRPr="008C1073" w14:paraId="00000003" w14:textId="451AF38A">
      <w:pPr>
        <w:pStyle w:val="Heading1"/>
        <w:spacing w:after="200"/>
        <w:rPr>
          <w:rFonts w:ascii="Arial" w:hAnsi="Arial"/>
          <w:sz w:val="22"/>
          <w:szCs w:val="22"/>
          <w:u w:val="single"/>
        </w:rPr>
      </w:pPr>
      <w:bookmarkStart w:id="1" w:name="_Toc256000000"/>
      <w:r w:rsidRPr="008C1073">
        <w:rPr>
          <w:rFonts w:ascii="Arial" w:hAnsi="Arial"/>
          <w:sz w:val="22"/>
          <w:szCs w:val="22"/>
          <w:u w:val="single"/>
        </w:rPr>
        <w:t>Úvod</w:t>
      </w:r>
      <w:bookmarkEnd w:id="1"/>
    </w:p>
    <w:p w:rsidR="000D2B04" w:rsidRPr="008C1073" w:rsidP="00187AEC" w14:paraId="00000004" w14:textId="0F41E53D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Ex ante analýza </w:t>
      </w:r>
      <w:r w:rsidRPr="008C1073" w:rsidR="00EC4877">
        <w:rPr>
          <w:rFonts w:ascii="Arial" w:hAnsi="Arial"/>
          <w:sz w:val="22"/>
        </w:rPr>
        <w:t xml:space="preserve">skupiny </w:t>
      </w:r>
      <w:r w:rsidRPr="008C1073">
        <w:rPr>
          <w:rFonts w:ascii="Arial" w:hAnsi="Arial"/>
          <w:sz w:val="22"/>
        </w:rPr>
        <w:t xml:space="preserve">grantových projektů </w:t>
      </w:r>
      <w:r w:rsidRPr="008C1073">
        <w:rPr>
          <w:rFonts w:ascii="Arial" w:hAnsi="Arial"/>
          <w:sz w:val="22"/>
        </w:rPr>
        <w:t>Proof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Concept</w:t>
      </w:r>
      <w:r w:rsidRPr="008C1073">
        <w:rPr>
          <w:rFonts w:ascii="Arial" w:hAnsi="Arial"/>
          <w:sz w:val="22"/>
        </w:rPr>
        <w:t xml:space="preserve"> (</w:t>
      </w:r>
      <w:r w:rsidRPr="008C1073" w:rsidR="00E44AC2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>) od Grantové agentury České republiky (GA ČR) představuje komplexní průzkum potřeb a příležitostí v oblasti přenosu poznatků ze základního výzkumu do praktických aplikací. Tato analýza</w:t>
      </w:r>
      <w:r w:rsidRPr="008C1073" w:rsidR="00EC4877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 xml:space="preserve">si klade za cíl zmapovat současnou situaci a potenciál pro implementaci </w:t>
      </w:r>
      <w:r w:rsidRPr="008C1073" w:rsidR="00E44AC2">
        <w:rPr>
          <w:rFonts w:ascii="Arial" w:hAnsi="Arial"/>
          <w:sz w:val="22"/>
        </w:rPr>
        <w:t>PoC</w:t>
      </w:r>
      <w:r w:rsidRPr="008C1073" w:rsidR="00E44AC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grantů v českém výzkumném prostředí.</w:t>
      </w:r>
    </w:p>
    <w:p w:rsidR="000D2B04" w:rsidRPr="008C1073" w:rsidP="00187AEC" w14:paraId="00000005" w14:textId="68DD569F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Hlavním záměrem této analýzy je </w:t>
      </w:r>
      <w:r w:rsidRPr="008C1073" w:rsidR="00EC4877">
        <w:rPr>
          <w:rFonts w:ascii="Arial" w:hAnsi="Arial"/>
          <w:sz w:val="22"/>
        </w:rPr>
        <w:t>zjistit</w:t>
      </w:r>
      <w:r w:rsidRPr="008C1073">
        <w:rPr>
          <w:rFonts w:ascii="Arial" w:hAnsi="Arial"/>
          <w:sz w:val="22"/>
        </w:rPr>
        <w:t xml:space="preserve">, </w:t>
      </w:r>
      <w:r w:rsidRPr="008C1073" w:rsidR="00D70EF1">
        <w:rPr>
          <w:rFonts w:ascii="Arial" w:hAnsi="Arial"/>
          <w:sz w:val="22"/>
        </w:rPr>
        <w:t>do jaké míry by</w:t>
      </w:r>
      <w:r w:rsidRPr="008C1073" w:rsidR="00EC4877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 xml:space="preserve">granty </w:t>
      </w:r>
      <w:r w:rsidRPr="008C1073" w:rsidR="008E64DF">
        <w:rPr>
          <w:rFonts w:ascii="Arial" w:hAnsi="Arial"/>
          <w:sz w:val="22"/>
        </w:rPr>
        <w:t>PoC</w:t>
      </w:r>
      <w:r w:rsidRPr="008C1073" w:rsidR="00D70EF1">
        <w:rPr>
          <w:rFonts w:ascii="Arial" w:hAnsi="Arial"/>
          <w:sz w:val="22"/>
        </w:rPr>
        <w:t>, zaměřené na</w:t>
      </w:r>
      <w:r w:rsidRPr="008C1073">
        <w:rPr>
          <w:rFonts w:ascii="Arial" w:hAnsi="Arial"/>
          <w:sz w:val="22"/>
        </w:rPr>
        <w:t xml:space="preserve"> </w:t>
      </w:r>
      <w:r w:rsidRPr="008C1073" w:rsidR="00CE6121">
        <w:rPr>
          <w:rFonts w:ascii="Arial" w:hAnsi="Arial"/>
          <w:sz w:val="22"/>
        </w:rPr>
        <w:t>rozvoj myšlenek, vzniklých v rámci základního výzkumu, byly přínosné v rámci podpory výzkumu</w:t>
      </w:r>
      <w:r w:rsidRPr="008C1073">
        <w:rPr>
          <w:rFonts w:ascii="Arial" w:hAnsi="Arial"/>
          <w:sz w:val="22"/>
        </w:rPr>
        <w:t xml:space="preserve"> v</w:t>
      </w:r>
      <w:r w:rsidRPr="008C1073" w:rsidR="00B9357C">
        <w:rPr>
          <w:rFonts w:ascii="Arial" w:hAnsi="Arial"/>
          <w:sz w:val="22"/>
        </w:rPr>
        <w:t> </w:t>
      </w:r>
      <w:r w:rsidRPr="008C1073">
        <w:rPr>
          <w:rFonts w:ascii="Arial" w:hAnsi="Arial"/>
          <w:sz w:val="22"/>
        </w:rPr>
        <w:t>České republice</w:t>
      </w:r>
      <w:r w:rsidRPr="008C1073" w:rsidR="0031512A">
        <w:rPr>
          <w:rFonts w:ascii="Arial" w:hAnsi="Arial"/>
          <w:sz w:val="22"/>
        </w:rPr>
        <w:t>.</w:t>
      </w:r>
      <w:r w:rsidRPr="008C1073">
        <w:rPr>
          <w:rFonts w:ascii="Arial" w:hAnsi="Arial"/>
          <w:sz w:val="22"/>
        </w:rPr>
        <w:t xml:space="preserve"> Na rozdíl od grantů zaměřených výhradně na aplikovaný výzkum, </w:t>
      </w:r>
      <w:r w:rsidRPr="008C1073" w:rsidR="00E44AC2">
        <w:rPr>
          <w:rFonts w:ascii="Arial" w:hAnsi="Arial"/>
          <w:sz w:val="22"/>
        </w:rPr>
        <w:t>PoC</w:t>
      </w:r>
      <w:r w:rsidRPr="008C1073" w:rsidR="00E44AC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projekty představují most, který umožňuje efektivní přenos znalostí a objevů výzkumu do</w:t>
      </w:r>
      <w:r w:rsidRPr="008C1073" w:rsidR="00B9357C">
        <w:rPr>
          <w:rFonts w:ascii="Arial" w:hAnsi="Arial"/>
          <w:sz w:val="22"/>
        </w:rPr>
        <w:t> </w:t>
      </w:r>
      <w:r w:rsidRPr="008C1073">
        <w:rPr>
          <w:rFonts w:ascii="Arial" w:hAnsi="Arial"/>
          <w:sz w:val="22"/>
        </w:rPr>
        <w:t>praxe.</w:t>
      </w:r>
    </w:p>
    <w:p w:rsidR="000D2B04" w:rsidRPr="008C1073" w:rsidP="00187AEC" w14:paraId="00000006" w14:textId="3E0EFCD3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Klíčovou hodnotou projektů </w:t>
      </w:r>
      <w:r w:rsidRPr="008C1073" w:rsidR="008E64DF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je jejich schopnost </w:t>
      </w:r>
      <w:r w:rsidRPr="008C1073" w:rsidR="008F47A7">
        <w:rPr>
          <w:rFonts w:ascii="Arial" w:hAnsi="Arial"/>
          <w:sz w:val="22"/>
        </w:rPr>
        <w:t xml:space="preserve">podpořit </w:t>
      </w:r>
      <w:r w:rsidRPr="008C1073">
        <w:rPr>
          <w:rFonts w:ascii="Arial" w:hAnsi="Arial"/>
          <w:sz w:val="22"/>
        </w:rPr>
        <w:t xml:space="preserve">transformaci teoretických poznatků do praktických inovací. Tím se výrazně odlišují od tradičních schémat podpory aplikovaného výzkumu. </w:t>
      </w:r>
      <w:r w:rsidRPr="008C1073" w:rsidR="00E44AC2">
        <w:rPr>
          <w:rFonts w:ascii="Arial" w:hAnsi="Arial"/>
          <w:sz w:val="22"/>
        </w:rPr>
        <w:t>PoC</w:t>
      </w:r>
      <w:r w:rsidRPr="008C1073" w:rsidR="00E44AC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 xml:space="preserve">granty </w:t>
      </w:r>
      <w:r w:rsidRPr="008C1073" w:rsidR="00EC4877">
        <w:rPr>
          <w:rFonts w:ascii="Arial" w:hAnsi="Arial"/>
          <w:sz w:val="22"/>
        </w:rPr>
        <w:t xml:space="preserve">GA ČR mají umožnit </w:t>
      </w:r>
      <w:r w:rsidRPr="008C1073">
        <w:rPr>
          <w:rFonts w:ascii="Arial" w:hAnsi="Arial"/>
          <w:sz w:val="22"/>
        </w:rPr>
        <w:t xml:space="preserve">výzkumníkům </w:t>
      </w:r>
      <w:r w:rsidRPr="008C1073" w:rsidR="00B34A26">
        <w:rPr>
          <w:rFonts w:ascii="Arial" w:hAnsi="Arial"/>
          <w:sz w:val="22"/>
        </w:rPr>
        <w:t>a výzkumni</w:t>
      </w:r>
      <w:r w:rsidRPr="008C1073" w:rsidR="00BB5693">
        <w:rPr>
          <w:rFonts w:ascii="Arial" w:hAnsi="Arial"/>
          <w:sz w:val="22"/>
        </w:rPr>
        <w:t xml:space="preserve">cím </w:t>
      </w:r>
      <w:r w:rsidRPr="008C1073">
        <w:rPr>
          <w:rFonts w:ascii="Arial" w:hAnsi="Arial"/>
          <w:sz w:val="22"/>
        </w:rPr>
        <w:t>ověřit proveditelnost a komerční potenciál jejich objevů vzešlých ze základního výzkumu financovaného GA</w:t>
      </w:r>
      <w:r w:rsidRPr="008C1073" w:rsidR="001E3D1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 xml:space="preserve">ČR, a tím významně </w:t>
      </w:r>
      <w:r w:rsidRPr="008C1073" w:rsidR="00EC4877">
        <w:rPr>
          <w:rFonts w:ascii="Arial" w:hAnsi="Arial"/>
          <w:sz w:val="22"/>
        </w:rPr>
        <w:t xml:space="preserve">usnadnit </w:t>
      </w:r>
      <w:r w:rsidRPr="008C1073">
        <w:rPr>
          <w:rFonts w:ascii="Arial" w:hAnsi="Arial"/>
          <w:sz w:val="22"/>
        </w:rPr>
        <w:t>cestu od vědeckého poznání k</w:t>
      </w:r>
      <w:r w:rsidRPr="008C1073" w:rsidR="00620226">
        <w:rPr>
          <w:rFonts w:ascii="Arial" w:hAnsi="Arial"/>
          <w:sz w:val="22"/>
        </w:rPr>
        <w:t>e</w:t>
      </w:r>
      <w:r w:rsidRPr="008C1073" w:rsidR="00D967D1">
        <w:rPr>
          <w:rFonts w:ascii="Arial" w:hAnsi="Arial"/>
          <w:sz w:val="22"/>
        </w:rPr>
        <w:t xml:space="preserve"> komerčně či nekomerčně</w:t>
      </w:r>
      <w:r w:rsidRPr="008C1073">
        <w:rPr>
          <w:rFonts w:ascii="Arial" w:hAnsi="Arial"/>
          <w:sz w:val="22"/>
        </w:rPr>
        <w:t xml:space="preserve"> uplatnitelným produktům či službám.</w:t>
      </w:r>
    </w:p>
    <w:p w:rsidR="000D2B04" w:rsidRPr="008C1073" w:rsidP="00187AEC" w14:paraId="00000007" w14:textId="790A02C1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Tato ex ante analýza zkoumá, do jaké míry existuje v českém výzkumném prostředí potřeba takového typu podpory, který by překlenul mezeru mezi základním a aplikovaným výzkumem. Zaměřuje se na identifikaci současných překážek, kterým výzkumníci </w:t>
      </w:r>
      <w:r w:rsidRPr="008C1073" w:rsidR="00BB5693">
        <w:rPr>
          <w:rFonts w:ascii="Arial" w:hAnsi="Arial"/>
          <w:sz w:val="22"/>
        </w:rPr>
        <w:t xml:space="preserve">a výzkumnice </w:t>
      </w:r>
      <w:r w:rsidRPr="008C1073">
        <w:rPr>
          <w:rFonts w:ascii="Arial" w:hAnsi="Arial"/>
          <w:sz w:val="22"/>
        </w:rPr>
        <w:t>čelí při snaze o přenos výsledků základního výzkumu do praxe.</w:t>
      </w:r>
    </w:p>
    <w:p w:rsidR="000D2B04" w:rsidRPr="008C1073" w:rsidP="00187AEC" w14:paraId="00000008" w14:textId="055D097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K</w:t>
      </w:r>
      <w:r w:rsidRPr="008C1073" w:rsidR="00F96BEA">
        <w:rPr>
          <w:rFonts w:ascii="Arial" w:hAnsi="Arial"/>
          <w:sz w:val="22"/>
        </w:rPr>
        <w:t>lade</w:t>
      </w:r>
      <w:r w:rsidRPr="008C1073">
        <w:rPr>
          <w:rFonts w:ascii="Arial" w:hAnsi="Arial"/>
          <w:sz w:val="22"/>
        </w:rPr>
        <w:t xml:space="preserve"> si</w:t>
      </w:r>
      <w:r w:rsidRPr="008C1073" w:rsidR="00F96BEA">
        <w:rPr>
          <w:rFonts w:ascii="Arial" w:hAnsi="Arial"/>
          <w:sz w:val="22"/>
        </w:rPr>
        <w:t xml:space="preserve"> za cíl poskytnout komplexní obraz o potenciálním dopadu projektů </w:t>
      </w:r>
      <w:r w:rsidRPr="008C1073" w:rsidR="008E64DF">
        <w:rPr>
          <w:rFonts w:ascii="Arial" w:hAnsi="Arial"/>
          <w:sz w:val="22"/>
        </w:rPr>
        <w:t>PoC</w:t>
      </w:r>
      <w:r w:rsidRPr="008C1073" w:rsidR="008E64DF">
        <w:rPr>
          <w:rFonts w:ascii="Arial" w:hAnsi="Arial"/>
          <w:sz w:val="22"/>
        </w:rPr>
        <w:t xml:space="preserve"> </w:t>
      </w:r>
      <w:r w:rsidRPr="008C1073" w:rsidR="00F96BEA">
        <w:rPr>
          <w:rFonts w:ascii="Arial" w:hAnsi="Arial"/>
          <w:sz w:val="22"/>
        </w:rPr>
        <w:t>na inovační ekosystém v České republice</w:t>
      </w:r>
      <w:r w:rsidRPr="008C1073" w:rsidR="0008330B">
        <w:rPr>
          <w:rFonts w:ascii="Arial" w:hAnsi="Arial"/>
          <w:sz w:val="22"/>
        </w:rPr>
        <w:t xml:space="preserve"> a popisuje</w:t>
      </w:r>
      <w:r w:rsidRPr="008C1073" w:rsidR="00F96BEA">
        <w:rPr>
          <w:rFonts w:ascii="Arial" w:hAnsi="Arial"/>
          <w:sz w:val="22"/>
        </w:rPr>
        <w:t>, jak mohou tyto projekty doplnit existující schémata podpory a vytvořit ucelený systém, který umožní maximálně vytěžit poznatky získané v rámci základního výzkumu.</w:t>
      </w:r>
    </w:p>
    <w:p w:rsidR="000D2B04" w:rsidRPr="008C1073" w:rsidP="00187AEC" w14:paraId="00000009" w14:textId="6F2B3C8B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Výsledky analýzy budou sloužit jako podklad pro rozhodování o implementaci a nastavení </w:t>
      </w:r>
      <w:r w:rsidRPr="008C1073" w:rsidR="00EC4877">
        <w:rPr>
          <w:rFonts w:ascii="Arial" w:hAnsi="Arial"/>
          <w:sz w:val="22"/>
        </w:rPr>
        <w:t xml:space="preserve">skupiny grantových projektů </w:t>
      </w:r>
      <w:r w:rsidRPr="008C1073" w:rsidR="00E44AC2">
        <w:rPr>
          <w:rFonts w:ascii="Arial" w:hAnsi="Arial"/>
          <w:sz w:val="22"/>
        </w:rPr>
        <w:t>PoC</w:t>
      </w:r>
      <w:r w:rsidRPr="008C1073" w:rsidR="00EC4877">
        <w:rPr>
          <w:rFonts w:ascii="Arial" w:hAnsi="Arial"/>
          <w:sz w:val="22"/>
        </w:rPr>
        <w:t xml:space="preserve">, jejímž cílem </w:t>
      </w:r>
      <w:r w:rsidRPr="008C1073">
        <w:rPr>
          <w:rFonts w:ascii="Arial" w:hAnsi="Arial"/>
          <w:sz w:val="22"/>
        </w:rPr>
        <w:t xml:space="preserve">je vytvořit efektivní nástroj, který nejen </w:t>
      </w:r>
      <w:r w:rsidRPr="008C1073">
        <w:rPr>
          <w:rFonts w:ascii="Arial" w:hAnsi="Arial"/>
          <w:sz w:val="22"/>
        </w:rPr>
        <w:t>podpoří</w:t>
      </w:r>
      <w:r w:rsidRPr="008C1073">
        <w:rPr>
          <w:rFonts w:ascii="Arial" w:hAnsi="Arial"/>
          <w:sz w:val="22"/>
        </w:rPr>
        <w:t xml:space="preserve"> inovace a konkurenceschopnost české vědy a ekonomiky, ale také zajistí, že investice do</w:t>
      </w:r>
      <w:r w:rsidRPr="008C1073" w:rsidR="00B9357C">
        <w:rPr>
          <w:rFonts w:ascii="Arial" w:hAnsi="Arial"/>
          <w:sz w:val="22"/>
        </w:rPr>
        <w:t> </w:t>
      </w:r>
      <w:r w:rsidRPr="008C1073">
        <w:rPr>
          <w:rFonts w:ascii="Arial" w:hAnsi="Arial"/>
          <w:sz w:val="22"/>
        </w:rPr>
        <w:t>základního výzkumu budou mít co nejvyšší společenský a ekonomický dopad.</w:t>
      </w:r>
    </w:p>
    <w:p w:rsidR="00A86F2F" w:rsidRPr="008C1073" w:rsidP="00187AEC" w14:paraId="0AC5FF91" w14:textId="7777777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p w:rsidR="000D2B04" w:rsidRPr="008C1073" w14:paraId="0000000A" w14:textId="00319FA4">
      <w:pPr>
        <w:pStyle w:val="Heading1"/>
        <w:spacing w:after="200"/>
        <w:rPr>
          <w:rFonts w:ascii="Arial" w:hAnsi="Arial"/>
          <w:sz w:val="22"/>
          <w:szCs w:val="22"/>
          <w:u w:val="single"/>
        </w:rPr>
      </w:pPr>
      <w:bookmarkStart w:id="2" w:name="_Toc256000001"/>
      <w:r w:rsidRPr="008C1073">
        <w:rPr>
          <w:rFonts w:ascii="Arial" w:hAnsi="Arial"/>
          <w:sz w:val="22"/>
          <w:szCs w:val="22"/>
          <w:u w:val="single"/>
        </w:rPr>
        <w:t>Zaměření a cíle skupiny grantových projektů</w:t>
      </w:r>
      <w:bookmarkEnd w:id="2"/>
      <w:r w:rsidRPr="008C1073">
        <w:rPr>
          <w:rFonts w:ascii="Arial" w:hAnsi="Arial"/>
          <w:sz w:val="22"/>
          <w:szCs w:val="22"/>
          <w:u w:val="single"/>
        </w:rPr>
        <w:t> </w:t>
      </w:r>
    </w:p>
    <w:p w:rsidR="000D2B04" w:rsidRPr="008C1073" w:rsidP="00537123" w14:paraId="0000000B" w14:textId="658798DF">
      <w:pPr>
        <w:rPr>
          <w:rFonts w:ascii="Arial" w:hAnsi="Arial"/>
          <w:sz w:val="22"/>
          <w:highlight w:val="white"/>
        </w:rPr>
      </w:pPr>
      <w:r w:rsidRPr="008C1073">
        <w:rPr>
          <w:rFonts w:ascii="Arial" w:hAnsi="Arial"/>
          <w:sz w:val="22"/>
          <w:highlight w:val="white"/>
        </w:rPr>
        <w:t>PoC</w:t>
      </w:r>
      <w:r w:rsidRPr="008C1073" w:rsidR="00F96BEA">
        <w:rPr>
          <w:rFonts w:ascii="Arial" w:hAnsi="Arial"/>
          <w:sz w:val="22"/>
          <w:highlight w:val="white"/>
        </w:rPr>
        <w:t xml:space="preserve"> projekty jsou výzkumné projekty, jejichž cílem je umožnit </w:t>
      </w:r>
      <w:r w:rsidRPr="008C1073" w:rsidR="00EC4877">
        <w:rPr>
          <w:rFonts w:ascii="Arial" w:hAnsi="Arial"/>
          <w:sz w:val="22"/>
          <w:highlight w:val="white"/>
        </w:rPr>
        <w:t xml:space="preserve">myšlenkám vzniklým v rámci projektů financovaných </w:t>
      </w:r>
      <w:r w:rsidRPr="008C1073" w:rsidR="00F96BEA">
        <w:rPr>
          <w:rFonts w:ascii="Arial" w:hAnsi="Arial"/>
          <w:sz w:val="22"/>
          <w:highlight w:val="white"/>
        </w:rPr>
        <w:t xml:space="preserve">GA ČR postoupit na </w:t>
      </w:r>
      <w:r w:rsidRPr="008C1073" w:rsidR="00EC4877">
        <w:rPr>
          <w:rFonts w:ascii="Arial" w:hAnsi="Arial"/>
          <w:sz w:val="22"/>
          <w:highlight w:val="white"/>
        </w:rPr>
        <w:t>cest</w:t>
      </w:r>
      <w:r w:rsidRPr="008C1073" w:rsidR="008F70CE">
        <w:rPr>
          <w:rFonts w:ascii="Arial" w:hAnsi="Arial"/>
          <w:sz w:val="22"/>
          <w:highlight w:val="white"/>
        </w:rPr>
        <w:t>ě</w:t>
      </w:r>
      <w:r w:rsidRPr="008C1073" w:rsidR="00F96BEA">
        <w:rPr>
          <w:rFonts w:ascii="Arial" w:hAnsi="Arial"/>
          <w:sz w:val="22"/>
          <w:highlight w:val="white"/>
        </w:rPr>
        <w:t xml:space="preserve"> směrem k inovaci a </w:t>
      </w:r>
      <w:r w:rsidRPr="008C1073" w:rsidR="006F0570">
        <w:rPr>
          <w:rFonts w:ascii="Arial" w:hAnsi="Arial"/>
          <w:sz w:val="22"/>
        </w:rPr>
        <w:t>komercializaci</w:t>
      </w:r>
      <w:r w:rsidRPr="008C1073" w:rsidR="00F96BEA">
        <w:rPr>
          <w:rFonts w:ascii="Arial" w:hAnsi="Arial"/>
          <w:sz w:val="22"/>
          <w:highlight w:val="white"/>
        </w:rPr>
        <w:t xml:space="preserve">. Umožní otestovat proveditelnost </w:t>
      </w:r>
      <w:r w:rsidRPr="008C1073" w:rsidR="00EC4877">
        <w:rPr>
          <w:rFonts w:ascii="Arial" w:hAnsi="Arial"/>
          <w:sz w:val="22"/>
          <w:highlight w:val="white"/>
        </w:rPr>
        <w:t>nové myšlenky</w:t>
      </w:r>
      <w:r w:rsidRPr="008C1073" w:rsidR="00F96BEA">
        <w:rPr>
          <w:rFonts w:ascii="Arial" w:hAnsi="Arial"/>
          <w:sz w:val="22"/>
          <w:highlight w:val="white"/>
        </w:rPr>
        <w:t xml:space="preserve"> nebo konceptu. Jejich součástí je i</w:t>
      </w:r>
      <w:r w:rsidRPr="008C1073" w:rsidR="00B9357C">
        <w:rPr>
          <w:rFonts w:ascii="Arial" w:hAnsi="Arial"/>
          <w:sz w:val="22"/>
          <w:highlight w:val="white"/>
        </w:rPr>
        <w:t> </w:t>
      </w:r>
      <w:r w:rsidRPr="008C1073" w:rsidR="00F96BEA">
        <w:rPr>
          <w:rFonts w:ascii="Arial" w:hAnsi="Arial"/>
          <w:sz w:val="22"/>
          <w:highlight w:val="white"/>
        </w:rPr>
        <w:t xml:space="preserve">zpracování plánu potenciální </w:t>
      </w:r>
      <w:r w:rsidRPr="008C1073" w:rsidR="006F0570">
        <w:rPr>
          <w:rFonts w:ascii="Arial" w:hAnsi="Arial"/>
          <w:sz w:val="22"/>
        </w:rPr>
        <w:t xml:space="preserve">komercializace </w:t>
      </w:r>
      <w:r w:rsidRPr="008C1073" w:rsidR="00F96BEA">
        <w:rPr>
          <w:rFonts w:ascii="Arial" w:hAnsi="Arial"/>
          <w:sz w:val="22"/>
          <w:highlight w:val="white"/>
        </w:rPr>
        <w:t xml:space="preserve">tak, aby byly atraktivní například pro soukromého investora. Projekty </w:t>
      </w:r>
      <w:r w:rsidRPr="008C1073" w:rsidR="00F65D19">
        <w:rPr>
          <w:rFonts w:ascii="Arial" w:hAnsi="Arial"/>
          <w:sz w:val="22"/>
          <w:highlight w:val="white"/>
        </w:rPr>
        <w:t>PoC</w:t>
      </w:r>
      <w:r w:rsidRPr="008C1073" w:rsidR="00F96BEA">
        <w:rPr>
          <w:rFonts w:ascii="Arial" w:hAnsi="Arial"/>
          <w:sz w:val="22"/>
          <w:highlight w:val="white"/>
        </w:rPr>
        <w:t xml:space="preserve"> se osvědčily u ERC, </w:t>
      </w:r>
      <w:r w:rsidRPr="008C1073" w:rsidR="004D7C3C">
        <w:rPr>
          <w:rFonts w:ascii="Arial" w:hAnsi="Arial"/>
          <w:sz w:val="22"/>
          <w:highlight w:val="white"/>
        </w:rPr>
        <w:t>jsou</w:t>
      </w:r>
      <w:r w:rsidRPr="008C1073" w:rsidR="00BB1A4E">
        <w:rPr>
          <w:rFonts w:ascii="Arial" w:hAnsi="Arial"/>
          <w:sz w:val="22"/>
          <w:highlight w:val="white"/>
        </w:rPr>
        <w:t xml:space="preserve"> </w:t>
      </w:r>
      <w:r w:rsidRPr="008C1073" w:rsidR="00F96BEA">
        <w:rPr>
          <w:rFonts w:ascii="Arial" w:hAnsi="Arial"/>
          <w:sz w:val="22"/>
          <w:highlight w:val="white"/>
        </w:rPr>
        <w:t xml:space="preserve">ale </w:t>
      </w:r>
      <w:r w:rsidRPr="008C1073" w:rsidR="00930A1E">
        <w:rPr>
          <w:rFonts w:ascii="Arial" w:hAnsi="Arial"/>
          <w:sz w:val="22"/>
          <w:highlight w:val="white"/>
        </w:rPr>
        <w:t>poskytovány rovněž</w:t>
      </w:r>
      <w:r w:rsidRPr="008C1073" w:rsidR="00F514B7">
        <w:rPr>
          <w:rFonts w:ascii="Arial" w:hAnsi="Arial"/>
          <w:sz w:val="22"/>
          <w:highlight w:val="white"/>
        </w:rPr>
        <w:t xml:space="preserve"> řadou</w:t>
      </w:r>
      <w:r w:rsidRPr="008C1073" w:rsidR="00F96BEA">
        <w:rPr>
          <w:rFonts w:ascii="Arial" w:hAnsi="Arial"/>
          <w:sz w:val="22"/>
          <w:highlight w:val="white"/>
        </w:rPr>
        <w:t xml:space="preserve"> dalších evropských agentur financujících základní výzkum ve všech jeho oborech</w:t>
      </w:r>
      <w:r w:rsidRPr="008C1073" w:rsidR="005868C6">
        <w:rPr>
          <w:rFonts w:ascii="Arial" w:hAnsi="Arial"/>
          <w:sz w:val="22"/>
          <w:highlight w:val="white"/>
        </w:rPr>
        <w:t xml:space="preserve"> na úrovni jednotlivých států</w:t>
      </w:r>
      <w:r w:rsidRPr="008C1073" w:rsidR="00F96BEA">
        <w:rPr>
          <w:rFonts w:ascii="Arial" w:hAnsi="Arial"/>
          <w:sz w:val="22"/>
          <w:highlight w:val="white"/>
        </w:rPr>
        <w:t xml:space="preserve">. </w:t>
      </w:r>
    </w:p>
    <w:p w:rsidR="000D2B04" w:rsidRPr="008C1073" w:rsidP="00187AEC" w14:paraId="0000000C" w14:textId="4D116B0F">
      <w:pPr>
        <w:rPr>
          <w:rFonts w:ascii="Arial" w:hAnsi="Arial"/>
          <w:sz w:val="22"/>
          <w:highlight w:val="white"/>
        </w:rPr>
      </w:pPr>
      <w:r w:rsidRPr="008C1073">
        <w:rPr>
          <w:rFonts w:ascii="Arial" w:hAnsi="Arial"/>
          <w:sz w:val="22"/>
          <w:highlight w:val="white"/>
        </w:rPr>
        <w:t xml:space="preserve">Řada řešitelů </w:t>
      </w:r>
      <w:r w:rsidRPr="008C1073" w:rsidR="00AC47B8">
        <w:rPr>
          <w:rFonts w:ascii="Arial" w:hAnsi="Arial"/>
          <w:sz w:val="22"/>
          <w:highlight w:val="white"/>
        </w:rPr>
        <w:t>a řešitelek</w:t>
      </w:r>
      <w:r w:rsidRPr="008C1073">
        <w:rPr>
          <w:rFonts w:ascii="Arial" w:hAnsi="Arial"/>
          <w:sz w:val="22"/>
          <w:highlight w:val="white"/>
        </w:rPr>
        <w:t xml:space="preserve"> projektů GA ČR má zájem o přechod od nápadu k inovaci. Tento zájem naráží na řadu omezení, jakým je například skutečnost, že nejsou ve stádiu, kdy by bylo možné přímo navázat aplikovaným výzkumem, anebo nemožnost najít v dané fázi výzkumu aplikačního partnera. Podle řady z nich je to tím, že v České republice chybí vhodné schéma podpory této fáze výzkumu.  </w:t>
      </w:r>
    </w:p>
    <w:p w:rsidR="00A86F2F" w:rsidRPr="008C1073" w14:paraId="4082A7A3" w14:textId="7777777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p w:rsidR="000D2B04" w:rsidRPr="008C1073" w:rsidP="5BCCA309" w14:paraId="5A72EF8C" w14:textId="2FCC0258">
      <w:pPr>
        <w:pStyle w:val="Heading1"/>
        <w:spacing w:before="240" w:after="240"/>
        <w:rPr>
          <w:rFonts w:ascii="Arial" w:hAnsi="Arial"/>
          <w:sz w:val="22"/>
          <w:szCs w:val="22"/>
          <w:u w:val="single"/>
        </w:rPr>
      </w:pPr>
      <w:bookmarkStart w:id="3" w:name="_Toc256000002"/>
      <w:r w:rsidRPr="008C1073">
        <w:rPr>
          <w:rFonts w:ascii="Arial" w:hAnsi="Arial"/>
          <w:sz w:val="22"/>
          <w:szCs w:val="22"/>
          <w:u w:val="single"/>
        </w:rPr>
        <w:t xml:space="preserve">Postavení </w:t>
      </w:r>
      <w:r w:rsidRPr="008C1073">
        <w:rPr>
          <w:rFonts w:ascii="Arial" w:hAnsi="Arial"/>
          <w:sz w:val="22"/>
          <w:szCs w:val="22"/>
          <w:u w:val="single"/>
        </w:rPr>
        <w:t>PoC</w:t>
      </w:r>
      <w:r w:rsidRPr="008C1073">
        <w:rPr>
          <w:rFonts w:ascii="Arial" w:hAnsi="Arial"/>
          <w:sz w:val="22"/>
          <w:szCs w:val="22"/>
          <w:u w:val="single"/>
        </w:rPr>
        <w:t xml:space="preserve"> v podpoře výzkumu</w:t>
      </w:r>
      <w:bookmarkEnd w:id="3"/>
    </w:p>
    <w:p w:rsidR="000D2B04" w:rsidRPr="008C1073" w:rsidP="00187AEC" w14:paraId="3BFFA443" w14:textId="6293E45B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Programy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cílí na specifickou část cyklu valorizace vědy. </w:t>
      </w:r>
      <w:r w:rsidRPr="008C1073" w:rsidR="5FBD920A">
        <w:rPr>
          <w:rFonts w:ascii="Arial" w:hAnsi="Arial"/>
          <w:sz w:val="22"/>
        </w:rPr>
        <w:t>Valorizace vědy je proces zpřístupnění vědeckých poznatků a jejich využití pro průmysl nebo společnost ve formě produktů, služeb, procesů nebo politik. Proces valorizace spočívá v komercializaci vědeckých objevů, inovací a technologií nebo k uspokojení požadavků společnosti, které reagují na její potřeby a výzvy, a přináší tak měřitelné přínosy, jako je zlepšení kvality života, zdraví, vzdělání nebo životního prostředí. To může zahrnovat založení startupů, licencování technologií, transfer know-how do průmyslového i neprůmyslového sektoru, vytváření spin-</w:t>
      </w:r>
      <w:r w:rsidRPr="008C1073" w:rsidR="5FBD920A">
        <w:rPr>
          <w:rFonts w:ascii="Arial" w:hAnsi="Arial"/>
          <w:sz w:val="22"/>
        </w:rPr>
        <w:t>off</w:t>
      </w:r>
      <w:r w:rsidRPr="008C1073" w:rsidR="5FBD920A">
        <w:rPr>
          <w:rFonts w:ascii="Arial" w:hAnsi="Arial"/>
          <w:sz w:val="22"/>
        </w:rPr>
        <w:t xml:space="preserve"> firem</w:t>
      </w:r>
      <w:r w:rsidRPr="008C1073" w:rsidR="2FFEF724">
        <w:rPr>
          <w:rFonts w:ascii="Arial" w:hAnsi="Arial"/>
          <w:sz w:val="22"/>
        </w:rPr>
        <w:t>, smluvní výzkum, poradenství</w:t>
      </w:r>
      <w:r w:rsidRPr="008C1073" w:rsidR="5FBD920A">
        <w:rPr>
          <w:rFonts w:ascii="Arial" w:hAnsi="Arial"/>
          <w:sz w:val="22"/>
        </w:rPr>
        <w:t xml:space="preserve"> a mnoho dalších aktivit.</w:t>
      </w:r>
      <w:r w:rsidRPr="008C1073" w:rsidR="62FB5356">
        <w:rPr>
          <w:rFonts w:ascii="Arial" w:hAnsi="Arial"/>
          <w:sz w:val="22"/>
        </w:rPr>
        <w:t xml:space="preserve"> Viz. </w:t>
      </w:r>
      <w:r w:rsidRPr="008C1073" w:rsidR="1F86C70F">
        <w:rPr>
          <w:rFonts w:ascii="Arial" w:hAnsi="Arial"/>
          <w:sz w:val="22"/>
        </w:rPr>
        <w:t>n</w:t>
      </w:r>
      <w:r w:rsidRPr="008C1073" w:rsidR="62FB5356">
        <w:rPr>
          <w:rFonts w:ascii="Arial" w:hAnsi="Arial"/>
          <w:sz w:val="22"/>
        </w:rPr>
        <w:t>apříklad definice OECD</w:t>
      </w:r>
      <w:r>
        <w:rPr>
          <w:rStyle w:val="FootnoteReference"/>
          <w:rFonts w:ascii="Arial" w:hAnsi="Arial"/>
          <w:sz w:val="22"/>
        </w:rPr>
        <w:footnoteReference w:id="3"/>
      </w:r>
      <w:r w:rsidRPr="008C1073" w:rsidR="62FB5356">
        <w:rPr>
          <w:rFonts w:ascii="Arial" w:hAnsi="Arial"/>
          <w:sz w:val="22"/>
        </w:rPr>
        <w:t xml:space="preserve">. </w:t>
      </w:r>
      <w:r w:rsidRPr="008C1073" w:rsidR="11ABAA4C">
        <w:rPr>
          <w:rFonts w:ascii="Arial" w:hAnsi="Arial"/>
          <w:sz w:val="22"/>
        </w:rPr>
        <w:t>Inovace vytvořené skrze valorizaci vědy můžeme rozdělit na</w:t>
      </w:r>
      <w:r w:rsidRPr="008C1073" w:rsidR="7DF4752E">
        <w:rPr>
          <w:rFonts w:ascii="Arial" w:hAnsi="Arial"/>
          <w:sz w:val="22"/>
        </w:rPr>
        <w:t>:</w:t>
      </w:r>
    </w:p>
    <w:p w:rsidR="000D2B04" w:rsidRPr="008C1073" w:rsidP="00E03B76" w14:paraId="7C1B3373" w14:textId="4BC08B4D">
      <w:pPr>
        <w:pStyle w:val="ListParagraph"/>
        <w:numPr>
          <w:ilvl w:val="0"/>
          <w:numId w:val="10"/>
        </w:numPr>
        <w:rPr>
          <w:rFonts w:ascii="Arial" w:hAnsi="Arial"/>
          <w:sz w:val="22"/>
        </w:rPr>
      </w:pPr>
      <w:r w:rsidRPr="008C1073">
        <w:rPr>
          <w:rFonts w:ascii="Arial" w:hAnsi="Arial"/>
          <w:i/>
          <w:iCs/>
          <w:sz w:val="22"/>
        </w:rPr>
        <w:t>komerční inovace</w:t>
      </w:r>
      <w:r w:rsidRPr="008C1073">
        <w:rPr>
          <w:rFonts w:ascii="Arial" w:hAnsi="Arial"/>
          <w:sz w:val="22"/>
        </w:rPr>
        <w:t xml:space="preserve"> (výrobkové a technologické) spočívající v zavedení nových výrobků a technologií nebo v podstatném technickém zlepšení vyráběných výrobků a používaných technologií;</w:t>
      </w:r>
    </w:p>
    <w:p w:rsidR="000D2B04" w:rsidRPr="008C1073" w:rsidP="00E03B76" w14:paraId="1B95E8F5" w14:textId="5A642930">
      <w:pPr>
        <w:pStyle w:val="ListParagraph"/>
        <w:numPr>
          <w:ilvl w:val="0"/>
          <w:numId w:val="10"/>
        </w:numPr>
        <w:rPr>
          <w:rFonts w:ascii="Arial" w:hAnsi="Arial"/>
          <w:sz w:val="22"/>
        </w:rPr>
      </w:pPr>
      <w:r w:rsidRPr="008C1073">
        <w:rPr>
          <w:rFonts w:ascii="Arial" w:hAnsi="Arial"/>
          <w:i/>
          <w:iCs/>
          <w:sz w:val="22"/>
        </w:rPr>
        <w:t>společenské inovace</w:t>
      </w:r>
      <w:r w:rsidRPr="008C1073">
        <w:rPr>
          <w:rFonts w:ascii="Arial" w:hAnsi="Arial"/>
          <w:sz w:val="22"/>
        </w:rPr>
        <w:t xml:space="preserve"> jako např. </w:t>
      </w:r>
    </w:p>
    <w:p w:rsidR="000D2B04" w:rsidRPr="008C1073" w:rsidP="00E03B76" w14:paraId="14D225A5" w14:textId="202A376A">
      <w:pPr>
        <w:pStyle w:val="ListParagraph"/>
        <w:numPr>
          <w:ilvl w:val="1"/>
          <w:numId w:val="1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sociální inovace (nové přístupy k řešení sociálních problémů nebo vytváření pozitivních sociálních změn); </w:t>
      </w:r>
    </w:p>
    <w:p w:rsidR="000D2B04" w:rsidRPr="008C1073" w:rsidP="00E03B76" w14:paraId="5840CD11" w14:textId="0E103AB2">
      <w:pPr>
        <w:pStyle w:val="ListParagraph"/>
        <w:numPr>
          <w:ilvl w:val="1"/>
          <w:numId w:val="1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ekonomické inovace (nové obchodní modely, finanční nástroje nebo strategie pro zvyšování ekonomické efektivity a výkonnosti); </w:t>
      </w:r>
    </w:p>
    <w:p w:rsidR="000D2B04" w:rsidRPr="008C1073" w:rsidP="00E03B76" w14:paraId="30B5BA72" w14:textId="0F5B70FE">
      <w:pPr>
        <w:pStyle w:val="ListParagraph"/>
        <w:numPr>
          <w:ilvl w:val="1"/>
          <w:numId w:val="1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ekologické inovace (vývoj a implementace ekologicky šetrných technologií, procesů a produktů).</w:t>
      </w:r>
    </w:p>
    <w:p w:rsidR="000D2B04" w:rsidRPr="008C1073" w:rsidP="006002FE" w14:paraId="6C8DD604" w14:textId="473BB7B5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Programy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se </w:t>
      </w:r>
      <w:r w:rsidRPr="008C1073">
        <w:rPr>
          <w:rFonts w:ascii="Arial" w:hAnsi="Arial"/>
          <w:sz w:val="22"/>
        </w:rPr>
        <w:t>snaží</w:t>
      </w:r>
      <w:r w:rsidRPr="008C1073">
        <w:rPr>
          <w:rFonts w:ascii="Arial" w:hAnsi="Arial"/>
          <w:sz w:val="22"/>
        </w:rPr>
        <w:t xml:space="preserve"> v procesu valorizace vědy cílit na fázi mezi ob</w:t>
      </w:r>
      <w:r w:rsidRPr="008C1073" w:rsidR="5D6B3282">
        <w:rPr>
          <w:rFonts w:ascii="Arial" w:hAnsi="Arial"/>
          <w:sz w:val="22"/>
        </w:rPr>
        <w:t xml:space="preserve">jevem a </w:t>
      </w:r>
      <w:r w:rsidRPr="008C1073" w:rsidR="006F0570">
        <w:rPr>
          <w:rFonts w:ascii="Arial" w:hAnsi="Arial"/>
          <w:sz w:val="22"/>
        </w:rPr>
        <w:t>komercializací</w:t>
      </w:r>
      <w:r w:rsidRPr="008C1073" w:rsidR="5D6B3282">
        <w:rPr>
          <w:rFonts w:ascii="Arial" w:hAnsi="Arial"/>
          <w:sz w:val="22"/>
        </w:rPr>
        <w:t>, často nechvalně přezdívanou “údolí smrti” (v angličtině “</w:t>
      </w:r>
      <w:r w:rsidRPr="008C1073" w:rsidR="5D6B3282">
        <w:rPr>
          <w:rFonts w:ascii="Arial" w:hAnsi="Arial"/>
          <w:sz w:val="22"/>
        </w:rPr>
        <w:t>funding</w:t>
      </w:r>
      <w:r w:rsidRPr="008C1073" w:rsidR="5D6B3282">
        <w:rPr>
          <w:rFonts w:ascii="Arial" w:hAnsi="Arial"/>
          <w:sz w:val="22"/>
        </w:rPr>
        <w:t xml:space="preserve"> gap”). Právě v této fázi </w:t>
      </w:r>
      <w:r w:rsidRPr="008C1073" w:rsidR="1D6CABD6">
        <w:rPr>
          <w:rFonts w:ascii="Arial" w:hAnsi="Arial"/>
          <w:sz w:val="22"/>
        </w:rPr>
        <w:t xml:space="preserve">se totiž výzkumníci setkávají s překážkami a obtížemi, které mohou zpomalit nebo zastavit jejich </w:t>
      </w:r>
      <w:r w:rsidRPr="008C1073" w:rsidR="3C410BCF">
        <w:rPr>
          <w:rFonts w:ascii="Arial" w:hAnsi="Arial"/>
          <w:sz w:val="22"/>
        </w:rPr>
        <w:t xml:space="preserve">valorizační úsilí. Jednou z největších překážek je právě nedostatek finanční podpory pro aktivity nutné </w:t>
      </w:r>
      <w:r w:rsidRPr="008C1073" w:rsidR="4AB59C4E">
        <w:rPr>
          <w:rFonts w:ascii="Arial" w:hAnsi="Arial"/>
          <w:sz w:val="22"/>
        </w:rPr>
        <w:t>pro překonání této fáze</w:t>
      </w:r>
      <w:r w:rsidRPr="008C1073" w:rsidR="7CEDC7C7">
        <w:rPr>
          <w:rFonts w:ascii="Arial" w:hAnsi="Arial"/>
          <w:sz w:val="22"/>
        </w:rPr>
        <w:t xml:space="preserve"> (např. stavba prototypu a jeho testování, ochrana IP, analýza trhu)</w:t>
      </w:r>
      <w:r w:rsidRPr="008C1073" w:rsidR="3381C75E">
        <w:rPr>
          <w:rFonts w:ascii="Arial" w:hAnsi="Arial"/>
          <w:sz w:val="22"/>
        </w:rPr>
        <w:t xml:space="preserve">. Tyto aktivity </w:t>
      </w:r>
      <w:r w:rsidRPr="008C1073" w:rsidR="7CEDC7C7">
        <w:rPr>
          <w:rFonts w:ascii="Arial" w:hAnsi="Arial"/>
          <w:sz w:val="22"/>
        </w:rPr>
        <w:t xml:space="preserve">nejsou podporovány v rámci tradičních skupin grantových projektů </w:t>
      </w:r>
      <w:r w:rsidRPr="008C1073" w:rsidR="64745ED4">
        <w:rPr>
          <w:rFonts w:ascii="Arial" w:hAnsi="Arial"/>
          <w:sz w:val="22"/>
        </w:rPr>
        <w:t>pro podporu základního výzkumu</w:t>
      </w:r>
      <w:r w:rsidRPr="008C1073" w:rsidR="4E8527FC">
        <w:rPr>
          <w:rFonts w:ascii="Arial" w:hAnsi="Arial"/>
          <w:sz w:val="22"/>
        </w:rPr>
        <w:t xml:space="preserve">, zároveň však nejsou dostatečně atraktivní pro soukromé </w:t>
      </w:r>
      <w:r w:rsidRPr="008C1073" w:rsidR="77AE7646">
        <w:rPr>
          <w:rFonts w:ascii="Arial" w:hAnsi="Arial"/>
          <w:sz w:val="22"/>
        </w:rPr>
        <w:t>investory kvůli vysoké úrovni rizika a</w:t>
      </w:r>
      <w:r w:rsidRPr="008C1073" w:rsidR="13E2F710">
        <w:rPr>
          <w:rFonts w:ascii="Arial" w:hAnsi="Arial"/>
          <w:sz w:val="22"/>
        </w:rPr>
        <w:t xml:space="preserve"> omezené možnosti investování.</w:t>
      </w:r>
    </w:p>
    <w:p w:rsidR="000D2B04" w:rsidRPr="008C1073" w14:paraId="6B450764" w14:textId="2BBCA866">
      <w:pPr>
        <w:rPr>
          <w:rFonts w:ascii="Arial" w:hAnsi="Arial"/>
          <w:sz w:val="22"/>
        </w:rPr>
      </w:pPr>
      <w:r w:rsidRPr="008C1073">
        <w:rPr>
          <w:rFonts w:ascii="Arial" w:hAnsi="Arial"/>
          <w:noProof/>
          <w:sz w:val="22"/>
        </w:rPr>
        <w:drawing>
          <wp:inline distT="0" distB="0" distL="0" distR="0">
            <wp:extent cx="5724524" cy="4419600"/>
            <wp:effectExtent l="0" t="0" r="0" b="0"/>
            <wp:docPr id="1249624886" name="Obrázek 1249624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92626" name="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1073" w:rsidR="0A5C00CD">
        <w:rPr>
          <w:rFonts w:ascii="Arial" w:hAnsi="Arial"/>
          <w:sz w:val="22"/>
        </w:rPr>
        <w:t xml:space="preserve">Zdroj: Graf adaptován z </w:t>
      </w:r>
      <w:r w:rsidRPr="008C1073" w:rsidR="0A5C00CD">
        <w:rPr>
          <w:rFonts w:ascii="Arial" w:hAnsi="Arial"/>
          <w:sz w:val="22"/>
        </w:rPr>
        <w:t>Munari</w:t>
      </w:r>
      <w:r w:rsidRPr="008C1073" w:rsidR="0A5C00CD">
        <w:rPr>
          <w:rFonts w:ascii="Arial" w:hAnsi="Arial"/>
          <w:sz w:val="22"/>
        </w:rPr>
        <w:t xml:space="preserve"> &amp; </w:t>
      </w:r>
      <w:r w:rsidRPr="008C1073" w:rsidR="0A5C00CD">
        <w:rPr>
          <w:rFonts w:ascii="Arial" w:hAnsi="Arial"/>
          <w:sz w:val="22"/>
        </w:rPr>
        <w:t>Toschi</w:t>
      </w:r>
      <w:r w:rsidRPr="008C1073" w:rsidR="0A5C00CD">
        <w:rPr>
          <w:rFonts w:ascii="Arial" w:hAnsi="Arial"/>
          <w:sz w:val="22"/>
        </w:rPr>
        <w:t>, (2021)</w:t>
      </w:r>
      <w:r>
        <w:rPr>
          <w:rStyle w:val="FootnoteReference"/>
          <w:rFonts w:ascii="Arial" w:hAnsi="Arial"/>
          <w:sz w:val="22"/>
        </w:rPr>
        <w:footnoteReference w:id="4"/>
      </w:r>
    </w:p>
    <w:p w:rsidR="000D2B04" w:rsidRPr="008C1073" w:rsidP="5BCCA309" w14:paraId="5A37D600" w14:textId="6DAC2845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V kontextu valorizace vědy je tedy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klíčovým nástrojem při přeměně vědeckých poznatků na komerční či společenskou inovaci a na zmírňování rizika (de-</w:t>
      </w:r>
      <w:r w:rsidRPr="008C1073">
        <w:rPr>
          <w:rFonts w:ascii="Arial" w:hAnsi="Arial"/>
          <w:sz w:val="22"/>
        </w:rPr>
        <w:t>risking</w:t>
      </w:r>
      <w:r w:rsidRPr="008C1073">
        <w:rPr>
          <w:rFonts w:ascii="Arial" w:hAnsi="Arial"/>
          <w:sz w:val="22"/>
        </w:rPr>
        <w:t>) technologie nebo konceptu.</w:t>
      </w:r>
    </w:p>
    <w:p w:rsidR="00641C53" w:rsidRPr="008C1073" w:rsidP="008805E3" w14:paraId="7856B786" w14:textId="05D105FC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Další způsob</w:t>
      </w:r>
      <w:r w:rsidRPr="008C1073" w:rsidR="009C0988">
        <w:rPr>
          <w:rFonts w:ascii="Arial" w:hAnsi="Arial"/>
          <w:sz w:val="22"/>
        </w:rPr>
        <w:t>,</w:t>
      </w:r>
      <w:r w:rsidRPr="008C1073">
        <w:rPr>
          <w:rFonts w:ascii="Arial" w:hAnsi="Arial"/>
          <w:sz w:val="22"/>
        </w:rPr>
        <w:t xml:space="preserve"> jak se na proces valorizace můžeme dívat je skrze inovační </w:t>
      </w:r>
      <w:r w:rsidRPr="008C1073" w:rsidR="007E2BA8">
        <w:rPr>
          <w:rFonts w:ascii="Arial" w:hAnsi="Arial"/>
          <w:sz w:val="22"/>
        </w:rPr>
        <w:t>řetězec</w:t>
      </w:r>
      <w:r w:rsidRPr="008C1073">
        <w:rPr>
          <w:rFonts w:ascii="Arial" w:hAnsi="Arial"/>
          <w:sz w:val="22"/>
        </w:rPr>
        <w:t xml:space="preserve">. </w:t>
      </w:r>
      <w:r w:rsidRPr="008C1073">
        <w:rPr>
          <w:rFonts w:ascii="Arial" w:hAnsi="Arial"/>
          <w:sz w:val="22"/>
        </w:rPr>
        <w:t>T</w:t>
      </w:r>
      <w:r w:rsidRPr="008C1073">
        <w:rPr>
          <w:rFonts w:ascii="Arial" w:hAnsi="Arial"/>
          <w:sz w:val="22"/>
        </w:rPr>
        <w:t xml:space="preserve">o je koncept, </w:t>
      </w:r>
      <w:r w:rsidRPr="008C1073">
        <w:rPr>
          <w:rFonts w:ascii="Arial" w:hAnsi="Arial"/>
          <w:sz w:val="22"/>
        </w:rPr>
        <w:t>který popisuje postupný proces transformace inovačního nápadu do komerčně úspěšné inovace. Inovační řetězec zahrnuje tři základní fáze:</w:t>
      </w:r>
    </w:p>
    <w:p w:rsidR="00641C53" w:rsidRPr="008C1073" w:rsidP="007E2BA8" w14:paraId="31CB8E4F" w14:textId="73A0E764">
      <w:pPr>
        <w:pStyle w:val="ListParagraph"/>
        <w:numPr>
          <w:ilvl w:val="0"/>
          <w:numId w:val="2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objev (nápad, základní výzkum a vývoj),</w:t>
      </w:r>
    </w:p>
    <w:p w:rsidR="00641C53" w:rsidRPr="008C1073" w:rsidP="007E2BA8" w14:paraId="691F45A3" w14:textId="7ED9E7D4">
      <w:pPr>
        <w:pStyle w:val="ListParagraph"/>
        <w:numPr>
          <w:ilvl w:val="0"/>
          <w:numId w:val="2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inovace (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>, vývoj a testování),</w:t>
      </w:r>
    </w:p>
    <w:p w:rsidR="00641C53" w:rsidRPr="008C1073" w:rsidP="007E2BA8" w14:paraId="6FBF6F5B" w14:textId="089F9DA4">
      <w:pPr>
        <w:pStyle w:val="ListParagraph"/>
        <w:numPr>
          <w:ilvl w:val="0"/>
          <w:numId w:val="20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implementace (komercializace, adopce a šíření).</w:t>
      </w:r>
    </w:p>
    <w:p w:rsidR="00641C53" w:rsidRPr="008C1073" w:rsidP="00641C53" w14:paraId="2E4F4CCC" w14:textId="5BF75A9E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V kontextu inovačního řetězce hraje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klíčovou roli při propojení mezi objevem a jeho implementací tím, že zkoumá jeho praktickou životaschopnost a proveditelnost</w:t>
      </w:r>
      <w:r w:rsidRPr="008C1073" w:rsidR="00126A7C">
        <w:rPr>
          <w:rFonts w:ascii="Arial" w:hAnsi="Arial"/>
          <w:sz w:val="22"/>
        </w:rPr>
        <w:t xml:space="preserve">, </w:t>
      </w:r>
      <w:r w:rsidRPr="008C1073">
        <w:rPr>
          <w:rFonts w:ascii="Arial" w:hAnsi="Arial"/>
          <w:sz w:val="22"/>
        </w:rPr>
        <w:t xml:space="preserve">viz </w:t>
      </w:r>
      <w:r w:rsidRPr="008C1073" w:rsidR="00126A7C">
        <w:rPr>
          <w:rFonts w:ascii="Arial" w:hAnsi="Arial"/>
          <w:sz w:val="22"/>
        </w:rPr>
        <w:t xml:space="preserve">následující </w:t>
      </w:r>
      <w:r w:rsidRPr="008C1073">
        <w:rPr>
          <w:rFonts w:ascii="Arial" w:hAnsi="Arial"/>
          <w:sz w:val="22"/>
        </w:rPr>
        <w:t>graf.</w:t>
      </w:r>
    </w:p>
    <w:p w:rsidR="000D2B04" w:rsidRPr="008C1073" w:rsidP="5BCCA309" w14:paraId="1B17C310" w14:textId="24C3B2CC">
      <w:pPr>
        <w:rPr>
          <w:rFonts w:ascii="Arial" w:hAnsi="Arial"/>
          <w:sz w:val="22"/>
        </w:rPr>
      </w:pPr>
      <w:r w:rsidRPr="008C1073">
        <w:rPr>
          <w:rFonts w:ascii="Arial" w:hAnsi="Arial"/>
          <w:noProof/>
          <w:sz w:val="22"/>
        </w:rPr>
        <w:drawing>
          <wp:inline distT="0" distB="0" distL="0" distR="0">
            <wp:extent cx="5040000" cy="3614400"/>
            <wp:effectExtent l="0" t="0" r="8255" b="5715"/>
            <wp:docPr id="784459853" name="Obrázek 784459853" descr="Obsah obrázku text, snímek obrazovky, mapa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144814" name="Obrázek 1" descr="Obsah obrázku text, snímek obrazovky, mapa, software&#10;&#10;Popis byl vytvořen automaticky"/>
                    <pic:cNvPicPr/>
                  </pic:nvPicPr>
                  <pic:blipFill>
                    <a:blip xmlns:r="http://schemas.openxmlformats.org/officeDocument/2006/relationships" r:embed="rId7"/>
                    <a:srcRect l="19282" t="15903" r="21787" b="8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6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2B04" w:rsidRPr="008C1073" w:rsidP="00B43A02" w14:paraId="6C9E5742" w14:textId="008A13D9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Zdroj: </w:t>
      </w:r>
      <w:r w:rsidRPr="008C1073" w:rsidR="00F42852">
        <w:rPr>
          <w:rFonts w:ascii="Arial" w:hAnsi="Arial"/>
          <w:sz w:val="22"/>
        </w:rPr>
        <w:t xml:space="preserve">Graf adaptován z </w:t>
      </w:r>
      <w:r w:rsidRPr="008C1073">
        <w:rPr>
          <w:rFonts w:ascii="Arial" w:hAnsi="Arial"/>
          <w:sz w:val="22"/>
        </w:rPr>
        <w:t>George</w:t>
      </w:r>
      <w:r w:rsidRPr="008C1073" w:rsidR="002F4D22">
        <w:rPr>
          <w:rFonts w:ascii="Arial" w:hAnsi="Arial"/>
          <w:sz w:val="22"/>
        </w:rPr>
        <w:t xml:space="preserve"> </w:t>
      </w:r>
      <w:r w:rsidRPr="008C1073" w:rsidR="002F4D22">
        <w:rPr>
          <w:rFonts w:ascii="Arial" w:hAnsi="Arial"/>
          <w:sz w:val="22"/>
        </w:rPr>
        <w:t>Vekinis</w:t>
      </w:r>
      <w:r w:rsidRPr="008C1073" w:rsidR="00BB68F5">
        <w:rPr>
          <w:rFonts w:ascii="Arial" w:hAnsi="Arial"/>
          <w:sz w:val="22"/>
        </w:rPr>
        <w:t>,</w:t>
      </w:r>
      <w:r w:rsidRPr="008C1073" w:rsidR="002F4D22">
        <w:rPr>
          <w:rFonts w:ascii="Arial" w:hAnsi="Arial"/>
          <w:sz w:val="22"/>
        </w:rPr>
        <w:t xml:space="preserve"> (2023)</w:t>
      </w:r>
      <w:r>
        <w:rPr>
          <w:rStyle w:val="FootnoteReference"/>
          <w:rFonts w:ascii="Arial" w:hAnsi="Arial"/>
          <w:sz w:val="22"/>
        </w:rPr>
        <w:footnoteReference w:id="5"/>
      </w:r>
    </w:p>
    <w:p w:rsidR="00CF72D9" w:rsidRPr="008C1073" w:rsidP="00CF72D9" w14:paraId="5CFFBD5C" w14:textId="70A59E38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Dalšími důležitými koncepty ve valorizaci vědy jsou technologická a společenská připravenost daného objektu valorizace. Pro lepší pochopení těchto konceptů byly vytvořeny škály popisující jednotlivé fáze připravenosti</w:t>
      </w:r>
      <w:r w:rsidRPr="008C1073" w:rsidR="00A105CD">
        <w:rPr>
          <w:rFonts w:ascii="Arial" w:hAnsi="Arial"/>
          <w:sz w:val="22"/>
        </w:rPr>
        <w:t>:</w:t>
      </w:r>
      <w:r w:rsidRPr="008C1073" w:rsidR="00A229D0">
        <w:rPr>
          <w:rFonts w:ascii="Arial" w:hAnsi="Arial"/>
          <w:sz w:val="22"/>
        </w:rPr>
        <w:t xml:space="preserve"> </w:t>
      </w:r>
      <w:r w:rsidRPr="008C1073" w:rsidR="00A105CD">
        <w:rPr>
          <w:rFonts w:ascii="Arial" w:hAnsi="Arial"/>
          <w:sz w:val="22"/>
        </w:rPr>
        <w:t>p</w:t>
      </w:r>
      <w:r w:rsidRPr="008C1073" w:rsidR="00A229D0">
        <w:rPr>
          <w:rFonts w:ascii="Arial" w:hAnsi="Arial"/>
          <w:sz w:val="22"/>
        </w:rPr>
        <w:t>řehled úrovní technologické připravenosti</w:t>
      </w:r>
      <w:r w:rsidRPr="008C1073" w:rsidR="00A105CD">
        <w:rPr>
          <w:rFonts w:ascii="Arial" w:hAnsi="Arial"/>
          <w:sz w:val="22"/>
        </w:rPr>
        <w:t xml:space="preserve"> a </w:t>
      </w:r>
      <w:r w:rsidRPr="008C1073" w:rsidR="00521339">
        <w:rPr>
          <w:rFonts w:ascii="Arial" w:hAnsi="Arial"/>
          <w:sz w:val="22"/>
        </w:rPr>
        <w:t>ú</w:t>
      </w:r>
      <w:r w:rsidRPr="008C1073" w:rsidR="00A105CD">
        <w:rPr>
          <w:rFonts w:ascii="Arial" w:hAnsi="Arial"/>
          <w:sz w:val="22"/>
        </w:rPr>
        <w:t>roveň společenské připravenosti.</w:t>
      </w:r>
    </w:p>
    <w:tbl>
      <w:tblPr>
        <w:tblW w:w="10140" w:type="dxa"/>
        <w:jc w:val="center"/>
        <w:tblCellMar>
          <w:left w:w="70" w:type="dxa"/>
          <w:right w:w="70" w:type="dxa"/>
        </w:tblCellMar>
        <w:tblLook w:val="04A0"/>
      </w:tblPr>
      <w:tblGrid>
        <w:gridCol w:w="3540"/>
        <w:gridCol w:w="6600"/>
      </w:tblGrid>
      <w:tr w14:paraId="79343FB2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559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7F5E7C" w:rsidRPr="008C1073" w:rsidP="007F5E7C" w14:paraId="0E838E8E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  <w:t>Úroveň vyspělosti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7F5E7C" w:rsidRPr="008C1073" w:rsidP="007F5E7C" w14:paraId="680093D5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  <w:t>Popis</w:t>
            </w:r>
          </w:p>
        </w:tc>
      </w:tr>
      <w:tr w14:paraId="626D0D27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36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647C9064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TRL1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19BC2891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Naplňuje základní principy</w:t>
            </w:r>
          </w:p>
        </w:tc>
      </w:tr>
      <w:tr w14:paraId="0D45B09D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36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0C9E8024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TRL2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37A698EE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Formulovaný koncept technologie</w:t>
            </w:r>
          </w:p>
        </w:tc>
      </w:tr>
      <w:tr w14:paraId="609C3179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36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45953BD2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TRL3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0924B764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Experimentální ověření konceptu</w:t>
            </w:r>
          </w:p>
        </w:tc>
      </w:tr>
      <w:tr w14:paraId="4FFCE3AB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36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6322C6FF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TRL4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48390EE3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Technologie ověřena v laboratoři</w:t>
            </w:r>
          </w:p>
        </w:tc>
      </w:tr>
      <w:tr w14:paraId="2D17641C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33B702B8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TRL5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0EF02064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Technologie ověřena v relevantním prostředí (ověřena v prostředí relevantním pro dané odvětví průmyslu, jedná-li se o klíčové technologie umožňující rozvoj)</w:t>
            </w:r>
          </w:p>
        </w:tc>
      </w:tr>
      <w:tr w14:paraId="5A8DA192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75686075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TRL6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404963FC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Technologie představena v relevantním prostředí (představena v prostředí relevantním pro dané odvětví průmyslu, jedná-li se o klíčové technologie umožňující rozvoj)</w:t>
            </w:r>
          </w:p>
        </w:tc>
      </w:tr>
      <w:tr w14:paraId="6CEE9D38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28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067C54E1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TRL7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6AD0F25C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Demonstrace funkčního prototypu výrobku v provozním prostředí</w:t>
            </w:r>
          </w:p>
        </w:tc>
      </w:tr>
      <w:tr w14:paraId="25ECF0F8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36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19125978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TRL8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6FFF0843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Dokončení a aprobace výrobku</w:t>
            </w:r>
          </w:p>
        </w:tc>
      </w:tr>
      <w:tr w14:paraId="3525CFD7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0DE53309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TRL9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7F5E7C" w:rsidRPr="008C1073" w:rsidP="007F5E7C" w14:paraId="2CE3AB0D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Výrobek prokázán jako funkční v provozním prostředí (v případě klíčových technologií umožňujících rozvoj konkurenceschopná výroba; nebo v kosmu)</w:t>
            </w:r>
          </w:p>
        </w:tc>
      </w:tr>
    </w:tbl>
    <w:p w:rsidR="00CF72D9" w:rsidRPr="008C1073" w:rsidP="000A5A05" w14:paraId="225BFB03" w14:textId="7F1FE57E">
      <w:pPr>
        <w:jc w:val="left"/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Úroveň technologické připravenosti (Technology </w:t>
      </w:r>
      <w:r w:rsidRPr="008C1073">
        <w:rPr>
          <w:rFonts w:ascii="Arial" w:hAnsi="Arial"/>
          <w:sz w:val="22"/>
        </w:rPr>
        <w:t>readiness</w:t>
      </w:r>
      <w:r w:rsidRPr="008C1073">
        <w:rPr>
          <w:rFonts w:ascii="Arial" w:hAnsi="Arial"/>
          <w:sz w:val="22"/>
        </w:rPr>
        <w:t xml:space="preserve"> level, TRL) je metodika pro hodnocení zralosti technologie (Technology </w:t>
      </w:r>
      <w:r w:rsidRPr="008C1073">
        <w:rPr>
          <w:rFonts w:ascii="Arial" w:hAnsi="Arial"/>
          <w:sz w:val="22"/>
        </w:rPr>
        <w:t>Readiness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Assessment</w:t>
      </w:r>
      <w:r w:rsidRPr="008C1073">
        <w:rPr>
          <w:rFonts w:ascii="Arial" w:hAnsi="Arial"/>
          <w:sz w:val="22"/>
        </w:rPr>
        <w:t>).</w:t>
      </w:r>
    </w:p>
    <w:tbl>
      <w:tblPr>
        <w:tblW w:w="10140" w:type="dxa"/>
        <w:jc w:val="center"/>
        <w:tblCellMar>
          <w:left w:w="70" w:type="dxa"/>
          <w:right w:w="70" w:type="dxa"/>
        </w:tblCellMar>
        <w:tblLook w:val="04A0"/>
      </w:tblPr>
      <w:tblGrid>
        <w:gridCol w:w="3540"/>
        <w:gridCol w:w="6600"/>
      </w:tblGrid>
      <w:tr w14:paraId="22252A34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559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2872B9" w:rsidRPr="008C1073" w:rsidP="002872B9" w14:paraId="63E5B5D2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  <w:t>Úroveň vyspělosti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2872B9" w:rsidRPr="008C1073" w:rsidP="002872B9" w14:paraId="7E7D25EE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b/>
                <w:bCs/>
                <w:color w:val="FFFFFF"/>
                <w:sz w:val="22"/>
                <w:lang w:val="cs-CZ"/>
              </w:rPr>
              <w:t>Popis</w:t>
            </w:r>
          </w:p>
        </w:tc>
      </w:tr>
      <w:tr w14:paraId="31BCC726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28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06D0C16B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SRL1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1198E603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Identifikace potřeby ve společnosti a spojených faktorů připravenosti</w:t>
            </w:r>
          </w:p>
        </w:tc>
      </w:tr>
      <w:tr w14:paraId="0D5EBCB9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3230D047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SRL2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15B2F49C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Formulace navrhovaných konceptů řešení a potenciálních dopadů; zhodnocení překážek připravenosti společnosti; identifikace relevantních aktérů z hlediska vývoje řešení</w:t>
            </w:r>
          </w:p>
        </w:tc>
      </w:tr>
      <w:tr w14:paraId="7165A0B5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57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067AB397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SRL3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2C486C0B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Úvodní sdílení navrhovaného řešení s relevantními aktéry (např. skrz makety): řešení či podobné iniciativy zná malá skupina uvnitř společnosti</w:t>
            </w:r>
          </w:p>
        </w:tc>
      </w:tr>
      <w:tr w14:paraId="3761AD61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114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62D3413A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SRL4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5D7A497A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Funkčnost řešení ověřena skrz pilotní testování v kontrolovaném prostředí k podložení předpokládaných dopadů a společenské připravenosti: řešení či podobné iniciativy ověřuje malá skupina uvnitř společnosti</w:t>
            </w:r>
          </w:p>
        </w:tc>
      </w:tr>
      <w:tr w14:paraId="7A36883A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394536D5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SRL5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2F5565FE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Řešení ověřeno skrz pilotní testování v reálném či realistickém prostředí relevantními aktéry: společnost zná řešení či podobné iniciativy, ale není si vědoma jejich přínosů</w:t>
            </w:r>
          </w:p>
        </w:tc>
      </w:tr>
      <w:tr w14:paraId="583AB7CF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191519CD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SRL6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598B8358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Řešení předvedeno v reálném prostředí a ve spolupráci s relevantními aktéry za účelem získání zpětné vazby na možných dopadech: společnost zná řešení či podobné iniciativy a zvyšuje se povědomí o jejich přínosech</w:t>
            </w:r>
          </w:p>
        </w:tc>
      </w:tr>
      <w:tr w14:paraId="101545E5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5FAA6F2B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SRL7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28779ED6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Zlepšení řešení a je-li třeba, opakované testování v reálném prostředí ve spolupráci s relevantními aktéry: společnost si je vědoma přínosů řešení a část jí začíná přijímat podobná řešení</w:t>
            </w:r>
          </w:p>
        </w:tc>
      </w:tr>
      <w:tr w14:paraId="05A25BE2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855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1B2726FA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SRL8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480F14EB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Cílená aplikace řešení a plánování pro společenské přizpůsobení, kompletní a aprobované; společnost je připravena řešení přijmout a na trhu využívá podobná řešení</w:t>
            </w:r>
          </w:p>
        </w:tc>
      </w:tr>
      <w:tr w14:paraId="2DF4F7B4" w14:textId="77777777" w:rsidTr="000241FA">
        <w:tblPrEx>
          <w:tblW w:w="10140" w:type="dxa"/>
          <w:jc w:val="center"/>
          <w:tblCellMar>
            <w:left w:w="70" w:type="dxa"/>
            <w:right w:w="70" w:type="dxa"/>
          </w:tblCellMar>
          <w:tblLook w:val="04A0"/>
        </w:tblPrEx>
        <w:trPr>
          <w:trHeight w:val="57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40AB9EC8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SRL9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CAEDFB"/>
              <w:right w:val="nil"/>
            </w:tcBorders>
            <w:shd w:val="clear" w:color="000000" w:fill="FFFFFF"/>
            <w:vAlign w:val="center"/>
            <w:hideMark/>
          </w:tcPr>
          <w:p w:rsidR="002872B9" w:rsidRPr="008C1073" w:rsidP="002872B9" w14:paraId="12F7228B" w14:textId="77777777">
            <w:pPr>
              <w:spacing w:after="0" w:line="240" w:lineRule="auto"/>
              <w:jc w:val="left"/>
              <w:rPr>
                <w:rFonts w:ascii="Arial" w:eastAsia="Times New Roman" w:hAnsi="Arial"/>
                <w:color w:val="000000"/>
                <w:sz w:val="22"/>
                <w:lang w:val="cs-CZ"/>
              </w:rPr>
            </w:pPr>
            <w:r w:rsidRPr="008C1073">
              <w:rPr>
                <w:rFonts w:ascii="Arial" w:eastAsia="Times New Roman" w:hAnsi="Arial"/>
                <w:color w:val="000000"/>
                <w:sz w:val="22"/>
                <w:lang w:val="cs-CZ"/>
              </w:rPr>
              <w:t>Reálné řešení ověřené v relevantních společenských prostředích po uvedení na trh; společnost využívá řešení dostupná na trhu</w:t>
            </w:r>
          </w:p>
        </w:tc>
      </w:tr>
    </w:tbl>
    <w:p w:rsidR="00521339" w:rsidRPr="008C1073" w:rsidP="00521339" w14:paraId="3E645B53" w14:textId="0028B24A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Úroveň společenské připravenosti (</w:t>
      </w:r>
      <w:r w:rsidRPr="008C1073">
        <w:rPr>
          <w:rFonts w:ascii="Arial" w:hAnsi="Arial"/>
          <w:sz w:val="22"/>
        </w:rPr>
        <w:t>Societal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readiness</w:t>
      </w:r>
      <w:r w:rsidRPr="008C1073">
        <w:rPr>
          <w:rFonts w:ascii="Arial" w:hAnsi="Arial"/>
          <w:sz w:val="22"/>
        </w:rPr>
        <w:t xml:space="preserve"> level, SRL) je analogická metodika hodnocení připravenosti inovace na přijetí a nasazení ve společnosti. SRL se zaměřuje na různé sociální, kulturní, etické, environmentální, ekonomické a právní faktory, které mohou ovlivnit úspěšnou adopci a přijetí inovace ve společnosti.</w:t>
      </w:r>
    </w:p>
    <w:p w:rsidR="00CF72D9" w:rsidRPr="008C1073" w:rsidP="007E2BA8" w14:paraId="1236A6F6" w14:textId="77777777">
      <w:pPr>
        <w:spacing w:after="0"/>
        <w:jc w:val="left"/>
        <w:rPr>
          <w:rFonts w:ascii="Arial" w:hAnsi="Arial"/>
          <w:sz w:val="22"/>
        </w:rPr>
      </w:pPr>
    </w:p>
    <w:p w:rsidR="007F5E7C" w:rsidRPr="008C1073" w14:paraId="3724F6C8" w14:textId="77777777">
      <w:pPr>
        <w:spacing w:after="0"/>
        <w:jc w:val="left"/>
        <w:rPr>
          <w:rFonts w:ascii="Arial" w:hAnsi="Arial"/>
          <w:sz w:val="22"/>
        </w:rPr>
      </w:pPr>
      <w:bookmarkStart w:id="5" w:name="_g7a7w3iqy51t" w:colFirst="0" w:colLast="0"/>
      <w:bookmarkEnd w:id="5"/>
      <w:r w:rsidRPr="008C1073">
        <w:rPr>
          <w:rFonts w:ascii="Arial" w:hAnsi="Arial"/>
          <w:sz w:val="22"/>
        </w:rPr>
        <w:br w:type="page"/>
      </w:r>
    </w:p>
    <w:p w:rsidR="000D2B04" w:rsidRPr="008C1073" w14:paraId="0000000E" w14:textId="6458A0FD">
      <w:pPr>
        <w:pStyle w:val="Heading1"/>
        <w:spacing w:before="240" w:after="240"/>
        <w:rPr>
          <w:rFonts w:ascii="Arial" w:hAnsi="Arial"/>
          <w:sz w:val="22"/>
          <w:szCs w:val="22"/>
          <w:u w:val="single"/>
        </w:rPr>
      </w:pPr>
      <w:bookmarkStart w:id="6" w:name="_Toc256000003"/>
      <w:r w:rsidRPr="008C1073">
        <w:rPr>
          <w:rFonts w:ascii="Arial" w:hAnsi="Arial"/>
          <w:sz w:val="22"/>
          <w:szCs w:val="22"/>
          <w:u w:val="single"/>
        </w:rPr>
        <w:t>Analýza současného stavu v ČR</w:t>
      </w:r>
      <w:bookmarkEnd w:id="6"/>
    </w:p>
    <w:p w:rsidR="000D2B04" w:rsidRPr="008C1073" w:rsidP="006002FE" w14:paraId="0000000F" w14:textId="7777777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Současná situace v oblasti komercializace výzkumu v České republice prochází dynamickým vývojem, který je charakterizován postupným zlepšováním, ale zároveň čelí významným výzvám. Pro pochopení kontextu je nutné analyzovat několik klíčových aspektů:</w:t>
      </w:r>
    </w:p>
    <w:p w:rsidR="000D2B04" w:rsidRPr="008C1073" w:rsidP="000241FA" w14:paraId="00000010" w14:textId="310F623C">
      <w:pPr>
        <w:pStyle w:val="Heading2"/>
        <w:rPr>
          <w:rFonts w:ascii="Arial" w:hAnsi="Arial"/>
          <w:sz w:val="22"/>
          <w:szCs w:val="22"/>
        </w:rPr>
      </w:pPr>
      <w:bookmarkStart w:id="7" w:name="_Toc256000004"/>
      <w:r w:rsidRPr="008C1073">
        <w:rPr>
          <w:rFonts w:ascii="Arial" w:hAnsi="Arial"/>
          <w:sz w:val="22"/>
          <w:szCs w:val="22"/>
        </w:rPr>
        <w:t>Výzkumný a inovační ekosystém</w:t>
      </w:r>
      <w:bookmarkEnd w:id="7"/>
    </w:p>
    <w:p w:rsidR="000D2B04" w:rsidRPr="008C1073" w14:paraId="00000011" w14:textId="2E718EB0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Česká republika v posledních letech intenzivně pracuje na posílení svého výzkumného a inovačního ekosystému. Podle </w:t>
      </w:r>
      <w:r w:rsidRPr="008C1073">
        <w:rPr>
          <w:rFonts w:ascii="Arial" w:hAnsi="Arial"/>
          <w:sz w:val="22"/>
        </w:rPr>
        <w:t>Evropského inovačního zpravodaje (</w:t>
      </w:r>
      <w:r w:rsidRPr="008C1073">
        <w:rPr>
          <w:rFonts w:ascii="Arial" w:hAnsi="Arial"/>
          <w:sz w:val="22"/>
        </w:rPr>
        <w:t>European</w:t>
      </w:r>
      <w:r w:rsidRPr="008C1073">
        <w:rPr>
          <w:rFonts w:ascii="Arial" w:hAnsi="Arial"/>
          <w:sz w:val="22"/>
        </w:rPr>
        <w:t xml:space="preserve"> Innovation </w:t>
      </w:r>
      <w:r w:rsidRPr="008C1073">
        <w:rPr>
          <w:rFonts w:ascii="Arial" w:hAnsi="Arial"/>
          <w:sz w:val="22"/>
        </w:rPr>
        <w:t>Scoreboard</w:t>
      </w:r>
      <w:r w:rsidRPr="008C1073">
        <w:rPr>
          <w:rFonts w:ascii="Arial" w:hAnsi="Arial"/>
          <w:sz w:val="22"/>
        </w:rPr>
        <w:t>) z roku 2023</w:t>
      </w:r>
      <w:r>
        <w:rPr>
          <w:rStyle w:val="FootnoteReference"/>
          <w:rFonts w:ascii="Arial" w:eastAsia="Calibri" w:hAnsi="Arial"/>
          <w:sz w:val="22"/>
        </w:rPr>
        <w:footnoteReference w:id="6"/>
      </w:r>
      <w:r w:rsidRPr="008C1073">
        <w:rPr>
          <w:rFonts w:ascii="Arial" w:eastAsia="Calibri" w:hAnsi="Arial"/>
          <w:sz w:val="22"/>
        </w:rPr>
        <w:t xml:space="preserve"> se ČR řadí mezi "</w:t>
      </w:r>
      <w:r w:rsidRPr="008C1073">
        <w:rPr>
          <w:rFonts w:ascii="Arial" w:eastAsia="Calibri" w:hAnsi="Arial"/>
          <w:sz w:val="22"/>
        </w:rPr>
        <w:t>Moderate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 xml:space="preserve">", tedy země s mírnou inovační výkonností. Zatímco se pozice ČR v rámci EU zlepšuje, stále zaostává za průměrem EU v oblasti inovací. Konkrétně, </w:t>
      </w:r>
      <w:r w:rsidRPr="008C1073">
        <w:rPr>
          <w:rFonts w:ascii="Arial" w:hAnsi="Arial"/>
          <w:sz w:val="22"/>
        </w:rPr>
        <w:t>ČR dosáhla v roce 2023 skóre 94,7 % průměru EU</w:t>
      </w:r>
      <w:r>
        <w:rPr>
          <w:rStyle w:val="FootnoteReference"/>
          <w:rFonts w:ascii="Arial" w:hAnsi="Arial"/>
          <w:sz w:val="22"/>
        </w:rPr>
        <w:footnoteReference w:id="7"/>
      </w:r>
      <w:r w:rsidRPr="008C1073">
        <w:rPr>
          <w:rFonts w:ascii="Arial" w:hAnsi="Arial"/>
          <w:sz w:val="22"/>
        </w:rPr>
        <w:t>,</w:t>
      </w:r>
      <w:r w:rsidRPr="008C1073">
        <w:rPr>
          <w:rFonts w:ascii="Arial" w:eastAsia="Calibri" w:hAnsi="Arial"/>
          <w:sz w:val="22"/>
        </w:rPr>
        <w:t xml:space="preserve"> což představuje zlepšení oproti předchozím letům, ale stále indikuje prostor pro růst. </w:t>
      </w:r>
    </w:p>
    <w:p w:rsidR="000D2B04" w:rsidRPr="008C1073" w14:paraId="00000012" w14:textId="5E3BD74D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Pro porovnání, Rakousko a Belgie (země s podobnou </w:t>
      </w:r>
      <w:r w:rsidRPr="008C1073" w:rsidR="001E3D12">
        <w:rPr>
          <w:rFonts w:ascii="Arial" w:eastAsia="Calibri" w:hAnsi="Arial"/>
          <w:sz w:val="22"/>
        </w:rPr>
        <w:t>rozlohou</w:t>
      </w:r>
      <w:r w:rsidRPr="008C1073">
        <w:rPr>
          <w:rFonts w:ascii="Arial" w:eastAsia="Calibri" w:hAnsi="Arial"/>
          <w:sz w:val="22"/>
        </w:rPr>
        <w:t xml:space="preserve"> a počtem obyvatel které mají agentury specificky na podporu základního výzkumu) se řadí mezi “</w:t>
      </w:r>
      <w:r w:rsidRPr="008C1073">
        <w:rPr>
          <w:rFonts w:ascii="Arial" w:eastAsia="Calibri" w:hAnsi="Arial"/>
          <w:sz w:val="22"/>
        </w:rPr>
        <w:t>Strong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>” se skóry 127</w:t>
      </w:r>
      <w:r w:rsidRPr="008C1073" w:rsidR="001E3D12">
        <w:rPr>
          <w:rFonts w:ascii="Arial" w:eastAsia="Calibri" w:hAnsi="Arial"/>
          <w:sz w:val="22"/>
        </w:rPr>
        <w:t>,</w:t>
      </w:r>
      <w:r w:rsidRPr="008C1073">
        <w:rPr>
          <w:rFonts w:ascii="Arial" w:eastAsia="Calibri" w:hAnsi="Arial"/>
          <w:sz w:val="22"/>
        </w:rPr>
        <w:t xml:space="preserve">9 % a 136 % průměru EU, zatímco Maďarsko, Polsko a Slovensko (země </w:t>
      </w:r>
      <w:r w:rsidRPr="008C1073">
        <w:rPr>
          <w:rFonts w:ascii="Arial" w:eastAsia="Calibri" w:hAnsi="Arial"/>
          <w:sz w:val="22"/>
        </w:rPr>
        <w:t>Visegrádksé</w:t>
      </w:r>
      <w:r w:rsidRPr="008C1073">
        <w:rPr>
          <w:rFonts w:ascii="Arial" w:eastAsia="Calibri" w:hAnsi="Arial"/>
          <w:sz w:val="22"/>
        </w:rPr>
        <w:t xml:space="preserve"> čtyřky se kterými sdílíme více historického kontextu) se řad</w:t>
      </w:r>
      <w:r w:rsidRPr="008C1073" w:rsidR="001E3D12">
        <w:rPr>
          <w:rFonts w:ascii="Arial" w:eastAsia="Calibri" w:hAnsi="Arial"/>
          <w:sz w:val="22"/>
        </w:rPr>
        <w:t>í</w:t>
      </w:r>
      <w:r w:rsidRPr="008C1073">
        <w:rPr>
          <w:rFonts w:ascii="Arial" w:eastAsia="Calibri" w:hAnsi="Arial"/>
          <w:sz w:val="22"/>
        </w:rPr>
        <w:t xml:space="preserve"> také mezi “</w:t>
      </w:r>
      <w:r w:rsidRPr="008C1073">
        <w:rPr>
          <w:rFonts w:ascii="Arial" w:eastAsia="Calibri" w:hAnsi="Arial"/>
          <w:sz w:val="22"/>
        </w:rPr>
        <w:t>Moderate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>” (Maďarsko se skórem 77</w:t>
      </w:r>
      <w:r w:rsidRPr="008C1073" w:rsidR="00EC4877">
        <w:rPr>
          <w:rFonts w:ascii="Arial" w:eastAsia="Calibri" w:hAnsi="Arial"/>
          <w:sz w:val="22"/>
        </w:rPr>
        <w:t>,</w:t>
      </w:r>
      <w:r w:rsidRPr="008C1073">
        <w:rPr>
          <w:rFonts w:ascii="Arial" w:eastAsia="Calibri" w:hAnsi="Arial"/>
          <w:sz w:val="22"/>
        </w:rPr>
        <w:t>6</w:t>
      </w:r>
      <w:r w:rsidRPr="008C1073" w:rsidR="00EC4877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%) či dokonce nižšího stupně “</w:t>
      </w:r>
      <w:r w:rsidRPr="008C1073">
        <w:rPr>
          <w:rFonts w:ascii="Arial" w:eastAsia="Calibri" w:hAnsi="Arial"/>
          <w:sz w:val="22"/>
        </w:rPr>
        <w:t>Emerging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>” (Polsko 72,5</w:t>
      </w:r>
      <w:r w:rsidRPr="008C1073" w:rsidR="001E3D12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% a Slovensko 71,6 %). Při pohledu blíže na jednotlivé části indikátoru zjistíme, že ČR se </w:t>
      </w:r>
      <w:r w:rsidRPr="008C1073" w:rsidR="001E3D12">
        <w:rPr>
          <w:rFonts w:ascii="Arial" w:eastAsia="Calibri" w:hAnsi="Arial"/>
          <w:sz w:val="22"/>
        </w:rPr>
        <w:t>nadprůměrně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daří</w:t>
      </w:r>
      <w:r w:rsidRPr="008C1073">
        <w:rPr>
          <w:rFonts w:ascii="Arial" w:eastAsia="Calibri" w:hAnsi="Arial"/>
          <w:sz w:val="22"/>
        </w:rPr>
        <w:t xml:space="preserve"> v oblastech firemních investic do výzkumných aktivit (115 % průměru EU) a pracovních příležitostí (101,7 %), a naopak nejvíce zaostává v oblastech duševního vlastnictví (66,3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 xml:space="preserve">%) a obecných lidských zdrojů (75,3 %). </w:t>
      </w:r>
    </w:p>
    <w:p w:rsidR="000D2B04" w:rsidRPr="008C1073" w14:paraId="00000013" w14:textId="6FAB4BAF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Ekosystém je charakterizován rostoucím počtem výzkumných center excelence, technologických parků a inkubátorů. Například, </w:t>
      </w:r>
      <w:r w:rsidRPr="008C1073">
        <w:rPr>
          <w:rFonts w:ascii="Arial" w:hAnsi="Arial"/>
          <w:sz w:val="22"/>
        </w:rPr>
        <w:t>síť vědeckotechnických parků v ČR</w:t>
      </w:r>
      <w:r>
        <w:rPr>
          <w:rStyle w:val="FootnoteReference"/>
          <w:rFonts w:ascii="Arial" w:hAnsi="Arial"/>
          <w:sz w:val="22"/>
        </w:rPr>
        <w:footnoteReference w:id="8"/>
      </w:r>
      <w:r w:rsidRPr="008C1073">
        <w:rPr>
          <w:rFonts w:ascii="Arial" w:hAnsi="Arial"/>
          <w:sz w:val="22"/>
        </w:rPr>
        <w:t xml:space="preserve"> zahrnuje</w:t>
      </w:r>
      <w:r w:rsidRPr="008C1073">
        <w:rPr>
          <w:rFonts w:ascii="Arial" w:eastAsia="Calibri" w:hAnsi="Arial"/>
          <w:sz w:val="22"/>
        </w:rPr>
        <w:t xml:space="preserve"> </w:t>
      </w:r>
      <w:r w:rsidRPr="008C1073" w:rsidR="00EC4877">
        <w:rPr>
          <w:rFonts w:ascii="Arial" w:eastAsia="Calibri" w:hAnsi="Arial"/>
          <w:sz w:val="22"/>
        </w:rPr>
        <w:t>téměř 30</w:t>
      </w:r>
      <w:r w:rsidRPr="008C1073">
        <w:rPr>
          <w:rFonts w:ascii="Arial" w:eastAsia="Calibri" w:hAnsi="Arial"/>
          <w:sz w:val="22"/>
        </w:rPr>
        <w:t xml:space="preserve"> subjektů. Tyto instituce hrají klíčovou roli v propojování akademického výzkumu s</w:t>
      </w:r>
      <w:r w:rsidRPr="008C1073" w:rsidR="001E3D12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komerční sférou.</w:t>
      </w:r>
    </w:p>
    <w:p w:rsidR="000D2B04" w:rsidRPr="008C1073" w:rsidP="000241FA" w14:paraId="00000014" w14:textId="3D48A28C">
      <w:pPr>
        <w:pStyle w:val="Heading2"/>
        <w:rPr>
          <w:rFonts w:ascii="Arial" w:hAnsi="Arial"/>
          <w:sz w:val="22"/>
          <w:szCs w:val="22"/>
        </w:rPr>
      </w:pPr>
      <w:bookmarkStart w:id="8" w:name="_fpmv5hrq1v6a" w:colFirst="0" w:colLast="0"/>
      <w:bookmarkEnd w:id="8"/>
      <w:bookmarkStart w:id="9" w:name="_Toc256000005"/>
      <w:r w:rsidRPr="008C1073">
        <w:rPr>
          <w:rFonts w:ascii="Arial" w:hAnsi="Arial"/>
          <w:sz w:val="22"/>
          <w:szCs w:val="22"/>
        </w:rPr>
        <w:t>Investice do výzkumu a vývoje</w:t>
      </w:r>
      <w:bookmarkEnd w:id="9"/>
    </w:p>
    <w:p w:rsidR="000D2B04" w:rsidRPr="008C1073" w14:paraId="00000015" w14:textId="66C542E7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Investice do výzkumu a vývoje (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>) v ČR vykazují dlouhodobě rostoucí trend, přičemž zásadní roli v tomto růstu by měly hrát vý</w:t>
      </w:r>
      <w:r w:rsidRPr="008C1073">
        <w:rPr>
          <w:rFonts w:ascii="Arial" w:hAnsi="Arial"/>
          <w:sz w:val="22"/>
        </w:rPr>
        <w:t xml:space="preserve">daje z podnikatelských (soukromých) zdrojů. V roce 2022 dosáhly výdaje na </w:t>
      </w:r>
      <w:r w:rsidRPr="008C1073">
        <w:rPr>
          <w:rFonts w:ascii="Arial" w:hAnsi="Arial"/>
          <w:sz w:val="22"/>
        </w:rPr>
        <w:t>VaV</w:t>
      </w:r>
      <w:r w:rsidRPr="008C1073">
        <w:rPr>
          <w:rFonts w:ascii="Arial" w:hAnsi="Arial"/>
          <w:sz w:val="22"/>
        </w:rPr>
        <w:t xml:space="preserve"> 1,96</w:t>
      </w:r>
      <w:r w:rsidRPr="008C1073" w:rsidR="001E3D1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% HDP</w:t>
      </w:r>
      <w:r>
        <w:rPr>
          <w:rStyle w:val="FootnoteReference"/>
          <w:rFonts w:ascii="Arial" w:hAnsi="Arial"/>
          <w:sz w:val="22"/>
        </w:rPr>
        <w:footnoteReference w:id="9"/>
      </w:r>
      <w:r w:rsidRPr="008C1073">
        <w:rPr>
          <w:rFonts w:ascii="Arial" w:hAnsi="Arial"/>
          <w:sz w:val="22"/>
        </w:rPr>
        <w:t>.</w:t>
      </w:r>
      <w:r w:rsidRPr="008C1073">
        <w:rPr>
          <w:rFonts w:ascii="Arial" w:eastAsia="Calibri" w:hAnsi="Arial"/>
          <w:sz w:val="22"/>
        </w:rPr>
        <w:t xml:space="preserve"> Ačkoliv je tento vývoj pozitivní, stále nedosahuje cíle stanoveného v </w:t>
      </w:r>
      <w:r w:rsidRPr="008C1073">
        <w:rPr>
          <w:rFonts w:ascii="Arial" w:hAnsi="Arial"/>
          <w:sz w:val="22"/>
        </w:rPr>
        <w:t>Národní politice výzkumu, vývoje a inovací České republiky 2021+</w:t>
      </w:r>
      <w:r>
        <w:rPr>
          <w:rStyle w:val="FootnoteReference"/>
          <w:rFonts w:ascii="Arial" w:hAnsi="Arial"/>
          <w:sz w:val="22"/>
        </w:rPr>
        <w:footnoteReference w:id="10"/>
      </w:r>
      <w:r w:rsidRPr="008C1073">
        <w:rPr>
          <w:rFonts w:ascii="Arial" w:hAnsi="Arial"/>
          <w:sz w:val="22"/>
        </w:rPr>
        <w:t>. Ta</w:t>
      </w:r>
      <w:r w:rsidRPr="008C1073" w:rsidR="006D59AD">
        <w:rPr>
          <w:rFonts w:ascii="Arial" w:hAnsi="Arial"/>
          <w:sz w:val="22"/>
        </w:rPr>
        <w:t> </w:t>
      </w:r>
      <w:r w:rsidRPr="008C1073">
        <w:rPr>
          <w:rFonts w:ascii="Arial" w:hAnsi="Arial"/>
          <w:sz w:val="22"/>
        </w:rPr>
        <w:t>stanovuje ambiciózní cíle 2,5</w:t>
      </w:r>
      <w:r w:rsidRPr="008C1073" w:rsidR="001E3D12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% HDP do roku 2025 a 3</w:t>
      </w:r>
      <w:r w:rsidRPr="008C1073" w:rsidR="00EC4877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% HDP do roku 2030, přičemž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klíčovým faktorem pro jejich dosažení má být právě výrazný nárůst soukromých investic do</w:t>
      </w:r>
      <w:r w:rsidRPr="008C1073" w:rsidR="006D59AD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 xml:space="preserve">. </w:t>
      </w:r>
    </w:p>
    <w:p w:rsidR="000D2B04" w:rsidRPr="008C1073" w14:paraId="00000016" w14:textId="7173DA31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Struktura financování 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 xml:space="preserve"> v ČR se v posledních letech mění. Zatímco v minulosti převažovaly veřejné zdroje, nyní roste podíl soukromých prostředků</w:t>
      </w:r>
      <w:r w:rsidRPr="008C1073">
        <w:rPr>
          <w:rFonts w:ascii="Arial" w:hAnsi="Arial"/>
          <w:sz w:val="22"/>
        </w:rPr>
        <w:t xml:space="preserve">. V roce 2022 tvořily </w:t>
      </w:r>
      <w:r w:rsidRPr="008C1073" w:rsidR="001A32BF">
        <w:rPr>
          <w:rFonts w:ascii="Arial" w:hAnsi="Arial"/>
          <w:sz w:val="22"/>
        </w:rPr>
        <w:t xml:space="preserve">soukromé </w:t>
      </w:r>
      <w:r w:rsidRPr="008C1073">
        <w:rPr>
          <w:rFonts w:ascii="Arial" w:hAnsi="Arial"/>
          <w:sz w:val="22"/>
        </w:rPr>
        <w:t>zdroje</w:t>
      </w:r>
      <w:r>
        <w:rPr>
          <w:rStyle w:val="FootnoteReference"/>
          <w:rFonts w:ascii="Arial" w:hAnsi="Arial"/>
          <w:sz w:val="22"/>
        </w:rPr>
        <w:footnoteReference w:id="11"/>
      </w:r>
      <w:r w:rsidRPr="008C1073">
        <w:rPr>
          <w:rFonts w:ascii="Arial" w:eastAsia="Calibri" w:hAnsi="Arial"/>
          <w:color w:val="1155CC"/>
          <w:sz w:val="22"/>
          <w:u w:val="single"/>
        </w:rPr>
        <w:t xml:space="preserve"> </w:t>
      </w:r>
      <w:r w:rsidRPr="008C1073">
        <w:rPr>
          <w:rFonts w:ascii="Arial" w:eastAsia="Calibri" w:hAnsi="Arial"/>
          <w:sz w:val="22"/>
        </w:rPr>
        <w:t xml:space="preserve">61 % celkových výdajů na 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>, veřejné české zdroje 30 % a zahraniční veřejné zdroje (převážně fondy</w:t>
      </w:r>
      <w:r w:rsidRPr="008C1073" w:rsidR="00EC4877">
        <w:rPr>
          <w:rFonts w:ascii="Arial" w:eastAsia="Calibri" w:hAnsi="Arial"/>
          <w:sz w:val="22"/>
        </w:rPr>
        <w:t xml:space="preserve"> EU</w:t>
      </w:r>
      <w:r w:rsidRPr="008C1073">
        <w:rPr>
          <w:rFonts w:ascii="Arial" w:eastAsia="Calibri" w:hAnsi="Arial"/>
          <w:sz w:val="22"/>
        </w:rPr>
        <w:t xml:space="preserve">) 7 %. Pro další růst investic do 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 xml:space="preserve"> je zásadní pokračovat v tomto trendu a dále stimulovat zapojení soukromého sektoru.</w:t>
      </w:r>
    </w:p>
    <w:p w:rsidR="000D2B04" w:rsidRPr="008C1073" w14:paraId="00000017" w14:textId="7DBFDCC6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V tomto kontextu může skupina grantových projektů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hrát klíčovou roli. Tyto projekty mají potenciál významně stimulovat růst investic ze soukromých zdrojů tím, že propojí základní výzkum s komerčními aplikacemi</w:t>
      </w:r>
      <w:r w:rsidRPr="008C1073" w:rsidR="008F7ACA">
        <w:rPr>
          <w:rFonts w:ascii="Arial" w:hAnsi="Arial"/>
          <w:sz w:val="22"/>
        </w:rPr>
        <w:t xml:space="preserve"> </w:t>
      </w:r>
      <w:r w:rsidRPr="008C1073" w:rsidR="008F7ACA">
        <w:rPr>
          <w:rFonts w:ascii="Arial" w:eastAsia="Calibri" w:hAnsi="Arial"/>
          <w:sz w:val="22"/>
        </w:rPr>
        <w:t>a poskytnou tak soukromým subjektům širší spektrum inovačních řešení, vhodných k potenciální finanční podpoře</w:t>
      </w:r>
      <w:r w:rsidRPr="008C1073">
        <w:rPr>
          <w:rFonts w:ascii="Arial" w:eastAsia="Calibri" w:hAnsi="Arial"/>
          <w:sz w:val="22"/>
        </w:rPr>
        <w:t xml:space="preserve">.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granty </w:t>
      </w:r>
      <w:r w:rsidRPr="008C1073" w:rsidR="0066588B">
        <w:rPr>
          <w:rFonts w:ascii="Arial" w:eastAsia="Calibri" w:hAnsi="Arial"/>
          <w:sz w:val="22"/>
        </w:rPr>
        <w:t>tak</w:t>
      </w:r>
      <w:r w:rsidRPr="008C1073">
        <w:rPr>
          <w:rFonts w:ascii="Arial" w:eastAsia="Calibri" w:hAnsi="Arial"/>
          <w:sz w:val="22"/>
        </w:rPr>
        <w:t xml:space="preserve"> mohou motivovat podniky k</w:t>
      </w:r>
      <w:r w:rsidRPr="008C1073" w:rsidR="001E3D12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většímu zapojení do 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 xml:space="preserve"> aktivit a k navyšování jejich vlastních investic do výzkumu a vývoje, což je nezbytné pro dosažení národních cílů v oblasti </w:t>
      </w:r>
      <w:r w:rsidRPr="008C1073">
        <w:rPr>
          <w:rFonts w:ascii="Arial" w:eastAsia="Calibri" w:hAnsi="Arial"/>
          <w:sz w:val="22"/>
        </w:rPr>
        <w:t>VaV</w:t>
      </w:r>
      <w:r w:rsidRPr="008C1073">
        <w:rPr>
          <w:rFonts w:ascii="Arial" w:eastAsia="Calibri" w:hAnsi="Arial"/>
          <w:sz w:val="22"/>
        </w:rPr>
        <w:t xml:space="preserve"> a pro posílení konkurenceschopnosti české ekonomiky.</w:t>
      </w:r>
    </w:p>
    <w:p w:rsidR="000D2B04" w:rsidRPr="008C1073" w:rsidP="000241FA" w14:paraId="00000018" w14:textId="166DDE86">
      <w:pPr>
        <w:pStyle w:val="Heading2"/>
        <w:rPr>
          <w:rFonts w:ascii="Arial" w:hAnsi="Arial"/>
          <w:sz w:val="22"/>
          <w:szCs w:val="22"/>
        </w:rPr>
      </w:pPr>
      <w:bookmarkStart w:id="10" w:name="_1xaybbxoktis" w:colFirst="0" w:colLast="0"/>
      <w:bookmarkEnd w:id="10"/>
      <w:bookmarkStart w:id="11" w:name="_Toc256000006"/>
      <w:r w:rsidRPr="008C1073">
        <w:rPr>
          <w:rFonts w:ascii="Arial" w:hAnsi="Arial"/>
          <w:sz w:val="22"/>
          <w:szCs w:val="22"/>
        </w:rPr>
        <w:t>Transfer technologií a komercializace</w:t>
      </w:r>
      <w:bookmarkEnd w:id="11"/>
    </w:p>
    <w:p w:rsidR="000D2B04" w:rsidRPr="008C1073" w14:paraId="00000019" w14:textId="037F8AAD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Přenos znalostí a technologií z akademické sféry do praxe zůstává jednou z hlavních výzev českého inovačního ekosystému. Většina českých univerzit a výzkumných institucí má zřízena centra transferu technologií (CTT), mimo jiné díky dotacím ze strukturálních fondů a grantové </w:t>
      </w:r>
      <w:r w:rsidRPr="008C1073">
        <w:rPr>
          <w:rFonts w:ascii="Arial" w:hAnsi="Arial"/>
          <w:sz w:val="22"/>
        </w:rPr>
        <w:t>podpoře, které významně podpořily růst výstupů transferu znalostí a komercializace výsledků výzkumu</w:t>
      </w:r>
      <w:r>
        <w:rPr>
          <w:rStyle w:val="FootnoteReference"/>
          <w:rFonts w:ascii="Arial" w:hAnsi="Arial"/>
          <w:sz w:val="22"/>
        </w:rPr>
        <w:footnoteReference w:id="12"/>
      </w:r>
      <w:r w:rsidRPr="008C1073">
        <w:rPr>
          <w:rFonts w:ascii="Arial" w:hAnsi="Arial"/>
          <w:sz w:val="22"/>
        </w:rPr>
        <w:t>.</w:t>
      </w:r>
    </w:p>
    <w:p w:rsidR="000D2B04" w:rsidRPr="008C1073" w:rsidP="000241FA" w14:paraId="0000001A" w14:textId="70E55379">
      <w:pPr>
        <w:pStyle w:val="Heading2"/>
        <w:rPr>
          <w:rFonts w:ascii="Arial" w:hAnsi="Arial"/>
          <w:sz w:val="22"/>
          <w:szCs w:val="22"/>
        </w:rPr>
      </w:pPr>
      <w:bookmarkStart w:id="12" w:name="_d9swepwxwi4e" w:colFirst="0" w:colLast="0"/>
      <w:bookmarkEnd w:id="12"/>
      <w:bookmarkStart w:id="13" w:name="_Toc256000007"/>
      <w:r w:rsidRPr="008C1073">
        <w:rPr>
          <w:rFonts w:ascii="Arial" w:hAnsi="Arial"/>
          <w:sz w:val="22"/>
          <w:szCs w:val="22"/>
        </w:rPr>
        <w:t>Spolupráce mezi akademickou sférou a průmyslem</w:t>
      </w:r>
      <w:bookmarkEnd w:id="13"/>
    </w:p>
    <w:p w:rsidR="000D2B04" w:rsidRPr="008C1073" w14:paraId="0000001B" w14:textId="41F60F05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Spolupráce mezi vysokými školami, výzkumnými institucemi a soukromým sektorem se v</w:t>
      </w:r>
      <w:r w:rsidRPr="008C1073" w:rsidR="006D59AD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posledních letech zintenzivňuje, ale stále existuje značný prostor pro zlepšení. Pozitivním trendem je rostoucí počet společných výzkumných projektů a smluvního výzkumu. Například, objem smluvního výzkumu na českých </w:t>
      </w:r>
      <w:r w:rsidRPr="008C1073">
        <w:rPr>
          <w:rFonts w:ascii="Arial" w:hAnsi="Arial"/>
          <w:sz w:val="22"/>
        </w:rPr>
        <w:t xml:space="preserve">univerzitách </w:t>
      </w:r>
      <w:r w:rsidRPr="008C1073" w:rsidR="00E44AC2">
        <w:rPr>
          <w:rFonts w:ascii="Arial" w:hAnsi="Arial"/>
          <w:sz w:val="22"/>
        </w:rPr>
        <w:t>rostl mezi lety 2013 a 2017 o 16 % ročně</w:t>
      </w:r>
      <w:r>
        <w:rPr>
          <w:rStyle w:val="FootnoteReference"/>
          <w:rFonts w:ascii="Arial" w:hAnsi="Arial"/>
          <w:sz w:val="22"/>
        </w:rPr>
        <w:footnoteReference w:id="13"/>
      </w:r>
      <w:r w:rsidRPr="008C1073">
        <w:rPr>
          <w:rFonts w:ascii="Arial" w:hAnsi="Arial"/>
          <w:sz w:val="22"/>
        </w:rPr>
        <w:t>.</w:t>
      </w:r>
      <w:r w:rsidRPr="008C1073">
        <w:rPr>
          <w:rFonts w:ascii="Arial" w:eastAsia="Calibri" w:hAnsi="Arial"/>
          <w:sz w:val="22"/>
        </w:rPr>
        <w:t xml:space="preserve"> Nicméně, stále přetrvávají bariéry v podobě odlišných očekávání a časových horizontů mezi akademickou a komerční sférou.</w:t>
      </w:r>
    </w:p>
    <w:p w:rsidR="000D2B04" w:rsidRPr="008C1073" w:rsidP="000241FA" w14:paraId="0000001C" w14:textId="7DDAEA43">
      <w:pPr>
        <w:pStyle w:val="Heading2"/>
        <w:rPr>
          <w:rFonts w:ascii="Arial" w:hAnsi="Arial"/>
          <w:sz w:val="22"/>
          <w:szCs w:val="22"/>
        </w:rPr>
      </w:pPr>
      <w:bookmarkStart w:id="14" w:name="_nb5tlxyfc1ki" w:colFirst="0" w:colLast="0"/>
      <w:bookmarkEnd w:id="14"/>
      <w:bookmarkStart w:id="15" w:name="_Toc256000008"/>
      <w:r w:rsidRPr="008C1073">
        <w:rPr>
          <w:rFonts w:ascii="Arial" w:hAnsi="Arial"/>
          <w:sz w:val="22"/>
          <w:szCs w:val="22"/>
        </w:rPr>
        <w:t>Právní a administrativní překážky</w:t>
      </w:r>
      <w:bookmarkEnd w:id="15"/>
    </w:p>
    <w:p w:rsidR="000D2B04" w:rsidRPr="008C1073" w14:paraId="0000001D" w14:textId="553E15AF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Komercializaci výzkumu v ČR stále brzdí některé právní</w:t>
      </w:r>
      <w:r w:rsidRPr="008C1073" w:rsidR="00660BCA">
        <w:rPr>
          <w:rFonts w:ascii="Arial" w:eastAsia="Calibri" w:hAnsi="Arial"/>
          <w:sz w:val="22"/>
        </w:rPr>
        <w:t>,</w:t>
      </w:r>
      <w:r w:rsidRPr="008C1073">
        <w:rPr>
          <w:rFonts w:ascii="Arial" w:eastAsia="Calibri" w:hAnsi="Arial"/>
          <w:sz w:val="22"/>
        </w:rPr>
        <w:t xml:space="preserve"> administrativní </w:t>
      </w:r>
      <w:r w:rsidRPr="008C1073" w:rsidR="002A37D4">
        <w:rPr>
          <w:rFonts w:ascii="Arial" w:eastAsia="Calibri" w:hAnsi="Arial"/>
          <w:sz w:val="22"/>
        </w:rPr>
        <w:t xml:space="preserve">či subjektivní </w:t>
      </w:r>
      <w:r w:rsidRPr="008C1073">
        <w:rPr>
          <w:rFonts w:ascii="Arial" w:eastAsia="Calibri" w:hAnsi="Arial"/>
          <w:sz w:val="22"/>
        </w:rPr>
        <w:t xml:space="preserve">překážky. </w:t>
      </w:r>
      <w:r w:rsidRPr="008C1073">
        <w:rPr>
          <w:rFonts w:ascii="Arial" w:eastAsia="Calibri" w:hAnsi="Arial"/>
          <w:sz w:val="22"/>
        </w:rPr>
        <w:t>Patří</w:t>
      </w:r>
      <w:r w:rsidRPr="008C1073">
        <w:rPr>
          <w:rFonts w:ascii="Arial" w:eastAsia="Calibri" w:hAnsi="Arial"/>
          <w:sz w:val="22"/>
        </w:rPr>
        <w:t xml:space="preserve"> mezi ně například:</w:t>
      </w:r>
    </w:p>
    <w:p w:rsidR="000D2B04" w:rsidRPr="008C1073" w14:paraId="0000001E" w14:textId="4560B933">
      <w:pPr>
        <w:numPr>
          <w:ilvl w:val="0"/>
          <w:numId w:val="17"/>
        </w:numPr>
        <w:spacing w:before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Složitost procesu </w:t>
      </w:r>
      <w:r w:rsidRPr="008C1073">
        <w:rPr>
          <w:rFonts w:ascii="Arial" w:hAnsi="Arial"/>
          <w:sz w:val="22"/>
        </w:rPr>
        <w:t>zakládání spin-</w:t>
      </w:r>
      <w:r w:rsidRPr="008C1073">
        <w:rPr>
          <w:rFonts w:ascii="Arial" w:hAnsi="Arial"/>
          <w:sz w:val="22"/>
        </w:rPr>
        <w:t>off</w:t>
      </w:r>
      <w:r w:rsidRPr="008C1073">
        <w:rPr>
          <w:rFonts w:ascii="Arial" w:hAnsi="Arial"/>
          <w:sz w:val="22"/>
        </w:rPr>
        <w:t xml:space="preserve"> firem univerzit</w:t>
      </w:r>
      <w:r w:rsidRPr="008C1073" w:rsidR="00AD5754">
        <w:rPr>
          <w:rFonts w:ascii="Arial" w:hAnsi="Arial"/>
          <w:sz w:val="22"/>
        </w:rPr>
        <w:t>ami či akademickými ústavy</w:t>
      </w:r>
      <w:r>
        <w:rPr>
          <w:rStyle w:val="FootnoteReference"/>
          <w:rFonts w:ascii="Arial" w:hAnsi="Arial"/>
          <w:sz w:val="22"/>
        </w:rPr>
        <w:footnoteReference w:id="14"/>
      </w:r>
      <w:r w:rsidRPr="008C1073" w:rsidR="0034379E">
        <w:rPr>
          <w:rFonts w:ascii="Arial" w:hAnsi="Arial"/>
          <w:sz w:val="22"/>
        </w:rPr>
        <w:t>.</w:t>
      </w:r>
    </w:p>
    <w:p w:rsidR="000D2B04" w:rsidRPr="008C1073" w:rsidP="5BCCA309" w14:paraId="0000001F" w14:textId="09D41406">
      <w:pPr>
        <w:numPr>
          <w:ilvl w:val="0"/>
          <w:numId w:val="17"/>
        </w:numPr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Nejasnosti v oblasti duševního vlastnictví, zejména při </w:t>
      </w:r>
      <w:r w:rsidRPr="008C1073" w:rsidR="0037452C">
        <w:rPr>
          <w:rFonts w:ascii="Arial" w:hAnsi="Arial"/>
          <w:sz w:val="22"/>
        </w:rPr>
        <w:t>řešení</w:t>
      </w:r>
      <w:r w:rsidRPr="008C1073">
        <w:rPr>
          <w:rFonts w:ascii="Arial" w:hAnsi="Arial"/>
          <w:sz w:val="22"/>
        </w:rPr>
        <w:t xml:space="preserve"> </w:t>
      </w:r>
      <w:r w:rsidRPr="008C1073" w:rsidR="492C5317">
        <w:rPr>
          <w:rFonts w:ascii="Arial" w:hAnsi="Arial"/>
          <w:sz w:val="22"/>
        </w:rPr>
        <w:t>společných projektů</w:t>
      </w:r>
      <w:r w:rsidRPr="008C1073" w:rsidR="0034379E">
        <w:rPr>
          <w:rFonts w:ascii="Arial" w:hAnsi="Arial"/>
          <w:sz w:val="22"/>
        </w:rPr>
        <w:t>.</w:t>
      </w:r>
    </w:p>
    <w:p w:rsidR="000D2B04" w:rsidRPr="008C1073" w14:paraId="00000020" w14:textId="1F77C918">
      <w:pPr>
        <w:numPr>
          <w:ilvl w:val="0"/>
          <w:numId w:val="17"/>
        </w:numPr>
        <w:spacing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Nedostatečná motivace </w:t>
      </w:r>
      <w:r w:rsidRPr="008C1073" w:rsidR="00F96BEA">
        <w:rPr>
          <w:rFonts w:ascii="Arial" w:eastAsia="Calibri" w:hAnsi="Arial"/>
          <w:sz w:val="22"/>
        </w:rPr>
        <w:t xml:space="preserve">vědců </w:t>
      </w:r>
      <w:r w:rsidRPr="008C1073" w:rsidR="00945A00">
        <w:rPr>
          <w:rFonts w:ascii="Arial" w:eastAsia="Calibri" w:hAnsi="Arial"/>
          <w:sz w:val="22"/>
        </w:rPr>
        <w:t>a vědkyň</w:t>
      </w:r>
      <w:r w:rsidRPr="008C1073" w:rsidR="00F96BEA">
        <w:rPr>
          <w:rFonts w:ascii="Arial" w:eastAsia="Calibri" w:hAnsi="Arial"/>
          <w:sz w:val="22"/>
        </w:rPr>
        <w:t xml:space="preserve"> přemýšlet komerčně a zaměřovat se na praktické uplatnění výsledků výzkumu</w:t>
      </w:r>
      <w:r w:rsidRPr="008C1073" w:rsidR="00DF6414">
        <w:rPr>
          <w:rFonts w:ascii="Arial" w:eastAsia="Calibri" w:hAnsi="Arial"/>
          <w:sz w:val="22"/>
        </w:rPr>
        <w:t>.</w:t>
      </w:r>
    </w:p>
    <w:p w:rsidR="000D2B04" w:rsidRPr="008C1073" w:rsidP="000241FA" w14:paraId="00000022" w14:textId="4437E89E">
      <w:pPr>
        <w:pStyle w:val="Heading2"/>
        <w:rPr>
          <w:rFonts w:ascii="Arial" w:hAnsi="Arial"/>
          <w:sz w:val="22"/>
          <w:szCs w:val="22"/>
        </w:rPr>
      </w:pPr>
      <w:bookmarkStart w:id="16" w:name="_qkckddv68ge8" w:colFirst="0" w:colLast="0"/>
      <w:bookmarkEnd w:id="16"/>
      <w:bookmarkStart w:id="17" w:name="_Toc256000009"/>
      <w:r w:rsidRPr="008C1073">
        <w:rPr>
          <w:rFonts w:ascii="Arial" w:hAnsi="Arial"/>
          <w:sz w:val="22"/>
          <w:szCs w:val="22"/>
        </w:rPr>
        <w:t>Financování a podpora komercializace</w:t>
      </w:r>
      <w:bookmarkEnd w:id="17"/>
    </w:p>
    <w:p w:rsidR="000D2B04" w:rsidRPr="008C1073" w14:paraId="00000023" w14:textId="77777777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V posledních letech vzniklo několik programů na podporu komercializace výzkumu. Mezi nejvýznamnější </w:t>
      </w:r>
      <w:r w:rsidRPr="008C1073">
        <w:rPr>
          <w:rFonts w:ascii="Arial" w:eastAsia="Calibri" w:hAnsi="Arial"/>
          <w:sz w:val="22"/>
        </w:rPr>
        <w:t>patří</w:t>
      </w:r>
      <w:r w:rsidRPr="008C1073">
        <w:rPr>
          <w:rFonts w:ascii="Arial" w:eastAsia="Calibri" w:hAnsi="Arial"/>
          <w:sz w:val="22"/>
        </w:rPr>
        <w:t>:</w:t>
      </w:r>
    </w:p>
    <w:p w:rsidR="000D2B04" w:rsidRPr="008C1073" w14:paraId="00000024" w14:textId="595531BA">
      <w:pPr>
        <w:numPr>
          <w:ilvl w:val="0"/>
          <w:numId w:val="16"/>
        </w:numPr>
        <w:spacing w:before="240"/>
        <w:rPr>
          <w:rFonts w:ascii="Arial" w:eastAsia="Calibri" w:hAnsi="Arial"/>
          <w:sz w:val="22"/>
        </w:rPr>
      </w:pPr>
      <w:hyperlink r:id="rId8" w:history="1">
        <w:r w:rsidRPr="008C1073" w:rsidR="00F96BEA">
          <w:rPr>
            <w:rFonts w:ascii="Arial" w:hAnsi="Arial"/>
            <w:sz w:val="22"/>
          </w:rPr>
          <w:t>Po</w:t>
        </w:r>
      </w:hyperlink>
      <w:r w:rsidRPr="008C1073" w:rsidR="00F96BEA">
        <w:rPr>
          <w:rFonts w:ascii="Arial" w:hAnsi="Arial"/>
          <w:sz w:val="22"/>
        </w:rPr>
        <w:t>dpora aktivit „</w:t>
      </w:r>
      <w:r w:rsidRPr="008C1073" w:rsidR="00F96BEA">
        <w:rPr>
          <w:rFonts w:ascii="Arial" w:hAnsi="Arial"/>
          <w:sz w:val="22"/>
        </w:rPr>
        <w:t>Proof</w:t>
      </w:r>
      <w:r w:rsidRPr="008C1073" w:rsidR="00F96BEA">
        <w:rPr>
          <w:rFonts w:ascii="Arial" w:hAnsi="Arial"/>
          <w:sz w:val="22"/>
        </w:rPr>
        <w:t xml:space="preserve"> </w:t>
      </w:r>
      <w:r w:rsidRPr="008C1073" w:rsidR="00F96BEA">
        <w:rPr>
          <w:rFonts w:ascii="Arial" w:hAnsi="Arial"/>
          <w:sz w:val="22"/>
        </w:rPr>
        <w:t>of</w:t>
      </w:r>
      <w:r w:rsidRPr="008C1073" w:rsidR="00F96BEA">
        <w:rPr>
          <w:rFonts w:ascii="Arial" w:hAnsi="Arial"/>
          <w:sz w:val="22"/>
        </w:rPr>
        <w:t xml:space="preserve"> </w:t>
      </w:r>
      <w:r w:rsidRPr="008C1073" w:rsidR="00F96BEA">
        <w:rPr>
          <w:rFonts w:ascii="Arial" w:hAnsi="Arial"/>
          <w:sz w:val="22"/>
        </w:rPr>
        <w:t>Concept</w:t>
      </w:r>
      <w:r w:rsidRPr="008C1073" w:rsidR="00F96BEA">
        <w:rPr>
          <w:rFonts w:ascii="Arial" w:hAnsi="Arial"/>
          <w:sz w:val="22"/>
        </w:rPr>
        <w:t>”</w:t>
      </w:r>
      <w:r>
        <w:rPr>
          <w:rStyle w:val="FootnoteReference"/>
          <w:rFonts w:ascii="Arial" w:hAnsi="Arial"/>
          <w:sz w:val="22"/>
        </w:rPr>
        <w:footnoteReference w:id="15"/>
      </w:r>
      <w:r w:rsidRPr="008C1073" w:rsidR="00F96BEA">
        <w:rPr>
          <w:rFonts w:ascii="Arial" w:hAnsi="Arial"/>
          <w:sz w:val="22"/>
        </w:rPr>
        <w:t xml:space="preserve"> od TA</w:t>
      </w:r>
      <w:r w:rsidRPr="008C1073" w:rsidR="00ED0BE8">
        <w:rPr>
          <w:rFonts w:ascii="Arial" w:hAnsi="Arial"/>
          <w:sz w:val="22"/>
        </w:rPr>
        <w:t xml:space="preserve"> </w:t>
      </w:r>
      <w:r w:rsidRPr="008C1073" w:rsidR="00F96BEA">
        <w:rPr>
          <w:rFonts w:ascii="Arial" w:hAnsi="Arial"/>
          <w:sz w:val="22"/>
        </w:rPr>
        <w:t>ČR</w:t>
      </w:r>
      <w:r w:rsidRPr="008C1073" w:rsidR="00F96BEA">
        <w:rPr>
          <w:rFonts w:ascii="Arial" w:eastAsia="Calibri" w:hAnsi="Arial"/>
          <w:sz w:val="22"/>
        </w:rPr>
        <w:t xml:space="preserve"> </w:t>
      </w:r>
      <w:r w:rsidRPr="008C1073" w:rsidR="00477288">
        <w:rPr>
          <w:rFonts w:ascii="Arial" w:eastAsia="Calibri" w:hAnsi="Arial"/>
          <w:sz w:val="22"/>
        </w:rPr>
        <w:t xml:space="preserve">zaměřená na </w:t>
      </w:r>
      <w:r w:rsidRPr="008C1073" w:rsidR="00D8366D">
        <w:rPr>
          <w:rFonts w:ascii="Arial" w:eastAsia="Calibri" w:hAnsi="Arial"/>
          <w:sz w:val="22"/>
        </w:rPr>
        <w:t xml:space="preserve">podporu </w:t>
      </w:r>
      <w:r w:rsidRPr="008C1073" w:rsidR="00F96BEA">
        <w:rPr>
          <w:rFonts w:ascii="Arial" w:eastAsia="Calibri" w:hAnsi="Arial"/>
          <w:sz w:val="22"/>
        </w:rPr>
        <w:t>systém</w:t>
      </w:r>
      <w:r w:rsidRPr="008C1073" w:rsidR="00D8366D">
        <w:rPr>
          <w:rFonts w:ascii="Arial" w:eastAsia="Calibri" w:hAnsi="Arial"/>
          <w:sz w:val="22"/>
        </w:rPr>
        <w:t>u</w:t>
      </w:r>
      <w:r w:rsidRPr="008C1073" w:rsidR="00F96BEA">
        <w:rPr>
          <w:rFonts w:ascii="Arial" w:eastAsia="Calibri" w:hAnsi="Arial"/>
          <w:sz w:val="22"/>
        </w:rPr>
        <w:t xml:space="preserve"> komercializace, využití a zhodnocení výsledků </w:t>
      </w:r>
      <w:r w:rsidRPr="008C1073" w:rsidR="00F96BEA">
        <w:rPr>
          <w:rFonts w:ascii="Arial" w:eastAsia="Calibri" w:hAnsi="Arial"/>
          <w:sz w:val="22"/>
        </w:rPr>
        <w:t>VaV</w:t>
      </w:r>
      <w:r w:rsidRPr="008C1073" w:rsidR="00F96BEA">
        <w:rPr>
          <w:rFonts w:ascii="Arial" w:eastAsia="Calibri" w:hAnsi="Arial"/>
          <w:sz w:val="22"/>
        </w:rPr>
        <w:t xml:space="preserve">, které vznikly nebo vznikají ve výzkumných organizacích a mají vysoký potenciál pro uplatnění v nových nebo zdokonalených produktech či službách. Tento program je však svou podstatou zaměřený </w:t>
      </w:r>
      <w:r w:rsidRPr="008C1073" w:rsidR="007D3945">
        <w:rPr>
          <w:rFonts w:ascii="Arial" w:eastAsia="Calibri" w:hAnsi="Arial"/>
          <w:sz w:val="22"/>
        </w:rPr>
        <w:t>spíše</w:t>
      </w:r>
      <w:r w:rsidRPr="008C1073" w:rsidR="00F96BEA">
        <w:rPr>
          <w:rFonts w:ascii="Arial" w:eastAsia="Calibri" w:hAnsi="Arial"/>
          <w:sz w:val="22"/>
        </w:rPr>
        <w:t xml:space="preserve"> na </w:t>
      </w:r>
      <w:r w:rsidRPr="008C1073" w:rsidR="00121A00">
        <w:rPr>
          <w:rFonts w:ascii="Arial" w:eastAsia="Calibri" w:hAnsi="Arial"/>
          <w:sz w:val="22"/>
        </w:rPr>
        <w:t xml:space="preserve">komercializaci </w:t>
      </w:r>
      <w:r w:rsidRPr="008C1073" w:rsidR="00BD3DAA">
        <w:rPr>
          <w:rFonts w:ascii="Arial" w:eastAsia="Calibri" w:hAnsi="Arial"/>
          <w:sz w:val="22"/>
        </w:rPr>
        <w:t xml:space="preserve">výsledků </w:t>
      </w:r>
      <w:r w:rsidRPr="008C1073" w:rsidR="00F96BEA">
        <w:rPr>
          <w:rFonts w:ascii="Arial" w:eastAsia="Calibri" w:hAnsi="Arial"/>
          <w:sz w:val="22"/>
        </w:rPr>
        <w:t xml:space="preserve">aplikovaného výzkumu a </w:t>
      </w:r>
      <w:r w:rsidRPr="008C1073" w:rsidR="007C4405">
        <w:rPr>
          <w:rFonts w:ascii="Arial" w:eastAsia="Calibri" w:hAnsi="Arial"/>
          <w:sz w:val="22"/>
        </w:rPr>
        <w:t xml:space="preserve">nepředstavuje tak žádoucí mezistupeň </w:t>
      </w:r>
      <w:r w:rsidRPr="008C1073" w:rsidR="00F96BEA">
        <w:rPr>
          <w:rFonts w:ascii="Arial" w:eastAsia="Calibri" w:hAnsi="Arial"/>
          <w:sz w:val="22"/>
        </w:rPr>
        <w:t>mezi základním a aplikovaným výzkumem.</w:t>
      </w:r>
    </w:p>
    <w:p w:rsidR="000D2B04" w:rsidRPr="008C1073" w14:paraId="00000025" w14:textId="2B074018">
      <w:pPr>
        <w:numPr>
          <w:ilvl w:val="0"/>
          <w:numId w:val="16"/>
        </w:numPr>
        <w:rPr>
          <w:rFonts w:ascii="Arial" w:eastAsia="Calibri" w:hAnsi="Arial"/>
          <w:sz w:val="22"/>
        </w:rPr>
      </w:pPr>
      <w:hyperlink r:id="rId9" w:history="1">
        <w:r w:rsidRPr="008C1073" w:rsidR="00F96BEA">
          <w:rPr>
            <w:rFonts w:ascii="Arial" w:hAnsi="Arial"/>
            <w:sz w:val="22"/>
          </w:rPr>
          <w:t>P</w:t>
        </w:r>
      </w:hyperlink>
      <w:r w:rsidRPr="008C1073" w:rsidR="00F96BEA">
        <w:rPr>
          <w:rFonts w:ascii="Arial" w:hAnsi="Arial"/>
          <w:sz w:val="22"/>
        </w:rPr>
        <w:t>rogram rozvoje aplikací a komercializace (PRAK) AV ČR</w:t>
      </w:r>
      <w:r>
        <w:rPr>
          <w:rStyle w:val="FootnoteReference"/>
          <w:rFonts w:ascii="Arial" w:hAnsi="Arial"/>
          <w:sz w:val="22"/>
        </w:rPr>
        <w:footnoteReference w:id="16"/>
      </w:r>
      <w:r w:rsidRPr="008C1073" w:rsidR="00F96BEA">
        <w:rPr>
          <w:rFonts w:ascii="Arial" w:hAnsi="Arial"/>
          <w:sz w:val="22"/>
        </w:rPr>
        <w:t>,</w:t>
      </w:r>
      <w:r w:rsidRPr="008C1073" w:rsidR="00F96BEA">
        <w:rPr>
          <w:rFonts w:ascii="Arial" w:eastAsia="Calibri" w:hAnsi="Arial"/>
          <w:sz w:val="22"/>
        </w:rPr>
        <w:t xml:space="preserve"> jehož účelem je zajistit financování aktivit potřebných pro přenos znalostí a motivovat výzkumné pracovníky k aplikaci a komercializaci výsledků jejich výzkumu. Tento program však </w:t>
      </w:r>
      <w:r w:rsidRPr="008C1073" w:rsidR="0046775D">
        <w:rPr>
          <w:rFonts w:ascii="Arial" w:eastAsia="Calibri" w:hAnsi="Arial"/>
          <w:sz w:val="22"/>
        </w:rPr>
        <w:t xml:space="preserve">funguje </w:t>
      </w:r>
      <w:r w:rsidRPr="008C1073" w:rsidR="00F96BEA">
        <w:rPr>
          <w:rFonts w:ascii="Arial" w:eastAsia="Calibri" w:hAnsi="Arial"/>
          <w:sz w:val="22"/>
        </w:rPr>
        <w:t xml:space="preserve">pouze v rámci </w:t>
      </w:r>
      <w:r w:rsidRPr="008C1073" w:rsidR="00E44AC2">
        <w:rPr>
          <w:rFonts w:ascii="Arial" w:eastAsia="Calibri" w:hAnsi="Arial"/>
          <w:sz w:val="22"/>
        </w:rPr>
        <w:t xml:space="preserve">Akademie </w:t>
      </w:r>
      <w:r w:rsidRPr="008C1073" w:rsidR="00F96BEA">
        <w:rPr>
          <w:rFonts w:ascii="Arial" w:eastAsia="Calibri" w:hAnsi="Arial"/>
          <w:sz w:val="22"/>
        </w:rPr>
        <w:t xml:space="preserve">věd a </w:t>
      </w:r>
      <w:r w:rsidRPr="008C1073" w:rsidR="00CE10FA">
        <w:rPr>
          <w:rFonts w:ascii="Arial" w:eastAsia="Calibri" w:hAnsi="Arial"/>
          <w:sz w:val="22"/>
        </w:rPr>
        <w:t>omezená finanční alokace na projekt neumožňuje významný posun na cestě od myšlenky k inovaci</w:t>
      </w:r>
      <w:r w:rsidRPr="008C1073" w:rsidR="00F96BEA">
        <w:rPr>
          <w:rFonts w:ascii="Arial" w:eastAsia="Calibri" w:hAnsi="Arial"/>
          <w:sz w:val="22"/>
        </w:rPr>
        <w:t xml:space="preserve">. </w:t>
      </w:r>
    </w:p>
    <w:p w:rsidR="000D2B04" w:rsidRPr="008C1073" w14:paraId="00000026" w14:textId="7636D634">
      <w:pPr>
        <w:numPr>
          <w:ilvl w:val="0"/>
          <w:numId w:val="16"/>
        </w:numPr>
        <w:rPr>
          <w:rFonts w:ascii="Arial" w:eastAsia="Calibri" w:hAnsi="Arial"/>
          <w:sz w:val="22"/>
        </w:rPr>
      </w:pPr>
      <w:r w:rsidRPr="008C1073">
        <w:rPr>
          <w:rFonts w:ascii="Arial" w:hAnsi="Arial"/>
          <w:sz w:val="22"/>
        </w:rPr>
        <w:t xml:space="preserve">Centra </w:t>
      </w:r>
      <w:r w:rsidRPr="008C1073" w:rsidR="00E44AC2">
        <w:rPr>
          <w:rFonts w:ascii="Arial" w:hAnsi="Arial"/>
          <w:sz w:val="22"/>
        </w:rPr>
        <w:t xml:space="preserve">transferu </w:t>
      </w:r>
      <w:r w:rsidRPr="008C1073" w:rsidR="00A90833">
        <w:rPr>
          <w:rFonts w:ascii="Arial" w:hAnsi="Arial"/>
          <w:sz w:val="22"/>
        </w:rPr>
        <w:t>technologií</w:t>
      </w:r>
      <w:r>
        <w:rPr>
          <w:rStyle w:val="FootnoteReference"/>
          <w:rFonts w:ascii="Arial" w:hAnsi="Arial"/>
          <w:sz w:val="22"/>
        </w:rPr>
        <w:footnoteReference w:id="17"/>
      </w:r>
      <w:r w:rsidRPr="008C1073" w:rsidR="00A90833">
        <w:rPr>
          <w:rFonts w:ascii="Arial" w:eastAsia="Calibri" w:hAnsi="Arial"/>
          <w:sz w:val="22"/>
        </w:rPr>
        <w:t xml:space="preserve"> – z</w:t>
      </w:r>
      <w:r w:rsidRPr="008C1073">
        <w:rPr>
          <w:rFonts w:ascii="Arial" w:eastAsia="Calibri" w:hAnsi="Arial"/>
          <w:sz w:val="22"/>
        </w:rPr>
        <w:t xml:space="preserve"> výzvy číslo 3.3 OP </w:t>
      </w:r>
      <w:r w:rsidRPr="008C1073">
        <w:rPr>
          <w:rFonts w:ascii="Arial" w:eastAsia="Calibri" w:hAnsi="Arial"/>
          <w:sz w:val="22"/>
        </w:rPr>
        <w:t>VaVpI</w:t>
      </w:r>
      <w:r w:rsidRPr="008C1073">
        <w:rPr>
          <w:rFonts w:ascii="Arial" w:eastAsia="Calibri" w:hAnsi="Arial"/>
          <w:sz w:val="22"/>
        </w:rPr>
        <w:t xml:space="preserve"> vzniklo celkem devatenáct center zaměřených na transfer znalostí, z toho dvanáct na veřejných vysokých školách (ČVUT, JU, MENDELU, MU, TUL, UK, UP, </w:t>
      </w:r>
      <w:r w:rsidRPr="008C1073">
        <w:rPr>
          <w:rFonts w:ascii="Arial" w:eastAsia="Calibri" w:hAnsi="Arial"/>
          <w:sz w:val="22"/>
        </w:rPr>
        <w:t>UPa</w:t>
      </w:r>
      <w:r w:rsidRPr="008C1073">
        <w:rPr>
          <w:rFonts w:ascii="Arial" w:eastAsia="Calibri" w:hAnsi="Arial"/>
          <w:sz w:val="22"/>
        </w:rPr>
        <w:t xml:space="preserve">, UTB, VŠB-TUO, VUT, ZČU), dvě ve fakultních nemocnicích (FN HK, FNUSA), tři na ústavech AV ČR (FZÚ, ÚACH, ÚEB), dvě v soukromých organizacích (COMTES FHT, CVŘ). Většina CTT nabízí seznámení se základními pojmy z oboru ochrany duševního vlastnictví a transferu technologií / znalostí, provádí vědce </w:t>
      </w:r>
      <w:r w:rsidRPr="008C1073" w:rsidR="00806E8C">
        <w:rPr>
          <w:rFonts w:ascii="Arial" w:eastAsia="Calibri" w:hAnsi="Arial"/>
          <w:sz w:val="22"/>
        </w:rPr>
        <w:t>a vědkyně</w:t>
      </w:r>
      <w:r w:rsidRPr="008C1073">
        <w:rPr>
          <w:rFonts w:ascii="Arial" w:eastAsia="Calibri" w:hAnsi="Arial"/>
          <w:sz w:val="22"/>
        </w:rPr>
        <w:t xml:space="preserve"> / původce procesem od vzniku potenciálního vynálezu až po jeho možné využití, nabízí služby podnikům zajímajícím se o znalosti vhodné ke komercializaci vzniklé v instituci, přináší přehled patentů</w:t>
      </w:r>
      <w:r w:rsidRPr="008C1073" w:rsidR="00C429F0">
        <w:rPr>
          <w:rFonts w:ascii="Arial" w:eastAsia="Calibri" w:hAnsi="Arial"/>
          <w:sz w:val="22"/>
        </w:rPr>
        <w:t xml:space="preserve">, nezabývá se však výběrem nejvhodnějších myšlenek ke </w:t>
      </w:r>
      <w:r w:rsidRPr="008C1073" w:rsidR="003C3181">
        <w:rPr>
          <w:rFonts w:ascii="Arial" w:eastAsia="Calibri" w:hAnsi="Arial"/>
          <w:sz w:val="22"/>
        </w:rPr>
        <w:t xml:space="preserve">komercializaci </w:t>
      </w:r>
      <w:r w:rsidRPr="008C1073" w:rsidR="00C429F0">
        <w:rPr>
          <w:rFonts w:ascii="Arial" w:eastAsia="Calibri" w:hAnsi="Arial"/>
          <w:sz w:val="22"/>
        </w:rPr>
        <w:t>a jejich financováním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14:paraId="00000027" w14:textId="60F7CB0E">
      <w:pPr>
        <w:numPr>
          <w:ilvl w:val="0"/>
          <w:numId w:val="16"/>
        </w:numPr>
        <w:rPr>
          <w:rFonts w:ascii="Arial" w:eastAsia="Calibri" w:hAnsi="Arial"/>
          <w:sz w:val="22"/>
        </w:rPr>
      </w:pPr>
      <w:r w:rsidRPr="008C1073">
        <w:rPr>
          <w:rFonts w:ascii="Arial" w:hAnsi="Arial"/>
          <w:sz w:val="22"/>
        </w:rPr>
        <w:t xml:space="preserve">Program </w:t>
      </w:r>
      <w:r w:rsidRPr="008C1073">
        <w:rPr>
          <w:rFonts w:ascii="Arial" w:hAnsi="Arial"/>
          <w:sz w:val="22"/>
        </w:rPr>
        <w:t>Proof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Concept</w:t>
      </w:r>
      <w:r w:rsidRPr="008C1073">
        <w:rPr>
          <w:rFonts w:ascii="Arial" w:hAnsi="Arial"/>
          <w:sz w:val="22"/>
        </w:rPr>
        <w:t xml:space="preserve"> od Agentury pro podnikání a inovace</w:t>
      </w:r>
      <w:r>
        <w:rPr>
          <w:rStyle w:val="FootnoteReference"/>
          <w:rFonts w:ascii="Arial" w:hAnsi="Arial"/>
          <w:sz w:val="22"/>
        </w:rPr>
        <w:footnoteReference w:id="18"/>
      </w:r>
      <w:r w:rsidRPr="008C1073">
        <w:rPr>
          <w:rFonts w:ascii="Arial" w:eastAsia="Calibri" w:hAnsi="Arial"/>
          <w:sz w:val="22"/>
        </w:rPr>
        <w:t xml:space="preserve"> v rámci MPO, který je určen pro malé a střední podniky a má za cíl podpořit spolupráci mezi výzkumnými organizacemi a podniky, které mohou výsledky výzkumu uplatnit v praxi. </w:t>
      </w:r>
      <w:r w:rsidRPr="008C1073" w:rsidR="00D721CF">
        <w:rPr>
          <w:rFonts w:ascii="Arial" w:eastAsia="Calibri" w:hAnsi="Arial"/>
          <w:sz w:val="22"/>
        </w:rPr>
        <w:t>Tento program tedy není určen primárně pro přenos výsledků základního výzkumu do praxe a také není cílený přímo na výzkumníky a výzkumnice v oblasti základního výzkumu jako původce znalostí, které se mají do praxe přenést, ale spíše na podnikatelský sektor, který znalosti přinese na trh a zkomercionalizuje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14:paraId="00000028" w14:textId="31C8ECE8">
      <w:pPr>
        <w:numPr>
          <w:ilvl w:val="0"/>
          <w:numId w:val="16"/>
        </w:numPr>
        <w:spacing w:after="240"/>
        <w:rPr>
          <w:rFonts w:ascii="Arial" w:eastAsia="Calibri" w:hAnsi="Arial"/>
          <w:sz w:val="22"/>
        </w:rPr>
      </w:pPr>
      <w:r w:rsidRPr="008C1073">
        <w:rPr>
          <w:rFonts w:ascii="Arial" w:hAnsi="Arial"/>
          <w:sz w:val="22"/>
        </w:rPr>
        <w:t>Operační program Jan Amos Komenský</w:t>
      </w:r>
      <w:r>
        <w:rPr>
          <w:rStyle w:val="FootnoteReference"/>
          <w:rFonts w:ascii="Arial" w:hAnsi="Arial"/>
          <w:sz w:val="22"/>
        </w:rPr>
        <w:footnoteReference w:id="19"/>
      </w:r>
      <w:r w:rsidRPr="008C1073">
        <w:rPr>
          <w:rFonts w:ascii="Arial" w:hAnsi="Arial"/>
          <w:sz w:val="22"/>
        </w:rPr>
        <w:t xml:space="preserve"> (OP JAK) spravovaný</w:t>
      </w:r>
      <w:r w:rsidRPr="008C1073">
        <w:rPr>
          <w:rFonts w:ascii="Arial" w:eastAsia="Calibri" w:hAnsi="Arial"/>
          <w:sz w:val="22"/>
        </w:rPr>
        <w:t xml:space="preserve"> MŠMT podporuje projekty zaměřené na zlepšení kvality výzkumu, vývoje a vzdělávání v České republice. </w:t>
      </w:r>
      <w:r w:rsidRPr="008C1073" w:rsidR="7AA80190">
        <w:rPr>
          <w:rFonts w:ascii="Arial" w:eastAsia="Calibri" w:hAnsi="Arial"/>
          <w:sz w:val="22"/>
        </w:rPr>
        <w:t xml:space="preserve">V rámci své Priority 1 </w:t>
      </w:r>
      <w:r w:rsidRPr="008C1073">
        <w:rPr>
          <w:rFonts w:ascii="Arial" w:eastAsia="Calibri" w:hAnsi="Arial"/>
          <w:sz w:val="22"/>
        </w:rPr>
        <w:t xml:space="preserve">zahrnuje také </w:t>
      </w:r>
      <w:r w:rsidRPr="008C1073" w:rsidR="1B3F00B5">
        <w:rPr>
          <w:rFonts w:ascii="Arial" w:eastAsia="Calibri" w:hAnsi="Arial"/>
          <w:sz w:val="22"/>
        </w:rPr>
        <w:t xml:space="preserve">posílení spolupráce výzkumných organizací s aplikační sférou a další </w:t>
      </w:r>
      <w:r w:rsidRPr="008C1073">
        <w:rPr>
          <w:rFonts w:ascii="Arial" w:eastAsia="Calibri" w:hAnsi="Arial"/>
          <w:sz w:val="22"/>
        </w:rPr>
        <w:t>proof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concept</w:t>
      </w:r>
      <w:r w:rsidRPr="008C1073">
        <w:rPr>
          <w:rFonts w:ascii="Arial" w:eastAsia="Calibri" w:hAnsi="Arial"/>
          <w:sz w:val="22"/>
        </w:rPr>
        <w:t xml:space="preserve"> aktivity, které pomáhají ověřit praktickou realizovatelnost výsledků výzkumu.</w:t>
      </w:r>
      <w:r w:rsidRPr="008C1073" w:rsidR="4396CCB8">
        <w:rPr>
          <w:rFonts w:ascii="Arial" w:eastAsia="Calibri" w:hAnsi="Arial"/>
          <w:sz w:val="22"/>
        </w:rPr>
        <w:t xml:space="preserve"> Tento program je navíc časově omezený na období 2021-2027</w:t>
      </w:r>
      <w:r w:rsidRPr="008C1073" w:rsidR="2269FFDF">
        <w:rPr>
          <w:rFonts w:ascii="Arial" w:eastAsia="Calibri" w:hAnsi="Arial"/>
          <w:sz w:val="22"/>
        </w:rPr>
        <w:t>.</w:t>
      </w:r>
    </w:p>
    <w:p w:rsidR="00E44AC2" w:rsidRPr="008C1073" w14:paraId="19124EC0" w14:textId="47D0664D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Přesto je financování raných fází komercializace (tzv. </w:t>
      </w:r>
      <w:r w:rsidRPr="008C1073">
        <w:rPr>
          <w:rFonts w:ascii="Arial" w:eastAsia="Calibri" w:hAnsi="Arial"/>
          <w:sz w:val="22"/>
        </w:rPr>
        <w:t>proof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concept</w:t>
      </w:r>
      <w:r w:rsidRPr="008C1073">
        <w:rPr>
          <w:rFonts w:ascii="Arial" w:eastAsia="Calibri" w:hAnsi="Arial"/>
          <w:sz w:val="22"/>
        </w:rPr>
        <w:t xml:space="preserve">) stále nedostatečné. Velmi málo z výše zmíněných programů cílí specificky na výzkumníky </w:t>
      </w:r>
      <w:r w:rsidRPr="008C1073" w:rsidR="00E822D6">
        <w:rPr>
          <w:rFonts w:ascii="Arial" w:eastAsia="Calibri" w:hAnsi="Arial"/>
          <w:sz w:val="22"/>
        </w:rPr>
        <w:t xml:space="preserve">a výzkumnice </w:t>
      </w:r>
      <w:r w:rsidRPr="008C1073">
        <w:rPr>
          <w:rFonts w:ascii="Arial" w:eastAsia="Calibri" w:hAnsi="Arial"/>
          <w:sz w:val="22"/>
        </w:rPr>
        <w:t xml:space="preserve">v oblasti základního výzkumu, kde nové znalosti a poznatky vznikají a odkud by se měly přenášet dále do praxe. Mnoho z existujících programů naopak vyžaduje zajištění aplikačního partnera ještě před poskytnutím podpory, což je problematické pro mnoho výzkumníků </w:t>
      </w:r>
      <w:r w:rsidRPr="008C1073" w:rsidR="00E822D6">
        <w:rPr>
          <w:rFonts w:ascii="Arial" w:eastAsia="Calibri" w:hAnsi="Arial"/>
          <w:sz w:val="22"/>
        </w:rPr>
        <w:t xml:space="preserve">a výzkumnic </w:t>
      </w:r>
      <w:r w:rsidRPr="008C1073">
        <w:rPr>
          <w:rFonts w:ascii="Arial" w:eastAsia="Calibri" w:hAnsi="Arial"/>
          <w:sz w:val="22"/>
        </w:rPr>
        <w:t>v</w:t>
      </w:r>
      <w:r w:rsidRPr="008C1073" w:rsidR="00382D7C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raných fázích transferu znalostí, na které skupina </w:t>
      </w:r>
      <w:r w:rsidRPr="008C1073" w:rsidR="00A658DF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cílí. Je zde tedy prostor pro silnější podporu transferu specificky mezi základním a aplikovaným výzkumem, který se skupin</w:t>
      </w:r>
      <w:r w:rsidRPr="008C1073">
        <w:rPr>
          <w:rFonts w:ascii="Arial" w:eastAsia="Calibri" w:hAnsi="Arial"/>
          <w:sz w:val="22"/>
        </w:rPr>
        <w:t>a grantových projektů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 w:rsidR="00A658DF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snaží</w:t>
      </w:r>
      <w:r w:rsidRPr="008C1073">
        <w:rPr>
          <w:rFonts w:ascii="Arial" w:eastAsia="Calibri" w:hAnsi="Arial"/>
          <w:sz w:val="22"/>
        </w:rPr>
        <w:t xml:space="preserve"> zaplnit.</w:t>
      </w:r>
    </w:p>
    <w:p w:rsidR="000D2B04" w:rsidRPr="008C1073" w14:paraId="0000002A" w14:textId="40F223C9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Řada výzev na podporu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je vypisována nepravidelně nebo jsou v rámci podpory časově omezené (např. nelze nyní usuzovat, že by aktivity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byly z fondů EU podporovány i</w:t>
      </w:r>
      <w:r w:rsidRPr="008C1073" w:rsidR="00382D7C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po</w:t>
      </w:r>
      <w:r w:rsidRPr="008C1073" w:rsidR="00382D7C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skončení současného programového období). Dlouhodobost skupiny grantových projektů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ze strany GA ČR by tak pomohla ke stabilitě grantového prostředí v ČR a větší inovativnosti ČR. </w:t>
      </w:r>
    </w:p>
    <w:p w:rsidR="000D2B04" w:rsidRPr="008C1073" w:rsidP="000241FA" w14:paraId="0000002B" w14:textId="6FD290B7">
      <w:pPr>
        <w:pStyle w:val="Heading2"/>
        <w:rPr>
          <w:rFonts w:ascii="Arial" w:hAnsi="Arial"/>
          <w:sz w:val="22"/>
          <w:szCs w:val="22"/>
        </w:rPr>
      </w:pPr>
      <w:bookmarkStart w:id="18" w:name="_nnzmtrov3him" w:colFirst="0" w:colLast="0"/>
      <w:bookmarkEnd w:id="18"/>
      <w:bookmarkStart w:id="19" w:name="_Toc256000010"/>
      <w:r w:rsidRPr="008C1073">
        <w:rPr>
          <w:rFonts w:ascii="Arial" w:hAnsi="Arial"/>
          <w:sz w:val="22"/>
          <w:szCs w:val="22"/>
        </w:rPr>
        <w:t>Regionální rozdíly v inovačním ekosystému</w:t>
      </w:r>
      <w:bookmarkEnd w:id="19"/>
    </w:p>
    <w:p w:rsidR="000D2B04" w:rsidRPr="008C1073" w14:paraId="0000002C" w14:textId="51F0FE41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V České republice přetrvávají významné regionální rozdíly v inovační výkonnosti. Zatímco Praha a Jihomoravský kraj vykazují nadprůměrnou inovační aktivitu, ostatní regiony zaostávají. Podle </w:t>
      </w:r>
      <w:r w:rsidRPr="008C1073">
        <w:rPr>
          <w:rFonts w:ascii="Arial" w:hAnsi="Arial"/>
          <w:sz w:val="22"/>
        </w:rPr>
        <w:t>Regionálního inovačního zpravodaje EU 2023</w:t>
      </w:r>
      <w:r>
        <w:rPr>
          <w:rStyle w:val="FootnoteReference"/>
          <w:rFonts w:ascii="Arial" w:hAnsi="Arial"/>
          <w:sz w:val="22"/>
        </w:rPr>
        <w:footnoteReference w:id="20"/>
      </w:r>
      <w:r w:rsidRPr="008C1073">
        <w:rPr>
          <w:rFonts w:ascii="Arial" w:eastAsia="Calibri" w:hAnsi="Arial"/>
          <w:sz w:val="22"/>
        </w:rPr>
        <w:t xml:space="preserve"> se Praha řadí mezi "</w:t>
      </w:r>
      <w:r w:rsidRPr="008C1073">
        <w:rPr>
          <w:rFonts w:ascii="Arial" w:eastAsia="Calibri" w:hAnsi="Arial"/>
          <w:sz w:val="22"/>
        </w:rPr>
        <w:t>Strong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>", zatímco většina ostatních českých regionů spadá do kategorie "</w:t>
      </w:r>
      <w:r w:rsidRPr="008C1073">
        <w:rPr>
          <w:rFonts w:ascii="Arial" w:eastAsia="Calibri" w:hAnsi="Arial"/>
          <w:sz w:val="22"/>
        </w:rPr>
        <w:t>Moderate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Innovators</w:t>
      </w:r>
      <w:r w:rsidRPr="008C1073">
        <w:rPr>
          <w:rFonts w:ascii="Arial" w:eastAsia="Calibri" w:hAnsi="Arial"/>
          <w:sz w:val="22"/>
        </w:rPr>
        <w:t>".</w:t>
      </w:r>
    </w:p>
    <w:p w:rsidR="000D2B04" w:rsidRPr="008C1073" w14:paraId="0000002D" w14:textId="77777777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Tyto rozdíly se projevují v koncentraci výzkumných institucí, dostupnosti kvalifikované pracovní síly a míře spolupráce mezi akademickou a komerční sférou. Řešení těchto disparit je klíčové pro celkový rozvoj inovačního potenciálu ČR.</w:t>
      </w:r>
    </w:p>
    <w:p w:rsidR="005A724E" w:rsidRPr="008C1073" w:rsidP="00965EE9" w14:paraId="1C7497F7" w14:textId="0643CB58">
      <w:pPr>
        <w:rPr>
          <w:rFonts w:ascii="Arial" w:hAnsi="Arial"/>
          <w:sz w:val="22"/>
        </w:rPr>
      </w:pPr>
      <w:bookmarkStart w:id="20" w:name="_ueppndfazxfs" w:colFirst="0" w:colLast="0"/>
      <w:bookmarkEnd w:id="20"/>
    </w:p>
    <w:p w:rsidR="006002FE" w:rsidRPr="008C1073" w14:paraId="74A88D5F" w14:textId="77777777">
      <w:pPr>
        <w:spacing w:after="0"/>
        <w:jc w:val="left"/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p w:rsidR="000D2B04" w:rsidRPr="008C1073" w14:paraId="0000002E" w14:textId="74F1A089">
      <w:pPr>
        <w:pStyle w:val="Heading1"/>
        <w:spacing w:before="240" w:after="240"/>
        <w:rPr>
          <w:rFonts w:ascii="Arial" w:hAnsi="Arial"/>
          <w:sz w:val="22"/>
          <w:szCs w:val="22"/>
          <w:u w:val="single"/>
        </w:rPr>
      </w:pPr>
      <w:bookmarkStart w:id="21" w:name="_Toc256000011"/>
      <w:r w:rsidRPr="008C1073">
        <w:rPr>
          <w:rFonts w:ascii="Arial" w:hAnsi="Arial"/>
          <w:sz w:val="22"/>
          <w:szCs w:val="22"/>
          <w:u w:val="single"/>
        </w:rPr>
        <w:t xml:space="preserve">Programy </w:t>
      </w:r>
      <w:r w:rsidRPr="008C1073" w:rsidR="00E3620C">
        <w:rPr>
          <w:rFonts w:ascii="Arial" w:hAnsi="Arial"/>
          <w:sz w:val="22"/>
          <w:szCs w:val="22"/>
          <w:u w:val="single"/>
        </w:rPr>
        <w:t>PoC</w:t>
      </w:r>
      <w:r w:rsidRPr="008C1073">
        <w:rPr>
          <w:rFonts w:ascii="Arial" w:hAnsi="Arial"/>
          <w:sz w:val="22"/>
          <w:szCs w:val="22"/>
          <w:u w:val="single"/>
        </w:rPr>
        <w:t xml:space="preserve"> v evropském kontextu</w:t>
      </w:r>
      <w:bookmarkEnd w:id="21"/>
    </w:p>
    <w:p w:rsidR="000D2B04" w:rsidRPr="008C1073" w14:paraId="0000002F" w14:textId="5397CFE6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Programy typu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>se</w:t>
      </w:r>
      <w:r w:rsidRPr="008C1073">
        <w:rPr>
          <w:rFonts w:ascii="Arial" w:eastAsia="Calibri" w:hAnsi="Arial"/>
          <w:sz w:val="22"/>
        </w:rPr>
        <w:t xml:space="preserve"> v posledních letech staly důležitou součástí inovačních ekosystémů v</w:t>
      </w:r>
      <w:r w:rsidRPr="008C1073" w:rsidR="00382D7C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 xml:space="preserve">mnoha evropských zemích. Tyto programy </w:t>
      </w:r>
      <w:r w:rsidRPr="008C1073">
        <w:rPr>
          <w:rFonts w:ascii="Arial" w:eastAsia="Calibri" w:hAnsi="Arial"/>
          <w:sz w:val="22"/>
        </w:rPr>
        <w:t>slouží</w:t>
      </w:r>
      <w:r w:rsidRPr="008C1073">
        <w:rPr>
          <w:rFonts w:ascii="Arial" w:eastAsia="Calibri" w:hAnsi="Arial"/>
          <w:sz w:val="22"/>
        </w:rPr>
        <w:t xml:space="preserve"> k překlenutí mezery mezi základním výzkumem a jeho komerčním využitím.</w:t>
      </w:r>
    </w:p>
    <w:p w:rsidR="000D2B04" w:rsidRPr="008C1073" w:rsidP="000241FA" w14:paraId="00000030" w14:textId="426425C8">
      <w:pPr>
        <w:pStyle w:val="Heading2"/>
        <w:rPr>
          <w:rFonts w:ascii="Arial" w:hAnsi="Arial"/>
          <w:sz w:val="22"/>
          <w:szCs w:val="22"/>
        </w:rPr>
      </w:pPr>
      <w:bookmarkStart w:id="22" w:name="_b3cy2z5hcox3"/>
      <w:bookmarkEnd w:id="22"/>
      <w:bookmarkStart w:id="23" w:name="_Toc256000012"/>
      <w:r w:rsidRPr="008C1073">
        <w:rPr>
          <w:rFonts w:ascii="Arial" w:hAnsi="Arial"/>
          <w:sz w:val="22"/>
          <w:szCs w:val="22"/>
        </w:rPr>
        <w:t xml:space="preserve">ERC </w:t>
      </w:r>
      <w:r w:rsidRPr="008C1073" w:rsidR="00160810">
        <w:rPr>
          <w:rFonts w:ascii="Arial" w:hAnsi="Arial"/>
          <w:sz w:val="22"/>
          <w:szCs w:val="22"/>
        </w:rPr>
        <w:t>PoC</w:t>
      </w:r>
      <w:bookmarkEnd w:id="23"/>
    </w:p>
    <w:p w:rsidR="00F96BEA" w:rsidRPr="008C1073" w:rsidP="00382D7C" w14:paraId="716DC3B1" w14:textId="29A4B253">
      <w:pPr>
        <w:rPr>
          <w:rFonts w:ascii="Arial" w:eastAsia="Roboto" w:hAnsi="Arial"/>
          <w:color w:val="3C4043"/>
          <w:sz w:val="22"/>
        </w:rPr>
      </w:pPr>
      <w:r w:rsidRPr="008C1073">
        <w:rPr>
          <w:rFonts w:ascii="Arial" w:hAnsi="Arial"/>
          <w:sz w:val="22"/>
        </w:rPr>
        <w:t>Evropská výzkumná rada (ERC)</w:t>
      </w:r>
      <w:r w:rsidRPr="008C1073" w:rsidR="00E44AC2">
        <w:rPr>
          <w:rFonts w:ascii="Arial" w:hAnsi="Arial"/>
          <w:sz w:val="22"/>
        </w:rPr>
        <w:t>, která je nejprestižnějším evropským podporovatelem projektů základního výzkumu,</w:t>
      </w:r>
      <w:r w:rsidRPr="008C1073">
        <w:rPr>
          <w:rFonts w:ascii="Arial" w:hAnsi="Arial"/>
          <w:sz w:val="22"/>
        </w:rPr>
        <w:t xml:space="preserve"> zavedla svůj program </w:t>
      </w:r>
      <w:hyperlink r:id="rId10" w:history="1">
        <w:r w:rsidRPr="008C1073">
          <w:rPr>
            <w:rFonts w:ascii="Arial" w:hAnsi="Arial"/>
            <w:sz w:val="22"/>
          </w:rPr>
          <w:t>Proof</w:t>
        </w:r>
        <w:r w:rsidRPr="008C1073">
          <w:rPr>
            <w:rFonts w:ascii="Arial" w:hAnsi="Arial"/>
            <w:sz w:val="22"/>
          </w:rPr>
          <w:t xml:space="preserve"> </w:t>
        </w:r>
        <w:r w:rsidRPr="008C1073">
          <w:rPr>
            <w:rFonts w:ascii="Arial" w:hAnsi="Arial"/>
            <w:sz w:val="22"/>
          </w:rPr>
          <w:t>of</w:t>
        </w:r>
        <w:r w:rsidRPr="008C1073">
          <w:rPr>
            <w:rFonts w:ascii="Arial" w:hAnsi="Arial"/>
            <w:sz w:val="22"/>
          </w:rPr>
          <w:t xml:space="preserve"> </w:t>
        </w:r>
        <w:r w:rsidRPr="008C1073">
          <w:rPr>
            <w:rFonts w:ascii="Arial" w:hAnsi="Arial"/>
            <w:sz w:val="22"/>
          </w:rPr>
          <w:t>Concept</w:t>
        </w:r>
      </w:hyperlink>
      <w:r w:rsidRPr="008C1073">
        <w:rPr>
          <w:rFonts w:ascii="Arial" w:hAnsi="Arial"/>
          <w:sz w:val="22"/>
        </w:rPr>
        <w:t xml:space="preserve"> v roce 2011. Tento program je určen pro držitele grantů ERC a má za cíl prozkoumat komerční a sociální inovační potenciál nápadů vzešlých z jejich ERC-financovaného výzkumu.</w:t>
      </w:r>
      <w:r w:rsidRPr="008C1073" w:rsidR="2F792299">
        <w:rPr>
          <w:rFonts w:ascii="Arial" w:hAnsi="Arial"/>
          <w:sz w:val="22"/>
        </w:rPr>
        <w:t xml:space="preserve"> Financování </w:t>
      </w:r>
      <w:r w:rsidRPr="008C1073" w:rsidR="2F792299">
        <w:rPr>
          <w:rFonts w:ascii="Arial" w:hAnsi="Arial"/>
          <w:sz w:val="22"/>
        </w:rPr>
        <w:t>PoC</w:t>
      </w:r>
      <w:r w:rsidRPr="008C1073" w:rsidR="2F792299">
        <w:rPr>
          <w:rFonts w:ascii="Arial" w:hAnsi="Arial"/>
          <w:sz w:val="22"/>
        </w:rPr>
        <w:t xml:space="preserve"> lze například použít k provedení studií technické proveditelnosti; v</w:t>
      </w:r>
      <w:r w:rsidRPr="008C1073" w:rsidR="2AD51934">
        <w:rPr>
          <w:rFonts w:ascii="Arial" w:hAnsi="Arial"/>
          <w:sz w:val="22"/>
        </w:rPr>
        <w:t>ý</w:t>
      </w:r>
      <w:r w:rsidRPr="008C1073" w:rsidR="2F792299">
        <w:rPr>
          <w:rFonts w:ascii="Arial" w:hAnsi="Arial"/>
          <w:sz w:val="22"/>
        </w:rPr>
        <w:t xml:space="preserve">voji prototypů; provádění technických </w:t>
      </w:r>
      <w:r w:rsidRPr="008C1073" w:rsidR="1FCE4A44">
        <w:rPr>
          <w:rFonts w:ascii="Arial" w:hAnsi="Arial"/>
          <w:sz w:val="22"/>
        </w:rPr>
        <w:t>testů</w:t>
      </w:r>
      <w:r w:rsidRPr="008C1073" w:rsidR="2F792299">
        <w:rPr>
          <w:rFonts w:ascii="Arial" w:hAnsi="Arial"/>
          <w:sz w:val="22"/>
        </w:rPr>
        <w:t xml:space="preserve">; </w:t>
      </w:r>
      <w:r w:rsidRPr="008C1073" w:rsidR="4F5B6D8F">
        <w:rPr>
          <w:rFonts w:ascii="Arial" w:hAnsi="Arial"/>
          <w:sz w:val="22"/>
        </w:rPr>
        <w:t xml:space="preserve">tvorbě </w:t>
      </w:r>
      <w:r w:rsidRPr="008C1073" w:rsidR="2F792299">
        <w:rPr>
          <w:rFonts w:ascii="Arial" w:hAnsi="Arial"/>
          <w:sz w:val="22"/>
        </w:rPr>
        <w:t>strategie ochrany práv duševního vlastnictví; zhodno</w:t>
      </w:r>
      <w:r w:rsidRPr="008C1073" w:rsidR="401922A1">
        <w:rPr>
          <w:rFonts w:ascii="Arial" w:hAnsi="Arial"/>
          <w:sz w:val="22"/>
        </w:rPr>
        <w:t>cení</w:t>
      </w:r>
      <w:r w:rsidRPr="008C1073" w:rsidR="2F792299">
        <w:rPr>
          <w:rFonts w:ascii="Arial" w:hAnsi="Arial"/>
          <w:sz w:val="22"/>
        </w:rPr>
        <w:t xml:space="preserve"> tržní poptávk</w:t>
      </w:r>
      <w:r w:rsidRPr="008C1073" w:rsidR="187329A9">
        <w:rPr>
          <w:rFonts w:ascii="Arial" w:hAnsi="Arial"/>
          <w:sz w:val="22"/>
        </w:rPr>
        <w:t>y</w:t>
      </w:r>
      <w:r w:rsidRPr="008C1073" w:rsidR="2F792299">
        <w:rPr>
          <w:rFonts w:ascii="Arial" w:hAnsi="Arial"/>
          <w:sz w:val="22"/>
        </w:rPr>
        <w:t xml:space="preserve"> a identifikov</w:t>
      </w:r>
      <w:r w:rsidRPr="008C1073" w:rsidR="23C187F3">
        <w:rPr>
          <w:rFonts w:ascii="Arial" w:hAnsi="Arial"/>
          <w:sz w:val="22"/>
        </w:rPr>
        <w:t>ání</w:t>
      </w:r>
      <w:r w:rsidRPr="008C1073" w:rsidR="2F792299">
        <w:rPr>
          <w:rFonts w:ascii="Arial" w:hAnsi="Arial"/>
          <w:sz w:val="22"/>
        </w:rPr>
        <w:t xml:space="preserve"> potřeb uživatelů; na pokrytí počátečních nákladů na založení nové společnosti; </w:t>
      </w:r>
      <w:r w:rsidRPr="008C1073" w:rsidR="4D7FAC8F">
        <w:rPr>
          <w:rFonts w:ascii="Arial" w:hAnsi="Arial"/>
          <w:sz w:val="22"/>
        </w:rPr>
        <w:t>či</w:t>
      </w:r>
      <w:r w:rsidRPr="008C1073" w:rsidR="2F792299">
        <w:rPr>
          <w:rFonts w:ascii="Arial" w:hAnsi="Arial"/>
          <w:sz w:val="22"/>
        </w:rPr>
        <w:t xml:space="preserve"> hled</w:t>
      </w:r>
      <w:r w:rsidRPr="008C1073" w:rsidR="6767F0BC">
        <w:rPr>
          <w:rFonts w:ascii="Arial" w:hAnsi="Arial"/>
          <w:sz w:val="22"/>
        </w:rPr>
        <w:t>ání</w:t>
      </w:r>
      <w:r w:rsidRPr="008C1073" w:rsidR="2F792299">
        <w:rPr>
          <w:rFonts w:ascii="Arial" w:hAnsi="Arial"/>
          <w:sz w:val="22"/>
        </w:rPr>
        <w:t xml:space="preserve"> další</w:t>
      </w:r>
      <w:r w:rsidRPr="008C1073" w:rsidR="421263C6">
        <w:rPr>
          <w:rFonts w:ascii="Arial" w:hAnsi="Arial"/>
          <w:sz w:val="22"/>
        </w:rPr>
        <w:t xml:space="preserve">ch </w:t>
      </w:r>
      <w:r w:rsidRPr="008C1073" w:rsidR="2F792299">
        <w:rPr>
          <w:rFonts w:ascii="Arial" w:hAnsi="Arial"/>
          <w:sz w:val="22"/>
        </w:rPr>
        <w:t>zdroj</w:t>
      </w:r>
      <w:r w:rsidRPr="008C1073" w:rsidR="6B725307">
        <w:rPr>
          <w:rFonts w:ascii="Arial" w:hAnsi="Arial"/>
          <w:sz w:val="22"/>
        </w:rPr>
        <w:t>ů</w:t>
      </w:r>
      <w:r w:rsidRPr="008C1073" w:rsidR="2F792299">
        <w:rPr>
          <w:rFonts w:ascii="Arial" w:hAnsi="Arial"/>
          <w:sz w:val="22"/>
        </w:rPr>
        <w:t xml:space="preserve"> financování</w:t>
      </w:r>
      <w:r w:rsidRPr="008C1073" w:rsidR="5EF0907C">
        <w:rPr>
          <w:rFonts w:ascii="Arial" w:hAnsi="Arial"/>
          <w:sz w:val="22"/>
        </w:rPr>
        <w:t>. (</w:t>
      </w:r>
      <w:hyperlink r:id="rId11" w:history="1">
        <w:r w:rsidRPr="008C1073" w:rsidR="5EF0907C">
          <w:rPr>
            <w:rFonts w:ascii="Arial" w:eastAsia="Georgia" w:hAnsi="Arial"/>
            <w:sz w:val="22"/>
          </w:rPr>
          <w:t>Wessner</w:t>
        </w:r>
        <w:r w:rsidRPr="008C1073" w:rsidR="5EF0907C">
          <w:rPr>
            <w:rFonts w:ascii="Arial" w:eastAsia="Georgia" w:hAnsi="Arial"/>
            <w:sz w:val="22"/>
          </w:rPr>
          <w:t xml:space="preserve"> and </w:t>
        </w:r>
        <w:r w:rsidRPr="008C1073" w:rsidR="5EF0907C">
          <w:rPr>
            <w:rFonts w:ascii="Arial" w:eastAsia="Georgia" w:hAnsi="Arial"/>
            <w:sz w:val="22"/>
          </w:rPr>
          <w:t>Munari</w:t>
        </w:r>
        <w:r w:rsidRPr="008C1073" w:rsidR="5EF0907C">
          <w:rPr>
            <w:rFonts w:ascii="Arial" w:eastAsia="Georgia" w:hAnsi="Arial"/>
            <w:sz w:val="22"/>
          </w:rPr>
          <w:t>, 2017</w:t>
        </w:r>
      </w:hyperlink>
      <w:r>
        <w:rPr>
          <w:rStyle w:val="FootnoteReference"/>
          <w:rFonts w:ascii="Arial" w:eastAsia="Georgia" w:hAnsi="Arial"/>
          <w:color w:val="0000FF" w:themeColor="hyperlink"/>
          <w:sz w:val="22"/>
          <w:u w:val="single"/>
        </w:rPr>
        <w:footnoteReference w:id="21"/>
      </w:r>
      <w:r w:rsidRPr="008C1073" w:rsidR="5EF0907C">
        <w:rPr>
          <w:rFonts w:ascii="Arial" w:hAnsi="Arial"/>
          <w:sz w:val="22"/>
        </w:rPr>
        <w:t>).</w:t>
      </w:r>
      <w:r w:rsidRPr="008C1073" w:rsidR="1786AB85">
        <w:rPr>
          <w:rFonts w:ascii="Arial" w:hAnsi="Arial"/>
          <w:sz w:val="22"/>
        </w:rPr>
        <w:t xml:space="preserve"> Výzvy </w:t>
      </w:r>
      <w:r w:rsidRPr="008C1073" w:rsidR="1786AB85">
        <w:rPr>
          <w:rFonts w:ascii="Arial" w:hAnsi="Arial"/>
          <w:sz w:val="22"/>
        </w:rPr>
        <w:t>PoC</w:t>
      </w:r>
      <w:r w:rsidRPr="008C1073" w:rsidR="1786AB85">
        <w:rPr>
          <w:rFonts w:ascii="Arial" w:hAnsi="Arial"/>
          <w:sz w:val="22"/>
        </w:rPr>
        <w:t xml:space="preserve"> jsou zveřejňovány jednou ročně a každý řešitel může přihlásit pouze jeden projekt ročně. </w:t>
      </w:r>
    </w:p>
    <w:p w:rsidR="02E40823" w:rsidRPr="008C1073" w:rsidP="007277BF" w14:paraId="187B2303" w14:textId="77777777">
      <w:pPr>
        <w:rPr>
          <w:rFonts w:ascii="Arial" w:hAnsi="Arial"/>
          <w:b/>
          <w:bCs/>
          <w:sz w:val="22"/>
        </w:rPr>
      </w:pPr>
      <w:r w:rsidRPr="008C1073">
        <w:rPr>
          <w:rFonts w:ascii="Arial" w:hAnsi="Arial"/>
          <w:b/>
          <w:bCs/>
          <w:sz w:val="22"/>
        </w:rPr>
        <w:t xml:space="preserve">Klíčové charakteristiky programu ERC </w:t>
      </w:r>
      <w:r w:rsidRPr="008C1073">
        <w:rPr>
          <w:rFonts w:ascii="Arial" w:hAnsi="Arial"/>
          <w:b/>
          <w:bCs/>
          <w:sz w:val="22"/>
        </w:rPr>
        <w:t>PoC</w:t>
      </w:r>
      <w:r w:rsidRPr="008C1073">
        <w:rPr>
          <w:rFonts w:ascii="Arial" w:hAnsi="Arial"/>
          <w:b/>
          <w:bCs/>
          <w:sz w:val="22"/>
        </w:rPr>
        <w:t>:</w:t>
      </w:r>
    </w:p>
    <w:p w:rsidR="02E40823" w:rsidRPr="008C1073" w:rsidP="007277BF" w14:paraId="00D2AC6A" w14:textId="2D3EE7D8">
      <w:pPr>
        <w:pStyle w:val="ListParagraph"/>
        <w:numPr>
          <w:ilvl w:val="0"/>
          <w:numId w:val="26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Maximální grant: 150 000 EUR</w:t>
      </w:r>
      <w:r w:rsidRPr="008C1073" w:rsidR="007277BF">
        <w:rPr>
          <w:rFonts w:ascii="Arial" w:hAnsi="Arial"/>
          <w:sz w:val="22"/>
        </w:rPr>
        <w:t>.</w:t>
      </w:r>
    </w:p>
    <w:p w:rsidR="02E40823" w:rsidRPr="008C1073" w:rsidP="007277BF" w14:paraId="612A285A" w14:textId="1B8CCFE8">
      <w:pPr>
        <w:pStyle w:val="ListParagraph"/>
        <w:numPr>
          <w:ilvl w:val="0"/>
          <w:numId w:val="26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Doba trvání: 18 měsíců</w:t>
      </w:r>
      <w:r w:rsidRPr="008C1073" w:rsidR="007277BF">
        <w:rPr>
          <w:rFonts w:ascii="Arial" w:hAnsi="Arial"/>
          <w:sz w:val="22"/>
        </w:rPr>
        <w:t>.</w:t>
      </w:r>
    </w:p>
    <w:p w:rsidR="5BCCA309" w:rsidRPr="008C1073" w:rsidP="5BCCA309" w14:paraId="292FFBE3" w14:textId="3C8BB8EA">
      <w:pPr>
        <w:pStyle w:val="ListParagraph"/>
        <w:numPr>
          <w:ilvl w:val="0"/>
          <w:numId w:val="26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>Zaměření: ověření inovačního potenciálu, příprava business plánu, analýza trhu</w:t>
      </w:r>
      <w:r w:rsidRPr="008C1073" w:rsidR="007277BF">
        <w:rPr>
          <w:rFonts w:ascii="Arial" w:hAnsi="Arial"/>
          <w:sz w:val="22"/>
        </w:rPr>
        <w:t>.</w:t>
      </w:r>
    </w:p>
    <w:p w:rsidR="555162D8" w:rsidRPr="008C1073" w:rsidP="007277BF" w14:paraId="65B414AA" w14:textId="3607354C">
      <w:pPr>
        <w:rPr>
          <w:rFonts w:ascii="Arial" w:hAnsi="Arial"/>
          <w:b/>
          <w:bCs/>
          <w:sz w:val="22"/>
        </w:rPr>
      </w:pPr>
      <w:r w:rsidRPr="008C1073">
        <w:rPr>
          <w:rFonts w:ascii="Arial" w:hAnsi="Arial"/>
          <w:b/>
          <w:bCs/>
          <w:sz w:val="22"/>
        </w:rPr>
        <w:t>Hodnocení návrhů</w:t>
      </w:r>
    </w:p>
    <w:p w:rsidR="69CF2A48" w:rsidRPr="008C1073" w:rsidP="007277BF" w14:paraId="4CEBB44E" w14:textId="1DCFB914">
      <w:pPr>
        <w:rPr>
          <w:rFonts w:ascii="Arial" w:eastAsia="Roboto" w:hAnsi="Arial"/>
          <w:color w:val="3C4043"/>
          <w:sz w:val="22"/>
        </w:rPr>
      </w:pPr>
      <w:r w:rsidRPr="008C1073">
        <w:rPr>
          <w:rFonts w:ascii="Arial" w:hAnsi="Arial"/>
          <w:sz w:val="22"/>
        </w:rPr>
        <w:t>Hodnocení návrhů projektů probíhá skrze nezávislý pětičlenný panel hodnotitelů, který posuzuje každý projekt na základě tří kritérií</w:t>
      </w:r>
      <w:r w:rsidRPr="008C1073" w:rsidR="7D08908D">
        <w:rPr>
          <w:rFonts w:ascii="Arial" w:hAnsi="Arial"/>
          <w:sz w:val="22"/>
        </w:rPr>
        <w:t>:</w:t>
      </w:r>
    </w:p>
    <w:p w:rsidR="69CF2A48" w:rsidRPr="008C1073" w:rsidP="007277BF" w14:paraId="46A8E400" w14:textId="2DE67DAC">
      <w:pPr>
        <w:pStyle w:val="ListParagraph"/>
        <w:numPr>
          <w:ilvl w:val="0"/>
          <w:numId w:val="27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„Excelentní inovační potenciál“ - </w:t>
      </w:r>
      <w:r w:rsidRPr="008C1073">
        <w:rPr>
          <w:rFonts w:ascii="Arial" w:hAnsi="Arial"/>
          <w:sz w:val="22"/>
        </w:rPr>
        <w:t>měří</w:t>
      </w:r>
      <w:r w:rsidRPr="008C1073">
        <w:rPr>
          <w:rFonts w:ascii="Arial" w:hAnsi="Arial"/>
          <w:sz w:val="22"/>
        </w:rPr>
        <w:t xml:space="preserve">, do jaké míry navrhovaný projekt významně přispěje k dosažení počátečních kroků </w:t>
      </w:r>
      <w:r w:rsidRPr="008C1073">
        <w:rPr>
          <w:rFonts w:ascii="Arial" w:hAnsi="Arial"/>
          <w:sz w:val="22"/>
        </w:rPr>
        <w:t>předkomerční</w:t>
      </w:r>
      <w:r w:rsidRPr="008C1073">
        <w:rPr>
          <w:rFonts w:ascii="Arial" w:hAnsi="Arial"/>
          <w:sz w:val="22"/>
        </w:rPr>
        <w:t xml:space="preserve"> nebo sociální inovace.</w:t>
      </w:r>
    </w:p>
    <w:p w:rsidR="69CF2A48" w:rsidRPr="008C1073" w:rsidP="007277BF" w14:paraId="4CFD8EC1" w14:textId="522FBB26">
      <w:pPr>
        <w:pStyle w:val="ListParagraph"/>
        <w:numPr>
          <w:ilvl w:val="0"/>
          <w:numId w:val="27"/>
        </w:numPr>
        <w:rPr>
          <w:rFonts w:ascii="Arial" w:eastAsia="Roboto" w:hAnsi="Arial"/>
          <w:color w:val="3C4043"/>
          <w:sz w:val="22"/>
        </w:rPr>
      </w:pPr>
      <w:r w:rsidRPr="008C1073">
        <w:rPr>
          <w:rFonts w:ascii="Arial" w:hAnsi="Arial"/>
          <w:sz w:val="22"/>
        </w:rPr>
        <w:t xml:space="preserve">„Dopad“ - hodnotí typy přínosů, které by měl navrhovaný projekt přinést ekonomice, společnosti, kultuře, veřejné politice nebo službám. </w:t>
      </w:r>
    </w:p>
    <w:p w:rsidR="6EB753B1" w:rsidRPr="008C1073" w:rsidP="007277BF" w14:paraId="65961513" w14:textId="6495609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„Kvalita a účinnost realizace“ - hodnotí, zda je navrhovaný projekt strukturován na základě robustního přístupu, který prokazuje jeho technickou a aplikační proveditelnost. </w:t>
      </w:r>
      <w:r w:rsidRPr="008C1073" w:rsidR="5E6CD617">
        <w:rPr>
          <w:rFonts w:ascii="Arial" w:eastAsia="Calibri" w:hAnsi="Arial"/>
          <w:sz w:val="22"/>
        </w:rPr>
        <w:t xml:space="preserve"> Každý hodnotitel nezávisle hodnotí přidělené návrhy podle tří výše uvedených kritérií, přičemž každému kritériu přiřadí hodnotu 1 (tj. vyhovuje) a 0 (tj. nevyhovuje). Aby mohly být návrhy zváženy pro financování, musí získat u každého ze tří hodnotících kritérií kladnou známku od většiny hodnotitelů.</w:t>
      </w:r>
      <w:r w:rsidRPr="008C1073" w:rsidR="3F042517">
        <w:rPr>
          <w:rFonts w:ascii="Arial" w:eastAsia="Calibri" w:hAnsi="Arial"/>
          <w:sz w:val="22"/>
        </w:rPr>
        <w:t xml:space="preserve"> Jakmile jsou návrhy projektů hodnoceny všemi hodnotiteli, jsou seřazeny na základě celkového počtu bodů a na základě tohoto pořadí jsou pak financovány. Pokud není k dispozici dostatečný rozpočet na financování všech projektů nad prahovou hodnotou, </w:t>
      </w:r>
      <w:r w:rsidRPr="008C1073" w:rsidR="3F042517">
        <w:rPr>
          <w:rFonts w:ascii="Arial" w:eastAsia="Calibri" w:hAnsi="Arial"/>
          <w:sz w:val="22"/>
        </w:rPr>
        <w:t>jsou návrhy seřazeny podle priorit na základě nejvyšší hodnoty kritérií kvality, poté dopadu a nakonec realizace.</w:t>
      </w:r>
      <w:r w:rsidRPr="008C1073" w:rsidR="5BFBFBD8">
        <w:rPr>
          <w:rFonts w:ascii="Arial" w:eastAsia="Calibri" w:hAnsi="Arial"/>
          <w:sz w:val="22"/>
        </w:rPr>
        <w:t xml:space="preserve"> </w:t>
      </w:r>
      <w:r w:rsidRPr="008C1073" w:rsidR="3E5E631D">
        <w:rPr>
          <w:rFonts w:ascii="Arial" w:eastAsia="Calibri" w:hAnsi="Arial"/>
          <w:sz w:val="22"/>
        </w:rPr>
        <w:t>(</w:t>
      </w:r>
      <w:hyperlink w:history="1">
        <w:hyperlink r:id="rId12" w:anchor="cit_2" w:history="1">
          <w:hyperlink r:id="rId12" w:history="1">
            <w:r w:rsidRPr="008C1073" w:rsidR="5BFBFBD8">
              <w:rPr>
                <w:rFonts w:ascii="Arial" w:hAnsi="Arial"/>
                <w:sz w:val="22"/>
              </w:rPr>
              <w:t xml:space="preserve">Munari &amp; Toschi, </w:t>
            </w:r>
            <w:r w:rsidRPr="008C1073" w:rsidR="0DED2C3D">
              <w:rPr>
                <w:rFonts w:ascii="Arial" w:hAnsi="Arial"/>
                <w:sz w:val="22"/>
              </w:rPr>
              <w:t>2021</w:t>
            </w:r>
          </w:hyperlink>
        </w:hyperlink>
      </w:hyperlink>
      <w:r>
        <w:rPr>
          <w:rStyle w:val="FootnoteReference"/>
          <w:rFonts w:ascii="Arial" w:hAnsi="Arial"/>
          <w:sz w:val="22"/>
        </w:rPr>
        <w:footnoteReference w:id="22"/>
      </w:r>
      <w:r w:rsidRPr="008C1073" w:rsidR="0064007C">
        <w:rPr>
          <w:rFonts w:ascii="Arial" w:hAnsi="Arial"/>
          <w:sz w:val="22"/>
        </w:rPr>
        <w:t>).</w:t>
      </w:r>
    </w:p>
    <w:p w:rsidR="00D5717D" w:rsidRPr="008C1073" w:rsidP="5BCCA309" w14:paraId="62CE7D98" w14:textId="77777777">
      <w:pPr>
        <w:spacing w:before="240" w:after="240"/>
        <w:rPr>
          <w:rFonts w:ascii="Arial" w:eastAsia="Calibri" w:hAnsi="Arial"/>
          <w:b/>
          <w:bCs/>
          <w:sz w:val="22"/>
        </w:rPr>
      </w:pPr>
      <w:r w:rsidRPr="008C1073">
        <w:rPr>
          <w:rFonts w:ascii="Arial" w:eastAsia="Calibri" w:hAnsi="Arial"/>
          <w:b/>
          <w:bCs/>
          <w:sz w:val="22"/>
        </w:rPr>
        <w:t>Zájem ze strany řešitelů</w:t>
      </w:r>
    </w:p>
    <w:p w:rsidR="15E1EA6F" w:rsidRPr="008C1073" w:rsidP="003664AA" w14:paraId="717A78DA" w14:textId="4924FE34">
      <w:pPr>
        <w:rPr>
          <w:rFonts w:ascii="Arial" w:hAnsi="Arial"/>
          <w:b/>
          <w:bCs/>
          <w:sz w:val="22"/>
        </w:rPr>
      </w:pPr>
      <w:r w:rsidRPr="008C1073">
        <w:rPr>
          <w:rFonts w:ascii="Arial" w:hAnsi="Arial"/>
          <w:sz w:val="22"/>
        </w:rPr>
        <w:t xml:space="preserve">Od svého spuštění v roce 2011 se program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těšil značnému zájmu příjemců ERC, přičemž v prvních pěti letech jeho existence v období 2011-2016 do programu bylo podáno celkem 1695 návrh</w:t>
      </w:r>
      <w:r w:rsidRPr="008C1073" w:rsidR="7BD26F61">
        <w:rPr>
          <w:rFonts w:ascii="Arial" w:hAnsi="Arial"/>
          <w:sz w:val="22"/>
        </w:rPr>
        <w:t>ů</w:t>
      </w:r>
      <w:r w:rsidRPr="008C1073">
        <w:rPr>
          <w:rFonts w:ascii="Arial" w:hAnsi="Arial"/>
          <w:sz w:val="22"/>
        </w:rPr>
        <w:t xml:space="preserve"> projektů </w:t>
      </w:r>
      <w:r w:rsidRPr="008C1073" w:rsidR="52A83451">
        <w:rPr>
          <w:rFonts w:ascii="Arial" w:hAnsi="Arial"/>
          <w:sz w:val="22"/>
        </w:rPr>
        <w:t xml:space="preserve">a </w:t>
      </w:r>
      <w:r w:rsidRPr="008C1073">
        <w:rPr>
          <w:rFonts w:ascii="Arial" w:hAnsi="Arial"/>
          <w:sz w:val="22"/>
        </w:rPr>
        <w:t>přihlásilo</w:t>
      </w:r>
      <w:r w:rsidRPr="008C1073" w:rsidR="14AD9874">
        <w:rPr>
          <w:rFonts w:ascii="Arial" w:hAnsi="Arial"/>
          <w:sz w:val="22"/>
        </w:rPr>
        <w:t xml:space="preserve"> se asi 12 % řešitelů ostatních grantových skupin ERC.</w:t>
      </w:r>
      <w:r w:rsidRPr="008C1073">
        <w:rPr>
          <w:rFonts w:ascii="Arial" w:hAnsi="Arial"/>
          <w:sz w:val="22"/>
        </w:rPr>
        <w:t xml:space="preserve"> </w:t>
      </w:r>
    </w:p>
    <w:p w:rsidR="31102743" w:rsidRPr="008C1073" w:rsidP="003664AA" w14:paraId="027AEE51" w14:textId="2E6D4878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Ve stejném období rostl i rozpočet programu, díky čemuž se počet udělených grantů v tomto období ztrojnásobil a do konce roku 2016 bylo financováno 618 projektů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, které pocházely od přibližně 5 % všech příjemců grantů ERC. </w:t>
      </w:r>
      <w:r w:rsidRPr="008C1073" w:rsidR="4DA9079D">
        <w:rPr>
          <w:rFonts w:ascii="Arial" w:hAnsi="Arial"/>
          <w:sz w:val="22"/>
        </w:rPr>
        <w:t xml:space="preserve">Průměrná míra úspěšnosti programu ERC </w:t>
      </w:r>
      <w:r w:rsidRPr="008C1073" w:rsidR="4DA9079D">
        <w:rPr>
          <w:rFonts w:ascii="Arial" w:hAnsi="Arial"/>
          <w:sz w:val="22"/>
        </w:rPr>
        <w:t>PoC</w:t>
      </w:r>
      <w:r w:rsidRPr="008C1073" w:rsidR="4DA9079D">
        <w:rPr>
          <w:rFonts w:ascii="Arial" w:hAnsi="Arial"/>
          <w:sz w:val="22"/>
        </w:rPr>
        <w:t xml:space="preserve"> (posuzovaná jako poměr celkového počtu grantů k celkovému počtu žádostí) činila v období 2011-2016 36 %</w:t>
      </w:r>
      <w:r w:rsidRPr="008C1073" w:rsidR="2BE4F50C">
        <w:rPr>
          <w:rFonts w:ascii="Arial" w:hAnsi="Arial"/>
          <w:sz w:val="22"/>
        </w:rPr>
        <w:t xml:space="preserve">. </w:t>
      </w:r>
    </w:p>
    <w:p w:rsidR="49A8A3AD" w:rsidRPr="008C1073" w:rsidP="5BCCA309" w14:paraId="695A16FB" w14:textId="3B5DAB32">
      <w:pPr>
        <w:spacing w:before="240" w:after="240"/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>Z oblasti věd o živé přírodě pocházelo 36,8 % návrhů projektů, z oblasti fyzi</w:t>
      </w:r>
      <w:r w:rsidRPr="008C1073" w:rsidR="1541AD2B">
        <w:rPr>
          <w:rFonts w:ascii="Arial" w:eastAsia="Calibri" w:hAnsi="Arial"/>
          <w:sz w:val="22"/>
        </w:rPr>
        <w:t>kálních, přírodních a technických věd pak 50,5 % a z oblasti společenských a humanitních věd 12,5 %</w:t>
      </w:r>
      <w:r w:rsidRPr="008C1073" w:rsidR="03C4E7FF">
        <w:rPr>
          <w:rFonts w:ascii="Arial" w:eastAsia="Calibri" w:hAnsi="Arial"/>
          <w:sz w:val="22"/>
        </w:rPr>
        <w:t xml:space="preserve"> </w:t>
      </w:r>
      <w:r w:rsidRPr="008C1073" w:rsidR="4D02D99A">
        <w:rPr>
          <w:rFonts w:ascii="Arial" w:eastAsia="Calibri" w:hAnsi="Arial"/>
          <w:sz w:val="22"/>
        </w:rPr>
        <w:t>(</w:t>
      </w:r>
      <w:hyperlink r:id="rId12" w:anchor="cit_2" w:history="1">
        <w:hyperlink r:id="rId12" w:anchor="bib0073" w:history="1">
          <w:r w:rsidRPr="008C1073" w:rsidR="33AB8910">
            <w:rPr>
              <w:rFonts w:ascii="Arial" w:hAnsi="Arial"/>
              <w:sz w:val="22"/>
            </w:rPr>
            <w:t>Munari &amp; Toschi, 2021</w:t>
          </w:r>
        </w:hyperlink>
      </w:hyperlink>
      <w:r>
        <w:rPr>
          <w:rStyle w:val="FootnoteReference"/>
          <w:rFonts w:ascii="Arial" w:hAnsi="Arial"/>
          <w:sz w:val="22"/>
        </w:rPr>
        <w:footnoteReference w:id="23"/>
      </w:r>
      <w:r w:rsidRPr="008C1073" w:rsidR="33AB8910">
        <w:rPr>
          <w:rFonts w:ascii="Arial" w:hAnsi="Arial"/>
          <w:sz w:val="22"/>
        </w:rPr>
        <w:t>)</w:t>
      </w:r>
      <w:r w:rsidRPr="008C1073" w:rsidR="2AAFA221">
        <w:rPr>
          <w:rFonts w:ascii="Arial" w:hAnsi="Arial"/>
          <w:sz w:val="22"/>
        </w:rPr>
        <w:t>.</w:t>
      </w:r>
    </w:p>
    <w:p w:rsidR="000D2B04" w:rsidRPr="008C1073" w:rsidP="000241FA" w14:paraId="00000036" w14:textId="1E7B2A1A">
      <w:pPr>
        <w:pStyle w:val="Heading2"/>
        <w:rPr>
          <w:rFonts w:ascii="Arial" w:hAnsi="Arial"/>
          <w:sz w:val="22"/>
          <w:szCs w:val="22"/>
        </w:rPr>
      </w:pPr>
      <w:bookmarkStart w:id="24" w:name="_jt1wcu9fn9f3" w:colFirst="0" w:colLast="0"/>
      <w:bookmarkEnd w:id="24"/>
      <w:bookmarkStart w:id="25" w:name="_Toc256000013"/>
      <w:r w:rsidRPr="008C1073">
        <w:rPr>
          <w:rFonts w:ascii="Arial" w:hAnsi="Arial"/>
          <w:sz w:val="22"/>
          <w:szCs w:val="22"/>
        </w:rPr>
        <w:t xml:space="preserve">Národní programy </w:t>
      </w:r>
      <w:r w:rsidRPr="008C1073">
        <w:rPr>
          <w:rFonts w:ascii="Arial" w:hAnsi="Arial"/>
          <w:sz w:val="22"/>
          <w:szCs w:val="22"/>
        </w:rPr>
        <w:t>PoC</w:t>
      </w:r>
      <w:r w:rsidRPr="008C1073">
        <w:rPr>
          <w:rFonts w:ascii="Arial" w:hAnsi="Arial"/>
          <w:sz w:val="22"/>
          <w:szCs w:val="22"/>
        </w:rPr>
        <w:t xml:space="preserve"> v Evropě</w:t>
      </w:r>
      <w:bookmarkEnd w:id="25"/>
    </w:p>
    <w:p w:rsidR="000D2B04" w:rsidRPr="008C1073" w14:paraId="00000037" w14:textId="678211C4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Mnoho evropských zemí implementovalo vlastní programy </w:t>
      </w:r>
      <w:r w:rsidRPr="008C1073" w:rsidR="00160810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>, často inspirované modelem ERC. Zde jsou příklady z několika zemí, ve kterých existují agentury financující specificky základní výzkum (podobně jako GA ČR):</w:t>
      </w:r>
    </w:p>
    <w:p w:rsidR="00382D7C" w:rsidRPr="008C1073" w:rsidP="00382D7C" w14:paraId="332F7876" w14:textId="59F501BD">
      <w:pPr>
        <w:numPr>
          <w:ilvl w:val="0"/>
          <w:numId w:val="15"/>
        </w:num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Polsko: </w:t>
      </w:r>
      <w:r w:rsidRPr="008C1073">
        <w:rPr>
          <w:rFonts w:ascii="Arial" w:hAnsi="Arial"/>
          <w:sz w:val="22"/>
        </w:rPr>
        <w:t>TANGO</w:t>
      </w:r>
      <w:r>
        <w:rPr>
          <w:rStyle w:val="FootnoteReference"/>
          <w:rFonts w:ascii="Arial" w:hAnsi="Arial"/>
          <w:sz w:val="22"/>
        </w:rPr>
        <w:footnoteReference w:id="24"/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agentury NCN</w:t>
      </w:r>
      <w:r w:rsidRPr="008C1073">
        <w:rPr>
          <w:rFonts w:ascii="Arial" w:eastAsia="Calibri" w:hAnsi="Arial"/>
          <w:sz w:val="22"/>
        </w:rPr>
        <w:t xml:space="preserve"> </w:t>
      </w:r>
    </w:p>
    <w:p w:rsidR="000D2B04" w:rsidRPr="008C1073" w:rsidP="00382D7C" w14:paraId="00000038" w14:textId="52417621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>: Transformace základního výzkumu do aplikovaných řešení, která mohou mít přímý ekonomický nebo společenský přínos.</w:t>
      </w:r>
    </w:p>
    <w:p w:rsidR="000D2B04" w:rsidRPr="008C1073" w14:paraId="00000039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>: Program je rozdělen do dvou fází: plánovací fáze, která zahrnuje analýzy trhu a hledání partnerů, a fáze výzkumu a vývoje, kde se provádí průmyslový výzkum a vývoj prototypů. Délka projektů byla od 3 do 12 měsíců.</w:t>
      </w:r>
    </w:p>
    <w:p w:rsidR="004B29E2" w:rsidRPr="008C1073" w14:paraId="44E816B7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>: Až 200 000 PLN (cca 46 500 EUR) s možností navýšení až o 40 % způsobilých nákladů pro fázi výzkumu a vývoje.</w:t>
      </w:r>
    </w:p>
    <w:p w:rsidR="004B29E2" w:rsidRPr="008C1073" w14:paraId="3DB962B7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>: Projekty jsou hodnoceny na základě vědecké hodnoty, konkurenceschopnosti a poptávky po výsledných řešeních.</w:t>
      </w:r>
      <w:r w:rsidRPr="008C1073">
        <w:rPr>
          <w:rFonts w:ascii="Arial" w:eastAsia="Calibri" w:hAnsi="Arial"/>
          <w:sz w:val="22"/>
        </w:rPr>
        <w:t xml:space="preserve"> </w:t>
      </w:r>
    </w:p>
    <w:p w:rsidR="000D2B04" w:rsidRPr="008C1073" w14:paraId="0000003B" w14:textId="5FB1CCA0">
      <w:pPr>
        <w:spacing w:before="240" w:after="240"/>
        <w:ind w:left="720"/>
        <w:rPr>
          <w:rFonts w:ascii="Arial" w:eastAsia="Calibri" w:hAnsi="Arial"/>
          <w:sz w:val="22"/>
        </w:rPr>
      </w:pPr>
    </w:p>
    <w:p w:rsidR="000D2B04" w:rsidRPr="008C1073" w14:paraId="0000003C" w14:textId="3EEE7B6F">
      <w:pPr>
        <w:numPr>
          <w:ilvl w:val="0"/>
          <w:numId w:val="15"/>
        </w:num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Švédsko</w:t>
      </w:r>
      <w:r w:rsidRPr="008C1073">
        <w:rPr>
          <w:rFonts w:ascii="Arial" w:hAnsi="Arial"/>
          <w:sz w:val="22"/>
        </w:rPr>
        <w:t xml:space="preserve">: </w:t>
      </w:r>
      <w:r w:rsidRPr="008C1073">
        <w:rPr>
          <w:rFonts w:ascii="Arial" w:hAnsi="Arial"/>
          <w:sz w:val="22"/>
        </w:rPr>
        <w:t>Proof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concept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within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the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infection</w:t>
      </w:r>
      <w:r w:rsidRPr="008C1073">
        <w:rPr>
          <w:rFonts w:ascii="Arial" w:hAnsi="Arial"/>
          <w:sz w:val="22"/>
        </w:rPr>
        <w:t xml:space="preserve"> area</w:t>
      </w:r>
      <w:r>
        <w:rPr>
          <w:rStyle w:val="FootnoteReference"/>
          <w:rFonts w:ascii="Arial" w:hAnsi="Arial"/>
          <w:sz w:val="22"/>
        </w:rPr>
        <w:footnoteReference w:id="25"/>
      </w:r>
      <w:r w:rsidRPr="008C1073">
        <w:rPr>
          <w:rFonts w:ascii="Arial" w:eastAsia="Calibri" w:hAnsi="Arial"/>
          <w:sz w:val="22"/>
        </w:rPr>
        <w:t xml:space="preserve"> agentury </w:t>
      </w:r>
      <w:r w:rsidRPr="008C1073">
        <w:rPr>
          <w:rFonts w:ascii="Arial" w:eastAsia="Calibri" w:hAnsi="Arial"/>
          <w:sz w:val="22"/>
        </w:rPr>
        <w:t>Swedish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Research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Council</w:t>
      </w:r>
    </w:p>
    <w:p w:rsidR="0000593D" w:rsidRPr="008C1073" w14:paraId="06488C21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>: Podpořit další vývoj výzkumných výsledků prostřednictvím vědecké nebo technické verifikace a připravit je na inovace nebo komercializaci.</w:t>
      </w:r>
    </w:p>
    <w:p w:rsidR="0000593D" w:rsidRPr="008C1073" w14:paraId="78A7F8E3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 xml:space="preserve">: Žadatelé musí být vedoucími projektů, které byly dříve financovány Švédskou výzkumnou radou, Forte nebo </w:t>
      </w:r>
      <w:r w:rsidRPr="008C1073">
        <w:rPr>
          <w:rFonts w:ascii="Arial" w:eastAsia="Calibri" w:hAnsi="Arial"/>
          <w:sz w:val="22"/>
        </w:rPr>
        <w:t>Formas</w:t>
      </w:r>
      <w:r w:rsidRPr="008C1073">
        <w:rPr>
          <w:rFonts w:ascii="Arial" w:eastAsia="Calibri" w:hAnsi="Arial"/>
          <w:sz w:val="22"/>
        </w:rPr>
        <w:t>. Projekty musí být relevantní pro oblast infekcí nebo jiné specifikované oblasti. Granty jsou poskytovány na období 1 až 2 let.</w:t>
      </w:r>
    </w:p>
    <w:p w:rsidR="0000593D" w:rsidRPr="008C1073" w14:paraId="5B390818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>: 500 000 - 2 000 000 SEK, což v eurech to odpovídá přibližně 45 000 EUR až 180 000 EUR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14:paraId="0000003D" w14:textId="52825062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>: Projekty jsou hodnoceny na základě inovačního potenciálu, týmových zkušeností a dovedností, proveditelnosti, a relevance.</w:t>
      </w:r>
    </w:p>
    <w:p w:rsidR="0000593D" w:rsidRPr="008C1073" w14:paraId="4EA0F3BB" w14:textId="77777777">
      <w:pPr>
        <w:spacing w:before="240" w:after="240"/>
        <w:ind w:left="720"/>
        <w:rPr>
          <w:rFonts w:ascii="Arial" w:eastAsia="Calibri" w:hAnsi="Arial"/>
          <w:sz w:val="22"/>
        </w:rPr>
      </w:pPr>
    </w:p>
    <w:p w:rsidR="0000593D" w:rsidRPr="008C1073" w14:paraId="6682D3FB" w14:textId="3DF49C59">
      <w:pPr>
        <w:numPr>
          <w:ilvl w:val="0"/>
          <w:numId w:val="15"/>
        </w:num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Švýcarsko</w:t>
      </w:r>
      <w:r w:rsidRPr="008C1073">
        <w:rPr>
          <w:rFonts w:ascii="Arial" w:hAnsi="Arial"/>
          <w:sz w:val="22"/>
        </w:rPr>
        <w:t>: Program BRIDGE</w:t>
      </w:r>
      <w:r>
        <w:rPr>
          <w:rStyle w:val="FootnoteReference"/>
          <w:rFonts w:ascii="Arial" w:hAnsi="Arial"/>
          <w:sz w:val="22"/>
        </w:rPr>
        <w:footnoteReference w:id="26"/>
      </w:r>
      <w:r w:rsidRPr="008C1073">
        <w:rPr>
          <w:rFonts w:ascii="Arial" w:hAnsi="Arial"/>
          <w:sz w:val="22"/>
        </w:rPr>
        <w:t xml:space="preserve"> od</w:t>
      </w:r>
      <w:r w:rsidRPr="008C1073">
        <w:rPr>
          <w:rFonts w:ascii="Arial" w:eastAsia="Calibri" w:hAnsi="Arial"/>
          <w:sz w:val="22"/>
        </w:rPr>
        <w:t xml:space="preserve"> Švýcarské národní vědecké nadace (SNSF) ve</w:t>
      </w:r>
      <w:r w:rsidRPr="008C1073" w:rsidR="007D0B55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spolupráci s</w:t>
      </w:r>
      <w:r w:rsidRPr="008C1073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Innosuisse</w:t>
      </w:r>
    </w:p>
    <w:p w:rsidR="0000593D" w:rsidRPr="008C1073" w:rsidP="0000593D" w14:paraId="6330A069" w14:textId="520A07FF">
      <w:pPr>
        <w:spacing w:before="240" w:after="240"/>
        <w:ind w:left="720"/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Pro mladé výzkumníky </w:t>
      </w:r>
      <w:r w:rsidRPr="008C1073" w:rsidR="00CD7A91">
        <w:rPr>
          <w:rFonts w:ascii="Arial" w:eastAsia="Calibri" w:hAnsi="Arial"/>
          <w:sz w:val="22"/>
        </w:rPr>
        <w:t xml:space="preserve">a </w:t>
      </w:r>
      <w:r w:rsidRPr="008C1073" w:rsidR="00CD7A91">
        <w:rPr>
          <w:rFonts w:ascii="Arial" w:hAnsi="Arial"/>
          <w:sz w:val="22"/>
        </w:rPr>
        <w:t xml:space="preserve">výzkumnice </w:t>
      </w:r>
      <w:r w:rsidRPr="008C1073">
        <w:rPr>
          <w:rFonts w:ascii="Arial" w:hAnsi="Arial"/>
          <w:sz w:val="22"/>
        </w:rPr>
        <w:t>Proof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Concept</w:t>
      </w:r>
      <w:r>
        <w:rPr>
          <w:rStyle w:val="FootnoteReference"/>
          <w:rFonts w:ascii="Arial" w:hAnsi="Arial"/>
          <w:sz w:val="22"/>
        </w:rPr>
        <w:footnoteReference w:id="27"/>
      </w:r>
      <w:r w:rsidRPr="008C1073">
        <w:rPr>
          <w:rFonts w:ascii="Arial" w:eastAsia="Calibri" w:hAnsi="Arial"/>
          <w:sz w:val="22"/>
        </w:rPr>
        <w:t xml:space="preserve"> a pro zkušené výzkumníky </w:t>
      </w:r>
      <w:r w:rsidRPr="008C1073" w:rsidR="00CD7A91">
        <w:rPr>
          <w:rFonts w:ascii="Arial" w:eastAsia="Calibri" w:hAnsi="Arial"/>
          <w:sz w:val="22"/>
        </w:rPr>
        <w:t xml:space="preserve">a </w:t>
      </w:r>
      <w:r w:rsidRPr="008C1073" w:rsidR="00CD7A91">
        <w:rPr>
          <w:rFonts w:ascii="Arial" w:hAnsi="Arial"/>
          <w:sz w:val="22"/>
        </w:rPr>
        <w:t xml:space="preserve">výzkumnice </w:t>
      </w:r>
      <w:r w:rsidRPr="008C1073">
        <w:rPr>
          <w:rFonts w:ascii="Arial" w:hAnsi="Arial"/>
          <w:sz w:val="22"/>
        </w:rPr>
        <w:t>Discovery</w:t>
      </w:r>
      <w:r>
        <w:rPr>
          <w:rStyle w:val="FootnoteReference"/>
          <w:rFonts w:ascii="Arial" w:hAnsi="Arial"/>
          <w:sz w:val="22"/>
        </w:rPr>
        <w:footnoteReference w:id="28"/>
      </w:r>
      <w:r w:rsidRPr="008C1073" w:rsidR="00B02482">
        <w:rPr>
          <w:rFonts w:ascii="Arial" w:hAnsi="Arial"/>
          <w:sz w:val="22"/>
        </w:rPr>
        <w:t>.</w:t>
      </w:r>
    </w:p>
    <w:p w:rsidR="007D0B55" w:rsidRPr="008C1073" w:rsidP="0000593D" w14:paraId="346DE304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 xml:space="preserve">: Podpora mladých výzkumníků </w:t>
      </w:r>
      <w:r w:rsidRPr="008C1073" w:rsidR="00CD7A91">
        <w:rPr>
          <w:rFonts w:ascii="Arial" w:eastAsia="Calibri" w:hAnsi="Arial"/>
          <w:sz w:val="22"/>
        </w:rPr>
        <w:t xml:space="preserve">a výzkumnic </w:t>
      </w:r>
      <w:r w:rsidRPr="008C1073">
        <w:rPr>
          <w:rFonts w:ascii="Arial" w:eastAsia="Calibri" w:hAnsi="Arial"/>
          <w:sz w:val="22"/>
        </w:rPr>
        <w:t>při vývoji aplikací nebo služeb na základě jejich výzkumných výsledků. Cílem je transformovat tyto výsledky do produktů nebo služeb, které mohou být uvedeny na trh.</w:t>
      </w:r>
    </w:p>
    <w:p w:rsidR="007D0B55" w:rsidRPr="008C1073" w:rsidP="0000593D" w14:paraId="5F409AA4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>: Výzkumníci</w:t>
      </w:r>
      <w:r w:rsidRPr="008C1073" w:rsidR="00CD7A91">
        <w:rPr>
          <w:rFonts w:ascii="Arial" w:eastAsia="Calibri" w:hAnsi="Arial"/>
          <w:sz w:val="22"/>
        </w:rPr>
        <w:t xml:space="preserve"> a výzkumnice</w:t>
      </w:r>
      <w:r w:rsidRPr="008C1073">
        <w:rPr>
          <w:rFonts w:ascii="Arial" w:eastAsia="Calibri" w:hAnsi="Arial"/>
          <w:sz w:val="22"/>
        </w:rPr>
        <w:t>, kteří dokončili bakalářské nebo magisterské studium během posledních čtyř let, jsou v posledních šesti měsících doktorského studia nebo dokončili doktorát před méně než čtyřmi lety. Granty jsou poskytovány na období 12 měsíců.</w:t>
      </w:r>
    </w:p>
    <w:p w:rsidR="007D0B55" w:rsidRPr="008C1073" w:rsidP="0000593D" w14:paraId="422E86B8" w14:textId="77777777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>: až 130 000 CHF (přibližně 120 000 EUR)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:rsidP="0000593D" w14:paraId="0000003E" w14:textId="2B0D19EE">
      <w:pPr>
        <w:spacing w:before="240"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 xml:space="preserve">: Návrhy jsou hodnoceny na základě vědecké kvality, inovačního potenciálu a proveditelnosti. Hodnotící panely jsou složeny z odborníků z oblasti vědy, </w:t>
      </w:r>
      <w:r w:rsidRPr="008C1073">
        <w:rPr>
          <w:rFonts w:ascii="Arial" w:eastAsia="Calibri" w:hAnsi="Arial"/>
          <w:sz w:val="22"/>
        </w:rPr>
        <w:t>podnikání a průmyslu, což zajišťuje komplexní posouzení jak akademických, tak komerčních aspektů projektů.</w:t>
      </w:r>
    </w:p>
    <w:p w:rsidR="000D2B04" w:rsidRPr="008C1073" w14:paraId="0000003F" w14:textId="77777777">
      <w:pPr>
        <w:spacing w:before="240" w:after="240"/>
        <w:rPr>
          <w:rFonts w:ascii="Arial" w:eastAsia="Calibri" w:hAnsi="Arial"/>
          <w:sz w:val="22"/>
        </w:rPr>
      </w:pPr>
    </w:p>
    <w:p w:rsidR="000D2B04" w:rsidRPr="008C1073" w14:paraId="00000040" w14:textId="3D29512C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Další příklady programů </w:t>
      </w:r>
      <w:r w:rsidRPr="008C1073" w:rsidR="00160810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v zemích, kde je podpora základního a aplikovaného výzkumu kombinovaná:</w:t>
      </w:r>
    </w:p>
    <w:p w:rsidR="007D0B55" w:rsidRPr="008C1073" w14:paraId="65B0C3E6" w14:textId="3BBAB2CD">
      <w:pPr>
        <w:numPr>
          <w:ilvl w:val="0"/>
          <w:numId w:val="13"/>
        </w:numPr>
        <w:spacing w:before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Finsko: </w:t>
      </w:r>
      <w:r w:rsidRPr="008C1073">
        <w:rPr>
          <w:rFonts w:ascii="Arial" w:hAnsi="Arial"/>
          <w:sz w:val="22"/>
        </w:rPr>
        <w:t>Proof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Concept</w:t>
      </w:r>
      <w:r>
        <w:rPr>
          <w:rStyle w:val="FootnoteReference"/>
          <w:rFonts w:ascii="Arial" w:hAnsi="Arial"/>
          <w:sz w:val="22"/>
        </w:rPr>
        <w:footnoteReference w:id="29"/>
      </w:r>
    </w:p>
    <w:p w:rsidR="007D0B55" w:rsidRPr="008C1073" w:rsidP="007D0B55" w14:paraId="4A596D1A" w14:textId="77777777">
      <w:pPr>
        <w:spacing w:before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 xml:space="preserve">: Program </w:t>
      </w:r>
      <w:r w:rsidRPr="008C1073" w:rsidR="00160810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financovaný Finskou akademií věd byl pilotován v roce 2023 s cílem podporovat efektivní a všestranné využití výsledků výzkumu a výzkumem podložených znalostí pro ekonomický a společenský dopad.</w:t>
      </w:r>
    </w:p>
    <w:p w:rsidR="007D0B55" w:rsidRPr="008C1073" w:rsidP="007D0B55" w14:paraId="463AB4BF" w14:textId="38C4958A">
      <w:pPr>
        <w:spacing w:before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>: Výzkumné výsledky musí pocházet z projektů dříve financovaných Finskou akademií věd. Granty jsou poskytovány na období 2 let.</w:t>
      </w:r>
    </w:p>
    <w:p w:rsidR="007D0B55" w:rsidRPr="008C1073" w:rsidP="007D0B55" w14:paraId="7D38ED4E" w14:textId="77777777">
      <w:pPr>
        <w:spacing w:before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>: Maximální výše grantu pro jednotlivé projekty je 300 000 EUR a pro konsorcia 450 000 EUR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:rsidP="007D0B55" w14:paraId="00000041" w14:textId="69FC4587">
      <w:pPr>
        <w:spacing w:before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>: Návrhy jsou hodnoceny na základě vědecké kvality, potenciálu pro komercializaci, kompetencí výzkumného týmu a kvality návrhu projektu.</w:t>
      </w:r>
      <w:r w:rsidRPr="008C1073">
        <w:rPr>
          <w:rFonts w:ascii="Arial" w:eastAsia="Calibri" w:hAnsi="Arial"/>
          <w:sz w:val="22"/>
        </w:rPr>
        <w:br/>
      </w:r>
    </w:p>
    <w:p w:rsidR="007D0B55" w:rsidRPr="008C1073" w14:paraId="0D4BB4BB" w14:textId="6EB47D08">
      <w:pPr>
        <w:numPr>
          <w:ilvl w:val="0"/>
          <w:numId w:val="13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Německo:</w:t>
      </w:r>
      <w:r w:rsidRPr="008C1073">
        <w:rPr>
          <w:rFonts w:ascii="Arial" w:hAnsi="Arial"/>
          <w:sz w:val="22"/>
        </w:rPr>
        <w:t xml:space="preserve"> EXIST-Transfer </w:t>
      </w:r>
      <w:r w:rsidRPr="008C1073">
        <w:rPr>
          <w:rFonts w:ascii="Arial" w:hAnsi="Arial"/>
          <w:sz w:val="22"/>
        </w:rPr>
        <w:t>of</w:t>
      </w:r>
      <w:r w:rsidRPr="008C1073">
        <w:rPr>
          <w:rFonts w:ascii="Arial" w:hAnsi="Arial"/>
          <w:sz w:val="22"/>
        </w:rPr>
        <w:t xml:space="preserve"> </w:t>
      </w:r>
      <w:r w:rsidRPr="008C1073">
        <w:rPr>
          <w:rFonts w:ascii="Arial" w:hAnsi="Arial"/>
          <w:sz w:val="22"/>
        </w:rPr>
        <w:t>Research</w:t>
      </w:r>
      <w:r>
        <w:rPr>
          <w:rStyle w:val="FootnoteReference"/>
          <w:rFonts w:ascii="Arial" w:hAnsi="Arial"/>
          <w:sz w:val="22"/>
        </w:rPr>
        <w:footnoteReference w:id="30"/>
      </w:r>
    </w:p>
    <w:p w:rsidR="007D0B55" w:rsidRPr="008C1073" w:rsidP="007D0B55" w14:paraId="1CA25905" w14:textId="77777777">
      <w:pPr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 xml:space="preserve">: Program EXIST-Transfer </w:t>
      </w:r>
      <w:r w:rsidRPr="008C1073">
        <w:rPr>
          <w:rFonts w:ascii="Arial" w:eastAsia="Calibri" w:hAnsi="Arial"/>
          <w:sz w:val="22"/>
        </w:rPr>
        <w:t>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Research</w:t>
      </w:r>
      <w:r w:rsidRPr="008C1073">
        <w:rPr>
          <w:rFonts w:ascii="Arial" w:eastAsia="Calibri" w:hAnsi="Arial"/>
          <w:sz w:val="22"/>
        </w:rPr>
        <w:t>, financovaný německým spolkovým ministerstvem hospodářství a energetiky (</w:t>
      </w:r>
      <w:r w:rsidRPr="008C1073">
        <w:rPr>
          <w:rFonts w:ascii="Arial" w:eastAsia="Calibri" w:hAnsi="Arial"/>
          <w:sz w:val="22"/>
        </w:rPr>
        <w:t>BMWi</w:t>
      </w:r>
      <w:r w:rsidRPr="008C1073">
        <w:rPr>
          <w:rFonts w:ascii="Arial" w:eastAsia="Calibri" w:hAnsi="Arial"/>
          <w:sz w:val="22"/>
        </w:rPr>
        <w:t>), je navržen k podpoře výzkumných týmů v procesu přeměny jejich vědeckých výsledků do komerčně životaschopných produktů a služeb. Tento program pomáhá překlenout mezeru mezi základním výzkumem a tržním uplatněním inovací.</w:t>
      </w:r>
    </w:p>
    <w:p w:rsidR="00FE1322" w:rsidRPr="008C1073" w:rsidP="00FE1322" w14:paraId="2920FE73" w14:textId="77777777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>: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 xml:space="preserve">Program má dvě fáze: </w:t>
      </w:r>
    </w:p>
    <w:p w:rsidR="007D0B55" w:rsidRPr="008C1073" w:rsidP="00FE1322" w14:paraId="49413287" w14:textId="7511AC1A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Fáze 1: Podpora technického ověření výzkumného nápadu, vývoj prototypů a příprava podnikatelského plánu. </w:t>
      </w:r>
    </w:p>
    <w:p w:rsidR="007D0B55" w:rsidRPr="008C1073" w:rsidP="007D0B55" w14:paraId="5D6A35A5" w14:textId="77777777">
      <w:pPr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Fáze 2: Podpora pro zahájení podnikání, včetně dalšího rozvoje prototypů, přípravy výroby a uvedení produktu na trh. </w:t>
      </w:r>
    </w:p>
    <w:p w:rsidR="00FE1322" w:rsidRPr="008C1073" w:rsidP="00FE1322" w14:paraId="4D391291" w14:textId="77777777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 xml:space="preserve">: </w:t>
      </w:r>
      <w:r w:rsidRPr="008C1073">
        <w:rPr>
          <w:rFonts w:ascii="Arial" w:eastAsia="Calibri" w:hAnsi="Arial"/>
          <w:sz w:val="22"/>
        </w:rPr>
        <w:br/>
        <w:t xml:space="preserve">Fáze 1: Financování až do výše 250 000 EUR po dobu až 18 měsíců. </w:t>
      </w:r>
    </w:p>
    <w:p w:rsidR="000D2B04" w:rsidRPr="008C1073" w:rsidP="00FE1322" w14:paraId="00000042" w14:textId="0F451355">
      <w:pPr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Fáze 2: Dodatečné financování až do výše 180 000 EUR na další rozvoj a komercializaci.</w:t>
      </w:r>
      <w:r w:rsidRPr="008C1073">
        <w:rPr>
          <w:rFonts w:ascii="Arial" w:eastAsia="Calibri" w:hAnsi="Arial"/>
          <w:sz w:val="22"/>
        </w:rPr>
        <w:br/>
      </w:r>
      <w:r w:rsidRPr="008C1073">
        <w:rPr>
          <w:rFonts w:ascii="Arial" w:eastAsia="Calibri" w:hAnsi="Arial"/>
          <w:sz w:val="22"/>
        </w:rPr>
        <w:br/>
      </w: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 xml:space="preserve">: Návrhy jsou hodnoceny na základě jejich inovativního potenciálu, proveditelnosti projektu, připravenosti týmu a tržního potenciálu. Hodnotící panely zahrnují odborníky z vědy, průmyslu a investičního sektoru. </w:t>
      </w:r>
    </w:p>
    <w:p w:rsidR="00FE1322" w:rsidRPr="008C1073" w14:paraId="7EC30703" w14:textId="7D3B9B5C">
      <w:pPr>
        <w:numPr>
          <w:ilvl w:val="0"/>
          <w:numId w:val="13"/>
        </w:numPr>
        <w:spacing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Nizozemsko</w:t>
      </w:r>
      <w:r w:rsidRPr="008C1073">
        <w:rPr>
          <w:rFonts w:ascii="Arial" w:hAnsi="Arial"/>
          <w:sz w:val="22"/>
        </w:rPr>
        <w:t xml:space="preserve">: </w:t>
      </w:r>
      <w:r w:rsidRPr="008C1073">
        <w:rPr>
          <w:rFonts w:ascii="Arial" w:hAnsi="Arial"/>
          <w:sz w:val="22"/>
        </w:rPr>
        <w:t>Take-off</w:t>
      </w:r>
      <w:r>
        <w:rPr>
          <w:rStyle w:val="FootnoteReference"/>
          <w:rFonts w:ascii="Arial" w:hAnsi="Arial"/>
          <w:sz w:val="22"/>
        </w:rPr>
        <w:footnoteReference w:id="31"/>
      </w:r>
      <w:r w:rsidRPr="008C1073">
        <w:rPr>
          <w:rFonts w:ascii="Arial" w:eastAsia="Calibri" w:hAnsi="Arial"/>
          <w:sz w:val="22"/>
        </w:rPr>
        <w:t xml:space="preserve"> program agentury NWO</w:t>
      </w:r>
    </w:p>
    <w:p w:rsidR="00FE1322" w:rsidRPr="008C1073" w:rsidP="00FE1322" w14:paraId="50199C02" w14:textId="77777777">
      <w:pPr>
        <w:spacing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Cíl</w:t>
      </w:r>
      <w:r w:rsidRPr="008C1073">
        <w:rPr>
          <w:rFonts w:ascii="Arial" w:eastAsia="Calibri" w:hAnsi="Arial"/>
          <w:sz w:val="22"/>
        </w:rPr>
        <w:t xml:space="preserve">: Program </w:t>
      </w:r>
      <w:r w:rsidRPr="008C1073">
        <w:rPr>
          <w:rFonts w:ascii="Arial" w:eastAsia="Calibri" w:hAnsi="Arial"/>
          <w:sz w:val="22"/>
        </w:rPr>
        <w:t>Take-off</w:t>
      </w:r>
      <w:r w:rsidRPr="008C1073">
        <w:rPr>
          <w:rFonts w:ascii="Arial" w:eastAsia="Calibri" w:hAnsi="Arial"/>
          <w:sz w:val="22"/>
        </w:rPr>
        <w:t xml:space="preserve"> podporovaný NWO je navržen k podpoře podnikatelských aktivit a inovací vycházejících z vědeckého výzkumu prováděného na nizozemských univerzitách, výzkumných institutech uznaných NWO, univerzitách aplikovaných věd a TO2 znalostních institutech. Cílem je vytvořit inovativní komerční aktivity založené na znalostech z těchto institucí.</w:t>
      </w:r>
    </w:p>
    <w:p w:rsidR="00FE1322" w:rsidRPr="008C1073" w:rsidP="00F2266F" w14:paraId="58678B22" w14:textId="6AD7E53A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Struktura</w:t>
      </w:r>
      <w:r w:rsidRPr="008C1073">
        <w:rPr>
          <w:rFonts w:ascii="Arial" w:eastAsia="Calibri" w:hAnsi="Arial"/>
          <w:sz w:val="22"/>
        </w:rPr>
        <w:t xml:space="preserve">: Program má dvě fáze: </w:t>
      </w:r>
    </w:p>
    <w:p w:rsidR="00FE1322" w:rsidRPr="008C1073" w:rsidP="00FE1322" w14:paraId="3A85637C" w14:textId="77777777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Fáze 1 (</w:t>
      </w:r>
      <w:r w:rsidRPr="008C1073">
        <w:rPr>
          <w:rFonts w:ascii="Arial" w:eastAsia="Calibri" w:hAnsi="Arial"/>
          <w:sz w:val="22"/>
        </w:rPr>
        <w:t>Feasibility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Studies</w:t>
      </w:r>
      <w:r w:rsidRPr="008C1073">
        <w:rPr>
          <w:rFonts w:ascii="Arial" w:eastAsia="Calibri" w:hAnsi="Arial"/>
          <w:sz w:val="22"/>
        </w:rPr>
        <w:t xml:space="preserve">): Podpora studií proveditelnosti, která pomáhá identifikovat tržní potenciál a komerční možnosti inovací. </w:t>
      </w:r>
    </w:p>
    <w:p w:rsidR="00FE1322" w:rsidRPr="008C1073" w:rsidP="00FE1322" w14:paraId="61A1FA8F" w14:textId="77777777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Fáze 2 (Early-</w:t>
      </w:r>
      <w:r w:rsidRPr="008C1073">
        <w:rPr>
          <w:rFonts w:ascii="Arial" w:eastAsia="Calibri" w:hAnsi="Arial"/>
          <w:sz w:val="22"/>
        </w:rPr>
        <w:t>Stage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Routes</w:t>
      </w:r>
      <w:r w:rsidRPr="008C1073">
        <w:rPr>
          <w:rFonts w:ascii="Arial" w:eastAsia="Calibri" w:hAnsi="Arial"/>
          <w:sz w:val="22"/>
        </w:rPr>
        <w:t xml:space="preserve">): Podpora zakladatelů start-upů při realizaci jejich raných obchodních plánů. </w:t>
      </w:r>
    </w:p>
    <w:p w:rsidR="00FE1322" w:rsidRPr="008C1073" w:rsidP="00F2266F" w14:paraId="6AA3711C" w14:textId="77777777">
      <w:pPr>
        <w:spacing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Projekty mohou trvat až 2 roky.</w:t>
      </w:r>
    </w:p>
    <w:p w:rsidR="00F2266F" w:rsidRPr="008C1073" w:rsidP="00F2266F" w14:paraId="736058F7" w14:textId="77777777">
      <w:pPr>
        <w:spacing w:after="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Financování</w:t>
      </w:r>
      <w:r w:rsidRPr="008C1073">
        <w:rPr>
          <w:rFonts w:ascii="Arial" w:eastAsia="Calibri" w:hAnsi="Arial"/>
          <w:sz w:val="22"/>
        </w:rPr>
        <w:t xml:space="preserve">: </w:t>
      </w:r>
      <w:r w:rsidRPr="008C1073">
        <w:rPr>
          <w:rFonts w:ascii="Arial" w:eastAsia="Calibri" w:hAnsi="Arial"/>
          <w:sz w:val="22"/>
        </w:rPr>
        <w:br/>
        <w:t xml:space="preserve">Fáze 1: Maximální výše grantu je 20 000 až 40 000 EUR. </w:t>
      </w:r>
    </w:p>
    <w:p w:rsidR="00F2266F" w:rsidRPr="008C1073" w:rsidP="00F2266F" w14:paraId="3B3D86FE" w14:textId="77777777">
      <w:pPr>
        <w:spacing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Fáze 2: Maximální výše půjčky je 250 000 EUR, zahrnuje úrokovou sazbu a musí být splacena do 10 let.</w:t>
      </w:r>
    </w:p>
    <w:p w:rsidR="000D2B04" w:rsidRPr="008C1073" w:rsidP="00F2266F" w14:paraId="00000043" w14:textId="5CE9815C">
      <w:pPr>
        <w:spacing w:after="240"/>
        <w:ind w:left="72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b/>
          <w:sz w:val="22"/>
        </w:rPr>
        <w:t>Hodnocení</w:t>
      </w:r>
      <w:r w:rsidRPr="008C1073">
        <w:rPr>
          <w:rFonts w:ascii="Arial" w:eastAsia="Calibri" w:hAnsi="Arial"/>
          <w:sz w:val="22"/>
        </w:rPr>
        <w:t>: Návrhy jsou hodnoceny na základě vědecké kvality, potenciálu pro komercializaci, kompetencí výzkumného týmu a kvality návrhu projektu.</w:t>
      </w:r>
      <w:r w:rsidRPr="008C1073">
        <w:rPr>
          <w:rFonts w:ascii="Arial" w:eastAsia="Calibri" w:hAnsi="Arial"/>
          <w:sz w:val="22"/>
        </w:rPr>
        <w:br/>
      </w:r>
    </w:p>
    <w:p w:rsidR="000D2B04" w:rsidRPr="008C1073" w:rsidP="000241FA" w14:paraId="00000044" w14:textId="6005B638">
      <w:pPr>
        <w:pStyle w:val="Heading2"/>
        <w:rPr>
          <w:rFonts w:ascii="Arial" w:hAnsi="Arial"/>
          <w:sz w:val="22"/>
          <w:szCs w:val="22"/>
        </w:rPr>
      </w:pPr>
      <w:bookmarkStart w:id="26" w:name="_s5abn0tyf1hf" w:colFirst="0" w:colLast="0"/>
      <w:bookmarkEnd w:id="26"/>
      <w:bookmarkStart w:id="27" w:name="_Toc256000014"/>
      <w:r w:rsidRPr="008C1073">
        <w:rPr>
          <w:rFonts w:ascii="Arial" w:hAnsi="Arial"/>
          <w:sz w:val="22"/>
          <w:szCs w:val="22"/>
        </w:rPr>
        <w:t xml:space="preserve">Předběžné výsledky a dopady </w:t>
      </w:r>
      <w:r w:rsidRPr="008C1073">
        <w:rPr>
          <w:rFonts w:ascii="Arial" w:hAnsi="Arial"/>
          <w:sz w:val="22"/>
          <w:szCs w:val="22"/>
        </w:rPr>
        <w:t>PoC</w:t>
      </w:r>
      <w:r w:rsidRPr="008C1073">
        <w:rPr>
          <w:rFonts w:ascii="Arial" w:hAnsi="Arial"/>
          <w:sz w:val="22"/>
          <w:szCs w:val="22"/>
        </w:rPr>
        <w:t xml:space="preserve"> programů</w:t>
      </w:r>
      <w:bookmarkEnd w:id="27"/>
    </w:p>
    <w:p w:rsidR="00376234" w:rsidRPr="008C1073" w:rsidP="00CA33B2" w14:paraId="4DD82F43" w14:textId="0F530346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Dosavadní výsledky ukazují, že program ERC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má významný dopad.</w:t>
      </w:r>
      <w:r w:rsidRPr="008C1073" w:rsidR="003F4DAB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 xml:space="preserve">Mezi měřítka úspěchu ve valorizaci </w:t>
      </w:r>
      <w:r w:rsidRPr="008C1073">
        <w:rPr>
          <w:rFonts w:ascii="Arial" w:eastAsia="Calibri" w:hAnsi="Arial"/>
          <w:sz w:val="22"/>
        </w:rPr>
        <w:t>patří</w:t>
      </w:r>
      <w:r w:rsidRPr="008C1073">
        <w:rPr>
          <w:rFonts w:ascii="Arial" w:eastAsia="Calibri" w:hAnsi="Arial"/>
          <w:sz w:val="22"/>
        </w:rPr>
        <w:t xml:space="preserve"> vytváření žádostí o patentovou ochranu, licenční</w:t>
      </w:r>
      <w:r w:rsidRPr="008C1073" w:rsidR="00EC19B7">
        <w:rPr>
          <w:rFonts w:ascii="Arial" w:eastAsia="Calibri" w:hAnsi="Arial"/>
          <w:sz w:val="22"/>
        </w:rPr>
        <w:t>ch</w:t>
      </w:r>
      <w:r w:rsidRPr="008C1073">
        <w:rPr>
          <w:rFonts w:ascii="Arial" w:eastAsia="Calibri" w:hAnsi="Arial"/>
          <w:sz w:val="22"/>
        </w:rPr>
        <w:t xml:space="preserve"> smluv, </w:t>
      </w:r>
      <w:r w:rsidRPr="008C1073" w:rsidR="00B6550F">
        <w:rPr>
          <w:rFonts w:ascii="Arial" w:eastAsia="Calibri" w:hAnsi="Arial"/>
          <w:sz w:val="22"/>
        </w:rPr>
        <w:t xml:space="preserve">spoluprací </w:t>
      </w:r>
      <w:r w:rsidRPr="008C1073">
        <w:rPr>
          <w:rFonts w:ascii="Arial" w:eastAsia="Calibri" w:hAnsi="Arial"/>
          <w:sz w:val="22"/>
        </w:rPr>
        <w:t>a smluv v oblasti výzkumu a vývoje, smlouvy o konzultaci a co je důležité, zakládání nových společností a veřejné zapojení.</w:t>
      </w:r>
    </w:p>
    <w:p w:rsidR="00376234" w:rsidRPr="008C1073" w:rsidP="00CA33B2" w14:paraId="38F85937" w14:textId="547E7B6A">
      <w:pPr>
        <w:spacing w:before="240"/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>Podle</w:t>
      </w:r>
      <w:r w:rsidRPr="008C1073">
        <w:rPr>
          <w:rFonts w:ascii="Arial" w:hAnsi="Arial"/>
          <w:sz w:val="22"/>
        </w:rPr>
        <w:t xml:space="preserve"> hodnocení z roku 2017</w:t>
      </w:r>
      <w:r>
        <w:rPr>
          <w:rStyle w:val="FootnoteReference"/>
          <w:rFonts w:ascii="Arial" w:hAnsi="Arial"/>
          <w:sz w:val="22"/>
        </w:rPr>
        <w:footnoteReference w:id="32"/>
      </w:r>
      <w:r w:rsidRPr="008C1073">
        <w:rPr>
          <w:rFonts w:ascii="Arial" w:hAnsi="Arial"/>
          <w:sz w:val="22"/>
        </w:rPr>
        <w:t>:</w:t>
      </w:r>
    </w:p>
    <w:p w:rsidR="000D2B04" w:rsidRPr="008C1073" w14:paraId="00000047" w14:textId="79CFDA1E">
      <w:pPr>
        <w:numPr>
          <w:ilvl w:val="0"/>
          <w:numId w:val="11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42 % držitelů grantů uvádí minimálně jednu patentovou přihlášku</w:t>
      </w:r>
      <w:r w:rsidRPr="008C1073" w:rsidR="005A5FB0">
        <w:rPr>
          <w:rFonts w:ascii="Arial" w:eastAsia="Calibri" w:hAnsi="Arial"/>
          <w:sz w:val="22"/>
        </w:rPr>
        <w:t>;</w:t>
      </w:r>
    </w:p>
    <w:p w:rsidR="000D2B04" w:rsidRPr="008C1073" w14:paraId="00000048" w14:textId="43C0EE5A">
      <w:pPr>
        <w:numPr>
          <w:ilvl w:val="0"/>
          <w:numId w:val="11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18 % dosáhlo licenčních smluv, často se zapojením startupů</w:t>
      </w:r>
      <w:r w:rsidRPr="008C1073" w:rsidR="005A5FB0">
        <w:rPr>
          <w:rFonts w:ascii="Arial" w:eastAsia="Calibri" w:hAnsi="Arial"/>
          <w:sz w:val="22"/>
        </w:rPr>
        <w:t>;</w:t>
      </w:r>
    </w:p>
    <w:p w:rsidR="000D2B04" w:rsidRPr="008C1073" w14:paraId="00000049" w14:textId="11BE48E6">
      <w:pPr>
        <w:numPr>
          <w:ilvl w:val="0"/>
          <w:numId w:val="11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45 </w:t>
      </w:r>
      <w:r w:rsidRPr="008C1073" w:rsidR="00376234">
        <w:rPr>
          <w:rFonts w:ascii="Arial" w:eastAsia="Calibri" w:hAnsi="Arial"/>
          <w:sz w:val="22"/>
        </w:rPr>
        <w:t xml:space="preserve">% </w:t>
      </w:r>
      <w:r w:rsidRPr="008C1073">
        <w:rPr>
          <w:rFonts w:ascii="Arial" w:eastAsia="Calibri" w:hAnsi="Arial"/>
          <w:sz w:val="22"/>
        </w:rPr>
        <w:t xml:space="preserve">příjemců grantu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uvedlo, že jejich projekt vedl k vytvoření nové společnosti</w:t>
      </w:r>
      <w:r w:rsidRPr="008C1073" w:rsidR="005A5FB0">
        <w:rPr>
          <w:rFonts w:ascii="Arial" w:eastAsia="Calibri" w:hAnsi="Arial"/>
          <w:sz w:val="22"/>
        </w:rPr>
        <w:t>;</w:t>
      </w:r>
    </w:p>
    <w:p w:rsidR="00376234" w:rsidRPr="008C1073" w14:paraId="3139E68D" w14:textId="2065A5F2">
      <w:pPr>
        <w:numPr>
          <w:ilvl w:val="0"/>
          <w:numId w:val="11"/>
        </w:numPr>
        <w:spacing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přibližně 50 % příjemců uvádí, že bez grantu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by tým pravděpodobně projekt valorizace nerealizoval</w:t>
      </w:r>
      <w:r w:rsidRPr="008C1073" w:rsidR="005A5FB0">
        <w:rPr>
          <w:rFonts w:ascii="Arial" w:eastAsia="Calibri" w:hAnsi="Arial"/>
          <w:sz w:val="22"/>
        </w:rPr>
        <w:t>;</w:t>
      </w:r>
    </w:p>
    <w:p w:rsidR="000D2B04" w:rsidRPr="008C1073" w14:paraId="0000004A" w14:textId="79B1B356">
      <w:pPr>
        <w:numPr>
          <w:ilvl w:val="0"/>
          <w:numId w:val="11"/>
        </w:numPr>
        <w:spacing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téměř dvě třetiny respondentů tvrdí, že bez grantu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by byl projekt valorizace podstatně užší a jeho dokončení by trvalo podstatně déle.</w:t>
      </w:r>
    </w:p>
    <w:p w:rsidR="000D2B04" w:rsidRPr="008C1073" w14:paraId="0000004B" w14:textId="1E6DB89A">
      <w:p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V listopadu 2020 </w:t>
      </w:r>
      <w:r w:rsidRPr="008C1073" w:rsidR="5E8FE6A9">
        <w:rPr>
          <w:rFonts w:ascii="Arial" w:eastAsia="Calibri" w:hAnsi="Arial"/>
          <w:sz w:val="22"/>
        </w:rPr>
        <w:t>provedla ERC navazující průzkum</w:t>
      </w:r>
      <w:r>
        <w:rPr>
          <w:rStyle w:val="FootnoteReference"/>
          <w:rFonts w:ascii="Arial" w:eastAsia="Calibri" w:hAnsi="Arial"/>
          <w:sz w:val="22"/>
        </w:rPr>
        <w:footnoteReference w:id="33"/>
      </w:r>
      <w:r w:rsidRPr="008C1073">
        <w:rPr>
          <w:rFonts w:ascii="Arial" w:eastAsia="Calibri" w:hAnsi="Arial"/>
          <w:sz w:val="22"/>
        </w:rPr>
        <w:t xml:space="preserve">, který zjistil, že 11 % příjemců grantů buď založilo start-up, nebo přeneslo výsledky výzkumu do existující společnosti, přičemž 51 % grantů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hlásilo nějaký druh komercializace.</w:t>
      </w:r>
    </w:p>
    <w:p w:rsidR="000D2B04" w:rsidRPr="008C1073" w14:paraId="0000004C" w14:textId="482D67AC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Z další </w:t>
      </w:r>
      <w:r w:rsidRPr="008C1073">
        <w:rPr>
          <w:rFonts w:ascii="Arial" w:hAnsi="Arial"/>
          <w:sz w:val="22"/>
        </w:rPr>
        <w:t>nezávislé studie z roku 2021</w:t>
      </w:r>
      <w:r>
        <w:rPr>
          <w:rStyle w:val="FootnoteReference"/>
          <w:rFonts w:ascii="Arial" w:hAnsi="Arial"/>
          <w:sz w:val="22"/>
        </w:rPr>
        <w:footnoteReference w:id="34"/>
      </w:r>
      <w:r w:rsidRPr="008C1073">
        <w:rPr>
          <w:rFonts w:ascii="Arial" w:eastAsia="Calibri" w:hAnsi="Arial"/>
          <w:sz w:val="22"/>
        </w:rPr>
        <w:t xml:space="preserve">, která porovnávala budoucí výstupy podpořených vs nepodpořených žadatelů o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granty, </w:t>
      </w:r>
      <w:r w:rsidRPr="008C1073" w:rsidR="00376234">
        <w:rPr>
          <w:rFonts w:ascii="Arial" w:eastAsia="Calibri" w:hAnsi="Arial"/>
          <w:sz w:val="22"/>
        </w:rPr>
        <w:t>vyplývá</w:t>
      </w:r>
      <w:r w:rsidRPr="008C1073">
        <w:rPr>
          <w:rFonts w:ascii="Arial" w:eastAsia="Calibri" w:hAnsi="Arial"/>
          <w:sz w:val="22"/>
        </w:rPr>
        <w:t>, že:</w:t>
      </w:r>
    </w:p>
    <w:p w:rsidR="00747BF3" w:rsidRPr="008C1073" w:rsidP="007277BF" w14:paraId="219527F3" w14:textId="77777777">
      <w:pPr>
        <w:pStyle w:val="ListParagraph"/>
        <w:numPr>
          <w:ilvl w:val="0"/>
          <w:numId w:val="25"/>
        </w:num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pravděpodobnost pozitivního výsledku valorizace byla významně vyšší ve skupině příjemců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grantu ve srovnání s kontrolní skupinou (kolem 46 % </w:t>
      </w:r>
      <w:r w:rsidRPr="008C1073" w:rsidR="00AF674C">
        <w:rPr>
          <w:rFonts w:ascii="Arial" w:hAnsi="Arial"/>
          <w:sz w:val="22"/>
        </w:rPr>
        <w:t xml:space="preserve">oproti </w:t>
      </w:r>
      <w:r w:rsidRPr="008C1073">
        <w:rPr>
          <w:rFonts w:ascii="Arial" w:hAnsi="Arial"/>
          <w:sz w:val="22"/>
        </w:rPr>
        <w:t>14 %). Podobně pravděpodobnost komercializace prostřednictvím licencování nebo tvorby spin</w:t>
      </w:r>
      <w:r w:rsidRPr="008C1073" w:rsidR="00CF4FE6">
        <w:rPr>
          <w:rFonts w:ascii="Arial" w:hAnsi="Arial"/>
          <w:sz w:val="22"/>
        </w:rPr>
        <w:t>-</w:t>
      </w:r>
      <w:r w:rsidRPr="008C1073">
        <w:rPr>
          <w:rFonts w:ascii="Arial" w:hAnsi="Arial"/>
          <w:sz w:val="22"/>
        </w:rPr>
        <w:t>off</w:t>
      </w:r>
      <w:r w:rsidRPr="008C1073">
        <w:rPr>
          <w:rFonts w:ascii="Arial" w:hAnsi="Arial"/>
          <w:sz w:val="22"/>
        </w:rPr>
        <w:t xml:space="preserve"> byla významně vyšší ve skupině držitelů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ve srovnání s kontrolní skupinou (27 % </w:t>
      </w:r>
      <w:r w:rsidRPr="008C1073" w:rsidR="0097074E">
        <w:rPr>
          <w:rFonts w:ascii="Arial" w:hAnsi="Arial"/>
          <w:sz w:val="22"/>
        </w:rPr>
        <w:t>oproti</w:t>
      </w:r>
      <w:r w:rsidRPr="008C1073">
        <w:rPr>
          <w:rFonts w:ascii="Arial" w:hAnsi="Arial"/>
          <w:sz w:val="22"/>
        </w:rPr>
        <w:t xml:space="preserve"> 8 %). V podobném duchu vykazovali příjemci grantů </w:t>
      </w:r>
      <w:r w:rsidRPr="008C1073">
        <w:rPr>
          <w:rFonts w:ascii="Arial" w:hAnsi="Arial"/>
          <w:sz w:val="22"/>
        </w:rPr>
        <w:t>PoC</w:t>
      </w:r>
      <w:r w:rsidRPr="008C1073">
        <w:rPr>
          <w:rFonts w:ascii="Arial" w:hAnsi="Arial"/>
          <w:sz w:val="22"/>
        </w:rPr>
        <w:t xml:space="preserve"> vyšší průměrné hodnoty pravděpodobnosti </w:t>
      </w:r>
      <w:r w:rsidRPr="008C1073" w:rsidR="2DFDDF9C">
        <w:rPr>
          <w:rFonts w:ascii="Arial" w:hAnsi="Arial"/>
          <w:sz w:val="22"/>
        </w:rPr>
        <w:t>spolupráce se soukromým sektorem</w:t>
      </w:r>
      <w:r w:rsidRPr="008C1073" w:rsidR="0281B5C0">
        <w:rPr>
          <w:rFonts w:ascii="Arial" w:hAnsi="Arial"/>
          <w:sz w:val="22"/>
        </w:rPr>
        <w:t xml:space="preserve">, například skrze smluvní výzkum </w:t>
      </w:r>
      <w:r w:rsidRPr="008C1073">
        <w:rPr>
          <w:rFonts w:ascii="Arial" w:hAnsi="Arial"/>
          <w:sz w:val="22"/>
        </w:rPr>
        <w:t xml:space="preserve">(33 % </w:t>
      </w:r>
      <w:r w:rsidRPr="008C1073" w:rsidR="00501B72">
        <w:rPr>
          <w:rFonts w:ascii="Arial" w:hAnsi="Arial"/>
          <w:sz w:val="22"/>
        </w:rPr>
        <w:t>a</w:t>
      </w:r>
      <w:r w:rsidRPr="008C1073">
        <w:rPr>
          <w:rFonts w:ascii="Arial" w:hAnsi="Arial"/>
          <w:sz w:val="22"/>
        </w:rPr>
        <w:t xml:space="preserve"> 11 %) a také </w:t>
      </w:r>
      <w:r w:rsidRPr="008C1073" w:rsidR="00460ED9">
        <w:rPr>
          <w:rFonts w:ascii="Arial" w:hAnsi="Arial"/>
          <w:sz w:val="22"/>
        </w:rPr>
        <w:t>vyšší pravděp</w:t>
      </w:r>
      <w:r w:rsidRPr="008C1073" w:rsidR="00B5773B">
        <w:rPr>
          <w:rFonts w:ascii="Arial" w:hAnsi="Arial"/>
          <w:sz w:val="22"/>
        </w:rPr>
        <w:t>odobnost zisku</w:t>
      </w:r>
      <w:r w:rsidRPr="008C1073">
        <w:rPr>
          <w:rFonts w:ascii="Arial" w:hAnsi="Arial"/>
          <w:sz w:val="22"/>
        </w:rPr>
        <w:t xml:space="preserve"> následného financování (38,7 % </w:t>
      </w:r>
      <w:r w:rsidRPr="008C1073" w:rsidR="00A71C09">
        <w:rPr>
          <w:rFonts w:ascii="Arial" w:hAnsi="Arial"/>
          <w:sz w:val="22"/>
        </w:rPr>
        <w:t>a</w:t>
      </w:r>
      <w:r w:rsidRPr="008C1073">
        <w:rPr>
          <w:rFonts w:ascii="Arial" w:hAnsi="Arial"/>
          <w:sz w:val="22"/>
        </w:rPr>
        <w:t xml:space="preserve"> 21,1 %).</w:t>
      </w:r>
    </w:p>
    <w:p w:rsidR="00033198" w:rsidRPr="008C1073" w:rsidP="00033198" w14:paraId="753589CE" w14:textId="77777777">
      <w:pPr>
        <w:pStyle w:val="ListParagraph"/>
        <w:ind w:left="1080"/>
        <w:rPr>
          <w:rFonts w:ascii="Arial" w:hAnsi="Arial"/>
          <w:sz w:val="22"/>
        </w:rPr>
      </w:pPr>
    </w:p>
    <w:p w:rsidR="000D2B04" w:rsidRPr="008C1073" w:rsidP="00033198" w14:paraId="0000004E" w14:textId="1FF781A6">
      <w:pPr>
        <w:pStyle w:val="ListParagraph"/>
        <w:ind w:left="0"/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Tyto výsledky </w:t>
      </w:r>
      <w:r w:rsidRPr="008C1073" w:rsidR="00376234">
        <w:rPr>
          <w:rFonts w:ascii="Arial" w:eastAsia="Calibri" w:hAnsi="Arial"/>
          <w:sz w:val="22"/>
        </w:rPr>
        <w:t>dokazují</w:t>
      </w:r>
      <w:r w:rsidRPr="008C1073">
        <w:rPr>
          <w:rFonts w:ascii="Arial" w:eastAsia="Calibri" w:hAnsi="Arial"/>
          <w:sz w:val="22"/>
        </w:rPr>
        <w:t xml:space="preserve">, že programy </w:t>
      </w:r>
      <w:r w:rsidRPr="008C1073" w:rsidR="00160810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hrají klíčovou roli v evropském inovačním ekosystému, pomáhají překlenout </w:t>
      </w:r>
      <w:r w:rsidRPr="008C1073" w:rsidR="00376234">
        <w:rPr>
          <w:rFonts w:ascii="Arial" w:eastAsia="Calibri" w:hAnsi="Arial"/>
          <w:sz w:val="22"/>
        </w:rPr>
        <w:t>tzv. „</w:t>
      </w:r>
      <w:r w:rsidRPr="008C1073">
        <w:rPr>
          <w:rFonts w:ascii="Arial" w:eastAsia="Calibri" w:hAnsi="Arial"/>
          <w:sz w:val="22"/>
        </w:rPr>
        <w:t>údolí smrti</w:t>
      </w:r>
      <w:r w:rsidRPr="008C1073" w:rsidR="00376234">
        <w:rPr>
          <w:rFonts w:ascii="Arial" w:eastAsia="Calibri" w:hAnsi="Arial"/>
          <w:sz w:val="22"/>
        </w:rPr>
        <w:t xml:space="preserve">“ </w:t>
      </w:r>
      <w:r w:rsidRPr="008C1073">
        <w:rPr>
          <w:rFonts w:ascii="Arial" w:eastAsia="Calibri" w:hAnsi="Arial"/>
          <w:sz w:val="22"/>
        </w:rPr>
        <w:t>mezi výzkumem a komerčním uplatněním a přispívají k ekonomickému růstu a konkurenceschopnosti.</w:t>
      </w:r>
    </w:p>
    <w:p w:rsidR="000D2B04" w:rsidRPr="008C1073" w14:paraId="0000004F" w14:textId="62A0A2E9">
      <w:pPr>
        <w:spacing w:before="240" w:after="240"/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>Implementace podobného programu v České republice, inspirovaného úspěšnými evropskými modely, by mohla významně posílit inovační potenciál země a urychlit přenos znalostí z</w:t>
      </w:r>
      <w:r w:rsidRPr="008C1073" w:rsidR="000E5804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akademické sféry do praxe.</w:t>
      </w:r>
    </w:p>
    <w:p w:rsidR="000D2B04" w:rsidRPr="008C1073" w14:paraId="00000050" w14:textId="77777777">
      <w:pPr>
        <w:ind w:left="425"/>
        <w:rPr>
          <w:rFonts w:ascii="Arial" w:hAnsi="Arial"/>
          <w:sz w:val="22"/>
        </w:rPr>
      </w:pPr>
    </w:p>
    <w:p w:rsidR="000D2B04" w:rsidRPr="008C1073" w14:paraId="00000051" w14:textId="77777777">
      <w:pPr>
        <w:spacing w:before="240" w:after="240"/>
        <w:rPr>
          <w:rFonts w:ascii="Arial" w:eastAsia="Calibri" w:hAnsi="Arial"/>
          <w:sz w:val="22"/>
        </w:rPr>
      </w:pPr>
    </w:p>
    <w:p w:rsidR="005A724E" w:rsidRPr="008C1073" w14:paraId="583F64B9" w14:textId="77777777">
      <w:pPr>
        <w:jc w:val="left"/>
        <w:rPr>
          <w:rFonts w:ascii="Arial" w:hAnsi="Arial"/>
          <w:sz w:val="22"/>
        </w:rPr>
      </w:pPr>
      <w:bookmarkStart w:id="28" w:name="_dlerrqbtw34i" w:colFirst="0" w:colLast="0"/>
      <w:bookmarkEnd w:id="28"/>
      <w:r w:rsidRPr="008C1073">
        <w:rPr>
          <w:rFonts w:ascii="Arial" w:hAnsi="Arial"/>
          <w:sz w:val="22"/>
        </w:rPr>
        <w:br w:type="page"/>
      </w:r>
    </w:p>
    <w:p w:rsidR="000D2B04" w:rsidRPr="008C1073" w14:paraId="00000052" w14:textId="5494342A">
      <w:pPr>
        <w:pStyle w:val="Heading1"/>
        <w:spacing w:before="240" w:after="240"/>
        <w:rPr>
          <w:rFonts w:ascii="Arial" w:hAnsi="Arial"/>
          <w:sz w:val="22"/>
          <w:szCs w:val="22"/>
          <w:u w:val="single"/>
        </w:rPr>
      </w:pPr>
      <w:bookmarkStart w:id="29" w:name="_Toc256000015"/>
      <w:r w:rsidRPr="008C1073">
        <w:rPr>
          <w:rFonts w:ascii="Arial" w:hAnsi="Arial"/>
          <w:sz w:val="22"/>
          <w:szCs w:val="22"/>
          <w:u w:val="single"/>
        </w:rPr>
        <w:t xml:space="preserve">Potenciál pro </w:t>
      </w:r>
      <w:r w:rsidRPr="008C1073" w:rsidR="00160810">
        <w:rPr>
          <w:rFonts w:ascii="Arial" w:hAnsi="Arial"/>
          <w:sz w:val="22"/>
          <w:szCs w:val="22"/>
          <w:u w:val="single"/>
        </w:rPr>
        <w:t>PoC</w:t>
      </w:r>
      <w:r w:rsidRPr="008C1073">
        <w:rPr>
          <w:rFonts w:ascii="Arial" w:hAnsi="Arial"/>
          <w:sz w:val="22"/>
          <w:szCs w:val="22"/>
          <w:u w:val="single"/>
        </w:rPr>
        <w:t xml:space="preserve"> v ČR</w:t>
      </w:r>
      <w:bookmarkEnd w:id="29"/>
    </w:p>
    <w:p w:rsidR="000D2B04" w:rsidRPr="008C1073" w:rsidP="000241FA" w14:paraId="00000054" w14:textId="74C81425">
      <w:pPr>
        <w:pStyle w:val="Heading2"/>
        <w:rPr>
          <w:rFonts w:ascii="Arial" w:hAnsi="Arial"/>
          <w:sz w:val="22"/>
          <w:szCs w:val="22"/>
        </w:rPr>
      </w:pPr>
      <w:bookmarkStart w:id="30" w:name="_61c2h04k6j89"/>
      <w:bookmarkEnd w:id="30"/>
      <w:bookmarkStart w:id="31" w:name="_Toc256000016"/>
      <w:r w:rsidRPr="008C1073">
        <w:rPr>
          <w:rFonts w:ascii="Arial" w:hAnsi="Arial"/>
          <w:sz w:val="22"/>
          <w:szCs w:val="22"/>
        </w:rPr>
        <w:t xml:space="preserve">Zájem výzkumníků </w:t>
      </w:r>
      <w:r w:rsidRPr="008C1073" w:rsidR="008B71DC">
        <w:rPr>
          <w:rFonts w:ascii="Arial" w:hAnsi="Arial"/>
          <w:sz w:val="22"/>
          <w:szCs w:val="22"/>
        </w:rPr>
        <w:t xml:space="preserve">a výzkumnic </w:t>
      </w:r>
      <w:r w:rsidRPr="008C1073">
        <w:rPr>
          <w:rFonts w:ascii="Arial" w:hAnsi="Arial"/>
          <w:sz w:val="22"/>
          <w:szCs w:val="22"/>
        </w:rPr>
        <w:t>o komercializaci</w:t>
      </w:r>
      <w:r w:rsidRPr="008C1073" w:rsidR="00D450F8">
        <w:rPr>
          <w:rFonts w:ascii="Arial" w:hAnsi="Arial"/>
          <w:sz w:val="22"/>
          <w:szCs w:val="22"/>
        </w:rPr>
        <w:t xml:space="preserve"> a inovace</w:t>
      </w:r>
      <w:bookmarkEnd w:id="31"/>
    </w:p>
    <w:p w:rsidR="000D2B04" w:rsidRPr="008C1073" w14:paraId="00000055" w14:textId="78FA3785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Navzdory překážkám </w:t>
      </w:r>
      <w:r w:rsidRPr="008C1073" w:rsidR="00376234">
        <w:rPr>
          <w:rFonts w:ascii="Arial" w:eastAsia="Calibri" w:hAnsi="Arial"/>
          <w:sz w:val="22"/>
        </w:rPr>
        <w:t xml:space="preserve">(viz kap. 5.2) </w:t>
      </w:r>
      <w:r w:rsidRPr="008C1073">
        <w:rPr>
          <w:rFonts w:ascii="Arial" w:eastAsia="Calibri" w:hAnsi="Arial"/>
          <w:sz w:val="22"/>
        </w:rPr>
        <w:t xml:space="preserve">existuje značný zájem o komercializaci </w:t>
      </w:r>
      <w:r w:rsidRPr="008C1073" w:rsidR="00D450F8">
        <w:rPr>
          <w:rFonts w:ascii="Arial" w:eastAsia="Calibri" w:hAnsi="Arial"/>
          <w:sz w:val="22"/>
        </w:rPr>
        <w:t xml:space="preserve">a inovace </w:t>
      </w:r>
      <w:r w:rsidRPr="008C1073">
        <w:rPr>
          <w:rFonts w:ascii="Arial" w:eastAsia="Calibri" w:hAnsi="Arial"/>
          <w:sz w:val="22"/>
        </w:rPr>
        <w:t>mezi českými výzkumníky</w:t>
      </w:r>
      <w:r w:rsidRPr="008C1073" w:rsidR="00DC4108">
        <w:rPr>
          <w:rFonts w:ascii="Arial" w:eastAsia="Calibri" w:hAnsi="Arial"/>
          <w:sz w:val="22"/>
        </w:rPr>
        <w:t xml:space="preserve"> a výzkumnicemi</w:t>
      </w:r>
      <w:r w:rsidRPr="008C1073">
        <w:rPr>
          <w:rFonts w:ascii="Arial" w:eastAsia="Calibri" w:hAnsi="Arial"/>
          <w:sz w:val="22"/>
        </w:rPr>
        <w:t>. Podle rozsáhlého průzkumu provedeného GA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ČR v roce 2022:</w:t>
      </w:r>
    </w:p>
    <w:p w:rsidR="000D2B04" w:rsidRPr="008C1073" w14:paraId="00000056" w14:textId="53322484">
      <w:pPr>
        <w:numPr>
          <w:ilvl w:val="0"/>
          <w:numId w:val="14"/>
        </w:numPr>
        <w:spacing w:before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76 </w:t>
      </w:r>
      <w:r w:rsidRPr="008C1073" w:rsidR="00F96BEA">
        <w:rPr>
          <w:rFonts w:ascii="Arial" w:eastAsia="Calibri" w:hAnsi="Arial"/>
          <w:sz w:val="22"/>
        </w:rPr>
        <w:t xml:space="preserve">% </w:t>
      </w:r>
      <w:r w:rsidRPr="008C1073" w:rsidR="007942BF">
        <w:rPr>
          <w:rFonts w:ascii="Arial" w:eastAsia="Calibri" w:hAnsi="Arial"/>
          <w:sz w:val="22"/>
        </w:rPr>
        <w:t xml:space="preserve">z nich </w:t>
      </w:r>
      <w:r w:rsidRPr="008C1073" w:rsidR="00F96BEA">
        <w:rPr>
          <w:rFonts w:ascii="Arial" w:eastAsia="Calibri" w:hAnsi="Arial"/>
          <w:sz w:val="22"/>
        </w:rPr>
        <w:t xml:space="preserve">uvedlo, že by rádo </w:t>
      </w:r>
      <w:r w:rsidRPr="008C1073" w:rsidR="008A2FB6">
        <w:rPr>
          <w:rFonts w:ascii="Arial" w:eastAsia="Calibri" w:hAnsi="Arial"/>
          <w:sz w:val="22"/>
        </w:rPr>
        <w:t>navázalo</w:t>
      </w:r>
      <w:r w:rsidRPr="008C1073" w:rsidR="00067FAB">
        <w:rPr>
          <w:rFonts w:ascii="Arial" w:eastAsia="Calibri" w:hAnsi="Arial"/>
          <w:sz w:val="22"/>
        </w:rPr>
        <w:t xml:space="preserve"> na</w:t>
      </w:r>
      <w:r w:rsidRPr="008C1073" w:rsidR="00F96BEA">
        <w:rPr>
          <w:rFonts w:ascii="Arial" w:eastAsia="Calibri" w:hAnsi="Arial"/>
          <w:sz w:val="22"/>
        </w:rPr>
        <w:t xml:space="preserve"> svůj základní výzkum </w:t>
      </w:r>
      <w:r w:rsidRPr="008C1073" w:rsidR="00067FAB">
        <w:rPr>
          <w:rFonts w:ascii="Arial" w:eastAsia="Calibri" w:hAnsi="Arial"/>
          <w:sz w:val="22"/>
        </w:rPr>
        <w:t>výzkumem</w:t>
      </w:r>
      <w:r w:rsidRPr="008C1073" w:rsidR="00F96BEA">
        <w:rPr>
          <w:rFonts w:ascii="Arial" w:eastAsia="Calibri" w:hAnsi="Arial"/>
          <w:sz w:val="22"/>
        </w:rPr>
        <w:t xml:space="preserve"> aplikovan</w:t>
      </w:r>
      <w:r w:rsidRPr="008C1073" w:rsidR="00067FAB">
        <w:rPr>
          <w:rFonts w:ascii="Arial" w:eastAsia="Calibri" w:hAnsi="Arial"/>
          <w:sz w:val="22"/>
        </w:rPr>
        <w:t>ým</w:t>
      </w:r>
      <w:r w:rsidRPr="008C1073" w:rsidR="00376234">
        <w:rPr>
          <w:rFonts w:ascii="Arial" w:eastAsia="Calibri" w:hAnsi="Arial"/>
          <w:sz w:val="22"/>
        </w:rPr>
        <w:t>.</w:t>
      </w:r>
    </w:p>
    <w:p w:rsidR="000D2B04" w:rsidRPr="008C1073" w14:paraId="00000057" w14:textId="5CD17854">
      <w:pPr>
        <w:numPr>
          <w:ilvl w:val="0"/>
          <w:numId w:val="14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Pouze 5</w:t>
      </w:r>
      <w:r w:rsidRPr="008C1073" w:rsidR="008337C5">
        <w:rPr>
          <w:rFonts w:ascii="Arial" w:eastAsia="Calibri" w:hAnsi="Arial"/>
          <w:sz w:val="22"/>
        </w:rPr>
        <w:t>2</w:t>
      </w:r>
      <w:r w:rsidRPr="008C1073">
        <w:rPr>
          <w:rFonts w:ascii="Arial" w:eastAsia="Calibri" w:hAnsi="Arial"/>
          <w:sz w:val="22"/>
        </w:rPr>
        <w:t xml:space="preserve"> % se v minulosti podílelo na aplikovaném výzkumu a pouze v 18 % případů se jednalo o výzkum související s projektem GA ČR (kde lze předpokládat transfer ze</w:t>
      </w:r>
      <w:r w:rsidRPr="008C1073" w:rsidR="000241FA">
        <w:rPr>
          <w:rFonts w:ascii="Arial" w:eastAsia="Calibri" w:hAnsi="Arial"/>
          <w:sz w:val="22"/>
        </w:rPr>
        <w:t> </w:t>
      </w:r>
      <w:r w:rsidRPr="008C1073">
        <w:rPr>
          <w:rFonts w:ascii="Arial" w:eastAsia="Calibri" w:hAnsi="Arial"/>
          <w:sz w:val="22"/>
        </w:rPr>
        <w:t>základního výzkumu)</w:t>
      </w:r>
      <w:r w:rsidRPr="008C1073" w:rsidR="00376234">
        <w:rPr>
          <w:rFonts w:ascii="Arial" w:eastAsia="Calibri" w:hAnsi="Arial"/>
          <w:sz w:val="22"/>
        </w:rPr>
        <w:t>.</w:t>
      </w:r>
    </w:p>
    <w:p w:rsidR="000D2B04" w:rsidRPr="008C1073" w14:paraId="00000058" w14:textId="7B153C3C">
      <w:pPr>
        <w:numPr>
          <w:ilvl w:val="0"/>
          <w:numId w:val="14"/>
        </w:numPr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Největší zájem o rozšíření svého výzkumu do aplikované podoby mají vědci </w:t>
      </w:r>
      <w:r w:rsidRPr="008C1073" w:rsidR="00806E8C">
        <w:rPr>
          <w:rFonts w:ascii="Arial" w:eastAsia="Calibri" w:hAnsi="Arial"/>
          <w:sz w:val="22"/>
        </w:rPr>
        <w:t xml:space="preserve">a vědkyně </w:t>
      </w:r>
      <w:r w:rsidRPr="008C1073">
        <w:rPr>
          <w:rFonts w:ascii="Arial" w:eastAsia="Calibri" w:hAnsi="Arial"/>
          <w:sz w:val="22"/>
        </w:rPr>
        <w:t>zabývající se oborem Technických věd (90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%), Lékařských a biologických</w:t>
      </w:r>
      <w:r w:rsidRPr="008C1073" w:rsidR="00376234">
        <w:rPr>
          <w:rFonts w:ascii="Arial" w:eastAsia="Calibri" w:hAnsi="Arial"/>
          <w:sz w:val="22"/>
        </w:rPr>
        <w:t xml:space="preserve"> věd</w:t>
      </w:r>
      <w:r w:rsidRPr="008C1073" w:rsidR="00973095">
        <w:rPr>
          <w:rFonts w:ascii="Arial" w:eastAsia="Calibri" w:hAnsi="Arial"/>
          <w:sz w:val="22"/>
        </w:rPr>
        <w:t xml:space="preserve"> (77 %)</w:t>
      </w:r>
      <w:r w:rsidRPr="008C1073">
        <w:rPr>
          <w:rFonts w:ascii="Arial" w:eastAsia="Calibri" w:hAnsi="Arial"/>
          <w:sz w:val="22"/>
        </w:rPr>
        <w:t xml:space="preserve">, a </w:t>
      </w:r>
      <w:r w:rsidRPr="008C1073" w:rsidR="00376234">
        <w:rPr>
          <w:rFonts w:ascii="Arial" w:eastAsia="Calibri" w:hAnsi="Arial"/>
          <w:sz w:val="22"/>
        </w:rPr>
        <w:t xml:space="preserve">Zemědělských </w:t>
      </w:r>
      <w:r w:rsidRPr="008C1073">
        <w:rPr>
          <w:rFonts w:ascii="Arial" w:eastAsia="Calibri" w:hAnsi="Arial"/>
          <w:sz w:val="22"/>
        </w:rPr>
        <w:t>a biologicko-environmentálních věd (</w:t>
      </w:r>
      <w:r w:rsidRPr="008C1073" w:rsidR="00973095">
        <w:rPr>
          <w:rFonts w:ascii="Arial" w:eastAsia="Calibri" w:hAnsi="Arial"/>
          <w:sz w:val="22"/>
        </w:rPr>
        <w:t xml:space="preserve">76 </w:t>
      </w:r>
      <w:r w:rsidRPr="008C1073">
        <w:rPr>
          <w:rFonts w:ascii="Arial" w:eastAsia="Calibri" w:hAnsi="Arial"/>
          <w:sz w:val="22"/>
        </w:rPr>
        <w:t xml:space="preserve">%). Nejmenší zájem o rozšíření výzkumu do aplikované podoby pozorujeme v oboru </w:t>
      </w:r>
      <w:r w:rsidRPr="008C1073" w:rsidR="1E7CB55F">
        <w:rPr>
          <w:rFonts w:ascii="Arial" w:eastAsia="Calibri" w:hAnsi="Arial"/>
          <w:sz w:val="22"/>
        </w:rPr>
        <w:t xml:space="preserve">Společenských a </w:t>
      </w:r>
      <w:r w:rsidRPr="008C1073" w:rsidR="00E257B0">
        <w:rPr>
          <w:rFonts w:ascii="Arial" w:eastAsia="Calibri" w:hAnsi="Arial"/>
          <w:sz w:val="22"/>
        </w:rPr>
        <w:t>h</w:t>
      </w:r>
      <w:r w:rsidRPr="008C1073" w:rsidR="1E7CB55F">
        <w:rPr>
          <w:rFonts w:ascii="Arial" w:eastAsia="Calibri" w:hAnsi="Arial"/>
          <w:sz w:val="22"/>
        </w:rPr>
        <w:t xml:space="preserve">umanitních </w:t>
      </w:r>
      <w:r w:rsidRPr="008C1073" w:rsidR="00E257B0">
        <w:rPr>
          <w:rFonts w:ascii="Arial" w:eastAsia="Calibri" w:hAnsi="Arial"/>
          <w:sz w:val="22"/>
        </w:rPr>
        <w:t>v</w:t>
      </w:r>
      <w:r w:rsidRPr="008C1073" w:rsidR="1E7CB55F">
        <w:rPr>
          <w:rFonts w:ascii="Arial" w:eastAsia="Calibri" w:hAnsi="Arial"/>
          <w:sz w:val="22"/>
        </w:rPr>
        <w:t>ěd (6</w:t>
      </w:r>
      <w:r w:rsidRPr="008C1073" w:rsidR="4FCAF007">
        <w:rPr>
          <w:rFonts w:ascii="Arial" w:eastAsia="Calibri" w:hAnsi="Arial"/>
          <w:sz w:val="22"/>
        </w:rPr>
        <w:t>8</w:t>
      </w:r>
      <w:r w:rsidRPr="008C1073" w:rsidR="1E7CB55F">
        <w:rPr>
          <w:rFonts w:ascii="Arial" w:eastAsia="Calibri" w:hAnsi="Arial"/>
          <w:sz w:val="22"/>
        </w:rPr>
        <w:t xml:space="preserve"> %) a </w:t>
      </w:r>
      <w:r w:rsidRPr="008C1073">
        <w:rPr>
          <w:rFonts w:ascii="Arial" w:eastAsia="Calibri" w:hAnsi="Arial"/>
          <w:sz w:val="22"/>
        </w:rPr>
        <w:t>Věd o neživé přírodě (6</w:t>
      </w:r>
      <w:r w:rsidRPr="008C1073" w:rsidR="04F9D5A6">
        <w:rPr>
          <w:rFonts w:ascii="Arial" w:eastAsia="Calibri" w:hAnsi="Arial"/>
          <w:sz w:val="22"/>
        </w:rPr>
        <w:t>7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%).</w:t>
      </w:r>
    </w:p>
    <w:p w:rsidR="000D2B04" w:rsidRPr="008C1073" w14:paraId="00000059" w14:textId="2DFC883B">
      <w:pPr>
        <w:numPr>
          <w:ilvl w:val="0"/>
          <w:numId w:val="14"/>
        </w:numPr>
        <w:rPr>
          <w:rFonts w:ascii="Arial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Největší </w:t>
      </w:r>
      <w:r w:rsidRPr="008C1073" w:rsidR="00431CFD">
        <w:rPr>
          <w:rFonts w:ascii="Arial" w:eastAsia="Calibri" w:hAnsi="Arial"/>
          <w:sz w:val="22"/>
        </w:rPr>
        <w:t xml:space="preserve">překážkou na cestě od základního výzkumu k inovacím považují výzkumníci a výzkumnice absenci vhodných aplikačních partnerů (např. podniků, či </w:t>
      </w:r>
      <w:r w:rsidRPr="008C1073">
        <w:rPr>
          <w:rFonts w:ascii="Arial" w:eastAsia="Calibri" w:hAnsi="Arial"/>
          <w:sz w:val="22"/>
        </w:rPr>
        <w:t>instituce apod., kteří využijí výstupy projektu) (</w:t>
      </w:r>
      <w:r w:rsidRPr="008C1073" w:rsidR="00037D65">
        <w:rPr>
          <w:rFonts w:ascii="Arial" w:eastAsia="Calibri" w:hAnsi="Arial"/>
          <w:sz w:val="22"/>
        </w:rPr>
        <w:t>33</w:t>
      </w:r>
      <w:r w:rsidRPr="008C1073">
        <w:rPr>
          <w:rFonts w:ascii="Arial" w:eastAsia="Calibri" w:hAnsi="Arial"/>
          <w:sz w:val="22"/>
        </w:rPr>
        <w:t xml:space="preserve"> %).</w:t>
      </w:r>
      <w:r>
        <w:rPr>
          <w:rFonts w:ascii="Arial" w:eastAsia="Calibri" w:hAnsi="Arial"/>
          <w:sz w:val="22"/>
          <w:vertAlign w:val="superscript"/>
        </w:rPr>
        <w:footnoteReference w:id="35"/>
      </w:r>
    </w:p>
    <w:p w:rsidR="000D2B04" w:rsidRPr="008C1073" w14:paraId="0000005A" w14:textId="77777777">
      <w:pPr>
        <w:spacing w:before="240" w:after="240"/>
        <w:rPr>
          <w:rFonts w:ascii="Arial" w:eastAsia="Calibri" w:hAnsi="Arial"/>
          <w:sz w:val="22"/>
        </w:rPr>
      </w:pPr>
    </w:p>
    <w:p w:rsidR="000D2B04" w:rsidRPr="008C1073" w:rsidP="000241FA" w14:paraId="0000005B" w14:textId="5021CE41">
      <w:pPr>
        <w:pStyle w:val="Heading2"/>
        <w:rPr>
          <w:rFonts w:ascii="Arial" w:hAnsi="Arial"/>
          <w:sz w:val="22"/>
          <w:szCs w:val="22"/>
        </w:rPr>
      </w:pPr>
      <w:bookmarkStart w:id="33" w:name="_x8dkxq5l8pwx" w:colFirst="0" w:colLast="0"/>
      <w:bookmarkEnd w:id="33"/>
      <w:bookmarkStart w:id="34" w:name="_Toc256000017"/>
      <w:r w:rsidRPr="008C1073">
        <w:rPr>
          <w:rFonts w:ascii="Arial" w:hAnsi="Arial"/>
          <w:sz w:val="22"/>
          <w:szCs w:val="22"/>
        </w:rPr>
        <w:t xml:space="preserve">Překážky pro výzkumníky </w:t>
      </w:r>
      <w:r w:rsidRPr="008C1073" w:rsidR="00945A00">
        <w:rPr>
          <w:rFonts w:ascii="Arial" w:hAnsi="Arial"/>
          <w:sz w:val="22"/>
          <w:szCs w:val="22"/>
        </w:rPr>
        <w:t xml:space="preserve">a výzkumnice </w:t>
      </w:r>
      <w:r w:rsidRPr="008C1073">
        <w:rPr>
          <w:rFonts w:ascii="Arial" w:hAnsi="Arial"/>
          <w:sz w:val="22"/>
          <w:szCs w:val="22"/>
        </w:rPr>
        <w:t>při komercializaci</w:t>
      </w:r>
      <w:bookmarkEnd w:id="34"/>
    </w:p>
    <w:p w:rsidR="000D2B04" w:rsidRPr="008C1073" w14:paraId="0000005C" w14:textId="3CD5DBB7">
      <w:pPr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t xml:space="preserve">Seznam překážek volně adaptován z </w:t>
      </w:r>
      <w:hyperlink r:id="rId13" w:history="1">
        <w:r w:rsidRPr="008C1073">
          <w:rPr>
            <w:rFonts w:ascii="Arial" w:hAnsi="Arial"/>
            <w:color w:val="1155CC"/>
            <w:sz w:val="22"/>
            <w:u w:val="single"/>
          </w:rPr>
          <w:t>Petříčková (2017)</w:t>
        </w:r>
      </w:hyperlink>
      <w:r>
        <w:rPr>
          <w:rStyle w:val="FootnoteReference"/>
          <w:rFonts w:ascii="Arial" w:hAnsi="Arial"/>
          <w:color w:val="1155CC"/>
          <w:sz w:val="22"/>
          <w:u w:val="single"/>
        </w:rPr>
        <w:footnoteReference w:id="36"/>
      </w:r>
      <w:r w:rsidRPr="008C1073">
        <w:rPr>
          <w:rFonts w:ascii="Arial" w:hAnsi="Arial"/>
          <w:sz w:val="22"/>
        </w:rPr>
        <w:t>.</w:t>
      </w:r>
    </w:p>
    <w:p w:rsidR="000D2B04" w:rsidRPr="008C1073" w:rsidP="000241FA" w14:paraId="0000005D" w14:textId="316EA2FD">
      <w:pPr>
        <w:pStyle w:val="Heading3"/>
        <w:rPr>
          <w:rFonts w:ascii="Arial" w:hAnsi="Arial"/>
          <w:sz w:val="22"/>
          <w:szCs w:val="22"/>
        </w:rPr>
      </w:pPr>
      <w:bookmarkStart w:id="35" w:name="_Toc256000018"/>
      <w:r w:rsidRPr="008C1073">
        <w:rPr>
          <w:rFonts w:ascii="Arial" w:hAnsi="Arial"/>
          <w:sz w:val="22"/>
          <w:szCs w:val="22"/>
        </w:rPr>
        <w:t>Nedostatek času a motivace</w:t>
      </w:r>
      <w:bookmarkEnd w:id="35"/>
    </w:p>
    <w:p w:rsidR="000D2B04" w:rsidRPr="008C1073" w14:paraId="0000005E" w14:textId="4BD806E3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Mnoho výzkumníků </w:t>
      </w:r>
      <w:r w:rsidRPr="008C1073" w:rsidR="00945A00">
        <w:rPr>
          <w:rFonts w:ascii="Arial" w:eastAsia="Calibri" w:hAnsi="Arial"/>
          <w:sz w:val="22"/>
        </w:rPr>
        <w:t xml:space="preserve">a výzkumnic </w:t>
      </w:r>
      <w:r w:rsidRPr="008C1073">
        <w:rPr>
          <w:rFonts w:ascii="Arial" w:eastAsia="Calibri" w:hAnsi="Arial"/>
          <w:sz w:val="22"/>
        </w:rPr>
        <w:t xml:space="preserve">čelí časovému tlaku mezi výzkumnými, výukovými a administrativními povinnostmi. Komercializace také může být vnímána jako méně prestižní činnost, někteří výzkumníci </w:t>
      </w:r>
      <w:r w:rsidRPr="008C1073" w:rsidR="00945A00">
        <w:rPr>
          <w:rFonts w:ascii="Arial" w:eastAsia="Calibri" w:hAnsi="Arial"/>
          <w:sz w:val="22"/>
        </w:rPr>
        <w:t xml:space="preserve">a výzkumnice </w:t>
      </w:r>
      <w:r w:rsidRPr="008C1073">
        <w:rPr>
          <w:rFonts w:ascii="Arial" w:eastAsia="Calibri" w:hAnsi="Arial"/>
          <w:sz w:val="22"/>
        </w:rPr>
        <w:t xml:space="preserve">se chtějí věnovat pouze základnímu výzkumu. Zaměstnanci jsou často hodnoceni na základě publikační </w:t>
      </w:r>
      <w:r w:rsidRPr="008C1073" w:rsidR="001E3D12">
        <w:rPr>
          <w:rFonts w:ascii="Arial" w:eastAsia="Calibri" w:hAnsi="Arial"/>
          <w:sz w:val="22"/>
        </w:rPr>
        <w:t>činnosti,</w:t>
      </w:r>
      <w:r w:rsidRPr="008C1073">
        <w:rPr>
          <w:rFonts w:ascii="Arial" w:eastAsia="Calibri" w:hAnsi="Arial"/>
          <w:sz w:val="22"/>
        </w:rPr>
        <w:t xml:space="preserve"> a právě publikace jim budují reputaci ve výzkumných kruzích. </w:t>
      </w:r>
      <w:r w:rsidRPr="008C1073" w:rsidR="00553889">
        <w:rPr>
          <w:rFonts w:ascii="Arial" w:eastAsia="Calibri" w:hAnsi="Arial"/>
          <w:sz w:val="22"/>
        </w:rPr>
        <w:t>Při vývoji inovací je z důvodu ochrany intelektuálního vlastnictví nutné zachovat</w:t>
      </w:r>
      <w:r w:rsidRPr="008C1073" w:rsidR="00376234">
        <w:rPr>
          <w:rFonts w:ascii="Arial" w:eastAsia="Calibri" w:hAnsi="Arial"/>
          <w:sz w:val="22"/>
        </w:rPr>
        <w:t xml:space="preserve"> mlčenlivost </w:t>
      </w:r>
      <w:r w:rsidRPr="008C1073" w:rsidR="000F2A41">
        <w:rPr>
          <w:rFonts w:ascii="Arial" w:eastAsia="Calibri" w:hAnsi="Arial"/>
          <w:sz w:val="22"/>
        </w:rPr>
        <w:t>o vý</w:t>
      </w:r>
      <w:r w:rsidRPr="008C1073" w:rsidR="00FC7A30">
        <w:rPr>
          <w:rFonts w:ascii="Arial" w:eastAsia="Calibri" w:hAnsi="Arial"/>
          <w:sz w:val="22"/>
        </w:rPr>
        <w:t>sledcích výzkumu</w:t>
      </w:r>
      <w:r w:rsidRPr="008C1073">
        <w:rPr>
          <w:rFonts w:ascii="Arial" w:eastAsia="Calibri" w:hAnsi="Arial"/>
          <w:sz w:val="22"/>
        </w:rPr>
        <w:t xml:space="preserve">, takže publikace výsledků může být zakázaná a výzkumníkům </w:t>
      </w:r>
      <w:r w:rsidRPr="008C1073" w:rsidR="00945A00">
        <w:rPr>
          <w:rFonts w:ascii="Arial" w:eastAsia="Calibri" w:hAnsi="Arial"/>
          <w:sz w:val="22"/>
        </w:rPr>
        <w:t xml:space="preserve">a výzkumnicím </w:t>
      </w:r>
      <w:r w:rsidRPr="008C1073">
        <w:rPr>
          <w:rFonts w:ascii="Arial" w:eastAsia="Calibri" w:hAnsi="Arial"/>
          <w:sz w:val="22"/>
        </w:rPr>
        <w:t xml:space="preserve">tedy přímo nepřispívá k budování reputace. </w:t>
      </w:r>
    </w:p>
    <w:p w:rsidR="000D2B04" w:rsidRPr="008C1073" w:rsidP="000241FA" w14:paraId="0000005F" w14:textId="4B899F4E">
      <w:pPr>
        <w:pStyle w:val="Heading3"/>
        <w:rPr>
          <w:rFonts w:ascii="Arial" w:hAnsi="Arial"/>
          <w:sz w:val="22"/>
          <w:szCs w:val="22"/>
        </w:rPr>
      </w:pPr>
      <w:bookmarkStart w:id="36" w:name="_Toc256000019"/>
      <w:r w:rsidRPr="008C1073">
        <w:rPr>
          <w:rFonts w:ascii="Arial" w:hAnsi="Arial"/>
          <w:sz w:val="22"/>
          <w:szCs w:val="22"/>
        </w:rPr>
        <w:t>Nedostatečné znalosti a dovednosti v oblasti podnikání</w:t>
      </w:r>
      <w:bookmarkEnd w:id="36"/>
    </w:p>
    <w:p w:rsidR="000D2B04" w:rsidRPr="008C1073" w14:paraId="00000060" w14:textId="40264D2E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Výzkumníci </w:t>
      </w:r>
      <w:r w:rsidRPr="008C1073" w:rsidR="00945A00">
        <w:rPr>
          <w:rFonts w:ascii="Arial" w:eastAsia="Calibri" w:hAnsi="Arial"/>
          <w:sz w:val="22"/>
        </w:rPr>
        <w:t xml:space="preserve">a výzkumnice </w:t>
      </w:r>
      <w:r w:rsidRPr="008C1073">
        <w:rPr>
          <w:rFonts w:ascii="Arial" w:eastAsia="Calibri" w:hAnsi="Arial"/>
          <w:sz w:val="22"/>
        </w:rPr>
        <w:t>často nemají potřebné podnikatelské a manažerské dovednosti pro úspěšnou komercializaci. Chybí jim zkušenosti s oceňováním technologií, licencováním, zakládáním spin-</w:t>
      </w:r>
      <w:r w:rsidRPr="008C1073">
        <w:rPr>
          <w:rFonts w:ascii="Arial" w:eastAsia="Calibri" w:hAnsi="Arial"/>
          <w:sz w:val="22"/>
        </w:rPr>
        <w:t>off</w:t>
      </w:r>
      <w:r w:rsidRPr="008C1073">
        <w:rPr>
          <w:rFonts w:ascii="Arial" w:eastAsia="Calibri" w:hAnsi="Arial"/>
          <w:sz w:val="22"/>
        </w:rPr>
        <w:t xml:space="preserve"> firem apod.</w:t>
      </w:r>
    </w:p>
    <w:p w:rsidR="000D2B04" w:rsidRPr="008C1073" w:rsidP="000241FA" w14:paraId="00000061" w14:textId="4F613188">
      <w:pPr>
        <w:pStyle w:val="Heading3"/>
        <w:rPr>
          <w:rFonts w:ascii="Arial" w:hAnsi="Arial"/>
          <w:sz w:val="22"/>
          <w:szCs w:val="22"/>
        </w:rPr>
      </w:pPr>
      <w:bookmarkStart w:id="37" w:name="_Toc256000020"/>
      <w:r w:rsidRPr="008C1073">
        <w:rPr>
          <w:rFonts w:ascii="Arial" w:hAnsi="Arial"/>
          <w:sz w:val="22"/>
          <w:szCs w:val="22"/>
        </w:rPr>
        <w:t>Právní a administrativní bariéry</w:t>
      </w:r>
      <w:bookmarkEnd w:id="37"/>
    </w:p>
    <w:p w:rsidR="000D2B04" w:rsidRPr="008C1073" w14:paraId="00000062" w14:textId="239BEB51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Složitost právních procesů a nejasnosti ohledně duševního vlastnictví mohou odrazovat mnoho výzkumníků</w:t>
      </w:r>
      <w:r w:rsidRPr="008C1073" w:rsidR="00945A00">
        <w:rPr>
          <w:rFonts w:ascii="Arial" w:hAnsi="Arial"/>
          <w:sz w:val="22"/>
        </w:rPr>
        <w:t xml:space="preserve"> </w:t>
      </w:r>
      <w:r w:rsidRPr="008C1073" w:rsidR="00945A00">
        <w:rPr>
          <w:rFonts w:ascii="Arial" w:eastAsia="Calibri" w:hAnsi="Arial"/>
          <w:sz w:val="22"/>
        </w:rPr>
        <w:t>a výzkumnic</w:t>
      </w:r>
      <w:r w:rsidRPr="008C1073">
        <w:rPr>
          <w:rFonts w:ascii="Arial" w:eastAsia="Calibri" w:hAnsi="Arial"/>
          <w:sz w:val="22"/>
        </w:rPr>
        <w:t xml:space="preserve">. </w:t>
      </w:r>
    </w:p>
    <w:p w:rsidR="000D2B04" w:rsidRPr="008C1073" w:rsidP="000241FA" w14:paraId="00000063" w14:textId="140E05ED">
      <w:pPr>
        <w:pStyle w:val="Heading3"/>
        <w:rPr>
          <w:rFonts w:ascii="Arial" w:hAnsi="Arial"/>
          <w:sz w:val="22"/>
          <w:szCs w:val="22"/>
        </w:rPr>
      </w:pPr>
      <w:bookmarkStart w:id="38" w:name="_Toc256000021"/>
      <w:r w:rsidRPr="008C1073">
        <w:rPr>
          <w:rFonts w:ascii="Arial" w:hAnsi="Arial"/>
          <w:sz w:val="22"/>
          <w:szCs w:val="22"/>
        </w:rPr>
        <w:t>Financování raných fází komercializace</w:t>
      </w:r>
      <w:bookmarkEnd w:id="38"/>
    </w:p>
    <w:p w:rsidR="000D2B04" w:rsidRPr="008C1073" w14:paraId="00000064" w14:textId="77777777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>Nedostatek finančních prostředků pro ověření konceptu (</w:t>
      </w:r>
      <w:r w:rsidRPr="008C1073">
        <w:rPr>
          <w:rFonts w:ascii="Arial" w:eastAsia="Calibri" w:hAnsi="Arial"/>
          <w:sz w:val="22"/>
        </w:rPr>
        <w:t>proof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of</w:t>
      </w:r>
      <w:r w:rsidRPr="008C1073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concept</w:t>
      </w:r>
      <w:r w:rsidRPr="008C1073">
        <w:rPr>
          <w:rFonts w:ascii="Arial" w:eastAsia="Calibri" w:hAnsi="Arial"/>
          <w:sz w:val="22"/>
        </w:rPr>
        <w:t xml:space="preserve">) je významnou překážkou. </w:t>
      </w:r>
    </w:p>
    <w:p w:rsidR="005A724E" w:rsidRPr="008C1073" w:rsidP="000D78CA" w14:paraId="62C1AE5C" w14:textId="2725A610">
      <w:pPr>
        <w:rPr>
          <w:rFonts w:ascii="Arial" w:hAnsi="Arial"/>
          <w:sz w:val="22"/>
        </w:rPr>
      </w:pPr>
      <w:bookmarkStart w:id="39" w:name="_rtdp1i604ww7" w:colFirst="0" w:colLast="0"/>
      <w:bookmarkEnd w:id="39"/>
    </w:p>
    <w:p w:rsidR="005A724E" w:rsidRPr="008C1073" w14:paraId="4286251D" w14:textId="77777777">
      <w:pPr>
        <w:jc w:val="left"/>
        <w:rPr>
          <w:rFonts w:ascii="Arial" w:hAnsi="Arial"/>
          <w:sz w:val="22"/>
        </w:rPr>
      </w:pPr>
      <w:r w:rsidRPr="008C1073">
        <w:rPr>
          <w:rFonts w:ascii="Arial" w:hAnsi="Arial"/>
          <w:sz w:val="22"/>
        </w:rPr>
        <w:br w:type="page"/>
      </w:r>
    </w:p>
    <w:p w:rsidR="000D2B04" w:rsidRPr="008C1073" w14:paraId="00000066" w14:textId="3B4AE028">
      <w:pPr>
        <w:pStyle w:val="Heading1"/>
        <w:spacing w:before="240" w:after="480"/>
        <w:rPr>
          <w:rFonts w:ascii="Arial" w:hAnsi="Arial"/>
          <w:sz w:val="22"/>
          <w:szCs w:val="22"/>
          <w:u w:val="single"/>
        </w:rPr>
      </w:pPr>
      <w:bookmarkStart w:id="40" w:name="_Toc256000022"/>
      <w:r w:rsidRPr="008C1073">
        <w:rPr>
          <w:rFonts w:ascii="Arial" w:hAnsi="Arial"/>
          <w:sz w:val="22"/>
          <w:szCs w:val="22"/>
          <w:u w:val="single"/>
        </w:rPr>
        <w:t>Závěr</w:t>
      </w:r>
      <w:bookmarkEnd w:id="40"/>
    </w:p>
    <w:p w:rsidR="000D2B04" w:rsidRPr="008C1073" w14:paraId="00000067" w14:textId="3FF9CD91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Tato analýza odhaluje, že i přes určité pokroky v oblasti komercializace výzkumu v České republice zůstává mnoho nevyřešených výzev. Klíčovými oblastmi pro zlepšení jsou zvýšení celkových investic do výzkumu a vývoje, zefektivnění transferu technologií, prohloubení spolupráce mezi akademickou </w:t>
      </w:r>
      <w:r w:rsidRPr="008C1073" w:rsidR="004951AA">
        <w:rPr>
          <w:rFonts w:ascii="Arial" w:eastAsia="Calibri" w:hAnsi="Arial"/>
          <w:sz w:val="22"/>
        </w:rPr>
        <w:t xml:space="preserve">sférou na straně jedné </w:t>
      </w:r>
      <w:r w:rsidRPr="008C1073">
        <w:rPr>
          <w:rFonts w:ascii="Arial" w:eastAsia="Calibri" w:hAnsi="Arial"/>
          <w:sz w:val="22"/>
        </w:rPr>
        <w:t xml:space="preserve">a komerční </w:t>
      </w:r>
      <w:r w:rsidRPr="008C1073" w:rsidR="00E63896">
        <w:rPr>
          <w:rFonts w:ascii="Arial" w:eastAsia="Calibri" w:hAnsi="Arial"/>
          <w:sz w:val="22"/>
        </w:rPr>
        <w:t xml:space="preserve">či veřejnou </w:t>
      </w:r>
      <w:r w:rsidRPr="008C1073">
        <w:rPr>
          <w:rFonts w:ascii="Arial" w:eastAsia="Calibri" w:hAnsi="Arial"/>
          <w:sz w:val="22"/>
        </w:rPr>
        <w:t>sférou</w:t>
      </w:r>
      <w:r w:rsidRPr="008C1073" w:rsidR="00E63896">
        <w:rPr>
          <w:rFonts w:ascii="Arial" w:eastAsia="Calibri" w:hAnsi="Arial"/>
          <w:sz w:val="22"/>
        </w:rPr>
        <w:t xml:space="preserve"> na straně druhé</w:t>
      </w:r>
      <w:r w:rsidRPr="008C1073">
        <w:rPr>
          <w:rFonts w:ascii="Arial" w:eastAsia="Calibri" w:hAnsi="Arial"/>
          <w:sz w:val="22"/>
        </w:rPr>
        <w:t>, odstranění právních a administrativních překážek a zlepšení financování raných fází komercializace</w:t>
      </w:r>
      <w:r w:rsidRPr="008C1073" w:rsidR="001016C4">
        <w:rPr>
          <w:rFonts w:ascii="Arial" w:eastAsia="Calibri" w:hAnsi="Arial"/>
          <w:sz w:val="22"/>
        </w:rPr>
        <w:t>: to vše zejména při vzniku inovací, vzniklých v rámci základního výzkumu</w:t>
      </w:r>
      <w:r w:rsidRPr="008C1073">
        <w:rPr>
          <w:rFonts w:ascii="Arial" w:eastAsia="Calibri" w:hAnsi="Arial"/>
          <w:sz w:val="22"/>
        </w:rPr>
        <w:t>.</w:t>
      </w:r>
    </w:p>
    <w:p w:rsidR="000D2B04" w:rsidRPr="008C1073" w14:paraId="00000068" w14:textId="6976CC90">
      <w:pPr>
        <w:spacing w:before="240" w:after="240"/>
        <w:rPr>
          <w:rFonts w:ascii="Arial" w:eastAsia="Calibri" w:hAnsi="Arial"/>
          <w:sz w:val="22"/>
        </w:rPr>
      </w:pPr>
      <w:r w:rsidRPr="008C1073">
        <w:rPr>
          <w:rFonts w:ascii="Arial" w:eastAsia="Calibri" w:hAnsi="Arial"/>
          <w:sz w:val="22"/>
        </w:rPr>
        <w:t xml:space="preserve">Program </w:t>
      </w:r>
      <w:r w:rsidRPr="008C1073" w:rsidR="00160810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GA</w:t>
      </w:r>
      <w:r w:rsidRPr="008C1073" w:rsidR="001E3D12">
        <w:rPr>
          <w:rFonts w:ascii="Arial" w:eastAsia="Calibri" w:hAnsi="Arial"/>
          <w:sz w:val="22"/>
        </w:rPr>
        <w:t xml:space="preserve"> </w:t>
      </w:r>
      <w:r w:rsidRPr="008C1073">
        <w:rPr>
          <w:rFonts w:ascii="Arial" w:eastAsia="Calibri" w:hAnsi="Arial"/>
          <w:sz w:val="22"/>
        </w:rPr>
        <w:t>ČR má potenciál řešit některé z identifikovaných mezer, zejména v oblasti financování a podpory transferu technologií</w:t>
      </w:r>
      <w:r w:rsidRPr="008C1073" w:rsidR="00376234">
        <w:rPr>
          <w:rFonts w:ascii="Arial" w:eastAsia="Calibri" w:hAnsi="Arial"/>
          <w:sz w:val="22"/>
        </w:rPr>
        <w:t xml:space="preserve">, ale také může pomoci českým badatelům </w:t>
      </w:r>
      <w:r w:rsidRPr="008C1073" w:rsidR="00AA45CC">
        <w:rPr>
          <w:rFonts w:ascii="Arial" w:eastAsia="Calibri" w:hAnsi="Arial"/>
          <w:sz w:val="22"/>
        </w:rPr>
        <w:t xml:space="preserve">a badatelkám </w:t>
      </w:r>
      <w:r w:rsidRPr="008C1073" w:rsidR="00376234">
        <w:rPr>
          <w:rFonts w:ascii="Arial" w:eastAsia="Calibri" w:hAnsi="Arial"/>
          <w:sz w:val="22"/>
        </w:rPr>
        <w:t>učinit první krok od základního výzkumu k inovacím</w:t>
      </w:r>
      <w:r w:rsidRPr="008C1073">
        <w:rPr>
          <w:rFonts w:ascii="Arial" w:eastAsia="Calibri" w:hAnsi="Arial"/>
          <w:sz w:val="22"/>
        </w:rPr>
        <w:t xml:space="preserve">. Úspěšná implementace tohoto programu může významně přispět k posílení inovačního ekosystému v České republice, usnadnit komercializaci výsledků výzkumu a podpořit ekonomický růst a konkurenceschopnost země. Využití zkušeností a osvědčených postupů z evropských </w:t>
      </w:r>
      <w:r w:rsidRPr="008C1073">
        <w:rPr>
          <w:rFonts w:ascii="Arial" w:eastAsia="Calibri" w:hAnsi="Arial"/>
          <w:sz w:val="22"/>
        </w:rPr>
        <w:t>PoC</w:t>
      </w:r>
      <w:r w:rsidRPr="008C1073">
        <w:rPr>
          <w:rFonts w:ascii="Arial" w:eastAsia="Calibri" w:hAnsi="Arial"/>
          <w:sz w:val="22"/>
        </w:rPr>
        <w:t xml:space="preserve"> programů může poskytnout cenné poznatky pro efektivní nastavení a realizaci </w:t>
      </w:r>
      <w:r w:rsidRPr="008C1073" w:rsidR="001702B8">
        <w:rPr>
          <w:rFonts w:ascii="Arial" w:eastAsia="Calibri" w:hAnsi="Arial"/>
          <w:sz w:val="22"/>
        </w:rPr>
        <w:t>analogických programů</w:t>
      </w:r>
      <w:r w:rsidRPr="008C1073" w:rsidR="00766334">
        <w:rPr>
          <w:rFonts w:ascii="Arial" w:eastAsia="Calibri" w:hAnsi="Arial"/>
          <w:sz w:val="22"/>
        </w:rPr>
        <w:t xml:space="preserve"> v podmínkách</w:t>
      </w:r>
      <w:r w:rsidRPr="008C1073">
        <w:rPr>
          <w:rFonts w:ascii="Arial" w:eastAsia="Calibri" w:hAnsi="Arial"/>
          <w:sz w:val="22"/>
        </w:rPr>
        <w:t xml:space="preserve"> ČR.</w:t>
      </w:r>
    </w:p>
    <w:sectPr w:rsidSect="000241FA">
      <w:footerReference w:type="default" r:id="rId14"/>
      <w:pgSz w:w="11909" w:h="16834"/>
      <w:pgMar w:top="1440" w:right="1440" w:bottom="993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63737748"/>
      <w:docPartObj>
        <w:docPartGallery w:val="Page Numbers (Bottom of Page)"/>
        <w:docPartUnique/>
      </w:docPartObj>
    </w:sdtPr>
    <w:sdtContent>
      <w:p w:rsidR="00117834" w14:paraId="5E61F873" w14:textId="78D4696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22</w:t>
        </w:r>
        <w:r>
          <w:fldChar w:fldCharType="end"/>
        </w:r>
      </w:p>
    </w:sdtContent>
  </w:sdt>
  <w:p w:rsidR="00117834" w14:paraId="31DAED2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AF78EC" w14:paraId="53B2C76A" w14:textId="77777777">
      <w:pPr>
        <w:spacing w:line="240" w:lineRule="auto"/>
      </w:pPr>
      <w:r>
        <w:separator/>
      </w:r>
    </w:p>
  </w:footnote>
  <w:footnote w:type="continuationSeparator" w:id="1">
    <w:p w:rsidR="00AF78EC" w14:paraId="64404413" w14:textId="77777777">
      <w:pPr>
        <w:spacing w:line="240" w:lineRule="auto"/>
      </w:pPr>
      <w:r>
        <w:continuationSeparator/>
      </w:r>
    </w:p>
  </w:footnote>
  <w:footnote w:type="continuationNotice" w:id="2">
    <w:p w:rsidR="00AF78EC" w14:paraId="29E98D93" w14:textId="77777777">
      <w:pPr>
        <w:spacing w:line="240" w:lineRule="auto"/>
      </w:pPr>
    </w:p>
  </w:footnote>
  <w:footnote w:id="3">
    <w:p w:rsidR="000241FA" w:rsidRPr="000241FA" w14:paraId="61806203" w14:textId="782A2BA6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bookmarkStart w:id="4" w:name="_Hlk175922311"/>
      <w:hyperlink r:id="rId1" w:history="1">
        <w:r w:rsidRPr="00DF7571">
          <w:rPr>
            <w:rStyle w:val="Hyperlink"/>
          </w:rPr>
          <w:t>https://www.oecd-ilibrary.org/science-and-technology/commercialising-public-research-new-trends-and-strategies_9789264193321-en</w:t>
        </w:r>
      </w:hyperlink>
      <w:r>
        <w:t xml:space="preserve"> </w:t>
      </w:r>
      <w:bookmarkEnd w:id="4"/>
    </w:p>
  </w:footnote>
  <w:footnote w:id="4">
    <w:p w:rsidR="000241FA" w:rsidRPr="000241FA" w14:paraId="553ACB67" w14:textId="51294784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" w:anchor="cit_2" w:history="1">
        <w:r w:rsidRPr="00DF7571">
          <w:rPr>
            <w:rStyle w:val="Hyperlink"/>
          </w:rPr>
          <w:t>https://www.sciencedirect.com/science/article/pii/S0048733321000159#cit_2</w:t>
        </w:r>
      </w:hyperlink>
      <w:r>
        <w:t xml:space="preserve"> </w:t>
      </w:r>
    </w:p>
  </w:footnote>
  <w:footnote w:id="5">
    <w:p w:rsidR="000241FA" w:rsidRPr="000241FA" w14:paraId="78511023" w14:textId="2E92B8A7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DF7571">
          <w:rPr>
            <w:rStyle w:val="Hyperlink"/>
          </w:rPr>
          <w:t>https://link.springer.com/book/10.1007/978-3-031-44369-5</w:t>
        </w:r>
      </w:hyperlink>
      <w:r>
        <w:t xml:space="preserve"> </w:t>
      </w:r>
    </w:p>
  </w:footnote>
  <w:footnote w:id="6">
    <w:p w:rsidR="00231E2D" w:rsidRPr="00231E2D" w14:paraId="43489B45" w14:textId="59DFEBD3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4" w:history="1">
        <w:r w:rsidRPr="00DF7571">
          <w:rPr>
            <w:rStyle w:val="Hyperlink"/>
          </w:rPr>
          <w:t>https://research-and-innovation.ec.europa.eu/statistics/performance-indicators/european-innovation-scoreboard_en</w:t>
        </w:r>
      </w:hyperlink>
      <w:r>
        <w:t xml:space="preserve"> </w:t>
      </w:r>
    </w:p>
  </w:footnote>
  <w:footnote w:id="7">
    <w:p w:rsidR="00231E2D" w:rsidRPr="00231E2D" w14:paraId="557BC3F0" w14:textId="2D4F6E2C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DF7571">
          <w:rPr>
            <w:rStyle w:val="Hyperlink"/>
          </w:rPr>
          <w:t>https://ec.europa.eu/assets/rtd/eis/2023/ec_rtd_eis-country-profile-cz.pdf</w:t>
        </w:r>
      </w:hyperlink>
      <w:r>
        <w:t xml:space="preserve"> </w:t>
      </w:r>
    </w:p>
  </w:footnote>
  <w:footnote w:id="8">
    <w:p w:rsidR="00231E2D" w:rsidRPr="00231E2D" w14:paraId="6FCCB7C1" w14:textId="0D0588B4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DF7571">
          <w:rPr>
            <w:rStyle w:val="Hyperlink"/>
          </w:rPr>
          <w:t>https://www.svtp.cz/katalog/</w:t>
        </w:r>
      </w:hyperlink>
      <w:r>
        <w:t xml:space="preserve"> </w:t>
      </w:r>
    </w:p>
  </w:footnote>
  <w:footnote w:id="9">
    <w:p w:rsidR="00231E2D" w:rsidRPr="00231E2D" w14:paraId="27A69A00" w14:textId="7F4DEB40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DF7571">
          <w:rPr>
            <w:rStyle w:val="Hyperlink"/>
          </w:rPr>
          <w:t>https://www.czso.cz/csu/czso/ukazatele-vyzkumu-a-vyvoje-2022</w:t>
        </w:r>
      </w:hyperlink>
      <w:r>
        <w:t xml:space="preserve"> </w:t>
      </w:r>
    </w:p>
  </w:footnote>
  <w:footnote w:id="10">
    <w:p w:rsidR="00231E2D" w:rsidRPr="00231E2D" w14:paraId="24237625" w14:textId="4B6A2822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DF7571" w:rsidR="007472A0">
          <w:rPr>
            <w:rStyle w:val="Hyperlink"/>
          </w:rPr>
          <w:t>https://vyzkum.gov.cz/FrontClanek.aspx?idsekce=913172</w:t>
        </w:r>
      </w:hyperlink>
      <w:r w:rsidR="007472A0">
        <w:t xml:space="preserve"> </w:t>
      </w:r>
      <w:r>
        <w:t xml:space="preserve"> </w:t>
      </w:r>
    </w:p>
  </w:footnote>
  <w:footnote w:id="11">
    <w:p w:rsidR="00231E2D" w:rsidRPr="00231E2D" w14:paraId="04866D03" w14:textId="3CD73316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9" w:history="1">
        <w:r w:rsidRPr="00DF7571">
          <w:rPr>
            <w:rStyle w:val="Hyperlink"/>
          </w:rPr>
          <w:t>https://csu.gov.cz/docs/107508/acd75680-0226-98bc-acb3-fda4926d7b3b/21100223a.docx</w:t>
        </w:r>
      </w:hyperlink>
      <w:r>
        <w:t xml:space="preserve"> </w:t>
      </w:r>
    </w:p>
  </w:footnote>
  <w:footnote w:id="12">
    <w:p w:rsidR="00231E2D" w:rsidRPr="00231E2D" w14:paraId="4EF7B895" w14:textId="3CEE0F99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10" w:history="1">
        <w:r w:rsidRPr="00DF7571">
          <w:rPr>
            <w:rStyle w:val="Hyperlink"/>
          </w:rPr>
          <w:t>https://vedavyzkum.cz/z-domova/technologicke-centrum-praha/centra-transferu-technologii-dopady-dotaci-ze-strukturalnich-fondu-a-programu-ta-cr</w:t>
        </w:r>
      </w:hyperlink>
      <w:r>
        <w:t xml:space="preserve"> </w:t>
      </w:r>
    </w:p>
  </w:footnote>
  <w:footnote w:id="13">
    <w:p w:rsidR="00231E2D" w:rsidRPr="00231E2D" w14:paraId="17AB0517" w14:textId="7D91522D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11" w:history="1">
        <w:r w:rsidRPr="00DF7571">
          <w:rPr>
            <w:rStyle w:val="Hyperlink"/>
          </w:rPr>
          <w:t>https://vedavyzkum.cz/blogy-a-komentare/martin-duda/vysoke-skoly-prijmy-z-licenci-klesaji-smluvni-vyzkum-roste</w:t>
        </w:r>
      </w:hyperlink>
      <w:r>
        <w:t xml:space="preserve"> </w:t>
      </w:r>
    </w:p>
  </w:footnote>
  <w:footnote w:id="14">
    <w:p w:rsidR="00231E2D" w:rsidRPr="00231E2D" w14:paraId="2AADC38D" w14:textId="3F1C3C2D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2" w:history="1">
        <w:r w:rsidRPr="00DF7571">
          <w:rPr>
            <w:rStyle w:val="Hyperlink"/>
          </w:rPr>
          <w:t>https://sj.news/napad-z-univerzity-pokud-nezalozite-spinoff-muzete-celit-i-zalobe/</w:t>
        </w:r>
      </w:hyperlink>
      <w:r>
        <w:t xml:space="preserve"> </w:t>
      </w:r>
    </w:p>
  </w:footnote>
  <w:footnote w:id="15">
    <w:p w:rsidR="00A90833" w:rsidRPr="00A90833" w14:paraId="1F178500" w14:textId="4C5A69C8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13" w:history="1">
        <w:r w:rsidRPr="00DF7571">
          <w:rPr>
            <w:rStyle w:val="Hyperlink"/>
          </w:rPr>
          <w:t>https://www.tacr.cz/soutez/program-sigma/ctvrta-verejna-soutez-dilci-cil-1-podpora-aktivit-proof-of-concept-ve-vyzkumnych-organizacich/</w:t>
        </w:r>
      </w:hyperlink>
      <w:r>
        <w:t xml:space="preserve"> </w:t>
      </w:r>
    </w:p>
  </w:footnote>
  <w:footnote w:id="16">
    <w:p w:rsidR="00A90833" w:rsidRPr="00A90833" w14:paraId="5032A7FF" w14:textId="162A6BD6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4" w:history="1">
        <w:r w:rsidRPr="00DF7571">
          <w:rPr>
            <w:rStyle w:val="Hyperlink"/>
          </w:rPr>
          <w:t>https://techtransfer.cas.cz/sluzby/program-prak/</w:t>
        </w:r>
      </w:hyperlink>
      <w:r>
        <w:t xml:space="preserve"> </w:t>
      </w:r>
    </w:p>
  </w:footnote>
  <w:footnote w:id="17">
    <w:p w:rsidR="00A90833" w:rsidRPr="00A90833" w14:paraId="30C47BAF" w14:textId="3555D277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10" w:history="1">
        <w:r w:rsidRPr="00DF7571">
          <w:rPr>
            <w:rStyle w:val="Hyperlink"/>
          </w:rPr>
          <w:t>https://vedavyzkum.cz/z-domova/technologicke-centrum-praha/centra-transferu-technologii-dopady-dotaci-ze-strukturalnich-fondu-a-programu-ta-cr</w:t>
        </w:r>
      </w:hyperlink>
      <w:r>
        <w:t xml:space="preserve"> </w:t>
      </w:r>
    </w:p>
  </w:footnote>
  <w:footnote w:id="18">
    <w:p w:rsidR="00A90833" w:rsidRPr="00A90833" w14:paraId="1B2CEAD0" w14:textId="790303BC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5" w:history="1">
        <w:r w:rsidRPr="00DF7571">
          <w:rPr>
            <w:rStyle w:val="Hyperlink"/>
          </w:rPr>
          <w:t>https://www.agentura-api.org/cs/programy-podpory/proof-of-concept/</w:t>
        </w:r>
      </w:hyperlink>
      <w:r>
        <w:t xml:space="preserve"> </w:t>
      </w:r>
    </w:p>
  </w:footnote>
  <w:footnote w:id="19">
    <w:p w:rsidR="007472A0" w:rsidRPr="007472A0" w14:paraId="04355F38" w14:textId="5E4A5AFF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6" w:history="1">
        <w:r w:rsidRPr="00DF7571">
          <w:rPr>
            <w:rStyle w:val="Hyperlink"/>
          </w:rPr>
          <w:t>https://opjak.cz/</w:t>
        </w:r>
      </w:hyperlink>
      <w:r>
        <w:t xml:space="preserve"> </w:t>
      </w:r>
    </w:p>
  </w:footnote>
  <w:footnote w:id="20">
    <w:p w:rsidR="00965EE9" w:rsidRPr="00965EE9" w14:paraId="2556E792" w14:textId="55883368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7" w:history="1">
        <w:r w:rsidRPr="00DF7571">
          <w:rPr>
            <w:rStyle w:val="Hyperlink"/>
          </w:rPr>
          <w:t>https://ec.europa.eu/regional_policy/assets/regional-competitiveness/index.html</w:t>
        </w:r>
      </w:hyperlink>
      <w:r>
        <w:t xml:space="preserve"> </w:t>
      </w:r>
    </w:p>
  </w:footnote>
  <w:footnote w:id="21">
    <w:p w:rsidR="00A33C91" w:rsidRPr="00A33C91" w14:paraId="2E59D5CC" w14:textId="76B220D1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" w:anchor="bib0073" w:history="1">
        <w:r w:rsidRPr="00DF7571">
          <w:rPr>
            <w:rStyle w:val="Hyperlink"/>
          </w:rPr>
          <w:t>https://www.sciencedirect.com/science/article/pii/S0048733321000159#bib0073</w:t>
        </w:r>
      </w:hyperlink>
      <w:r>
        <w:t xml:space="preserve"> </w:t>
      </w:r>
    </w:p>
  </w:footnote>
  <w:footnote w:id="22">
    <w:p w:rsidR="00BA29BD" w:rsidRPr="00BA29BD" w14:paraId="51A7687B" w14:textId="24DCB663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" w:anchor="bib0073" w:history="1">
        <w:r w:rsidRPr="00DF7571">
          <w:rPr>
            <w:rStyle w:val="Hyperlink"/>
          </w:rPr>
          <w:t>https://www.sciencedirect.com/science/article/pii/S0048733321000159#bib0073</w:t>
        </w:r>
      </w:hyperlink>
    </w:p>
  </w:footnote>
  <w:footnote w:id="23">
    <w:p w:rsidR="00BA29BD" w:rsidRPr="00BA29BD" w:rsidP="00BA29BD" w14:paraId="137D6BEB" w14:textId="77777777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" w:anchor="bib0073" w:history="1">
        <w:r w:rsidRPr="00DF7571">
          <w:rPr>
            <w:rStyle w:val="Hyperlink"/>
          </w:rPr>
          <w:t>https://www.sciencedirect.com/science/article/pii/S0048733321000159#bib0073</w:t>
        </w:r>
      </w:hyperlink>
    </w:p>
  </w:footnote>
  <w:footnote w:id="24">
    <w:p w:rsidR="00646B4D" w:rsidRPr="00646B4D" w14:paraId="27508348" w14:textId="1C53B222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8" w:history="1">
        <w:r w:rsidRPr="00DF7571">
          <w:rPr>
            <w:rStyle w:val="Hyperlink"/>
          </w:rPr>
          <w:t>https://www.ncn.gov.pl/en/finansowanie-nauki/konkursy/typy/10</w:t>
        </w:r>
      </w:hyperlink>
      <w:r>
        <w:t xml:space="preserve"> </w:t>
      </w:r>
    </w:p>
  </w:footnote>
  <w:footnote w:id="25">
    <w:p w:rsidR="000F7440" w:rsidRPr="000F7440" w14:paraId="5E02332E" w14:textId="042D71E3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19" w:history="1">
        <w:r w:rsidRPr="00DF7571" w:rsidR="0039527E">
          <w:rPr>
            <w:rStyle w:val="Hyperlink"/>
          </w:rPr>
          <w:t>https://www.vr.se/english/applying-for-funding/calls/2023-11-15-proof-of-concept-within-the-infection-area.html</w:t>
        </w:r>
      </w:hyperlink>
      <w:r>
        <w:t xml:space="preserve"> </w:t>
      </w:r>
    </w:p>
  </w:footnote>
  <w:footnote w:id="26">
    <w:p w:rsidR="0039527E" w:rsidRPr="0039527E" w14:paraId="6C1EDF3E" w14:textId="240CE831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0" w:history="1">
        <w:r w:rsidRPr="00DF7571" w:rsidR="007A1D5E">
          <w:rPr>
            <w:rStyle w:val="Hyperlink"/>
          </w:rPr>
          <w:t>https://www.bridge.ch/en</w:t>
        </w:r>
      </w:hyperlink>
      <w:r w:rsidR="007A1D5E">
        <w:t xml:space="preserve"> </w:t>
      </w:r>
    </w:p>
  </w:footnote>
  <w:footnote w:id="27">
    <w:p w:rsidR="007A1D5E" w:rsidRPr="007A1D5E" w14:paraId="28A553B8" w14:textId="1DBFA10B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1" w:history="1">
        <w:r w:rsidRPr="00DF7571">
          <w:rPr>
            <w:rStyle w:val="Hyperlink"/>
          </w:rPr>
          <w:t>https://www.bridge.ch/en/OUlwVr73Qg55dJtK/page/funding/proof-of-concept</w:t>
        </w:r>
      </w:hyperlink>
      <w:r>
        <w:t xml:space="preserve"> </w:t>
      </w:r>
    </w:p>
  </w:footnote>
  <w:footnote w:id="28">
    <w:p w:rsidR="008528D8" w:rsidRPr="008528D8" w14:paraId="65E1AF54" w14:textId="0CA51EB7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2" w:history="1">
        <w:r w:rsidRPr="00DF7571">
          <w:rPr>
            <w:rStyle w:val="Hyperlink"/>
          </w:rPr>
          <w:t>https://www.bridge.ch/en/2JhW2ZFO9e7sAImV/page/funding/discovery</w:t>
        </w:r>
      </w:hyperlink>
      <w:r>
        <w:t xml:space="preserve"> </w:t>
      </w:r>
    </w:p>
  </w:footnote>
  <w:footnote w:id="29">
    <w:p w:rsidR="003259F7" w:rsidRPr="003259F7" w14:paraId="046A23D0" w14:textId="6EB40563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23" w:history="1">
        <w:r w:rsidRPr="00DF7571" w:rsidR="0013537F">
          <w:rPr>
            <w:rStyle w:val="Hyperlink"/>
          </w:rPr>
          <w:t>https://www.aka.fi/en/research-funding/programmes-and-other-funding-schemes/academy-of-finland-proof-of-concept-funding/</w:t>
        </w:r>
      </w:hyperlink>
      <w:r>
        <w:t xml:space="preserve"> </w:t>
      </w:r>
    </w:p>
  </w:footnote>
  <w:footnote w:id="30">
    <w:p w:rsidR="0013537F" w:rsidRPr="0013537F" w14:paraId="1D2D9C7C" w14:textId="3D0FAF5E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hyperlink r:id="rId24" w:history="1">
        <w:r w:rsidRPr="00DF7571" w:rsidR="00864B2D">
          <w:rPr>
            <w:rStyle w:val="Hyperlink"/>
          </w:rPr>
          <w:t>https://www.exist.de/EXIST/Redaktion/EN/Dossier/Start-up-Funding/Transfer-of-Research/EXIST-Transfer-of-Research.html</w:t>
        </w:r>
      </w:hyperlink>
      <w:r>
        <w:t xml:space="preserve"> </w:t>
      </w:r>
    </w:p>
  </w:footnote>
  <w:footnote w:id="31">
    <w:p w:rsidR="00864B2D" w:rsidRPr="00864B2D" w14:paraId="72C412DA" w14:textId="440C6281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5" w:history="1">
        <w:r w:rsidRPr="00DF7571">
          <w:rPr>
            <w:rStyle w:val="Hyperlink"/>
          </w:rPr>
          <w:t>https://www.nwo.nl/en/researchprogrammes/take-off</w:t>
        </w:r>
      </w:hyperlink>
      <w:r>
        <w:t xml:space="preserve"> </w:t>
      </w:r>
    </w:p>
  </w:footnote>
  <w:footnote w:id="32">
    <w:p w:rsidR="002708B7" w:rsidRPr="002708B7" w14:paraId="135170BF" w14:textId="79E2C922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6" w:history="1">
        <w:r w:rsidRPr="00DF7571">
          <w:rPr>
            <w:rStyle w:val="Hyperlink"/>
          </w:rPr>
          <w:t>https://erc.europa.eu/sites/default/files/document/file/poc_review_report.pdf</w:t>
        </w:r>
      </w:hyperlink>
      <w:r>
        <w:t xml:space="preserve"> </w:t>
      </w:r>
    </w:p>
  </w:footnote>
  <w:footnote w:id="33">
    <w:p w:rsidR="00DC372C" w:rsidRPr="00DC372C" w14:paraId="724FAF9A" w14:textId="602E1CC6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7" w:history="1">
        <w:r w:rsidRPr="00DF7571">
          <w:rPr>
            <w:rStyle w:val="Hyperlink"/>
          </w:rPr>
          <w:t>https://erc.europa.eu/news-events/magazine/survey-poc-academic-entrepreneurship</w:t>
        </w:r>
      </w:hyperlink>
      <w:r>
        <w:t xml:space="preserve"> </w:t>
      </w:r>
    </w:p>
  </w:footnote>
  <w:footnote w:id="34">
    <w:p w:rsidR="000257EB" w:rsidRPr="000257EB" w14:paraId="10EF04CF" w14:textId="47E70122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2" w:anchor="sec0015" w:history="1">
        <w:r w:rsidRPr="00DF7571">
          <w:rPr>
            <w:rStyle w:val="Hyperlink"/>
          </w:rPr>
          <w:t>https://www.sciencedirect.com/science/article/pii/S0048733321000159#sec0015</w:t>
        </w:r>
      </w:hyperlink>
      <w:r>
        <w:t xml:space="preserve"> </w:t>
      </w:r>
    </w:p>
  </w:footnote>
  <w:footnote w:id="35">
    <w:p w:rsidR="000D2B04" w14:paraId="0000006B" w14:textId="35FFD184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E22D7B">
        <w:rPr>
          <w:rFonts w:ascii="Calibri" w:eastAsia="Calibri" w:hAnsi="Calibri" w:cs="Calibri"/>
          <w:sz w:val="20"/>
          <w:szCs w:val="20"/>
        </w:rPr>
        <w:t xml:space="preserve">Dalších </w:t>
      </w:r>
      <w:r w:rsidR="00217896">
        <w:rPr>
          <w:rFonts w:ascii="Calibri" w:eastAsia="Calibri" w:hAnsi="Calibri" w:cs="Calibri"/>
          <w:sz w:val="20"/>
          <w:szCs w:val="20"/>
        </w:rPr>
        <w:t>2</w:t>
      </w:r>
      <w:r w:rsidR="00037D65">
        <w:rPr>
          <w:rFonts w:ascii="Calibri" w:eastAsia="Calibri" w:hAnsi="Calibri" w:cs="Calibri"/>
          <w:sz w:val="20"/>
          <w:szCs w:val="20"/>
        </w:rPr>
        <w:t>5</w:t>
      </w:r>
      <w:r w:rsidRPr="00E22D7B" w:rsidR="00217896">
        <w:rPr>
          <w:rFonts w:ascii="Calibri" w:eastAsia="Calibri" w:hAnsi="Calibri" w:cs="Calibri"/>
          <w:sz w:val="20"/>
          <w:szCs w:val="20"/>
        </w:rPr>
        <w:t xml:space="preserve"> </w:t>
      </w:r>
      <w:r w:rsidRPr="00E22D7B">
        <w:rPr>
          <w:rFonts w:ascii="Calibri" w:eastAsia="Calibri" w:hAnsi="Calibri" w:cs="Calibri"/>
          <w:sz w:val="20"/>
          <w:szCs w:val="20"/>
        </w:rPr>
        <w:t xml:space="preserve">% </w:t>
      </w:r>
      <w:bookmarkStart w:id="32" w:name="_Hlk175906671"/>
      <w:r w:rsidRPr="00E22D7B">
        <w:rPr>
          <w:rFonts w:ascii="Calibri" w:eastAsia="Calibri" w:hAnsi="Calibri" w:cs="Calibri"/>
          <w:sz w:val="20"/>
          <w:szCs w:val="20"/>
        </w:rPr>
        <w:t>výzkumníků</w:t>
      </w:r>
      <w:r w:rsidRPr="00E22D7B">
        <w:rPr>
          <w:sz w:val="20"/>
          <w:szCs w:val="20"/>
        </w:rPr>
        <w:t xml:space="preserve"> </w:t>
      </w:r>
      <w:r w:rsidRPr="00E22D7B" w:rsidR="00945A00">
        <w:rPr>
          <w:rFonts w:ascii="Calibri" w:eastAsia="Calibri" w:hAnsi="Calibri" w:cs="Calibri"/>
          <w:sz w:val="20"/>
          <w:szCs w:val="20"/>
        </w:rPr>
        <w:t>a výzkumnic</w:t>
      </w:r>
      <w:r w:rsidRPr="00E22D7B">
        <w:rPr>
          <w:rFonts w:ascii="Calibri" w:eastAsia="Calibri" w:hAnsi="Calibri" w:cs="Calibri"/>
          <w:sz w:val="20"/>
          <w:szCs w:val="20"/>
        </w:rPr>
        <w:t xml:space="preserve"> </w:t>
      </w:r>
      <w:bookmarkEnd w:id="32"/>
      <w:r w:rsidRPr="00E22D7B">
        <w:rPr>
          <w:rFonts w:ascii="Calibri" w:eastAsia="Calibri" w:hAnsi="Calibri" w:cs="Calibri"/>
          <w:sz w:val="20"/>
          <w:szCs w:val="20"/>
        </w:rPr>
        <w:t xml:space="preserve">nepovažuje svůj výzkum za </w:t>
      </w:r>
      <w:r w:rsidRPr="00E22D7B" w:rsidR="001E3D12">
        <w:rPr>
          <w:rFonts w:ascii="Calibri" w:eastAsia="Calibri" w:hAnsi="Calibri" w:cs="Calibri"/>
          <w:sz w:val="20"/>
          <w:szCs w:val="20"/>
        </w:rPr>
        <w:t>vhodný</w:t>
      </w:r>
      <w:r w:rsidRPr="00E22D7B">
        <w:rPr>
          <w:rFonts w:ascii="Calibri" w:eastAsia="Calibri" w:hAnsi="Calibri" w:cs="Calibri"/>
          <w:sz w:val="20"/>
          <w:szCs w:val="20"/>
        </w:rPr>
        <w:t xml:space="preserve"> pro aplikace.</w:t>
      </w:r>
    </w:p>
  </w:footnote>
  <w:footnote w:id="36">
    <w:p w:rsidR="00792D3C" w:rsidRPr="004E0DC7" w14:paraId="735ADC5C" w14:textId="6AA5182D">
      <w:pPr>
        <w:pStyle w:val="FootnoteText"/>
        <w:rPr>
          <w:rFonts w:cstheme="majorHAnsi"/>
          <w:lang w:val="cs-CZ"/>
        </w:rPr>
      </w:pPr>
      <w:r w:rsidRPr="00187AEC">
        <w:rPr>
          <w:rStyle w:val="FootnoteReference"/>
          <w:rFonts w:cstheme="majorHAnsi"/>
        </w:rPr>
        <w:footnoteRef/>
      </w:r>
      <w:r w:rsidRPr="00187AEC">
        <w:rPr>
          <w:rFonts w:cstheme="majorHAnsi"/>
        </w:rPr>
        <w:t xml:space="preserve"> Dostupné na: </w:t>
      </w:r>
      <w:hyperlink r:id="rId28" w:history="1">
        <w:r w:rsidRPr="00187AEC">
          <w:rPr>
            <w:rStyle w:val="Hyperlink"/>
            <w:rFonts w:cstheme="majorHAnsi"/>
          </w:rPr>
          <w:t>https://is.muni.cz/th/dqlmg/448526_Petrickova_Sava_Diplomova_prace.pdf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3E649A"/>
    <w:multiLevelType w:val="hybridMultilevel"/>
    <w:tmpl w:val="F65E02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27D0A"/>
    <w:multiLevelType w:val="multilevel"/>
    <w:tmpl w:val="B6CA0DC4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63D73AD"/>
    <w:multiLevelType w:val="multilevel"/>
    <w:tmpl w:val="0906A8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AEF1B08"/>
    <w:multiLevelType w:val="multilevel"/>
    <w:tmpl w:val="8FB497E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B6B29D1"/>
    <w:multiLevelType w:val="hybridMultilevel"/>
    <w:tmpl w:val="CA7696E4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A6C53"/>
    <w:multiLevelType w:val="hybridMultilevel"/>
    <w:tmpl w:val="1EA87952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FDAD6"/>
    <w:multiLevelType w:val="hybridMultilevel"/>
    <w:tmpl w:val="602A909A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0650"/>
    <w:multiLevelType w:val="hybridMultilevel"/>
    <w:tmpl w:val="8934F0F8"/>
    <w:lvl w:ilvl="0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95247"/>
    <w:multiLevelType w:val="hybridMultilevel"/>
    <w:tmpl w:val="6CBCBF8A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606CE3"/>
    <w:multiLevelType w:val="hybridMultilevel"/>
    <w:tmpl w:val="41942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940F4"/>
    <w:multiLevelType w:val="multilevel"/>
    <w:tmpl w:val="33583FD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DDA7CEB"/>
    <w:multiLevelType w:val="multilevel"/>
    <w:tmpl w:val="24726E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DF2D489"/>
    <w:multiLevelType w:val="hybridMultilevel"/>
    <w:tmpl w:val="65A00CB6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226099"/>
    <w:multiLevelType w:val="hybridMultilevel"/>
    <w:tmpl w:val="18E444C0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711ED"/>
    <w:multiLevelType w:val="hybridMultilevel"/>
    <w:tmpl w:val="E998103C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06022"/>
    <w:multiLevelType w:val="hybridMultilevel"/>
    <w:tmpl w:val="9B6E54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0627A"/>
    <w:multiLevelType w:val="hybridMultilevel"/>
    <w:tmpl w:val="4DC04DFE"/>
    <w:lvl w:ilvl="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7623F"/>
    <w:multiLevelType w:val="hybridMultilevel"/>
    <w:tmpl w:val="000AE642"/>
    <w:lvl w:ilvl="0">
      <w:start w:val="0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F3815"/>
    <w:multiLevelType w:val="hybridMultilevel"/>
    <w:tmpl w:val="5608EE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1B9D"/>
    <w:multiLevelType w:val="hybridMultilevel"/>
    <w:tmpl w:val="2CF2B5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2B478D"/>
    <w:multiLevelType w:val="multilevel"/>
    <w:tmpl w:val="442CA8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4037736"/>
    <w:multiLevelType w:val="hybridMultilevel"/>
    <w:tmpl w:val="A3F444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4E0E30"/>
    <w:multiLevelType w:val="multilevel"/>
    <w:tmpl w:val="FE5477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6B08510D"/>
    <w:multiLevelType w:val="hybridMultilevel"/>
    <w:tmpl w:val="C3401D80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BD0651"/>
    <w:multiLevelType w:val="multilevel"/>
    <w:tmpl w:val="0F84A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7B066467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>
    <w:nsid w:val="7DA505FF"/>
    <w:multiLevelType w:val="hybridMultilevel"/>
    <w:tmpl w:val="5C76B664"/>
    <w:lvl w:ilvl="0">
      <w:start w:val="0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8"/>
  </w:num>
  <w:num w:numId="5">
    <w:abstractNumId w:val="16"/>
  </w:num>
  <w:num w:numId="6">
    <w:abstractNumId w:val="12"/>
  </w:num>
  <w:num w:numId="7">
    <w:abstractNumId w:val="21"/>
  </w:num>
  <w:num w:numId="8">
    <w:abstractNumId w:val="5"/>
  </w:num>
  <w:num w:numId="9">
    <w:abstractNumId w:val="13"/>
  </w:num>
  <w:num w:numId="10">
    <w:abstractNumId w:val="19"/>
  </w:num>
  <w:num w:numId="11">
    <w:abstractNumId w:val="24"/>
  </w:num>
  <w:num w:numId="12">
    <w:abstractNumId w:val="25"/>
  </w:num>
  <w:num w:numId="13">
    <w:abstractNumId w:val="10"/>
  </w:num>
  <w:num w:numId="14">
    <w:abstractNumId w:val="20"/>
  </w:num>
  <w:num w:numId="15">
    <w:abstractNumId w:val="3"/>
  </w:num>
  <w:num w:numId="16">
    <w:abstractNumId w:val="2"/>
  </w:num>
  <w:num w:numId="17">
    <w:abstractNumId w:val="1"/>
  </w:num>
  <w:num w:numId="18">
    <w:abstractNumId w:val="22"/>
  </w:num>
  <w:num w:numId="19">
    <w:abstractNumId w:val="11"/>
  </w:num>
  <w:num w:numId="20">
    <w:abstractNumId w:val="9"/>
  </w:num>
  <w:num w:numId="21">
    <w:abstractNumId w:val="17"/>
  </w:num>
  <w:num w:numId="22">
    <w:abstractNumId w:val="23"/>
  </w:num>
  <w:num w:numId="23">
    <w:abstractNumId w:val="4"/>
  </w:num>
  <w:num w:numId="24">
    <w:abstractNumId w:val="26"/>
  </w:num>
  <w:num w:numId="25">
    <w:abstractNumId w:val="7"/>
  </w:num>
  <w:num w:numId="26">
    <w:abstractNumId w:val="1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  <w:footnote w:id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04"/>
    <w:rsid w:val="0000058D"/>
    <w:rsid w:val="0000593D"/>
    <w:rsid w:val="000241FA"/>
    <w:rsid w:val="000257EB"/>
    <w:rsid w:val="00033198"/>
    <w:rsid w:val="00037D65"/>
    <w:rsid w:val="00067FAB"/>
    <w:rsid w:val="00074EC3"/>
    <w:rsid w:val="00082C9C"/>
    <w:rsid w:val="0008330B"/>
    <w:rsid w:val="0008539A"/>
    <w:rsid w:val="000967A5"/>
    <w:rsid w:val="000A5A05"/>
    <w:rsid w:val="000B2F3D"/>
    <w:rsid w:val="000C6A76"/>
    <w:rsid w:val="000D2B04"/>
    <w:rsid w:val="000D78CA"/>
    <w:rsid w:val="000E493A"/>
    <w:rsid w:val="000E5804"/>
    <w:rsid w:val="000F2A41"/>
    <w:rsid w:val="000F7440"/>
    <w:rsid w:val="00100600"/>
    <w:rsid w:val="001016C4"/>
    <w:rsid w:val="0010226E"/>
    <w:rsid w:val="00103B81"/>
    <w:rsid w:val="001052B3"/>
    <w:rsid w:val="00107782"/>
    <w:rsid w:val="00117834"/>
    <w:rsid w:val="00121A00"/>
    <w:rsid w:val="00121C36"/>
    <w:rsid w:val="00126A7C"/>
    <w:rsid w:val="0013537F"/>
    <w:rsid w:val="0013759C"/>
    <w:rsid w:val="00152155"/>
    <w:rsid w:val="00155AFF"/>
    <w:rsid w:val="00160810"/>
    <w:rsid w:val="001702B8"/>
    <w:rsid w:val="0017495D"/>
    <w:rsid w:val="0018210F"/>
    <w:rsid w:val="00187AEC"/>
    <w:rsid w:val="00196FF3"/>
    <w:rsid w:val="001A32BF"/>
    <w:rsid w:val="001B25A1"/>
    <w:rsid w:val="001B4845"/>
    <w:rsid w:val="001D6525"/>
    <w:rsid w:val="001E12E5"/>
    <w:rsid w:val="001E1C0B"/>
    <w:rsid w:val="001E3D12"/>
    <w:rsid w:val="001F1F62"/>
    <w:rsid w:val="001F5557"/>
    <w:rsid w:val="001F5EA7"/>
    <w:rsid w:val="002134D8"/>
    <w:rsid w:val="00217896"/>
    <w:rsid w:val="002252D4"/>
    <w:rsid w:val="00231E2D"/>
    <w:rsid w:val="0023258C"/>
    <w:rsid w:val="00237EBD"/>
    <w:rsid w:val="0024046F"/>
    <w:rsid w:val="002454E0"/>
    <w:rsid w:val="002708B7"/>
    <w:rsid w:val="002872B9"/>
    <w:rsid w:val="002A04BE"/>
    <w:rsid w:val="002A37D4"/>
    <w:rsid w:val="002B0AD6"/>
    <w:rsid w:val="002C440A"/>
    <w:rsid w:val="002C45DD"/>
    <w:rsid w:val="002E342F"/>
    <w:rsid w:val="002F4D22"/>
    <w:rsid w:val="00314575"/>
    <w:rsid w:val="0031512A"/>
    <w:rsid w:val="003259F7"/>
    <w:rsid w:val="00331621"/>
    <w:rsid w:val="0034379E"/>
    <w:rsid w:val="003664AA"/>
    <w:rsid w:val="00373051"/>
    <w:rsid w:val="0037452C"/>
    <w:rsid w:val="00376234"/>
    <w:rsid w:val="00382D7C"/>
    <w:rsid w:val="00392071"/>
    <w:rsid w:val="0039527E"/>
    <w:rsid w:val="003A0F31"/>
    <w:rsid w:val="003A2D36"/>
    <w:rsid w:val="003B53B4"/>
    <w:rsid w:val="003C11A8"/>
    <w:rsid w:val="003C2690"/>
    <w:rsid w:val="003C3181"/>
    <w:rsid w:val="003D6AA1"/>
    <w:rsid w:val="003F4DAB"/>
    <w:rsid w:val="0043095F"/>
    <w:rsid w:val="00431CFD"/>
    <w:rsid w:val="00453CDB"/>
    <w:rsid w:val="00460ED9"/>
    <w:rsid w:val="0046775D"/>
    <w:rsid w:val="00477288"/>
    <w:rsid w:val="00477B06"/>
    <w:rsid w:val="00485498"/>
    <w:rsid w:val="004951AA"/>
    <w:rsid w:val="0049759D"/>
    <w:rsid w:val="004A4A9B"/>
    <w:rsid w:val="004B29E2"/>
    <w:rsid w:val="004C059D"/>
    <w:rsid w:val="004C1353"/>
    <w:rsid w:val="004D7C3C"/>
    <w:rsid w:val="004E0DC7"/>
    <w:rsid w:val="004E5FDD"/>
    <w:rsid w:val="00501B72"/>
    <w:rsid w:val="00521339"/>
    <w:rsid w:val="00537123"/>
    <w:rsid w:val="00550210"/>
    <w:rsid w:val="00553889"/>
    <w:rsid w:val="005549D8"/>
    <w:rsid w:val="00574004"/>
    <w:rsid w:val="00575123"/>
    <w:rsid w:val="0058328B"/>
    <w:rsid w:val="005868C6"/>
    <w:rsid w:val="005900EF"/>
    <w:rsid w:val="00591A48"/>
    <w:rsid w:val="005A0572"/>
    <w:rsid w:val="005A2D8C"/>
    <w:rsid w:val="005A5FB0"/>
    <w:rsid w:val="005A724E"/>
    <w:rsid w:val="005B2122"/>
    <w:rsid w:val="005D19B3"/>
    <w:rsid w:val="006002FE"/>
    <w:rsid w:val="0060474A"/>
    <w:rsid w:val="00610F37"/>
    <w:rsid w:val="00620226"/>
    <w:rsid w:val="0064007C"/>
    <w:rsid w:val="00641C53"/>
    <w:rsid w:val="00646B4D"/>
    <w:rsid w:val="00651B2E"/>
    <w:rsid w:val="00660BCA"/>
    <w:rsid w:val="0066588B"/>
    <w:rsid w:val="006765F4"/>
    <w:rsid w:val="00681539"/>
    <w:rsid w:val="006B0E1A"/>
    <w:rsid w:val="006C7768"/>
    <w:rsid w:val="006D4253"/>
    <w:rsid w:val="006D59AD"/>
    <w:rsid w:val="006F0570"/>
    <w:rsid w:val="006F37E2"/>
    <w:rsid w:val="006F7144"/>
    <w:rsid w:val="0072101E"/>
    <w:rsid w:val="007277BF"/>
    <w:rsid w:val="007300AB"/>
    <w:rsid w:val="007472A0"/>
    <w:rsid w:val="00747BF3"/>
    <w:rsid w:val="00747FD0"/>
    <w:rsid w:val="00752FC9"/>
    <w:rsid w:val="0076623A"/>
    <w:rsid w:val="00766334"/>
    <w:rsid w:val="00792D3C"/>
    <w:rsid w:val="007942BF"/>
    <w:rsid w:val="007A1D5E"/>
    <w:rsid w:val="007A6462"/>
    <w:rsid w:val="007A6729"/>
    <w:rsid w:val="007C4405"/>
    <w:rsid w:val="007D0B55"/>
    <w:rsid w:val="007D3945"/>
    <w:rsid w:val="007E033A"/>
    <w:rsid w:val="007E1359"/>
    <w:rsid w:val="007E2BA8"/>
    <w:rsid w:val="007F5E7C"/>
    <w:rsid w:val="008059B8"/>
    <w:rsid w:val="00806E8C"/>
    <w:rsid w:val="00822D36"/>
    <w:rsid w:val="008325B0"/>
    <w:rsid w:val="008337C5"/>
    <w:rsid w:val="00846297"/>
    <w:rsid w:val="008528D8"/>
    <w:rsid w:val="00852A11"/>
    <w:rsid w:val="00864B2D"/>
    <w:rsid w:val="008805E3"/>
    <w:rsid w:val="008834EA"/>
    <w:rsid w:val="008A299B"/>
    <w:rsid w:val="008A2FB6"/>
    <w:rsid w:val="008B61B4"/>
    <w:rsid w:val="008B71DC"/>
    <w:rsid w:val="008B746C"/>
    <w:rsid w:val="008C1073"/>
    <w:rsid w:val="008C61CF"/>
    <w:rsid w:val="008D505F"/>
    <w:rsid w:val="008D69DF"/>
    <w:rsid w:val="008E4DFC"/>
    <w:rsid w:val="008E64DF"/>
    <w:rsid w:val="008F47A7"/>
    <w:rsid w:val="008F5154"/>
    <w:rsid w:val="008F70CE"/>
    <w:rsid w:val="008F7ACA"/>
    <w:rsid w:val="00911ABE"/>
    <w:rsid w:val="00930A1E"/>
    <w:rsid w:val="00931C42"/>
    <w:rsid w:val="0093270D"/>
    <w:rsid w:val="009339B5"/>
    <w:rsid w:val="00945A00"/>
    <w:rsid w:val="00957729"/>
    <w:rsid w:val="00960F93"/>
    <w:rsid w:val="00965EE9"/>
    <w:rsid w:val="0097074E"/>
    <w:rsid w:val="00973095"/>
    <w:rsid w:val="00973388"/>
    <w:rsid w:val="00980DC7"/>
    <w:rsid w:val="00983142"/>
    <w:rsid w:val="00986451"/>
    <w:rsid w:val="00992330"/>
    <w:rsid w:val="00994721"/>
    <w:rsid w:val="009A252B"/>
    <w:rsid w:val="009C0988"/>
    <w:rsid w:val="009C6AEF"/>
    <w:rsid w:val="009E3846"/>
    <w:rsid w:val="009F22D4"/>
    <w:rsid w:val="00A00697"/>
    <w:rsid w:val="00A105CD"/>
    <w:rsid w:val="00A11D33"/>
    <w:rsid w:val="00A229D0"/>
    <w:rsid w:val="00A22D0D"/>
    <w:rsid w:val="00A32129"/>
    <w:rsid w:val="00A33C91"/>
    <w:rsid w:val="00A35BF1"/>
    <w:rsid w:val="00A409F4"/>
    <w:rsid w:val="00A47E54"/>
    <w:rsid w:val="00A513EA"/>
    <w:rsid w:val="00A5274C"/>
    <w:rsid w:val="00A658DF"/>
    <w:rsid w:val="00A71C09"/>
    <w:rsid w:val="00A824BF"/>
    <w:rsid w:val="00A86F2F"/>
    <w:rsid w:val="00A90833"/>
    <w:rsid w:val="00AA45CC"/>
    <w:rsid w:val="00AB7FEE"/>
    <w:rsid w:val="00AC47B8"/>
    <w:rsid w:val="00AC75CB"/>
    <w:rsid w:val="00AD5754"/>
    <w:rsid w:val="00AF3A96"/>
    <w:rsid w:val="00AF674C"/>
    <w:rsid w:val="00AF78EC"/>
    <w:rsid w:val="00B02482"/>
    <w:rsid w:val="00B10AF7"/>
    <w:rsid w:val="00B255C3"/>
    <w:rsid w:val="00B31CF9"/>
    <w:rsid w:val="00B338F1"/>
    <w:rsid w:val="00B34A26"/>
    <w:rsid w:val="00B43A02"/>
    <w:rsid w:val="00B5773B"/>
    <w:rsid w:val="00B63C72"/>
    <w:rsid w:val="00B6550F"/>
    <w:rsid w:val="00B76CF6"/>
    <w:rsid w:val="00B81BDD"/>
    <w:rsid w:val="00B87296"/>
    <w:rsid w:val="00B9039E"/>
    <w:rsid w:val="00B9357C"/>
    <w:rsid w:val="00BA09B9"/>
    <w:rsid w:val="00BA29BD"/>
    <w:rsid w:val="00BB1A4E"/>
    <w:rsid w:val="00BB5693"/>
    <w:rsid w:val="00BB68F5"/>
    <w:rsid w:val="00BB6BFC"/>
    <w:rsid w:val="00BC0D3B"/>
    <w:rsid w:val="00BD0815"/>
    <w:rsid w:val="00BD3DAA"/>
    <w:rsid w:val="00BD6D27"/>
    <w:rsid w:val="00BF1250"/>
    <w:rsid w:val="00BF17D7"/>
    <w:rsid w:val="00C3739E"/>
    <w:rsid w:val="00C429F0"/>
    <w:rsid w:val="00C46D22"/>
    <w:rsid w:val="00C522D2"/>
    <w:rsid w:val="00C540CA"/>
    <w:rsid w:val="00C60B22"/>
    <w:rsid w:val="00C62320"/>
    <w:rsid w:val="00C901B1"/>
    <w:rsid w:val="00C921BA"/>
    <w:rsid w:val="00C9485D"/>
    <w:rsid w:val="00CA1CBE"/>
    <w:rsid w:val="00CA33B2"/>
    <w:rsid w:val="00CA70DC"/>
    <w:rsid w:val="00CC3617"/>
    <w:rsid w:val="00CD3B47"/>
    <w:rsid w:val="00CD7A91"/>
    <w:rsid w:val="00CE10FA"/>
    <w:rsid w:val="00CE6121"/>
    <w:rsid w:val="00CF1A39"/>
    <w:rsid w:val="00CF4FE6"/>
    <w:rsid w:val="00CF72D9"/>
    <w:rsid w:val="00D21715"/>
    <w:rsid w:val="00D41690"/>
    <w:rsid w:val="00D450F8"/>
    <w:rsid w:val="00D5717D"/>
    <w:rsid w:val="00D70EF1"/>
    <w:rsid w:val="00D7203A"/>
    <w:rsid w:val="00D721CF"/>
    <w:rsid w:val="00D72BC4"/>
    <w:rsid w:val="00D8366D"/>
    <w:rsid w:val="00D93FCC"/>
    <w:rsid w:val="00D967D1"/>
    <w:rsid w:val="00DB1614"/>
    <w:rsid w:val="00DC372C"/>
    <w:rsid w:val="00DC394D"/>
    <w:rsid w:val="00DC4108"/>
    <w:rsid w:val="00DC7214"/>
    <w:rsid w:val="00DD0F1A"/>
    <w:rsid w:val="00DF6414"/>
    <w:rsid w:val="00DF7571"/>
    <w:rsid w:val="00E03B76"/>
    <w:rsid w:val="00E22D7B"/>
    <w:rsid w:val="00E257B0"/>
    <w:rsid w:val="00E318E0"/>
    <w:rsid w:val="00E33632"/>
    <w:rsid w:val="00E3620C"/>
    <w:rsid w:val="00E37BA0"/>
    <w:rsid w:val="00E44AC2"/>
    <w:rsid w:val="00E47D4A"/>
    <w:rsid w:val="00E63896"/>
    <w:rsid w:val="00E77E3C"/>
    <w:rsid w:val="00E822D6"/>
    <w:rsid w:val="00EB2C30"/>
    <w:rsid w:val="00EB755E"/>
    <w:rsid w:val="00EC19B7"/>
    <w:rsid w:val="00EC4877"/>
    <w:rsid w:val="00ED0BE8"/>
    <w:rsid w:val="00ED2C60"/>
    <w:rsid w:val="00ED6264"/>
    <w:rsid w:val="00EE15DD"/>
    <w:rsid w:val="00EE1EE3"/>
    <w:rsid w:val="00F0029E"/>
    <w:rsid w:val="00F147B7"/>
    <w:rsid w:val="00F2266F"/>
    <w:rsid w:val="00F36292"/>
    <w:rsid w:val="00F42852"/>
    <w:rsid w:val="00F44673"/>
    <w:rsid w:val="00F514B7"/>
    <w:rsid w:val="00F61DBA"/>
    <w:rsid w:val="00F643E5"/>
    <w:rsid w:val="00F65B87"/>
    <w:rsid w:val="00F65D19"/>
    <w:rsid w:val="00F7009A"/>
    <w:rsid w:val="00F7050B"/>
    <w:rsid w:val="00F80816"/>
    <w:rsid w:val="00F832EC"/>
    <w:rsid w:val="00F8659E"/>
    <w:rsid w:val="00F945B8"/>
    <w:rsid w:val="00F95B87"/>
    <w:rsid w:val="00F96BEA"/>
    <w:rsid w:val="00FC0BD1"/>
    <w:rsid w:val="00FC7A30"/>
    <w:rsid w:val="00FE1322"/>
    <w:rsid w:val="00FE3624"/>
    <w:rsid w:val="00FE7E3D"/>
    <w:rsid w:val="00FF320C"/>
    <w:rsid w:val="00FF46EA"/>
    <w:rsid w:val="01091389"/>
    <w:rsid w:val="0161D709"/>
    <w:rsid w:val="018CBE41"/>
    <w:rsid w:val="01B83C95"/>
    <w:rsid w:val="01E809EF"/>
    <w:rsid w:val="0281B5C0"/>
    <w:rsid w:val="02E40823"/>
    <w:rsid w:val="03C4E7FF"/>
    <w:rsid w:val="03D99F11"/>
    <w:rsid w:val="04F9D5A6"/>
    <w:rsid w:val="0637BDE3"/>
    <w:rsid w:val="0A5C00CD"/>
    <w:rsid w:val="0B59F0D5"/>
    <w:rsid w:val="0B782551"/>
    <w:rsid w:val="0C871918"/>
    <w:rsid w:val="0D2F037B"/>
    <w:rsid w:val="0DED2C3D"/>
    <w:rsid w:val="0E795C78"/>
    <w:rsid w:val="0FF50FA8"/>
    <w:rsid w:val="10690991"/>
    <w:rsid w:val="11ABAA4C"/>
    <w:rsid w:val="11FE9178"/>
    <w:rsid w:val="13ADC6F3"/>
    <w:rsid w:val="13E2F710"/>
    <w:rsid w:val="14AD9874"/>
    <w:rsid w:val="1541AD2B"/>
    <w:rsid w:val="15E1EA6F"/>
    <w:rsid w:val="1783B89F"/>
    <w:rsid w:val="1786AB85"/>
    <w:rsid w:val="184A9A64"/>
    <w:rsid w:val="187329A9"/>
    <w:rsid w:val="18D9B1EB"/>
    <w:rsid w:val="1A6AC3CC"/>
    <w:rsid w:val="1A9CC95A"/>
    <w:rsid w:val="1B3F00B5"/>
    <w:rsid w:val="1D6CABD6"/>
    <w:rsid w:val="1DBE46AD"/>
    <w:rsid w:val="1E718B6C"/>
    <w:rsid w:val="1E782D89"/>
    <w:rsid w:val="1E7CB55F"/>
    <w:rsid w:val="1F7F1111"/>
    <w:rsid w:val="1F86C70F"/>
    <w:rsid w:val="1FCE4A44"/>
    <w:rsid w:val="20326121"/>
    <w:rsid w:val="20502C7F"/>
    <w:rsid w:val="21CF4DA5"/>
    <w:rsid w:val="225AA37F"/>
    <w:rsid w:val="2269FFDF"/>
    <w:rsid w:val="23C187F3"/>
    <w:rsid w:val="2742E048"/>
    <w:rsid w:val="2783EE00"/>
    <w:rsid w:val="27EB8044"/>
    <w:rsid w:val="28F8B1F4"/>
    <w:rsid w:val="290D5600"/>
    <w:rsid w:val="293F90B2"/>
    <w:rsid w:val="29D6D954"/>
    <w:rsid w:val="2AAFA221"/>
    <w:rsid w:val="2ABABBD5"/>
    <w:rsid w:val="2AD51934"/>
    <w:rsid w:val="2B5208A0"/>
    <w:rsid w:val="2B603220"/>
    <w:rsid w:val="2BE4F50C"/>
    <w:rsid w:val="2C2F5386"/>
    <w:rsid w:val="2C9DB2E8"/>
    <w:rsid w:val="2CF06473"/>
    <w:rsid w:val="2D250B9E"/>
    <w:rsid w:val="2DFDDF9C"/>
    <w:rsid w:val="2F792299"/>
    <w:rsid w:val="2FFEF724"/>
    <w:rsid w:val="30BD6A6C"/>
    <w:rsid w:val="31102743"/>
    <w:rsid w:val="3381C75E"/>
    <w:rsid w:val="3394303F"/>
    <w:rsid w:val="33AB8910"/>
    <w:rsid w:val="33AF582D"/>
    <w:rsid w:val="34D27EFF"/>
    <w:rsid w:val="356E6447"/>
    <w:rsid w:val="3575FC9B"/>
    <w:rsid w:val="372887E0"/>
    <w:rsid w:val="37CED6EC"/>
    <w:rsid w:val="389035DC"/>
    <w:rsid w:val="38A4B83C"/>
    <w:rsid w:val="38C8292D"/>
    <w:rsid w:val="39A35219"/>
    <w:rsid w:val="3A27E99B"/>
    <w:rsid w:val="3A2F87E7"/>
    <w:rsid w:val="3BDF2ABD"/>
    <w:rsid w:val="3C410BCF"/>
    <w:rsid w:val="3C4CF572"/>
    <w:rsid w:val="3D46B78E"/>
    <w:rsid w:val="3D7B3CB7"/>
    <w:rsid w:val="3E375B47"/>
    <w:rsid w:val="3E5E631D"/>
    <w:rsid w:val="3F00FAFB"/>
    <w:rsid w:val="3F042517"/>
    <w:rsid w:val="3FA7A4DD"/>
    <w:rsid w:val="3FD8F8D0"/>
    <w:rsid w:val="401922A1"/>
    <w:rsid w:val="421263C6"/>
    <w:rsid w:val="4396CCB8"/>
    <w:rsid w:val="45361FF8"/>
    <w:rsid w:val="4630E87D"/>
    <w:rsid w:val="4835DA46"/>
    <w:rsid w:val="492C5317"/>
    <w:rsid w:val="498D2486"/>
    <w:rsid w:val="49A8A3AD"/>
    <w:rsid w:val="4AB59C4E"/>
    <w:rsid w:val="4C6C5C57"/>
    <w:rsid w:val="4D02D99A"/>
    <w:rsid w:val="4D7FAC8F"/>
    <w:rsid w:val="4DA9079D"/>
    <w:rsid w:val="4E5A94D8"/>
    <w:rsid w:val="4E8527FC"/>
    <w:rsid w:val="4F5B6D8F"/>
    <w:rsid w:val="4FCAF007"/>
    <w:rsid w:val="502E86D9"/>
    <w:rsid w:val="511A1B48"/>
    <w:rsid w:val="5225A219"/>
    <w:rsid w:val="52A83451"/>
    <w:rsid w:val="555162D8"/>
    <w:rsid w:val="558E5718"/>
    <w:rsid w:val="55CCB1F9"/>
    <w:rsid w:val="55E4E776"/>
    <w:rsid w:val="57BB90CE"/>
    <w:rsid w:val="58D12DAA"/>
    <w:rsid w:val="59D19730"/>
    <w:rsid w:val="5A7D9246"/>
    <w:rsid w:val="5B0920EC"/>
    <w:rsid w:val="5BCCA309"/>
    <w:rsid w:val="5BFBFBD8"/>
    <w:rsid w:val="5C771BD1"/>
    <w:rsid w:val="5D6B3282"/>
    <w:rsid w:val="5D841803"/>
    <w:rsid w:val="5DB08E8E"/>
    <w:rsid w:val="5E6CD617"/>
    <w:rsid w:val="5E8FE6A9"/>
    <w:rsid w:val="5E95A104"/>
    <w:rsid w:val="5EF0907C"/>
    <w:rsid w:val="5FBD920A"/>
    <w:rsid w:val="60A03A54"/>
    <w:rsid w:val="6185F861"/>
    <w:rsid w:val="62D5BABD"/>
    <w:rsid w:val="62FB5356"/>
    <w:rsid w:val="6443567A"/>
    <w:rsid w:val="64745ED4"/>
    <w:rsid w:val="6767F0BC"/>
    <w:rsid w:val="68C5C7A0"/>
    <w:rsid w:val="68DA7FC9"/>
    <w:rsid w:val="6906CEB6"/>
    <w:rsid w:val="69CF2A48"/>
    <w:rsid w:val="6AB71146"/>
    <w:rsid w:val="6B635E06"/>
    <w:rsid w:val="6B725307"/>
    <w:rsid w:val="6B735B1A"/>
    <w:rsid w:val="6BC955F8"/>
    <w:rsid w:val="6C4D60FE"/>
    <w:rsid w:val="6CCBE0A0"/>
    <w:rsid w:val="6DC98F80"/>
    <w:rsid w:val="6EB753B1"/>
    <w:rsid w:val="6F033115"/>
    <w:rsid w:val="70356D32"/>
    <w:rsid w:val="703FC449"/>
    <w:rsid w:val="709F54FA"/>
    <w:rsid w:val="70C54AF7"/>
    <w:rsid w:val="70EDB907"/>
    <w:rsid w:val="7335D625"/>
    <w:rsid w:val="74A1EDDD"/>
    <w:rsid w:val="751A66C7"/>
    <w:rsid w:val="754152F9"/>
    <w:rsid w:val="77AE7646"/>
    <w:rsid w:val="780883F9"/>
    <w:rsid w:val="782FF835"/>
    <w:rsid w:val="795A51C1"/>
    <w:rsid w:val="79C3C425"/>
    <w:rsid w:val="7A01D55E"/>
    <w:rsid w:val="7AA80190"/>
    <w:rsid w:val="7BD26F61"/>
    <w:rsid w:val="7CEDC7C7"/>
    <w:rsid w:val="7D08908D"/>
    <w:rsid w:val="7DF4752E"/>
    <w:rsid w:val="7FC47A1D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69C2EBD-AE74-4843-A415-833803A8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322"/>
    <w:pPr>
      <w:spacing w:after="200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2"/>
      </w:numPr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0241FA"/>
    <w:pPr>
      <w:keepNext/>
      <w:keepLines/>
      <w:numPr>
        <w:ilvl w:val="1"/>
        <w:numId w:val="12"/>
      </w:numPr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numPr>
        <w:ilvl w:val="2"/>
        <w:numId w:val="12"/>
      </w:numP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2"/>
      </w:numPr>
      <w:spacing w:before="280" w:after="80"/>
      <w:outlineLvl w:val="3"/>
    </w:pPr>
    <w:rPr>
      <w:color w:val="666666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2"/>
      </w:numP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2"/>
      </w:numPr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0241FA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0241FA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0241FA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123"/>
    <w:rPr>
      <w:color w:val="0000FF" w:themeColor="hyperlink"/>
      <w:u w:val="single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B7FEE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B7FE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4877"/>
    <w:pPr>
      <w:spacing w:line="240" w:lineRule="auto"/>
    </w:pPr>
  </w:style>
  <w:style w:type="paragraph" w:styleId="Header">
    <w:name w:val="header"/>
    <w:basedOn w:val="Normal"/>
    <w:link w:val="ZhlavChar"/>
    <w:uiPriority w:val="99"/>
    <w:unhideWhenUsed/>
    <w:rsid w:val="00152155"/>
    <w:pPr>
      <w:tabs>
        <w:tab w:val="center" w:pos="4513"/>
        <w:tab w:val="right" w:pos="9026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7A6462"/>
  </w:style>
  <w:style w:type="paragraph" w:styleId="Footer">
    <w:name w:val="footer"/>
    <w:basedOn w:val="Normal"/>
    <w:link w:val="ZpatChar"/>
    <w:uiPriority w:val="99"/>
    <w:unhideWhenUsed/>
    <w:rsid w:val="00152155"/>
    <w:pPr>
      <w:tabs>
        <w:tab w:val="center" w:pos="4513"/>
        <w:tab w:val="right" w:pos="9026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7A6462"/>
  </w:style>
  <w:style w:type="table" w:customStyle="1" w:styleId="TableNormal1">
    <w:name w:val="Table Normal1"/>
    <w:rsid w:val="007A646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5123"/>
    <w:rPr>
      <w:color w:val="605E5C"/>
      <w:shd w:val="clear" w:color="auto" w:fill="E1DFDD"/>
    </w:rPr>
  </w:style>
  <w:style w:type="paragraph" w:styleId="FootnoteText">
    <w:name w:val="footnote text"/>
    <w:basedOn w:val="Normal"/>
    <w:link w:val="TextpoznpodarouChar"/>
    <w:uiPriority w:val="99"/>
    <w:semiHidden/>
    <w:unhideWhenUsed/>
    <w:rsid w:val="00575123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575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5123"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A86F2F"/>
    <w:pPr>
      <w:spacing w:before="240" w:after="0" w:line="259" w:lineRule="auto"/>
      <w:outlineLvl w:val="9"/>
    </w:pPr>
    <w:rPr>
      <w:rFonts w:eastAsiaTheme="majorEastAsia" w:cstheme="majorBidi"/>
      <w:color w:val="365F91" w:themeColor="accent1" w:themeShade="BF"/>
      <w:sz w:val="32"/>
      <w:szCs w:val="32"/>
      <w:lang w:val="cs-CZ"/>
    </w:rPr>
  </w:style>
  <w:style w:type="paragraph" w:styleId="TOC1">
    <w:name w:val="toc 1"/>
    <w:basedOn w:val="Normal"/>
    <w:next w:val="Normal"/>
    <w:autoRedefine/>
    <w:uiPriority w:val="39"/>
    <w:unhideWhenUsed/>
    <w:rsid w:val="00A86F2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86F2F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64007C"/>
    <w:rPr>
      <w:color w:val="800080" w:themeColor="followedHyperlink"/>
      <w:u w:val="single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0241F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0241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024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651B2E"/>
    <w:pPr>
      <w:spacing w:after="100"/>
      <w:ind w:left="480"/>
    </w:pPr>
  </w:style>
  <w:style w:type="character" w:styleId="IntenseEmphasis">
    <w:name w:val="Intense Emphasis"/>
    <w:basedOn w:val="DefaultParagraphFont"/>
    <w:uiPriority w:val="21"/>
    <w:qFormat/>
    <w:rsid w:val="00117834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yperlink" Target="https://erc.europa.eu/funding/proof-concept" TargetMode="External" /><Relationship Id="rId11" Type="http://schemas.openxmlformats.org/officeDocument/2006/relationships/hyperlink" Target="https://erc.europa.eu/sites/default/files/document/file/poc_review_report.pdf" TargetMode="External" /><Relationship Id="rId12" Type="http://schemas.openxmlformats.org/officeDocument/2006/relationships/hyperlink" Target="https://www.sciencedirect.com/science/article/pii/S0048733321000159" TargetMode="External" /><Relationship Id="rId13" Type="http://schemas.openxmlformats.org/officeDocument/2006/relationships/hyperlink" Target="https://is.muni.cz/th/dqlmg/448526_Petrickova_Sava_Diplomova_prace.pdf" TargetMode="Externa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yperlink" Target="https://www.tacr.cz/soutez/program-sigma/ctvrta-verejna-soutez-dilci-cil-1-podpora-aktivit-proof-of-concept-ve-vyzkumnych-organizacich/" TargetMode="External" /><Relationship Id="rId9" Type="http://schemas.openxmlformats.org/officeDocument/2006/relationships/hyperlink" Target="https://techtransfer.cas.cz/sluzby/program-prak/" TargetMode="External" /></Relationships>
</file>

<file path=word/_rels/footnotes.xml.rels>&#65279;<?xml version="1.0" encoding="utf-8" standalone="yes"?><Relationships xmlns="http://schemas.openxmlformats.org/package/2006/relationships"><Relationship Id="rId1" Type="http://schemas.openxmlformats.org/officeDocument/2006/relationships/hyperlink" Target="https://www.oecd-ilibrary.org/science-and-technology/commercialising-public-research-new-trends-and-strategies_9789264193321-en" TargetMode="External" /><Relationship Id="rId10" Type="http://schemas.openxmlformats.org/officeDocument/2006/relationships/hyperlink" Target="https://vedavyzkum.cz/z-domova/technologicke-centrum-praha/centra-transferu-technologii-dopady-dotaci-ze-strukturalnich-fondu-a-programu-ta-cr" TargetMode="External" /><Relationship Id="rId11" Type="http://schemas.openxmlformats.org/officeDocument/2006/relationships/hyperlink" Target="https://vedavyzkum.cz/blogy-a-komentare/martin-duda/vysoke-skoly-prijmy-z-licenci-klesaji-smluvni-vyzkum-roste" TargetMode="External" /><Relationship Id="rId12" Type="http://schemas.openxmlformats.org/officeDocument/2006/relationships/hyperlink" Target="https://sj.news/napad-z-univerzity-pokud-nezalozite-spinoff-muzete-celit-i-zalobe/" TargetMode="External" /><Relationship Id="rId13" Type="http://schemas.openxmlformats.org/officeDocument/2006/relationships/hyperlink" Target="https://www.tacr.cz/soutez/program-sigma/ctvrta-verejna-soutez-dilci-cil-1-podpora-aktivit-proof-of-concept-ve-vyzkumnych-organizacich/" TargetMode="External" /><Relationship Id="rId14" Type="http://schemas.openxmlformats.org/officeDocument/2006/relationships/hyperlink" Target="https://techtransfer.cas.cz/sluzby/program-prak/" TargetMode="External" /><Relationship Id="rId15" Type="http://schemas.openxmlformats.org/officeDocument/2006/relationships/hyperlink" Target="https://www.agentura-api.org/cs/programy-podpory/proof-of-concept/" TargetMode="External" /><Relationship Id="rId16" Type="http://schemas.openxmlformats.org/officeDocument/2006/relationships/hyperlink" Target="https://opjak.cz/" TargetMode="External" /><Relationship Id="rId17" Type="http://schemas.openxmlformats.org/officeDocument/2006/relationships/hyperlink" Target="https://ec.europa.eu/regional_policy/assets/regional-competitiveness/index.html" TargetMode="External" /><Relationship Id="rId18" Type="http://schemas.openxmlformats.org/officeDocument/2006/relationships/hyperlink" Target="https://www.ncn.gov.pl/en/finansowanie-nauki/konkursy/typy/10" TargetMode="External" /><Relationship Id="rId19" Type="http://schemas.openxmlformats.org/officeDocument/2006/relationships/hyperlink" Target="https://www.vr.se/english/applying-for-funding/calls/2023-11-15-proof-of-concept-within-the-infection-area.html" TargetMode="External" /><Relationship Id="rId2" Type="http://schemas.openxmlformats.org/officeDocument/2006/relationships/hyperlink" Target="https://www.sciencedirect.com/science/article/pii/S0048733321000159" TargetMode="External" /><Relationship Id="rId20" Type="http://schemas.openxmlformats.org/officeDocument/2006/relationships/hyperlink" Target="https://www.bridge.ch/en" TargetMode="External" /><Relationship Id="rId21" Type="http://schemas.openxmlformats.org/officeDocument/2006/relationships/hyperlink" Target="https://www.bridge.ch/en/OUlwVr73Qg55dJtK/page/funding/proof-of-concept" TargetMode="External" /><Relationship Id="rId22" Type="http://schemas.openxmlformats.org/officeDocument/2006/relationships/hyperlink" Target="https://www.bridge.ch/en/2JhW2ZFO9e7sAImV/page/funding/discovery" TargetMode="External" /><Relationship Id="rId23" Type="http://schemas.openxmlformats.org/officeDocument/2006/relationships/hyperlink" Target="https://www.aka.fi/en/research-funding/programmes-and-other-funding-schemes/academy-of-finland-proof-of-concept-funding/" TargetMode="External" /><Relationship Id="rId24" Type="http://schemas.openxmlformats.org/officeDocument/2006/relationships/hyperlink" Target="https://www.exist.de/EXIST/Redaktion/EN/Dossier/Start-up-Funding/Transfer-of-Research/EXIST-Transfer-of-Research.html" TargetMode="External" /><Relationship Id="rId25" Type="http://schemas.openxmlformats.org/officeDocument/2006/relationships/hyperlink" Target="https://www.nwo.nl/en/researchprogrammes/take-off" TargetMode="External" /><Relationship Id="rId26" Type="http://schemas.openxmlformats.org/officeDocument/2006/relationships/hyperlink" Target="https://erc.europa.eu/sites/default/files/document/file/poc_review_report.pdf" TargetMode="External" /><Relationship Id="rId27" Type="http://schemas.openxmlformats.org/officeDocument/2006/relationships/hyperlink" Target="https://erc.europa.eu/news-events/magazine/survey-poc-academic-entrepreneurship" TargetMode="External" /><Relationship Id="rId28" Type="http://schemas.openxmlformats.org/officeDocument/2006/relationships/hyperlink" Target="https://is.muni.cz/th/dqlmg/448526_Petrickova_Sava_Diplomova_prace.pdf" TargetMode="External" /><Relationship Id="rId3" Type="http://schemas.openxmlformats.org/officeDocument/2006/relationships/hyperlink" Target="https://link.springer.com/book/10.1007/978-3-031-44369-5" TargetMode="External" /><Relationship Id="rId4" Type="http://schemas.openxmlformats.org/officeDocument/2006/relationships/hyperlink" Target="https://research-and-innovation.ec.europa.eu/statistics/performance-indicators/european-innovation-scoreboard_en" TargetMode="External" /><Relationship Id="rId5" Type="http://schemas.openxmlformats.org/officeDocument/2006/relationships/hyperlink" Target="https://ec.europa.eu/assets/rtd/eis/2023/ec_rtd_eis-country-profile-cz.pdf" TargetMode="External" /><Relationship Id="rId6" Type="http://schemas.openxmlformats.org/officeDocument/2006/relationships/hyperlink" Target="https://www.svtp.cz/katalog/" TargetMode="External" /><Relationship Id="rId7" Type="http://schemas.openxmlformats.org/officeDocument/2006/relationships/hyperlink" Target="https://www.czso.cz/csu/czso/ukazatele-vyzkumu-a-vyvoje-2022" TargetMode="External" /><Relationship Id="rId8" Type="http://schemas.openxmlformats.org/officeDocument/2006/relationships/hyperlink" Target="https://vyzkum.gov.cz/FrontClanek.aspx?idsekce=913172" TargetMode="External" /><Relationship Id="rId9" Type="http://schemas.openxmlformats.org/officeDocument/2006/relationships/hyperlink" Target="https://csu.gov.cz/docs/107508/acd75680-0226-98bc-acb3-fda4926d7b3b/21100223a.doc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7E6D5-7713-40A7-A014-B85047D5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5224</Words>
  <Characters>30822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Heroldová</dc:creator>
  <cp:lastModifiedBy>autor</cp:lastModifiedBy>
  <cp:revision>2</cp:revision>
  <dcterms:created xsi:type="dcterms:W3CDTF">2024-09-19T09:28:00Z</dcterms:created>
  <dcterms:modified xsi:type="dcterms:W3CDTF">2024-09-19T09:28:00Z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131/2025/GAČR/PAK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131/2025/GAČR/PAK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6.1.2025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&lt;TABLE&gt;&lt;TR&gt;&lt;TD&gt;Č.j.:&lt;/TD&gt;&lt;TD&gt;131/2025/GAČR/PAK&lt;/TD&gt;&lt;/TR&gt;&lt;TR&gt;&lt;TD&gt;&lt;/TD&gt;&lt;TD&gt;&lt;/TD&gt;&lt;/TR&gt;&lt;/TABLE&gt;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100/2025-GAČR</vt:lpwstr>
  </property>
  <property fmtid="{D5CDD505-2E9C-101B-9397-08002B2CF9AE}" pid="19" name="Key_BarCode_Pisemnost">
    <vt:lpwstr>*B000894275*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1/9</vt:lpwstr>
  </property>
  <property fmtid="{D5CDD505-2E9C-101B-9397-08002B2CF9AE}" pid="28" name="PocetPriloh_Pisemnost">
    <vt:lpwstr>9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100/2025-GAČR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ZN/34/PAK/2025</vt:lpwstr>
  </property>
  <property fmtid="{D5CDD505-2E9C-101B-9397-08002B2CF9AE}" pid="37" name="TEST">
    <vt:lpwstr>testovací pole</vt:lpwstr>
  </property>
  <property fmtid="{D5CDD505-2E9C-101B-9397-08002B2CF9AE}" pid="38" name="TypPrilohy_Pisemnost">
    <vt:lpwstr>9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Návrh skupiny grantových projektů Grantové projekty Proof of Concept</vt:lpwstr>
  </property>
  <property fmtid="{D5CDD505-2E9C-101B-9397-08002B2CF9AE}" pid="41" name="Zkratka_SpisovyUzel_PoziceZodpo_Pisemnost">
    <vt:lpwstr>PAK</vt:lpwstr>
  </property>
</Properties>
</file>