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770260" w:rsidRPr="00517E12" w:rsidP="00770260" w14:paraId="46380EE6" w14:textId="01DAC068">
      <w:pPr>
        <w:jc w:val="right"/>
        <w:rPr>
          <w:szCs w:val="32"/>
        </w:rPr>
      </w:pPr>
      <w:r>
        <w:rPr>
          <w:szCs w:val="32"/>
        </w:rPr>
        <w:t>I</w:t>
      </w:r>
      <w:r w:rsidRPr="00517E12" w:rsidR="00061A30">
        <w:rPr>
          <w:szCs w:val="32"/>
        </w:rPr>
        <w:t>I</w:t>
      </w:r>
      <w:r w:rsidRPr="00517E12">
        <w:rPr>
          <w:szCs w:val="32"/>
        </w:rPr>
        <w:t>.</w:t>
      </w:r>
    </w:p>
    <w:p w:rsidR="00770260" w:rsidRPr="00BE247D" w:rsidP="008E32E4" w14:paraId="6FA063B8" w14:textId="77777777">
      <w:pPr>
        <w:jc w:val="both"/>
        <w:rPr>
          <w:bCs/>
          <w:szCs w:val="32"/>
        </w:rPr>
      </w:pPr>
    </w:p>
    <w:p w:rsidR="00770260" w:rsidP="00770260" w14:paraId="771E85B2" w14:textId="77777777">
      <w:pPr>
        <w:jc w:val="center"/>
        <w:rPr>
          <w:b/>
          <w:bCs/>
          <w:szCs w:val="32"/>
        </w:rPr>
      </w:pPr>
      <w:r w:rsidRPr="00BE247D">
        <w:rPr>
          <w:b/>
          <w:bCs/>
          <w:szCs w:val="32"/>
        </w:rPr>
        <w:t>Předkládací zpráva</w:t>
      </w:r>
    </w:p>
    <w:p w:rsidR="001956DE" w:rsidRPr="001956DE" w:rsidP="001956DE" w14:paraId="68FC079B" w14:textId="77777777">
      <w:pPr>
        <w:rPr>
          <w:bCs/>
          <w:szCs w:val="32"/>
        </w:rPr>
      </w:pPr>
    </w:p>
    <w:p w:rsidR="008E0132" w:rsidRPr="002B4C79" w:rsidP="008E0132" w14:paraId="27BCAE96" w14:textId="48D9829B">
      <w:pPr>
        <w:spacing w:before="240" w:line="276" w:lineRule="auto"/>
        <w:jc w:val="both"/>
      </w:pPr>
      <w:r>
        <w:t>Ministerstvo zdravotnictví ČR (dále jen „MZ“)</w:t>
      </w:r>
      <w:r w:rsidRPr="00BE247D" w:rsidR="00EE78F3">
        <w:t xml:space="preserve"> </w:t>
      </w:r>
      <w:r w:rsidRPr="00BE247D" w:rsidR="00F318F0">
        <w:t xml:space="preserve">předkládá </w:t>
      </w:r>
      <w:r w:rsidR="004F2A9E">
        <w:t xml:space="preserve">vládě ke schválení </w:t>
      </w:r>
      <w:r w:rsidRPr="004F2A9E" w:rsidR="004F2A9E">
        <w:rPr>
          <w:b/>
          <w:bCs/>
        </w:rPr>
        <w:t xml:space="preserve">Podprogram </w:t>
      </w:r>
      <w:r w:rsidR="00CC73DC">
        <w:rPr>
          <w:b/>
          <w:bCs/>
        </w:rPr>
        <w:t>4</w:t>
      </w:r>
      <w:r w:rsidRPr="004F2A9E" w:rsidR="004F2A9E">
        <w:rPr>
          <w:b/>
          <w:bCs/>
        </w:rPr>
        <w:t xml:space="preserve"> zdravotnického aplikovaného výzkumu „</w:t>
      </w:r>
      <w:r w:rsidR="00CC73DC">
        <w:rPr>
          <w:b/>
          <w:bCs/>
        </w:rPr>
        <w:t>Podpora národních autorit v prioritních oblastech zdravotnického výzkumu</w:t>
      </w:r>
      <w:r w:rsidRPr="004F2A9E" w:rsidR="004F2A9E">
        <w:rPr>
          <w:b/>
          <w:bCs/>
        </w:rPr>
        <w:t>“</w:t>
      </w:r>
      <w:r w:rsidR="002B4C79">
        <w:rPr>
          <w:b/>
          <w:bCs/>
        </w:rPr>
        <w:t xml:space="preserve"> </w:t>
      </w:r>
      <w:r w:rsidRPr="002B4C79" w:rsidR="002B4C79">
        <w:t xml:space="preserve">(dále jen „Podprogram </w:t>
      </w:r>
      <w:r w:rsidR="00CC73DC">
        <w:t>4</w:t>
      </w:r>
      <w:r w:rsidRPr="002B4C79" w:rsidR="002B4C79">
        <w:t>“)</w:t>
      </w:r>
      <w:r w:rsidR="002B4C79">
        <w:t xml:space="preserve">. </w:t>
      </w:r>
    </w:p>
    <w:p w:rsidR="008F7D8C" w:rsidRPr="00B67AA1" w:rsidP="008F7D8C" w14:paraId="4A15F168" w14:textId="4D1A7627">
      <w:pPr>
        <w:spacing w:before="120" w:after="120" w:line="288" w:lineRule="auto"/>
        <w:jc w:val="both"/>
        <w:rPr>
          <w:rFonts w:eastAsia="Arial"/>
        </w:rPr>
      </w:pPr>
      <w:r w:rsidRPr="00B67AA1">
        <w:rPr>
          <w:rFonts w:eastAsia="Arial"/>
        </w:rPr>
        <w:t>P</w:t>
      </w:r>
      <w:r>
        <w:rPr>
          <w:rFonts w:eastAsia="Arial"/>
        </w:rPr>
        <w:t>odp</w:t>
      </w:r>
      <w:r w:rsidRPr="00B67AA1">
        <w:rPr>
          <w:rFonts w:eastAsia="Arial"/>
        </w:rPr>
        <w:t>rogram</w:t>
      </w:r>
      <w:r>
        <w:rPr>
          <w:rFonts w:eastAsia="Arial"/>
        </w:rPr>
        <w:t xml:space="preserve"> </w:t>
      </w:r>
      <w:r w:rsidR="00CC73DC">
        <w:rPr>
          <w:rFonts w:eastAsia="Arial"/>
        </w:rPr>
        <w:t>4</w:t>
      </w:r>
      <w:r w:rsidRPr="00B67AA1">
        <w:rPr>
          <w:rFonts w:eastAsia="Arial"/>
        </w:rPr>
        <w:t xml:space="preserve"> je zpracován v souladu se zákonem č. 130/2002 Sb., o podpoře výzkumu, experimentálního vývoje a inovací z veřejných prostředků a o změně některých souvisejících zákonů (zákon o podpoře výzkumu, experimentálního vývoje a inovací), ve znění pozdějších předpisů (dále jen „zákon č. 130/2002 Sb.“); nařízením Komise (EU) č. 651/2014 </w:t>
      </w:r>
      <w:r w:rsidR="00F72AF3">
        <w:rPr>
          <w:rFonts w:eastAsia="Arial"/>
        </w:rPr>
        <w:br/>
      </w:r>
      <w:r w:rsidRPr="00B67AA1">
        <w:rPr>
          <w:rFonts w:eastAsia="Arial"/>
        </w:rPr>
        <w:t>ze dne 17. června 2014, kterým se v souladu s články 107 a 108 Smlouvy o fungování EU prohlašují určité kategorie podpory za slučitelné s vnitřním trhem, Úřední věstník EU L 187 ze dne 26. 6. 2014, str. 1</w:t>
      </w:r>
      <w:r>
        <w:rPr>
          <w:rFonts w:eastAsia="Arial"/>
        </w:rPr>
        <w:t xml:space="preserve"> (dále jen „nařízení Komise“)</w:t>
      </w:r>
      <w:r w:rsidRPr="00B67AA1">
        <w:rPr>
          <w:rFonts w:eastAsia="Arial"/>
        </w:rPr>
        <w:t>; Rámcem pro státní podporu výzkumu, vývoje a inovací - Úřední věstník Evropské unie ze dne 27. 6. 2014, (2014/C 198/01) a podle ostatních souvisejících předpisů. P</w:t>
      </w:r>
      <w:r>
        <w:rPr>
          <w:rFonts w:eastAsia="Arial"/>
        </w:rPr>
        <w:t>odp</w:t>
      </w:r>
      <w:r w:rsidRPr="00B67AA1">
        <w:rPr>
          <w:rFonts w:eastAsia="Arial"/>
        </w:rPr>
        <w:t>rogram</w:t>
      </w:r>
      <w:r>
        <w:rPr>
          <w:rFonts w:eastAsia="Arial"/>
        </w:rPr>
        <w:t xml:space="preserve"> </w:t>
      </w:r>
      <w:r w:rsidR="003E5CF0">
        <w:rPr>
          <w:rFonts w:eastAsia="Arial"/>
        </w:rPr>
        <w:t>4</w:t>
      </w:r>
      <w:r w:rsidRPr="00B67AA1">
        <w:rPr>
          <w:rFonts w:eastAsia="Arial"/>
        </w:rPr>
        <w:t xml:space="preserve"> je podle článku 108 odst. 3 Smlouvy </w:t>
      </w:r>
      <w:r w:rsidR="00F72AF3">
        <w:rPr>
          <w:rFonts w:eastAsia="Arial"/>
        </w:rPr>
        <w:br/>
      </w:r>
      <w:r w:rsidRPr="00B67AA1">
        <w:rPr>
          <w:rFonts w:eastAsia="Arial"/>
        </w:rPr>
        <w:t>o fungování EU vyňat z oznamovací povinnosti, neboť splňuje podmínky nařízení Komise.</w:t>
      </w:r>
    </w:p>
    <w:p w:rsidR="0027469F" w:rsidP="00E07B54" w14:paraId="3FF920EA" w14:textId="0F16CD4E">
      <w:pPr>
        <w:spacing w:before="120" w:after="120" w:line="288" w:lineRule="auto"/>
        <w:jc w:val="both"/>
        <w:rPr>
          <w:rFonts w:eastAsia="Arial"/>
        </w:rPr>
      </w:pPr>
      <w:r w:rsidRPr="00E07B54">
        <w:rPr>
          <w:rFonts w:eastAsia="Arial"/>
        </w:rPr>
        <w:t>Po odborné stránce byl P</w:t>
      </w:r>
      <w:r w:rsidR="007B1C3E">
        <w:rPr>
          <w:rFonts w:eastAsia="Arial"/>
        </w:rPr>
        <w:t>odprogram 4</w:t>
      </w:r>
      <w:r w:rsidRPr="00E07B54">
        <w:rPr>
          <w:rFonts w:eastAsia="Arial"/>
        </w:rPr>
        <w:t xml:space="preserve"> připraven ve spolupráci s Agenturou pro zdravotnický výzkum ČR a konzultován </w:t>
      </w:r>
      <w:r w:rsidR="00CC73DC">
        <w:rPr>
          <w:rFonts w:eastAsia="Arial"/>
        </w:rPr>
        <w:t xml:space="preserve">na úrovni Úřadu ministra pro vědu, výzkum a inovace </w:t>
      </w:r>
      <w:r w:rsidR="004405DB">
        <w:rPr>
          <w:rFonts w:eastAsia="Arial"/>
        </w:rPr>
        <w:br/>
      </w:r>
      <w:r w:rsidR="00CC73DC">
        <w:rPr>
          <w:rFonts w:eastAsia="Arial"/>
        </w:rPr>
        <w:t xml:space="preserve">a Ministerstva školství, mládeže a tělovýchovy, které souhlasí s tím, že podpora vzniklých národních autorit prostřednictvím Podprogramu 4 Programu NW výrazně přispěje k dalšímu rozvoji výzkumného prostředí v České republice, posílení kvality výzkumu </w:t>
      </w:r>
      <w:r w:rsidR="004405DB">
        <w:rPr>
          <w:rFonts w:eastAsia="Arial"/>
        </w:rPr>
        <w:br/>
      </w:r>
      <w:r w:rsidR="00CC73DC">
        <w:rPr>
          <w:rFonts w:eastAsia="Arial"/>
        </w:rPr>
        <w:t xml:space="preserve">a k meziinstitucionální, mezioborové a meziregionální spolupráci. </w:t>
      </w:r>
      <w:r w:rsidRPr="00E07B54">
        <w:rPr>
          <w:rFonts w:eastAsia="Arial"/>
        </w:rPr>
        <w:t xml:space="preserve"> </w:t>
      </w:r>
    </w:p>
    <w:p w:rsidR="00496288" w:rsidRPr="00496288" w:rsidP="00496288" w14:paraId="5C11D97B" w14:textId="169DB68F">
      <w:pPr>
        <w:spacing w:before="120" w:after="120" w:line="288" w:lineRule="auto"/>
        <w:jc w:val="both"/>
        <w:rPr>
          <w:rFonts w:eastAsia="Arial"/>
        </w:rPr>
      </w:pPr>
      <w:r w:rsidRPr="00496288">
        <w:rPr>
          <w:rFonts w:eastAsia="Arial"/>
        </w:rPr>
        <w:t xml:space="preserve">Hlavním cílem Podprogramu 4 je podpora rozvoje udržitelnosti národních autorit v prioritních oblastech zdravotnického výzkumu (dále jen „Národní autority“), které byly vybudovány v letech 2022 až 2025 pod záštitou programu EXCELES, který je programem podpory excelentního výzkumu v prioritních oblastech veřejného zájmu ve zdravotnictví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a je financován z prostředků Evropské unie prostřednictvím Nástroje pro oživení a odolnost (NPO). Poskytovatelem podpory bylo Ministerstvo školství, mládeže a tělovýchovy,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které program EXCELES řídilo a je vlastníkem komponenty 5.1 Národního plánu obnovy. Mezi podporované prioritní oblasti v rámci </w:t>
      </w:r>
      <w:r w:rsidRPr="00496288">
        <w:rPr>
          <w:rFonts w:eastAsia="Arial"/>
        </w:rPr>
        <w:t>VaVaI</w:t>
      </w:r>
      <w:r w:rsidRPr="00496288">
        <w:rPr>
          <w:rFonts w:eastAsia="Arial"/>
        </w:rPr>
        <w:t xml:space="preserve"> v programu EXCELES patří specifické biologické, lékařské a společenskovědní obory, popř. další navazující vědní, technické </w:t>
      </w:r>
      <w:r w:rsidR="004405DB">
        <w:rPr>
          <w:rFonts w:eastAsia="Arial"/>
        </w:rPr>
        <w:br/>
      </w:r>
      <w:r w:rsidRPr="00496288">
        <w:rPr>
          <w:rFonts w:eastAsia="Arial"/>
        </w:rPr>
        <w:t>a technologické disciplíny cíleně zaměřen</w:t>
      </w:r>
      <w:r w:rsidR="004405DB">
        <w:rPr>
          <w:rFonts w:eastAsia="Arial"/>
        </w:rPr>
        <w:t>é</w:t>
      </w:r>
      <w:r w:rsidRPr="00496288">
        <w:rPr>
          <w:rFonts w:eastAsia="Arial"/>
        </w:rPr>
        <w:t xml:space="preserve"> na studium infekčních chorob a virologii, onkologii, oblast neurověd, problematiku metabolických onemocnění a kardiovaskulárních chorob a též sociální a ekonomické dopady systémových zdravotních rizik. Cílem programu EXCELES </w:t>
      </w:r>
      <w:r w:rsidR="004405DB">
        <w:rPr>
          <w:rFonts w:eastAsia="Arial"/>
        </w:rPr>
        <w:t xml:space="preserve">je </w:t>
      </w:r>
      <w:r w:rsidRPr="00496288">
        <w:rPr>
          <w:rFonts w:eastAsia="Arial"/>
        </w:rPr>
        <w:t xml:space="preserve">zvýšení kvality a internacionalizace výzkumu prováděného na území ČR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a dosažení evropské excelence prostřednictvím zvýšení schopnosti výzkumných kapacit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ve vybraných prioritních oblastech </w:t>
      </w:r>
      <w:r w:rsidRPr="00496288">
        <w:rPr>
          <w:rFonts w:eastAsia="Arial"/>
        </w:rPr>
        <w:t>VaVaI</w:t>
      </w:r>
      <w:r w:rsidRPr="00496288">
        <w:rPr>
          <w:rFonts w:eastAsia="Arial"/>
        </w:rPr>
        <w:t xml:space="preserve"> reagovat na aktuální trendy a potřeby </w:t>
      </w:r>
      <w:r w:rsidRPr="00496288">
        <w:rPr>
          <w:rFonts w:eastAsia="Arial"/>
        </w:rPr>
        <w:t>VaVaI</w:t>
      </w:r>
      <w:r w:rsidRPr="00496288">
        <w:rPr>
          <w:rFonts w:eastAsia="Arial"/>
        </w:rPr>
        <w:t xml:space="preserve"> v návaznosti na výskyt závažných chorob a sociální a ekonomické dopady systémových zdravotních rizik s nimi spojených. </w:t>
      </w:r>
    </w:p>
    <w:p w:rsidR="00496288" w:rsidRPr="00496288" w:rsidP="00496288" w14:paraId="33D12FCE" w14:textId="29A42EBF">
      <w:pPr>
        <w:spacing w:before="120" w:after="120" w:line="288" w:lineRule="auto"/>
        <w:jc w:val="both"/>
        <w:rPr>
          <w:rFonts w:eastAsia="Arial"/>
        </w:rPr>
      </w:pPr>
      <w:r w:rsidRPr="00496288">
        <w:rPr>
          <w:rFonts w:eastAsia="Arial"/>
        </w:rPr>
        <w:t xml:space="preserve">Prostřednictvím programu EXCELES byl tak podpořen vznik národních vědeckých autorit, které ve spolupráci s vládou ČR analyzují a rozvíjejí již implementované veřejné politiky,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a tak umožňují předcházet zásadním selháním v oblasti implementace veřejných politik </w:t>
      </w:r>
      <w:r w:rsidR="004405DB">
        <w:rPr>
          <w:rFonts w:eastAsia="Arial"/>
        </w:rPr>
        <w:br/>
      </w:r>
      <w:r w:rsidRPr="00496288">
        <w:rPr>
          <w:rFonts w:eastAsia="Arial"/>
        </w:rPr>
        <w:t>nebo v oblasti spoluprác</w:t>
      </w:r>
      <w:r w:rsidR="004405DB">
        <w:rPr>
          <w:rFonts w:eastAsia="Arial"/>
        </w:rPr>
        <w:t>e</w:t>
      </w:r>
      <w:r w:rsidRPr="00496288">
        <w:rPr>
          <w:rFonts w:eastAsia="Arial"/>
        </w:rPr>
        <w:t xml:space="preserve"> s orgány veřejné moci. Národní autoritou je přitom myšlena koncentrace špičkových výzkumných kapacit z ČR v</w:t>
      </w:r>
      <w:r w:rsidR="004405DB">
        <w:rPr>
          <w:rFonts w:eastAsia="Arial"/>
        </w:rPr>
        <w:t xml:space="preserve">e </w:t>
      </w:r>
      <w:r w:rsidRPr="00496288">
        <w:rPr>
          <w:rFonts w:eastAsia="Arial"/>
        </w:rPr>
        <w:t xml:space="preserve">společných tématech a výzvách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do centralizovaného konsorciálního projektu ve zvolené prioritní oblasti </w:t>
      </w:r>
      <w:r w:rsidRPr="00496288">
        <w:rPr>
          <w:rFonts w:eastAsia="Arial"/>
        </w:rPr>
        <w:t>VaVaI</w:t>
      </w:r>
      <w:r w:rsidRPr="00496288">
        <w:rPr>
          <w:rFonts w:eastAsia="Arial"/>
        </w:rPr>
        <w:t xml:space="preserve">. Vytvořeno bylo takto celkem 5 Národních autorit: Národní institut virologie a bakteriologie, Národní institut pro výzkum rakoviny, Národní ústav pro neurologický výzkum, Národní institut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pro výzkum metabolických a kardiovaskulárních onemocnění, Národní institut pro výzkum socioekonomických dopadů nemocí a systémových rizik. </w:t>
      </w:r>
    </w:p>
    <w:p w:rsidR="00496288" w:rsidRPr="00496288" w:rsidP="00496288" w14:paraId="7B23CFCB" w14:textId="77777777">
      <w:pPr>
        <w:spacing w:before="120" w:after="120" w:line="288" w:lineRule="auto"/>
        <w:jc w:val="both"/>
        <w:rPr>
          <w:rFonts w:eastAsia="Arial"/>
        </w:rPr>
      </w:pPr>
      <w:r w:rsidRPr="00496288">
        <w:rPr>
          <w:rFonts w:eastAsia="Arial"/>
        </w:rPr>
        <w:t xml:space="preserve">Samotné vytvoření Národní autority za účasti programu EXCELES je podmínkou podpory v rámci Podprogramu 4, ale nárok na přidělení podpory nezakládá. Podpora je učena pouze těm Národním autoritám, které doloží, že po dobu řešení projektu Podprogramu 4 </w:t>
      </w:r>
      <w:r w:rsidRPr="00496288">
        <w:rPr>
          <w:rFonts w:eastAsia="Arial"/>
        </w:rPr>
        <w:br/>
        <w:t xml:space="preserve">je zachována významná část institucionálního zabezpečení Národní autority vytvořené v rámci programu EXCELES, a že v rámci činnosti Národní autority dosahovaly vědecké týmy evropské úrovně excelence orientovaného výzkumu. </w:t>
      </w:r>
    </w:p>
    <w:p w:rsidR="00496288" w:rsidRPr="00496288" w:rsidP="00496288" w14:paraId="27E79669" w14:textId="1365D2FF">
      <w:pPr>
        <w:spacing w:before="120" w:after="120" w:line="288" w:lineRule="auto"/>
        <w:jc w:val="both"/>
        <w:rPr>
          <w:rFonts w:eastAsia="Arial"/>
        </w:rPr>
      </w:pPr>
      <w:r w:rsidRPr="00496288">
        <w:rPr>
          <w:rFonts w:eastAsia="Arial"/>
        </w:rPr>
        <w:t xml:space="preserve">Národní autority musí současně též doložit, že </w:t>
      </w:r>
      <w:r w:rsidR="007245A4">
        <w:rPr>
          <w:rFonts w:eastAsia="Arial"/>
        </w:rPr>
        <w:t xml:space="preserve">došlo </w:t>
      </w:r>
      <w:r w:rsidRPr="00496288">
        <w:rPr>
          <w:rFonts w:eastAsia="Arial"/>
        </w:rPr>
        <w:t xml:space="preserve">k začlenění Národní autority </w:t>
      </w:r>
      <w:r w:rsidR="002A4A86">
        <w:rPr>
          <w:rFonts w:eastAsia="Arial"/>
        </w:rPr>
        <w:br/>
      </w:r>
      <w:r w:rsidRPr="00496288">
        <w:rPr>
          <w:rFonts w:eastAsia="Arial"/>
        </w:rPr>
        <w:t xml:space="preserve">do existujícího systému </w:t>
      </w:r>
      <w:r w:rsidRPr="00496288">
        <w:rPr>
          <w:rFonts w:eastAsia="Arial"/>
        </w:rPr>
        <w:t>VaVaI</w:t>
      </w:r>
      <w:r w:rsidRPr="00496288">
        <w:rPr>
          <w:rFonts w:eastAsia="Arial"/>
        </w:rPr>
        <w:t xml:space="preserve"> v ČR, k posílení meziinstitucionální, mezioborové </w:t>
      </w:r>
      <w:r w:rsidR="002A4A86">
        <w:rPr>
          <w:rFonts w:eastAsia="Arial"/>
        </w:rPr>
        <w:br/>
      </w:r>
      <w:r w:rsidRPr="00496288">
        <w:rPr>
          <w:rFonts w:eastAsia="Arial"/>
        </w:rPr>
        <w:t xml:space="preserve">a meziregionální spolupráce a kvality národního výzkumu prostřednictvím dalšího růstu mezinárodní spolupráce, k podpoře vědecké výchovy a </w:t>
      </w:r>
      <w:r w:rsidR="004405DB">
        <w:rPr>
          <w:rFonts w:eastAsia="Arial"/>
        </w:rPr>
        <w:t xml:space="preserve">k </w:t>
      </w:r>
      <w:r w:rsidRPr="00496288">
        <w:rPr>
          <w:rFonts w:eastAsia="Arial"/>
        </w:rPr>
        <w:t xml:space="preserve">podpoře mladé generace výzkumníků, včetně zajištění kvalitních pracovních podmínek, k mediální prezentaci </w:t>
      </w:r>
      <w:r w:rsidR="002A4A86">
        <w:rPr>
          <w:rFonts w:eastAsia="Arial"/>
        </w:rPr>
        <w:br/>
      </w:r>
      <w:r w:rsidRPr="00496288">
        <w:rPr>
          <w:rFonts w:eastAsia="Arial"/>
        </w:rPr>
        <w:t xml:space="preserve">a diseminaci výsledků, publicitně směrem k odborné i široké veřejnosti a k expertní podpoře pro tvorbu veřejných politik. </w:t>
      </w:r>
    </w:p>
    <w:p w:rsidR="00496288" w:rsidRPr="00496288" w:rsidP="00496288" w14:paraId="7A81F0C4" w14:textId="77777777">
      <w:pPr>
        <w:spacing w:before="120" w:after="120" w:line="288" w:lineRule="auto"/>
        <w:jc w:val="both"/>
        <w:rPr>
          <w:rFonts w:eastAsia="Arial"/>
        </w:rPr>
      </w:pPr>
      <w:r w:rsidRPr="00496288">
        <w:rPr>
          <w:rFonts w:eastAsia="Arial"/>
        </w:rPr>
        <w:t xml:space="preserve">Detailní podmínky definující přidělenou podporu a její výši budou konkrétně specifikovány v zadávací dokumentaci jedné veřejné soutěže, jejíž vyhlášení je plánováno do konce roku 2025. Podpora může přiznána pouze uchazečům v dané veřejné soutěži úspěšným. Podporovány budou projektové aktivity vedoucí k naplnění cílů Podprogramu 4 Programu NW, budou-li s cíli, příslušnými oblastmi a podoblastmi Programu NW tematicky v souladu. Plnění nastavených cílů Podprogramu 4 bude průběžně a závěrečně hodnoceno prostřednictvím dílčích a závěrečných zpráv o řešení projektů. </w:t>
      </w:r>
    </w:p>
    <w:p w:rsidR="00496288" w:rsidRPr="00496288" w:rsidP="00496288" w14:paraId="65FE7900" w14:textId="5577DE3C">
      <w:pPr>
        <w:spacing w:before="120" w:after="120" w:line="288" w:lineRule="auto"/>
        <w:jc w:val="both"/>
        <w:rPr>
          <w:rFonts w:eastAsia="Arial"/>
        </w:rPr>
      </w:pPr>
      <w:r w:rsidRPr="00496288">
        <w:rPr>
          <w:rFonts w:eastAsia="Arial"/>
        </w:rPr>
        <w:t xml:space="preserve">Návrh Podprogramu 4 byl ve spolupráci s MZ vypracován ze strany Agentury </w:t>
      </w:r>
      <w:r w:rsidR="004405DB">
        <w:rPr>
          <w:rFonts w:eastAsia="Arial"/>
        </w:rPr>
        <w:br/>
      </w:r>
      <w:r w:rsidRPr="00496288">
        <w:rPr>
          <w:rFonts w:eastAsia="Arial"/>
        </w:rPr>
        <w:t xml:space="preserve">pro zdravotnický výzkum ČR a konzultován na úrovni Úřadu ministra pro vědu, výzkum </w:t>
      </w:r>
      <w:r w:rsidR="004405DB">
        <w:rPr>
          <w:rFonts w:eastAsia="Arial"/>
        </w:rPr>
        <w:br/>
      </w:r>
      <w:r w:rsidRPr="00496288">
        <w:rPr>
          <w:rFonts w:eastAsia="Arial"/>
        </w:rPr>
        <w:t>a inovace a rovněž na úrovni Ministerstva školství, mládeže a tělovýchovy, které souhlasí s tím, že podpora vzniklých národních autorit prostřednictvím Podprogramu 4 Programu NW výrazně přispěje k dalšímu rozvoji výzkumného prostředí v České republice, posílení kvality výzkumu a</w:t>
      </w:r>
      <w:r w:rsidR="008D14AC">
        <w:rPr>
          <w:rFonts w:eastAsia="Arial"/>
        </w:rPr>
        <w:t xml:space="preserve"> k</w:t>
      </w:r>
      <w:r w:rsidRPr="00496288">
        <w:rPr>
          <w:rFonts w:eastAsia="Arial"/>
        </w:rPr>
        <w:t xml:space="preserve"> meziinstitucionální, mezioborové a meziregionální spolupráci. </w:t>
      </w:r>
    </w:p>
    <w:p w:rsidR="00496288" w:rsidP="00496288" w14:paraId="6E74E11E" w14:textId="58F61892">
      <w:pPr>
        <w:spacing w:before="120" w:after="120" w:line="288" w:lineRule="auto"/>
        <w:jc w:val="both"/>
        <w:rPr>
          <w:rFonts w:cs="Arial"/>
          <w:szCs w:val="22"/>
        </w:rPr>
      </w:pPr>
      <w:r>
        <w:rPr>
          <w:rFonts w:eastAsia="Arial"/>
        </w:rPr>
        <w:t xml:space="preserve">Zdrojem financování Podprogramu 4 budou výdaje státního rozpočtu na výzkum, vývoj </w:t>
      </w:r>
      <w:r w:rsidR="004405DB">
        <w:rPr>
          <w:rFonts w:eastAsia="Arial"/>
        </w:rPr>
        <w:br/>
      </w:r>
      <w:r>
        <w:rPr>
          <w:rFonts w:eastAsia="Arial"/>
        </w:rPr>
        <w:t>a</w:t>
      </w:r>
      <w:r w:rsidR="004405DB">
        <w:rPr>
          <w:rFonts w:eastAsia="Arial"/>
        </w:rPr>
        <w:t xml:space="preserve"> </w:t>
      </w:r>
      <w:r>
        <w:rPr>
          <w:rFonts w:eastAsia="Arial"/>
        </w:rPr>
        <w:t xml:space="preserve">inovace dle zákona č. 130/2002 Sb. </w:t>
      </w:r>
      <w:r w:rsidRPr="00496288">
        <w:rPr>
          <w:rFonts w:eastAsia="Arial"/>
        </w:rPr>
        <w:t>Celkové výdaje za dobu trvání Podprogramu 4 v letech 2026 až 2030 se předpokládají ve výši 750 mil. Kč z výdajů státního rozpočtu na výzkum, vývoj a inovace, přičemž financování Podprogramu 4 bude realizovány podle možností státního rozpočtu</w:t>
      </w:r>
      <w:r>
        <w:rPr>
          <w:rFonts w:cs="Arial"/>
          <w:szCs w:val="22"/>
        </w:rPr>
        <w:t xml:space="preserve">. </w:t>
      </w:r>
    </w:p>
    <w:p w:rsidR="004405DB" w:rsidP="00496288" w14:paraId="130D88BC" w14:textId="77777777">
      <w:pPr>
        <w:spacing w:before="120" w:after="120" w:line="288" w:lineRule="auto"/>
        <w:jc w:val="both"/>
        <w:rPr>
          <w:rFonts w:cs="Arial"/>
          <w:szCs w:val="22"/>
        </w:rPr>
      </w:pPr>
    </w:p>
    <w:p w:rsidR="004405DB" w:rsidP="00496288" w14:paraId="783EA4E8" w14:textId="77777777">
      <w:pPr>
        <w:spacing w:before="120" w:after="120" w:line="288" w:lineRule="auto"/>
        <w:jc w:val="both"/>
        <w:rPr>
          <w:rFonts w:cs="Arial"/>
          <w:szCs w:val="22"/>
        </w:rPr>
      </w:pPr>
    </w:p>
    <w:p w:rsidR="00496288" w:rsidP="00496288" w14:paraId="14ED403A" w14:textId="77777777">
      <w:r>
        <w:t>Výdaje na Podprogram 4 (v mil. Kč)</w:t>
      </w:r>
    </w:p>
    <w:tbl>
      <w:tblPr>
        <w:tblStyle w:val="TableGrid"/>
        <w:tblW w:w="0" w:type="auto"/>
        <w:tblLook w:val="04A0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14:paraId="367F96AF" w14:textId="77777777" w:rsidTr="000536D8">
        <w:tblPrEx>
          <w:tblW w:w="0" w:type="auto"/>
          <w:tblLook w:val="04A0"/>
        </w:tblPrEx>
        <w:tc>
          <w:tcPr>
            <w:tcW w:w="1294" w:type="dxa"/>
            <w:shd w:val="pct25" w:color="auto" w:fill="auto"/>
          </w:tcPr>
          <w:p w:rsidR="00496288" w:rsidP="000536D8" w14:paraId="6CC59C27" w14:textId="77777777"/>
        </w:tc>
        <w:tc>
          <w:tcPr>
            <w:tcW w:w="1294" w:type="dxa"/>
            <w:shd w:val="pct25" w:color="auto" w:fill="auto"/>
          </w:tcPr>
          <w:p w:rsidR="00496288" w:rsidP="000536D8" w14:paraId="74046F03" w14:textId="77777777">
            <w:r>
              <w:t>2026</w:t>
            </w:r>
          </w:p>
        </w:tc>
        <w:tc>
          <w:tcPr>
            <w:tcW w:w="1294" w:type="dxa"/>
            <w:shd w:val="pct25" w:color="auto" w:fill="auto"/>
          </w:tcPr>
          <w:p w:rsidR="00496288" w:rsidP="000536D8" w14:paraId="6923C730" w14:textId="77777777">
            <w:r>
              <w:t>2027</w:t>
            </w:r>
          </w:p>
        </w:tc>
        <w:tc>
          <w:tcPr>
            <w:tcW w:w="1295" w:type="dxa"/>
            <w:shd w:val="pct25" w:color="auto" w:fill="auto"/>
          </w:tcPr>
          <w:p w:rsidR="00496288" w:rsidP="000536D8" w14:paraId="1C9D7B72" w14:textId="77777777">
            <w:r>
              <w:t>2028</w:t>
            </w:r>
          </w:p>
        </w:tc>
        <w:tc>
          <w:tcPr>
            <w:tcW w:w="1295" w:type="dxa"/>
            <w:shd w:val="pct25" w:color="auto" w:fill="auto"/>
          </w:tcPr>
          <w:p w:rsidR="00496288" w:rsidP="000536D8" w14:paraId="60957351" w14:textId="77777777">
            <w:r>
              <w:t>2029</w:t>
            </w:r>
          </w:p>
        </w:tc>
        <w:tc>
          <w:tcPr>
            <w:tcW w:w="1295" w:type="dxa"/>
            <w:shd w:val="pct25" w:color="auto" w:fill="auto"/>
          </w:tcPr>
          <w:p w:rsidR="00496288" w:rsidP="000536D8" w14:paraId="6075DF63" w14:textId="77777777">
            <w:r>
              <w:t>2030</w:t>
            </w:r>
          </w:p>
        </w:tc>
        <w:tc>
          <w:tcPr>
            <w:tcW w:w="1295" w:type="dxa"/>
            <w:shd w:val="pct25" w:color="auto" w:fill="auto"/>
          </w:tcPr>
          <w:p w:rsidR="00496288" w:rsidP="000536D8" w14:paraId="2507C790" w14:textId="77777777">
            <w:r>
              <w:t>celkem</w:t>
            </w:r>
          </w:p>
        </w:tc>
      </w:tr>
      <w:tr w14:paraId="25C606BC" w14:textId="77777777" w:rsidTr="000536D8">
        <w:tblPrEx>
          <w:tblW w:w="0" w:type="auto"/>
          <w:tblLook w:val="04A0"/>
        </w:tblPrEx>
        <w:tc>
          <w:tcPr>
            <w:tcW w:w="1294" w:type="dxa"/>
          </w:tcPr>
          <w:p w:rsidR="00496288" w:rsidP="000536D8" w14:paraId="57C49A54" w14:textId="77777777">
            <w:r>
              <w:t>Celkové výdaje</w:t>
            </w:r>
          </w:p>
        </w:tc>
        <w:tc>
          <w:tcPr>
            <w:tcW w:w="1294" w:type="dxa"/>
          </w:tcPr>
          <w:p w:rsidR="00496288" w:rsidP="000536D8" w14:paraId="2C6171CB" w14:textId="77777777">
            <w:r>
              <w:t>150</w:t>
            </w:r>
          </w:p>
        </w:tc>
        <w:tc>
          <w:tcPr>
            <w:tcW w:w="1294" w:type="dxa"/>
          </w:tcPr>
          <w:p w:rsidR="00496288" w:rsidP="000536D8" w14:paraId="31573417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79762ACC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4554C926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60B58627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2EE86DB8" w14:textId="77777777">
            <w:r>
              <w:t>750</w:t>
            </w:r>
          </w:p>
        </w:tc>
      </w:tr>
      <w:tr w14:paraId="444B90A7" w14:textId="77777777" w:rsidTr="000536D8">
        <w:tblPrEx>
          <w:tblW w:w="0" w:type="auto"/>
          <w:tblLook w:val="04A0"/>
        </w:tblPrEx>
        <w:tc>
          <w:tcPr>
            <w:tcW w:w="1294" w:type="dxa"/>
          </w:tcPr>
          <w:p w:rsidR="00496288" w:rsidP="000536D8" w14:paraId="38FD1A70" w14:textId="77777777">
            <w:r>
              <w:t>Výdaje ze státního rozpočtu</w:t>
            </w:r>
          </w:p>
        </w:tc>
        <w:tc>
          <w:tcPr>
            <w:tcW w:w="1294" w:type="dxa"/>
          </w:tcPr>
          <w:p w:rsidR="00496288" w:rsidP="000536D8" w14:paraId="60EC00BE" w14:textId="77777777">
            <w:r>
              <w:t>150</w:t>
            </w:r>
          </w:p>
        </w:tc>
        <w:tc>
          <w:tcPr>
            <w:tcW w:w="1294" w:type="dxa"/>
          </w:tcPr>
          <w:p w:rsidR="00496288" w:rsidP="000536D8" w14:paraId="58E572DB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757422BB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036564B6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63D5487F" w14:textId="77777777">
            <w:r>
              <w:t>150</w:t>
            </w:r>
          </w:p>
        </w:tc>
        <w:tc>
          <w:tcPr>
            <w:tcW w:w="1295" w:type="dxa"/>
          </w:tcPr>
          <w:p w:rsidR="00496288" w:rsidP="000536D8" w14:paraId="084B1AB0" w14:textId="77777777">
            <w:r>
              <w:t>750</w:t>
            </w:r>
          </w:p>
        </w:tc>
      </w:tr>
    </w:tbl>
    <w:p w:rsidR="00496288" w:rsidP="00496288" w14:paraId="6FF79AB2" w14:textId="77777777">
      <w:pPr>
        <w:spacing w:line="360" w:lineRule="auto"/>
        <w:rPr>
          <w:rFonts w:cs="Arial"/>
          <w:szCs w:val="22"/>
        </w:rPr>
      </w:pPr>
    </w:p>
    <w:p w:rsidR="0071223A" w:rsidRPr="004405DB" w:rsidP="0071223A" w14:paraId="1AA7F258" w14:textId="053F656B">
      <w:pPr>
        <w:tabs>
          <w:tab w:val="left" w:pos="0"/>
        </w:tabs>
        <w:spacing w:after="120" w:line="288" w:lineRule="auto"/>
        <w:jc w:val="both"/>
        <w:rPr>
          <w:color w:val="000000"/>
        </w:rPr>
      </w:pPr>
      <w:r>
        <w:t xml:space="preserve">Předkládaný materiál </w:t>
      </w:r>
      <w:r w:rsidR="0017694E">
        <w:t xml:space="preserve">má dopad na veřejné rozpočty a může vyvolat nároky na zvýšení výdajů státního rozpočtu na výzkum, vývoj a inovace. </w:t>
      </w:r>
    </w:p>
    <w:p w:rsidR="0071223A" w:rsidP="0071223A" w14:paraId="3808D696" w14:textId="7A60F4A3">
      <w:pPr>
        <w:spacing w:after="120" w:line="288" w:lineRule="auto"/>
        <w:jc w:val="both"/>
      </w:pPr>
      <w:r>
        <w:t xml:space="preserve">Předkládaný materiál nemá dopady na otázku rovnosti mužů a žen, netýká se postavení fyzických osob, nemá přímé dopady na podnikatelské prostředí České republiky ani dopady na životní prostředí a jeho realizace nevyžaduje přípravu materiálů legislativní povahy </w:t>
      </w:r>
      <w:r w:rsidR="00002126">
        <w:br/>
      </w:r>
      <w:r>
        <w:t>pro schůzi vlády ve smyslu čl. IV. odst. 7 Jednacího řádu vlády.</w:t>
      </w:r>
    </w:p>
    <w:p w:rsidR="0071223A" w:rsidP="0071223A" w14:paraId="461D104F" w14:textId="60D88A71">
      <w:pPr>
        <w:spacing w:after="120" w:line="288" w:lineRule="auto"/>
        <w:jc w:val="both"/>
      </w:pPr>
      <w:r>
        <w:t xml:space="preserve">Stanovisko k materiálu schválila Rada pro výzkum, vývoj a inovace na svém </w:t>
      </w:r>
      <w:r>
        <w:rPr>
          <w:highlight w:val="yellow"/>
        </w:rPr>
        <w:t>…</w:t>
      </w:r>
      <w:r>
        <w:t xml:space="preserve">. zasedání konaném dne </w:t>
      </w:r>
      <w:r>
        <w:rPr>
          <w:highlight w:val="yellow"/>
        </w:rPr>
        <w:t>…</w:t>
      </w:r>
      <w:r>
        <w:t xml:space="preserve"> 202</w:t>
      </w:r>
      <w:r w:rsidR="008D14AC">
        <w:t>5</w:t>
      </w:r>
      <w:r>
        <w:t xml:space="preserve"> a je uvedeno v příloze č. IV. Připomínky Rady pro výzkum, vývoj </w:t>
      </w:r>
      <w:r w:rsidR="00002126">
        <w:br/>
      </w:r>
      <w:r>
        <w:t>a inovace byly do materiálu zapracovány.</w:t>
      </w:r>
    </w:p>
    <w:p w:rsidR="0071223A" w:rsidP="0071223A" w14:paraId="64077C0A" w14:textId="3F99B2DC">
      <w:pPr>
        <w:spacing w:after="120" w:line="288" w:lineRule="auto"/>
        <w:jc w:val="both"/>
      </w:pPr>
      <w:r>
        <w:t xml:space="preserve">Podle Jednacího řádu vlády byl materiál rozeslán do meziresortního připomínkového řízení dopisem ministra zdravotnictví, toto připomínkové řízení proběhlo v termínu od </w:t>
      </w:r>
      <w:r>
        <w:rPr>
          <w:highlight w:val="yellow"/>
        </w:rPr>
        <w:t>...</w:t>
      </w:r>
      <w:r>
        <w:t xml:space="preserve"> do </w:t>
      </w:r>
      <w:r>
        <w:rPr>
          <w:highlight w:val="yellow"/>
        </w:rPr>
        <w:t>…</w:t>
      </w:r>
      <w:r>
        <w:t xml:space="preserve"> 202</w:t>
      </w:r>
      <w:r w:rsidR="008D14AC">
        <w:t>5</w:t>
      </w:r>
      <w:r>
        <w:t xml:space="preserve">. K materiálu bylo v termínu zasláno celkem </w:t>
      </w:r>
      <w:r>
        <w:rPr>
          <w:highlight w:val="yellow"/>
        </w:rPr>
        <w:t>..</w:t>
      </w:r>
      <w:r>
        <w:t xml:space="preserve"> připomínek, z toho </w:t>
      </w:r>
      <w:r>
        <w:rPr>
          <w:highlight w:val="yellow"/>
        </w:rPr>
        <w:t>..</w:t>
      </w:r>
      <w:r>
        <w:t xml:space="preserve"> bylo označeno jako zásadní. Vyhodnocení tohoto řízení je uvedeno v příloze VI. Připomínková místa vyslovila s vypořádáním připomínek souhlas. Materiál je vládě předkládán </w:t>
      </w:r>
      <w:r>
        <w:rPr>
          <w:highlight w:val="yellow"/>
        </w:rPr>
        <w:t>bez rozporu / s rozporem</w:t>
      </w:r>
      <w:r>
        <w:t>.</w:t>
      </w:r>
    </w:p>
    <w:p w:rsidR="00D76A74" w:rsidRPr="00E07B54" w:rsidP="00E07B54" w14:paraId="31F52B13" w14:textId="77777777">
      <w:pPr>
        <w:spacing w:before="120" w:after="120" w:line="288" w:lineRule="auto"/>
        <w:jc w:val="both"/>
        <w:rPr>
          <w:rFonts w:eastAsia="Arial"/>
        </w:rPr>
      </w:pPr>
    </w:p>
    <w:sectPr w:rsidSect="00174415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770260"/>
    <w:rsid w:val="00002126"/>
    <w:rsid w:val="00011B39"/>
    <w:rsid w:val="00014F55"/>
    <w:rsid w:val="00044F54"/>
    <w:rsid w:val="0005117A"/>
    <w:rsid w:val="000536D8"/>
    <w:rsid w:val="00061A30"/>
    <w:rsid w:val="000A5639"/>
    <w:rsid w:val="000C3AD1"/>
    <w:rsid w:val="000D30BC"/>
    <w:rsid w:val="00114067"/>
    <w:rsid w:val="00121485"/>
    <w:rsid w:val="00126896"/>
    <w:rsid w:val="00126B50"/>
    <w:rsid w:val="001321E3"/>
    <w:rsid w:val="00174415"/>
    <w:rsid w:val="0017694E"/>
    <w:rsid w:val="00182352"/>
    <w:rsid w:val="00184744"/>
    <w:rsid w:val="00186FD2"/>
    <w:rsid w:val="001956DE"/>
    <w:rsid w:val="001E3797"/>
    <w:rsid w:val="002043D4"/>
    <w:rsid w:val="002501B8"/>
    <w:rsid w:val="0027469F"/>
    <w:rsid w:val="002818D2"/>
    <w:rsid w:val="002A4A86"/>
    <w:rsid w:val="002A6AB4"/>
    <w:rsid w:val="002B2A3F"/>
    <w:rsid w:val="002B4C79"/>
    <w:rsid w:val="002B7F42"/>
    <w:rsid w:val="002D7A2F"/>
    <w:rsid w:val="003143DB"/>
    <w:rsid w:val="00327426"/>
    <w:rsid w:val="003411C9"/>
    <w:rsid w:val="00343AA8"/>
    <w:rsid w:val="00353172"/>
    <w:rsid w:val="00365324"/>
    <w:rsid w:val="003823F8"/>
    <w:rsid w:val="0038565D"/>
    <w:rsid w:val="003E5CF0"/>
    <w:rsid w:val="0041167A"/>
    <w:rsid w:val="00413E81"/>
    <w:rsid w:val="004234DA"/>
    <w:rsid w:val="00433CFC"/>
    <w:rsid w:val="004405DB"/>
    <w:rsid w:val="00465A18"/>
    <w:rsid w:val="00480688"/>
    <w:rsid w:val="004949B8"/>
    <w:rsid w:val="00496288"/>
    <w:rsid w:val="004B2BBC"/>
    <w:rsid w:val="004C4244"/>
    <w:rsid w:val="004D52D4"/>
    <w:rsid w:val="004F2A9E"/>
    <w:rsid w:val="00506DA8"/>
    <w:rsid w:val="00517E12"/>
    <w:rsid w:val="005212B3"/>
    <w:rsid w:val="005246C9"/>
    <w:rsid w:val="00547A92"/>
    <w:rsid w:val="00556CAA"/>
    <w:rsid w:val="00567741"/>
    <w:rsid w:val="005E0D60"/>
    <w:rsid w:val="005F5425"/>
    <w:rsid w:val="0065682A"/>
    <w:rsid w:val="006822F9"/>
    <w:rsid w:val="006A6776"/>
    <w:rsid w:val="006C647D"/>
    <w:rsid w:val="006D598A"/>
    <w:rsid w:val="006E218E"/>
    <w:rsid w:val="00703651"/>
    <w:rsid w:val="0071223A"/>
    <w:rsid w:val="00721FB3"/>
    <w:rsid w:val="007245A4"/>
    <w:rsid w:val="007272FC"/>
    <w:rsid w:val="007340E9"/>
    <w:rsid w:val="00770260"/>
    <w:rsid w:val="00771217"/>
    <w:rsid w:val="007A1A02"/>
    <w:rsid w:val="007B1C3E"/>
    <w:rsid w:val="007D5734"/>
    <w:rsid w:val="007F1558"/>
    <w:rsid w:val="007F68A1"/>
    <w:rsid w:val="0080397D"/>
    <w:rsid w:val="00821B8C"/>
    <w:rsid w:val="008329D9"/>
    <w:rsid w:val="00843827"/>
    <w:rsid w:val="008622F5"/>
    <w:rsid w:val="00866FD2"/>
    <w:rsid w:val="008B473D"/>
    <w:rsid w:val="008C4C66"/>
    <w:rsid w:val="008D14AC"/>
    <w:rsid w:val="008E0132"/>
    <w:rsid w:val="008E32E4"/>
    <w:rsid w:val="008E5E7E"/>
    <w:rsid w:val="008F7D8C"/>
    <w:rsid w:val="00925D0A"/>
    <w:rsid w:val="00962172"/>
    <w:rsid w:val="009C4AD8"/>
    <w:rsid w:val="00A658B4"/>
    <w:rsid w:val="00A74ED9"/>
    <w:rsid w:val="00A82530"/>
    <w:rsid w:val="00A90350"/>
    <w:rsid w:val="00A9775F"/>
    <w:rsid w:val="00AC312F"/>
    <w:rsid w:val="00AE1418"/>
    <w:rsid w:val="00AE6CA2"/>
    <w:rsid w:val="00AF66AD"/>
    <w:rsid w:val="00B347B9"/>
    <w:rsid w:val="00B34DD6"/>
    <w:rsid w:val="00B61DAD"/>
    <w:rsid w:val="00B65802"/>
    <w:rsid w:val="00B67AA1"/>
    <w:rsid w:val="00B9332B"/>
    <w:rsid w:val="00B976EB"/>
    <w:rsid w:val="00BD18C9"/>
    <w:rsid w:val="00BD6979"/>
    <w:rsid w:val="00BE247D"/>
    <w:rsid w:val="00C11793"/>
    <w:rsid w:val="00C63952"/>
    <w:rsid w:val="00C764BD"/>
    <w:rsid w:val="00C802F9"/>
    <w:rsid w:val="00C87027"/>
    <w:rsid w:val="00C968EE"/>
    <w:rsid w:val="00C97443"/>
    <w:rsid w:val="00CB5F51"/>
    <w:rsid w:val="00CC3034"/>
    <w:rsid w:val="00CC6D99"/>
    <w:rsid w:val="00CC73DC"/>
    <w:rsid w:val="00CF57BB"/>
    <w:rsid w:val="00CF5E04"/>
    <w:rsid w:val="00D22C46"/>
    <w:rsid w:val="00D40269"/>
    <w:rsid w:val="00D52642"/>
    <w:rsid w:val="00D76A74"/>
    <w:rsid w:val="00D922A2"/>
    <w:rsid w:val="00DC3146"/>
    <w:rsid w:val="00DE0126"/>
    <w:rsid w:val="00DF7B79"/>
    <w:rsid w:val="00E00032"/>
    <w:rsid w:val="00E03E8A"/>
    <w:rsid w:val="00E07B54"/>
    <w:rsid w:val="00E507A8"/>
    <w:rsid w:val="00EE78F3"/>
    <w:rsid w:val="00EF5798"/>
    <w:rsid w:val="00F13342"/>
    <w:rsid w:val="00F15345"/>
    <w:rsid w:val="00F318F0"/>
    <w:rsid w:val="00F72AF3"/>
    <w:rsid w:val="00F741A7"/>
    <w:rsid w:val="00F765C9"/>
    <w:rsid w:val="00F76C4B"/>
    <w:rsid w:val="00F83B06"/>
    <w:rsid w:val="00F9069C"/>
    <w:rsid w:val="00FB09C3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4EB0A7F-6942-4388-AB05-81AD43B0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F5798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EF5798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EF57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EF5798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EF57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F57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F579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F7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49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0036-976E-42C9-A5B5-409229D4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1098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Laubová Lenka, Mgr. (MPSV)</dc:creator>
  <cp:lastModifiedBy>Rzehulková Martina, Mgr.et Mgr.</cp:lastModifiedBy>
  <cp:revision>36</cp:revision>
  <cp:lastPrinted>2021-06-25T12:39:00Z</cp:lastPrinted>
  <dcterms:created xsi:type="dcterms:W3CDTF">2021-06-25T12:25:00Z</dcterms:created>
  <dcterms:modified xsi:type="dcterms:W3CDTF">2025-01-21T12:38:00Z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2.7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5426-2025-UVCR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5426-2025-UVCR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31.1.2025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&lt;TABLE&gt;&lt;TR&gt;&lt;TD&gt;Č.j.:&lt;/TD&gt;&lt;TD&gt;5426-2025-UVCR&lt;/TD&gt;&lt;/TR&gt;&lt;TR&gt;&lt;TD&gt;&lt;/TD&gt;&lt;TD&gt;&lt;/TD&gt;&lt;/TR&gt;&lt;/TABLE&gt;</vt:lpwstr>
  </property>
  <property fmtid="{D5CDD505-2E9C-101B-9397-08002B2CF9AE}" pid="15" name="DisplayName_PoziceMa_Pisemnost">
    <vt:lpwstr>Marie Novotná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koordinace výzkumu, vývoje a inovací</vt:lpwstr>
  </property>
  <property fmtid="{D5CDD505-2E9C-101B-9397-08002B2CF9AE}" pid="18" name="DisplayName_Spis_Pisemnost">
    <vt:lpwstr>Dopis RVVI_žádost o stanovisko ke změně Programu NW_Podprogram 4_Podpora národních autorit</vt:lpwstr>
  </property>
  <property fmtid="{D5CDD505-2E9C-101B-9397-08002B2CF9AE}" pid="19" name="DisplayName_UserPoriz_Pisemnost">
    <vt:lpwstr>Systém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UVCR25D0005415</vt:lpwstr>
  </property>
  <property fmtid="{D5CDD505-2E9C-101B-9397-08002B2CF9AE}" pid="22" name="Key_BarCode_Pisemnost">
    <vt:lpwstr>*UVCR25D0005415*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3</vt:lpwstr>
  </property>
  <property fmtid="{D5CDD505-2E9C-101B-9397-08002B2CF9AE}" pid="30" name="PocetListu_Pisemnost">
    <vt:lpwstr>3/74</vt:lpwstr>
  </property>
  <property fmtid="{D5CDD505-2E9C-101B-9397-08002B2CF9AE}" pid="31" name="PocetPriloh_Pisemnost">
    <vt:lpwstr>6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
11801 Praha 1 - Malá Strana</vt:lpwstr>
  </property>
  <property fmtid="{D5CDD505-2E9C-101B-9397-08002B2CF9AE}" pid="35" name="QREC_Pisemnost">
    <vt:lpwstr>UVCR25D0005415</vt:lpwstr>
  </property>
  <property fmtid="{D5CDD505-2E9C-101B-9397-08002B2CF9AE}" pid="36" name="RC">
    <vt:lpwstr/>
  </property>
  <property fmtid="{D5CDD505-2E9C-101B-9397-08002B2CF9AE}" pid="37" name="SkartacniZnakLhuta_PisemnostZnak">
    <vt:lpwstr>S/5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SPIS-2025-1038</vt:lpwstr>
  </property>
  <property fmtid="{D5CDD505-2E9C-101B-9397-08002B2CF9AE}" pid="40" name="TEST">
    <vt:lpwstr>testovací pole</vt:lpwstr>
  </property>
  <property fmtid="{D5CDD505-2E9C-101B-9397-08002B2CF9AE}" pid="41" name="TypPrilohy_Pisemnost">
    <vt:lpwstr>6el.s.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Dopis RVVI_žádost o stanovisko ke změně Programu NW_Podprogram 4_Podpora národních autorit</vt:lpwstr>
  </property>
  <property fmtid="{D5CDD505-2E9C-101B-9397-08002B2CF9AE}" pid="44" name="Zkratka_SpisovyUzel_PoziceZodpo_Pisemnost">
    <vt:lpwstr>VVI</vt:lpwstr>
  </property>
</Properties>
</file>