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B2358" w14:textId="77777777" w:rsidR="008E5E5C" w:rsidRDefault="008E5E5C"/>
    <w:p w14:paraId="60E42042" w14:textId="77777777" w:rsidR="004E5C95" w:rsidRDefault="004E5C95"/>
    <w:tbl>
      <w:tblPr>
        <w:tblW w:w="9636" w:type="dxa"/>
        <w:jc w:val="center"/>
        <w:tblLook w:val="04A0" w:firstRow="1" w:lastRow="0" w:firstColumn="1" w:lastColumn="0" w:noHBand="0" w:noVBand="1"/>
      </w:tblPr>
      <w:tblGrid>
        <w:gridCol w:w="2622"/>
        <w:gridCol w:w="3574"/>
        <w:gridCol w:w="651"/>
        <w:gridCol w:w="706"/>
        <w:gridCol w:w="619"/>
        <w:gridCol w:w="695"/>
        <w:gridCol w:w="769"/>
      </w:tblGrid>
      <w:tr w:rsidR="004E5C95" w:rsidRPr="00DB5CDA" w14:paraId="6902E734" w14:textId="77777777" w:rsidTr="009B5451">
        <w:trPr>
          <w:trHeight w:val="480"/>
          <w:jc w:val="center"/>
        </w:trPr>
        <w:tc>
          <w:tcPr>
            <w:tcW w:w="2637" w:type="dxa"/>
            <w:vMerge w:val="restart"/>
            <w:tcBorders>
              <w:top w:val="single" w:sz="2" w:space="0" w:color="auto"/>
              <w:left w:val="single" w:sz="2" w:space="0" w:color="auto"/>
              <w:bottom w:val="single" w:sz="2" w:space="0" w:color="auto"/>
              <w:right w:val="single" w:sz="2" w:space="0" w:color="auto"/>
            </w:tcBorders>
            <w:shd w:val="clear" w:color="auto" w:fill="FFD966"/>
          </w:tcPr>
          <w:p w14:paraId="40FEBCED" w14:textId="77777777" w:rsidR="004E5C95" w:rsidRPr="00DB5CDA" w:rsidRDefault="004E5C95" w:rsidP="009B5451">
            <w:pPr>
              <w:pStyle w:val="Zhlav"/>
              <w:rPr>
                <w:rFonts w:ascii="Arial" w:hAnsi="Arial" w:cs="Arial"/>
                <w:b/>
              </w:rPr>
            </w:pPr>
          </w:p>
          <w:p w14:paraId="07A2970F" w14:textId="77777777" w:rsidR="004E5C95" w:rsidRPr="00DB5CDA" w:rsidRDefault="004E5C95" w:rsidP="009B5451">
            <w:pPr>
              <w:pStyle w:val="Zhlav"/>
              <w:rPr>
                <w:rFonts w:ascii="Arial" w:hAnsi="Arial" w:cs="Arial"/>
                <w:b/>
              </w:rPr>
            </w:pPr>
            <w:r w:rsidRPr="00DB5CDA">
              <w:rPr>
                <w:rFonts w:ascii="Arial" w:hAnsi="Arial" w:cs="Arial"/>
                <w:b/>
              </w:rPr>
              <w:t>M</w:t>
            </w:r>
            <w:r>
              <w:rPr>
                <w:rFonts w:ascii="Arial" w:hAnsi="Arial" w:cs="Arial"/>
                <w:b/>
              </w:rPr>
              <w:t>Zd</w:t>
            </w:r>
          </w:p>
          <w:p w14:paraId="0389CE74" w14:textId="77777777" w:rsidR="004E5C95" w:rsidRPr="00DB5CDA" w:rsidRDefault="004E5C95" w:rsidP="009B5451">
            <w:pPr>
              <w:pStyle w:val="Zhlav"/>
              <w:rPr>
                <w:rFonts w:ascii="Arial" w:hAnsi="Arial" w:cs="Arial"/>
                <w:b/>
                <w:smallCaps/>
                <w:spacing w:val="20"/>
              </w:rPr>
            </w:pPr>
          </w:p>
        </w:tc>
        <w:tc>
          <w:tcPr>
            <w:tcW w:w="3600" w:type="dxa"/>
            <w:vMerge w:val="restart"/>
            <w:tcBorders>
              <w:top w:val="single" w:sz="2" w:space="0" w:color="auto"/>
              <w:left w:val="single" w:sz="2" w:space="0" w:color="auto"/>
              <w:bottom w:val="single" w:sz="2" w:space="0" w:color="auto"/>
              <w:right w:val="single" w:sz="2" w:space="0" w:color="auto"/>
            </w:tcBorders>
            <w:shd w:val="clear" w:color="auto" w:fill="FFD966"/>
          </w:tcPr>
          <w:p w14:paraId="58C1EDDD" w14:textId="77777777" w:rsidR="004E5C95" w:rsidRPr="00DB5CDA" w:rsidRDefault="004E5C95" w:rsidP="009B5451">
            <w:pPr>
              <w:rPr>
                <w:rFonts w:ascii="Arial" w:hAnsi="Arial" w:cs="Arial"/>
                <w:b/>
              </w:rPr>
            </w:pPr>
          </w:p>
          <w:p w14:paraId="22CF1A31" w14:textId="77777777" w:rsidR="004E5C95" w:rsidRPr="00DB5CDA" w:rsidRDefault="004E5C95" w:rsidP="009B5451">
            <w:pPr>
              <w:rPr>
                <w:rFonts w:ascii="Arial" w:hAnsi="Arial" w:cs="Arial"/>
                <w:b/>
              </w:rPr>
            </w:pPr>
            <w:r w:rsidRPr="0072552F">
              <w:rPr>
                <w:rFonts w:ascii="Arial" w:hAnsi="Arial" w:cs="Arial"/>
                <w:b/>
              </w:rPr>
              <w:t>Fakultní Thomayerova nemocnice</w:t>
            </w:r>
          </w:p>
        </w:tc>
        <w:tc>
          <w:tcPr>
            <w:tcW w:w="655" w:type="dxa"/>
            <w:tcBorders>
              <w:top w:val="single" w:sz="2" w:space="0" w:color="auto"/>
              <w:left w:val="single" w:sz="2" w:space="0" w:color="auto"/>
              <w:bottom w:val="single" w:sz="2" w:space="0" w:color="auto"/>
              <w:right w:val="single" w:sz="2" w:space="0" w:color="auto"/>
            </w:tcBorders>
            <w:shd w:val="clear" w:color="auto" w:fill="FFD966"/>
            <w:vAlign w:val="center"/>
          </w:tcPr>
          <w:p w14:paraId="7E2C9AA5" w14:textId="78FFC849" w:rsidR="004E5C95" w:rsidRPr="00DB5CDA" w:rsidRDefault="00F65009" w:rsidP="009B5451">
            <w:pPr>
              <w:rPr>
                <w:rFonts w:ascii="Arial" w:hAnsi="Arial" w:cs="Arial"/>
                <w:b/>
              </w:rPr>
            </w:pPr>
            <w:r>
              <w:rPr>
                <w:rFonts w:ascii="Arial" w:hAnsi="Arial" w:cs="Arial"/>
                <w:b/>
              </w:rPr>
              <w:t>C</w:t>
            </w:r>
          </w:p>
        </w:tc>
        <w:tc>
          <w:tcPr>
            <w:tcW w:w="655" w:type="dxa"/>
            <w:tcBorders>
              <w:top w:val="single" w:sz="2" w:space="0" w:color="auto"/>
              <w:left w:val="single" w:sz="2" w:space="0" w:color="auto"/>
              <w:bottom w:val="single" w:sz="2" w:space="0" w:color="auto"/>
              <w:right w:val="single" w:sz="2" w:space="0" w:color="auto"/>
            </w:tcBorders>
            <w:shd w:val="clear" w:color="auto" w:fill="auto"/>
            <w:vAlign w:val="center"/>
          </w:tcPr>
          <w:p w14:paraId="1035ABC6" w14:textId="0B6409F0" w:rsidR="004E5C95" w:rsidRPr="00DB5CDA" w:rsidRDefault="00D964D2" w:rsidP="009B5451">
            <w:pPr>
              <w:rPr>
                <w:rFonts w:ascii="Arial" w:hAnsi="Arial" w:cs="Arial"/>
              </w:rPr>
            </w:pPr>
            <w:r>
              <w:rPr>
                <w:rFonts w:ascii="Arial" w:hAnsi="Arial" w:cs="Arial"/>
              </w:rPr>
              <w:t>M1/2</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760B79E8" w14:textId="312394CA" w:rsidR="004E5C95" w:rsidRPr="00DB5CDA" w:rsidRDefault="00D964D2" w:rsidP="009B5451">
            <w:pPr>
              <w:rPr>
                <w:rFonts w:ascii="Arial" w:hAnsi="Arial" w:cs="Arial"/>
              </w:rPr>
            </w:pPr>
            <w:r>
              <w:rPr>
                <w:rFonts w:ascii="Arial" w:hAnsi="Arial" w:cs="Arial"/>
              </w:rPr>
              <w:t>M3</w:t>
            </w:r>
          </w:p>
        </w:tc>
        <w:tc>
          <w:tcPr>
            <w:tcW w:w="697" w:type="dxa"/>
            <w:tcBorders>
              <w:top w:val="single" w:sz="2" w:space="0" w:color="auto"/>
              <w:left w:val="single" w:sz="2" w:space="0" w:color="auto"/>
              <w:bottom w:val="single" w:sz="2" w:space="0" w:color="auto"/>
              <w:right w:val="single" w:sz="2" w:space="0" w:color="auto"/>
            </w:tcBorders>
            <w:shd w:val="clear" w:color="auto" w:fill="auto"/>
            <w:vAlign w:val="center"/>
          </w:tcPr>
          <w:p w14:paraId="3150B537" w14:textId="268CA7DF" w:rsidR="004E5C95" w:rsidRPr="00DB5CDA" w:rsidRDefault="00D964D2" w:rsidP="009B5451">
            <w:pPr>
              <w:rPr>
                <w:rFonts w:ascii="Arial" w:hAnsi="Arial" w:cs="Arial"/>
              </w:rPr>
            </w:pPr>
            <w:r>
              <w:rPr>
                <w:rFonts w:ascii="Arial" w:hAnsi="Arial" w:cs="Arial"/>
              </w:rPr>
              <w:t>M4</w:t>
            </w:r>
          </w:p>
        </w:tc>
        <w:tc>
          <w:tcPr>
            <w:tcW w:w="772" w:type="dxa"/>
            <w:tcBorders>
              <w:top w:val="single" w:sz="2" w:space="0" w:color="auto"/>
              <w:left w:val="single" w:sz="2" w:space="0" w:color="auto"/>
              <w:bottom w:val="single" w:sz="2" w:space="0" w:color="auto"/>
              <w:right w:val="single" w:sz="2" w:space="0" w:color="auto"/>
            </w:tcBorders>
            <w:shd w:val="clear" w:color="auto" w:fill="auto"/>
            <w:vAlign w:val="center"/>
          </w:tcPr>
          <w:p w14:paraId="0044C33F" w14:textId="0A8415C3" w:rsidR="004E5C95" w:rsidRPr="00DB5CDA" w:rsidRDefault="00D964D2" w:rsidP="009B5451">
            <w:pPr>
              <w:rPr>
                <w:rFonts w:ascii="Arial" w:hAnsi="Arial" w:cs="Arial"/>
              </w:rPr>
            </w:pPr>
            <w:r>
              <w:rPr>
                <w:rFonts w:ascii="Arial" w:hAnsi="Arial" w:cs="Arial"/>
              </w:rPr>
              <w:t>M5</w:t>
            </w:r>
          </w:p>
        </w:tc>
      </w:tr>
      <w:tr w:rsidR="004E5C95" w:rsidRPr="00DB5CDA" w14:paraId="5FE9CF52" w14:textId="77777777" w:rsidTr="009B5451">
        <w:trPr>
          <w:trHeight w:val="402"/>
          <w:jc w:val="center"/>
        </w:trPr>
        <w:tc>
          <w:tcPr>
            <w:tcW w:w="2637" w:type="dxa"/>
            <w:vMerge/>
            <w:tcBorders>
              <w:top w:val="single" w:sz="2" w:space="0" w:color="auto"/>
              <w:left w:val="single" w:sz="2" w:space="0" w:color="auto"/>
              <w:bottom w:val="single" w:sz="2" w:space="0" w:color="auto"/>
              <w:right w:val="single" w:sz="2" w:space="0" w:color="auto"/>
            </w:tcBorders>
            <w:shd w:val="clear" w:color="auto" w:fill="FFD966"/>
          </w:tcPr>
          <w:p w14:paraId="2F6CB340" w14:textId="77777777" w:rsidR="004E5C95" w:rsidRPr="00DB5CDA" w:rsidRDefault="004E5C95" w:rsidP="009B5451">
            <w:pPr>
              <w:pStyle w:val="Zhlav"/>
              <w:rPr>
                <w:rFonts w:ascii="Arial" w:hAnsi="Arial" w:cs="Arial"/>
                <w:b/>
                <w:smallCaps/>
                <w:spacing w:val="20"/>
              </w:rPr>
            </w:pPr>
          </w:p>
        </w:tc>
        <w:tc>
          <w:tcPr>
            <w:tcW w:w="3600" w:type="dxa"/>
            <w:vMerge/>
            <w:tcBorders>
              <w:top w:val="single" w:sz="2" w:space="0" w:color="auto"/>
              <w:left w:val="single" w:sz="2" w:space="0" w:color="auto"/>
              <w:bottom w:val="single" w:sz="2" w:space="0" w:color="auto"/>
              <w:right w:val="single" w:sz="2" w:space="0" w:color="auto"/>
            </w:tcBorders>
            <w:shd w:val="clear" w:color="auto" w:fill="FFD966"/>
          </w:tcPr>
          <w:p w14:paraId="78255BB0" w14:textId="77777777" w:rsidR="004E5C95" w:rsidRPr="00DB5CDA" w:rsidRDefault="004E5C95" w:rsidP="009B5451">
            <w:pPr>
              <w:pStyle w:val="Zhlav"/>
              <w:rPr>
                <w:rFonts w:ascii="Arial" w:hAnsi="Arial" w:cs="Arial"/>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FFD966"/>
            <w:vAlign w:val="center"/>
          </w:tcPr>
          <w:p w14:paraId="4C3B6D0B" w14:textId="54675977" w:rsidR="004E5C95" w:rsidRPr="00DB5CDA" w:rsidRDefault="004E5C95" w:rsidP="009B5451">
            <w:pPr>
              <w:pStyle w:val="Zhlav"/>
              <w:rPr>
                <w:rFonts w:ascii="Arial" w:hAnsi="Arial" w:cs="Arial"/>
                <w:b/>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auto"/>
            <w:vAlign w:val="center"/>
          </w:tcPr>
          <w:p w14:paraId="1ED30D73" w14:textId="5B7A4A88" w:rsidR="004E5C95" w:rsidRPr="00DB5CDA" w:rsidRDefault="00AB348B" w:rsidP="009B5451">
            <w:pPr>
              <w:pStyle w:val="Zhlav"/>
              <w:rPr>
                <w:rFonts w:ascii="Arial" w:hAnsi="Arial" w:cs="Arial"/>
                <w:smallCaps/>
                <w:spacing w:val="20"/>
              </w:rPr>
            </w:pPr>
            <w:r>
              <w:rPr>
                <w:rFonts w:ascii="Arial" w:hAnsi="Arial" w:cs="Arial"/>
                <w:smallCaps/>
                <w:spacing w:val="20"/>
              </w:rPr>
              <w:t>B</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21B7AF13" w14:textId="08439F27" w:rsidR="004E5C95" w:rsidRPr="00DB5CDA" w:rsidRDefault="00D964D2" w:rsidP="009B5451">
            <w:pPr>
              <w:pStyle w:val="Zhlav"/>
              <w:rPr>
                <w:rFonts w:ascii="Arial" w:hAnsi="Arial" w:cs="Arial"/>
                <w:smallCaps/>
                <w:spacing w:val="20"/>
              </w:rPr>
            </w:pPr>
            <w:r>
              <w:rPr>
                <w:rFonts w:ascii="Arial" w:hAnsi="Arial" w:cs="Arial"/>
                <w:smallCaps/>
                <w:spacing w:val="20"/>
              </w:rPr>
              <w:t>B</w:t>
            </w:r>
          </w:p>
        </w:tc>
        <w:tc>
          <w:tcPr>
            <w:tcW w:w="697" w:type="dxa"/>
            <w:tcBorders>
              <w:top w:val="single" w:sz="2" w:space="0" w:color="auto"/>
              <w:left w:val="single" w:sz="2" w:space="0" w:color="auto"/>
              <w:bottom w:val="single" w:sz="2" w:space="0" w:color="auto"/>
              <w:right w:val="single" w:sz="2" w:space="0" w:color="auto"/>
            </w:tcBorders>
            <w:shd w:val="clear" w:color="auto" w:fill="auto"/>
            <w:vAlign w:val="center"/>
          </w:tcPr>
          <w:p w14:paraId="1EC42B85" w14:textId="253D4F52" w:rsidR="004E5C95" w:rsidRPr="00DB5CDA" w:rsidRDefault="00D964D2" w:rsidP="009B5451">
            <w:pPr>
              <w:pStyle w:val="Zhlav"/>
              <w:rPr>
                <w:rFonts w:ascii="Arial" w:hAnsi="Arial" w:cs="Arial"/>
                <w:smallCaps/>
                <w:spacing w:val="20"/>
              </w:rPr>
            </w:pPr>
            <w:r>
              <w:rPr>
                <w:rFonts w:ascii="Arial" w:hAnsi="Arial" w:cs="Arial"/>
                <w:smallCaps/>
                <w:spacing w:val="20"/>
              </w:rPr>
              <w:t>B</w:t>
            </w:r>
          </w:p>
        </w:tc>
        <w:tc>
          <w:tcPr>
            <w:tcW w:w="772" w:type="dxa"/>
            <w:tcBorders>
              <w:top w:val="single" w:sz="2" w:space="0" w:color="auto"/>
              <w:left w:val="single" w:sz="2" w:space="0" w:color="auto"/>
              <w:bottom w:val="single" w:sz="2" w:space="0" w:color="auto"/>
              <w:right w:val="single" w:sz="2" w:space="0" w:color="auto"/>
            </w:tcBorders>
            <w:shd w:val="clear" w:color="auto" w:fill="auto"/>
            <w:vAlign w:val="center"/>
          </w:tcPr>
          <w:p w14:paraId="66C648F5" w14:textId="3C18C073" w:rsidR="004E5C95" w:rsidRPr="00DB5CDA" w:rsidRDefault="00D964D2" w:rsidP="009B5451">
            <w:pPr>
              <w:pStyle w:val="Zhlav"/>
              <w:rPr>
                <w:rFonts w:ascii="Arial" w:hAnsi="Arial" w:cs="Arial"/>
                <w:smallCaps/>
                <w:spacing w:val="20"/>
              </w:rPr>
            </w:pPr>
            <w:r>
              <w:rPr>
                <w:rFonts w:ascii="Arial" w:hAnsi="Arial" w:cs="Arial"/>
                <w:smallCaps/>
                <w:spacing w:val="20"/>
              </w:rPr>
              <w:t>B</w:t>
            </w:r>
          </w:p>
        </w:tc>
      </w:tr>
      <w:tr w:rsidR="004E5C95" w:rsidRPr="005A1F93" w14:paraId="02FF81BF" w14:textId="77777777" w:rsidTr="009B5451">
        <w:trPr>
          <w:trHeight w:val="265"/>
          <w:jc w:val="center"/>
        </w:trPr>
        <w:tc>
          <w:tcPr>
            <w:tcW w:w="2637" w:type="dxa"/>
            <w:tcBorders>
              <w:top w:val="single" w:sz="2" w:space="0" w:color="auto"/>
              <w:left w:val="single" w:sz="2" w:space="0" w:color="auto"/>
              <w:right w:val="single" w:sz="2" w:space="0" w:color="auto"/>
            </w:tcBorders>
            <w:shd w:val="clear" w:color="auto" w:fill="auto"/>
            <w:vAlign w:val="center"/>
          </w:tcPr>
          <w:p w14:paraId="27C36158" w14:textId="1A663AC5" w:rsidR="004E5C95" w:rsidRPr="00DB5CDA" w:rsidRDefault="004E5C95" w:rsidP="004E5C95">
            <w:pPr>
              <w:pStyle w:val="Zhlav"/>
              <w:rPr>
                <w:rFonts w:ascii="Arial" w:hAnsi="Arial" w:cs="Arial"/>
                <w:b/>
                <w:smallCaps/>
                <w:spacing w:val="20"/>
                <w:szCs w:val="22"/>
              </w:rPr>
            </w:pPr>
          </w:p>
        </w:tc>
        <w:tc>
          <w:tcPr>
            <w:tcW w:w="6999" w:type="dxa"/>
            <w:gridSpan w:val="6"/>
            <w:tcBorders>
              <w:top w:val="single" w:sz="2" w:space="0" w:color="auto"/>
              <w:left w:val="single" w:sz="2" w:space="0" w:color="auto"/>
              <w:right w:val="single" w:sz="2" w:space="0" w:color="auto"/>
            </w:tcBorders>
            <w:shd w:val="clear" w:color="auto" w:fill="auto"/>
            <w:vAlign w:val="center"/>
          </w:tcPr>
          <w:p w14:paraId="259C94A7" w14:textId="1BDFFB75" w:rsidR="004E5C95" w:rsidRPr="005A1F93" w:rsidRDefault="004E5C95" w:rsidP="004E5C95">
            <w:pPr>
              <w:pStyle w:val="Zhlav"/>
              <w:jc w:val="both"/>
              <w:rPr>
                <w:rFonts w:ascii="Arial" w:hAnsi="Arial" w:cs="Arial"/>
                <w:szCs w:val="22"/>
              </w:rPr>
            </w:pPr>
          </w:p>
        </w:tc>
      </w:tr>
      <w:tr w:rsidR="00135533" w:rsidRPr="00986299" w14:paraId="384A7134"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27D960B9" w14:textId="77777777" w:rsidR="00135533" w:rsidRDefault="00135533" w:rsidP="00135533">
            <w:pPr>
              <w:pStyle w:val="Zhlav"/>
              <w:rPr>
                <w:rFonts w:ascii="Arial" w:hAnsi="Arial" w:cs="Arial"/>
                <w:b/>
                <w:szCs w:val="22"/>
              </w:rPr>
            </w:pPr>
          </w:p>
          <w:p w14:paraId="1F211CE8" w14:textId="3D3215F7" w:rsidR="00135533" w:rsidRPr="00DB5CDA" w:rsidRDefault="00135533" w:rsidP="00135533">
            <w:pPr>
              <w:pStyle w:val="Zhlav"/>
              <w:rPr>
                <w:rFonts w:ascii="Arial" w:hAnsi="Arial" w:cs="Arial"/>
                <w:b/>
                <w:smallCaps/>
                <w:spacing w:val="20"/>
                <w:szCs w:val="22"/>
              </w:rPr>
            </w:pPr>
            <w:r w:rsidRPr="00796777">
              <w:rPr>
                <w:rFonts w:ascii="Arial" w:hAnsi="Arial" w:cs="Arial"/>
                <w:b/>
                <w:szCs w:val="22"/>
              </w:rPr>
              <w:t>Výsledné hodnocení</w:t>
            </w:r>
            <w:r>
              <w:rPr>
                <w:rFonts w:ascii="Arial" w:hAnsi="Arial" w:cs="Arial"/>
                <w:b/>
                <w:szCs w:val="22"/>
              </w:rPr>
              <w:t xml:space="preserve"> </w:t>
            </w:r>
            <w:r w:rsidR="00764B04">
              <w:rPr>
                <w:rFonts w:ascii="Arial" w:hAnsi="Arial" w:cs="Arial"/>
                <w:b/>
                <w:szCs w:val="22"/>
              </w:rPr>
              <w:t xml:space="preserve">v modulech 1 až 5 je </w:t>
            </w:r>
            <w:r>
              <w:rPr>
                <w:rFonts w:ascii="Arial" w:hAnsi="Arial" w:cs="Arial"/>
                <w:b/>
                <w:szCs w:val="22"/>
              </w:rPr>
              <w:t>C</w:t>
            </w:r>
          </w:p>
        </w:tc>
        <w:tc>
          <w:tcPr>
            <w:tcW w:w="6999" w:type="dxa"/>
            <w:gridSpan w:val="6"/>
            <w:tcBorders>
              <w:left w:val="single" w:sz="2" w:space="0" w:color="auto"/>
              <w:right w:val="single" w:sz="2" w:space="0" w:color="auto"/>
            </w:tcBorders>
            <w:shd w:val="clear" w:color="auto" w:fill="auto"/>
            <w:vAlign w:val="center"/>
          </w:tcPr>
          <w:p w14:paraId="49366B7B" w14:textId="0C64AC15" w:rsidR="00135533" w:rsidRDefault="00D964D2" w:rsidP="00135533">
            <w:pPr>
              <w:pStyle w:val="Zhlav"/>
              <w:jc w:val="both"/>
              <w:rPr>
                <w:rFonts w:ascii="Arial" w:hAnsi="Arial" w:cs="Arial"/>
                <w:b/>
                <w:color w:val="000000" w:themeColor="text1"/>
                <w:szCs w:val="22"/>
              </w:rPr>
            </w:pPr>
            <w:r w:rsidRPr="004C73B8">
              <w:rPr>
                <w:rFonts w:ascii="Arial" w:hAnsi="Arial" w:cs="Arial"/>
                <w:b/>
                <w:color w:val="000000" w:themeColor="text1"/>
                <w:szCs w:val="22"/>
              </w:rPr>
              <w:t xml:space="preserve">Moduly M1-2 </w:t>
            </w:r>
            <w:r>
              <w:rPr>
                <w:rFonts w:ascii="Arial" w:hAnsi="Arial" w:cs="Arial"/>
                <w:b/>
                <w:color w:val="000000" w:themeColor="text1"/>
                <w:szCs w:val="22"/>
              </w:rPr>
              <w:t xml:space="preserve">po tripartitě v roce </w:t>
            </w:r>
            <w:proofErr w:type="gramStart"/>
            <w:r>
              <w:rPr>
                <w:rFonts w:ascii="Arial" w:hAnsi="Arial" w:cs="Arial"/>
                <w:b/>
                <w:color w:val="000000" w:themeColor="text1"/>
                <w:szCs w:val="22"/>
              </w:rPr>
              <w:t>202</w:t>
            </w:r>
            <w:r w:rsidR="00AB348B">
              <w:rPr>
                <w:rFonts w:ascii="Arial" w:hAnsi="Arial" w:cs="Arial"/>
                <w:b/>
                <w:color w:val="000000" w:themeColor="text1"/>
                <w:szCs w:val="22"/>
              </w:rPr>
              <w:t>4</w:t>
            </w:r>
            <w:r>
              <w:rPr>
                <w:rFonts w:ascii="Arial" w:hAnsi="Arial" w:cs="Arial"/>
                <w:b/>
                <w:color w:val="000000" w:themeColor="text1"/>
                <w:szCs w:val="22"/>
              </w:rPr>
              <w:t xml:space="preserve"> – </w:t>
            </w:r>
            <w:r w:rsidR="00F65009">
              <w:rPr>
                <w:rFonts w:ascii="Arial" w:hAnsi="Arial" w:cs="Arial"/>
                <w:b/>
                <w:color w:val="000000" w:themeColor="text1"/>
                <w:szCs w:val="22"/>
              </w:rPr>
              <w:t>C</w:t>
            </w:r>
            <w:proofErr w:type="gramEnd"/>
          </w:p>
          <w:p w14:paraId="6F6607E9" w14:textId="3D6FBBE8" w:rsidR="00D964D2" w:rsidRPr="00986299" w:rsidRDefault="00D964D2" w:rsidP="00135533">
            <w:pPr>
              <w:pStyle w:val="Zhlav"/>
              <w:jc w:val="both"/>
              <w:rPr>
                <w:rFonts w:ascii="Arial" w:hAnsi="Arial" w:cs="Arial"/>
                <w:szCs w:val="22"/>
                <w:highlight w:val="yellow"/>
              </w:rPr>
            </w:pPr>
          </w:p>
        </w:tc>
      </w:tr>
      <w:tr w:rsidR="00135533" w:rsidRPr="00590C11" w14:paraId="383BFDCF"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27AA426B" w14:textId="77777777" w:rsidR="00135533" w:rsidRDefault="00135533" w:rsidP="00135533">
            <w:pPr>
              <w:pStyle w:val="Zhlav"/>
              <w:rPr>
                <w:rFonts w:ascii="Arial" w:hAnsi="Arial" w:cs="Arial"/>
                <w:b/>
                <w:szCs w:val="22"/>
              </w:rPr>
            </w:pPr>
          </w:p>
          <w:p w14:paraId="49C2D332" w14:textId="77777777" w:rsidR="00135533" w:rsidRDefault="00135533" w:rsidP="00135533">
            <w:pPr>
              <w:pStyle w:val="Zhlav"/>
              <w:rPr>
                <w:rFonts w:ascii="Arial" w:hAnsi="Arial" w:cs="Arial"/>
                <w:b/>
                <w:szCs w:val="22"/>
              </w:rPr>
            </w:pPr>
          </w:p>
          <w:p w14:paraId="522CF436" w14:textId="5A1DB3F6" w:rsidR="00135533" w:rsidRDefault="00135533" w:rsidP="00135533">
            <w:pPr>
              <w:pStyle w:val="Zhlav"/>
              <w:rPr>
                <w:rFonts w:ascii="Arial" w:hAnsi="Arial" w:cs="Arial"/>
                <w:b/>
                <w:szCs w:val="22"/>
              </w:rPr>
            </w:pPr>
            <w:r w:rsidRPr="00DB5CDA">
              <w:rPr>
                <w:rFonts w:ascii="Arial" w:hAnsi="Arial" w:cs="Arial"/>
                <w:b/>
                <w:szCs w:val="22"/>
              </w:rPr>
              <w:t xml:space="preserve">Modul </w:t>
            </w:r>
            <w:r>
              <w:rPr>
                <w:rFonts w:ascii="Arial" w:hAnsi="Arial" w:cs="Arial"/>
                <w:b/>
                <w:szCs w:val="22"/>
              </w:rPr>
              <w:t>3</w:t>
            </w:r>
            <w:r w:rsidRPr="00DB5CDA">
              <w:rPr>
                <w:rFonts w:ascii="Arial" w:hAnsi="Arial" w:cs="Arial"/>
                <w:b/>
                <w:szCs w:val="22"/>
              </w:rPr>
              <w:t xml:space="preserve"> – </w:t>
            </w:r>
            <w:r>
              <w:rPr>
                <w:rFonts w:ascii="Arial" w:hAnsi="Arial" w:cs="Arial"/>
                <w:b/>
                <w:szCs w:val="22"/>
              </w:rPr>
              <w:t>Společenská relevance B</w:t>
            </w:r>
          </w:p>
          <w:p w14:paraId="21A1ADA9" w14:textId="77777777" w:rsidR="00135533" w:rsidRDefault="00135533" w:rsidP="00135533">
            <w:pPr>
              <w:pStyle w:val="Zhlav"/>
              <w:rPr>
                <w:rFonts w:ascii="Arial" w:hAnsi="Arial" w:cs="Arial"/>
                <w:b/>
                <w:szCs w:val="22"/>
              </w:rPr>
            </w:pPr>
          </w:p>
          <w:p w14:paraId="1AE59F99" w14:textId="38D960AF" w:rsidR="00135533" w:rsidRPr="00DB5CDA" w:rsidRDefault="00135533" w:rsidP="00135533">
            <w:pPr>
              <w:pStyle w:val="Zhlav"/>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68775234" w14:textId="4A5041F8" w:rsidR="00764B04" w:rsidRPr="00DE0B06" w:rsidRDefault="00764B04" w:rsidP="00AB348B">
            <w:pPr>
              <w:jc w:val="both"/>
              <w:rPr>
                <w:rFonts w:ascii="Arial" w:hAnsi="Arial" w:cs="Arial"/>
                <w:szCs w:val="22"/>
              </w:rPr>
            </w:pPr>
            <w:r w:rsidRPr="00DE0B06">
              <w:rPr>
                <w:rFonts w:ascii="Arial" w:hAnsi="Arial" w:cs="Arial"/>
                <w:szCs w:val="22"/>
              </w:rPr>
              <w:t xml:space="preserve">FTN byla v letech 2018-2022 řešitelem/spoluřešitelem 29 grantových projektů podpořených tuzemskými grantovými agenturami (25 AZV ČR, 2 GAČR, 1 TAČR a 1 MPO). Kromě toho byla zapojena i do několika zahraničních projektů VaV a téměř 30 projektů charakteru akademických studií a nekomerčních klinických hodnocení (byť u některých lze o takovéto kategorizaci vést </w:t>
            </w:r>
            <w:proofErr w:type="gramStart"/>
            <w:r w:rsidRPr="00DE0B06">
              <w:rPr>
                <w:rFonts w:ascii="Arial" w:hAnsi="Arial" w:cs="Arial"/>
                <w:szCs w:val="22"/>
              </w:rPr>
              <w:t>diskuzi</w:t>
            </w:r>
            <w:proofErr w:type="gramEnd"/>
            <w:r w:rsidRPr="00DE0B06">
              <w:rPr>
                <w:rFonts w:ascii="Arial" w:hAnsi="Arial" w:cs="Arial"/>
                <w:szCs w:val="22"/>
              </w:rPr>
              <w:t xml:space="preserve"> – např. u specifických léčebných program</w:t>
            </w:r>
            <w:r w:rsidR="00566EE1">
              <w:rPr>
                <w:rFonts w:ascii="Arial" w:hAnsi="Arial" w:cs="Arial"/>
                <w:szCs w:val="22"/>
              </w:rPr>
              <w:t>ů</w:t>
            </w:r>
            <w:r w:rsidRPr="00DE0B06">
              <w:rPr>
                <w:rFonts w:ascii="Arial" w:hAnsi="Arial" w:cs="Arial"/>
                <w:szCs w:val="22"/>
              </w:rPr>
              <w:t xml:space="preserve">). V případě zahraničních projektů nebyly doloženy takové, které by byly financovány z fondů EU na podporu excelentního výzkumu (např. z programu HORIZON, FP7, IMI2, apod). Na doložených příkladech aplikovaného výzkumu FTN poskytla důkaz schopnosti navrhnout a úspěšně zrealizovat vlastní </w:t>
            </w:r>
            <w:r w:rsidR="00566EE1">
              <w:rPr>
                <w:rFonts w:ascii="Arial" w:hAnsi="Arial" w:cs="Arial"/>
                <w:szCs w:val="22"/>
              </w:rPr>
              <w:t>nekomerční</w:t>
            </w:r>
            <w:r w:rsidRPr="00DE0B06">
              <w:rPr>
                <w:rFonts w:ascii="Arial" w:hAnsi="Arial" w:cs="Arial"/>
                <w:szCs w:val="22"/>
              </w:rPr>
              <w:t xml:space="preserve"> klinická hodnocení, včetně multicentrických, nebo spolupracovat se soukromou sférou při vývoji nových metod a postupů (např. vývoj lékové formy fibrinolytika pro aplikaci v pneumologii a hrudní chirurgii, nebo systém a technologie pro předúpravu vzorků pro tekutou biopsii). </w:t>
            </w:r>
          </w:p>
          <w:p w14:paraId="4FC6503F" w14:textId="7A8B3FD9" w:rsidR="00764B04" w:rsidRPr="00DE0B06" w:rsidRDefault="00764B04" w:rsidP="00AB348B">
            <w:pPr>
              <w:jc w:val="both"/>
              <w:rPr>
                <w:rFonts w:ascii="Arial" w:hAnsi="Arial" w:cs="Arial"/>
                <w:szCs w:val="22"/>
              </w:rPr>
            </w:pPr>
            <w:r w:rsidRPr="00DE0B06">
              <w:rPr>
                <w:rFonts w:ascii="Arial" w:hAnsi="Arial" w:cs="Arial"/>
                <w:szCs w:val="22"/>
              </w:rPr>
              <w:t xml:space="preserve">FTN se v rámci vědecko-výzkumné činnosti </w:t>
            </w:r>
            <w:r w:rsidR="00566EE1" w:rsidRPr="00DE0B06">
              <w:rPr>
                <w:rFonts w:ascii="Arial" w:hAnsi="Arial" w:cs="Arial"/>
                <w:szCs w:val="22"/>
              </w:rPr>
              <w:t>podařilo</w:t>
            </w:r>
            <w:r w:rsidRPr="00DE0B06">
              <w:rPr>
                <w:rFonts w:ascii="Arial" w:hAnsi="Arial" w:cs="Arial"/>
                <w:szCs w:val="22"/>
              </w:rPr>
              <w:t xml:space="preserve"> </w:t>
            </w:r>
            <w:r w:rsidR="00566EE1" w:rsidRPr="00DE0B06">
              <w:rPr>
                <w:rFonts w:ascii="Arial" w:hAnsi="Arial" w:cs="Arial"/>
                <w:szCs w:val="22"/>
              </w:rPr>
              <w:t>dosáhnout</w:t>
            </w:r>
            <w:r w:rsidRPr="00DE0B06">
              <w:rPr>
                <w:rFonts w:ascii="Arial" w:hAnsi="Arial" w:cs="Arial"/>
                <w:szCs w:val="22"/>
              </w:rPr>
              <w:t xml:space="preserve"> </w:t>
            </w:r>
            <w:r w:rsidR="00566EE1" w:rsidRPr="00DE0B06">
              <w:rPr>
                <w:rFonts w:ascii="Arial" w:hAnsi="Arial" w:cs="Arial"/>
                <w:szCs w:val="22"/>
              </w:rPr>
              <w:t>kvalitních</w:t>
            </w:r>
            <w:r w:rsidRPr="00DE0B06">
              <w:rPr>
                <w:rFonts w:ascii="Arial" w:hAnsi="Arial" w:cs="Arial"/>
                <w:szCs w:val="22"/>
              </w:rPr>
              <w:t xml:space="preserve"> </w:t>
            </w:r>
            <w:r w:rsidR="00566EE1" w:rsidRPr="00DE0B06">
              <w:rPr>
                <w:rFonts w:ascii="Arial" w:hAnsi="Arial" w:cs="Arial"/>
                <w:szCs w:val="22"/>
              </w:rPr>
              <w:t>výsledků</w:t>
            </w:r>
            <w:r w:rsidRPr="00DE0B06">
              <w:rPr>
                <w:rFonts w:ascii="Arial" w:hAnsi="Arial" w:cs="Arial"/>
                <w:szCs w:val="22"/>
              </w:rPr>
              <w:t xml:space="preserve">, jejichž potenciální využití může do praxe přinést další inovace s pravděpodobným ekonomickým i společenským dopadem. </w:t>
            </w:r>
            <w:r w:rsidR="00566EE1">
              <w:rPr>
                <w:rFonts w:ascii="Arial" w:hAnsi="Arial" w:cs="Arial"/>
                <w:szCs w:val="22"/>
              </w:rPr>
              <w:t>VO ovšem</w:t>
            </w:r>
            <w:r w:rsidRPr="00DE0B06">
              <w:rPr>
                <w:rFonts w:ascii="Arial" w:hAnsi="Arial" w:cs="Arial"/>
                <w:szCs w:val="22"/>
              </w:rPr>
              <w:t xml:space="preserve"> za sledované období neuvedla registraci/získání žádné formy duševního vlastnictví z výsledků vlastní vědecko-výzkumné práce (např. patent, </w:t>
            </w:r>
            <w:r w:rsidR="00566EE1" w:rsidRPr="00DE0B06">
              <w:rPr>
                <w:rFonts w:ascii="Arial" w:hAnsi="Arial" w:cs="Arial"/>
                <w:szCs w:val="22"/>
              </w:rPr>
              <w:t>užitné</w:t>
            </w:r>
            <w:r w:rsidRPr="00DE0B06">
              <w:rPr>
                <w:rFonts w:ascii="Arial" w:hAnsi="Arial" w:cs="Arial"/>
                <w:szCs w:val="22"/>
              </w:rPr>
              <w:t xml:space="preserve"> vzory </w:t>
            </w:r>
            <w:r w:rsidR="00566EE1">
              <w:rPr>
                <w:rFonts w:ascii="Arial" w:hAnsi="Arial" w:cs="Arial"/>
                <w:szCs w:val="22"/>
              </w:rPr>
              <w:t>nebo</w:t>
            </w:r>
            <w:r w:rsidRPr="00DE0B06">
              <w:rPr>
                <w:rFonts w:ascii="Arial" w:hAnsi="Arial" w:cs="Arial"/>
                <w:szCs w:val="22"/>
              </w:rPr>
              <w:t xml:space="preserve"> prototyp, …). VO pouze vybrala 5 projektů, u kterých očekává získání patentu (2), komercializaci (1) nebo klinické využití (2). Přímý ekonomický přínos z realizovaného akademického výzkumu nebyl žádný.</w:t>
            </w:r>
            <w:r w:rsidR="00566EE1">
              <w:rPr>
                <w:rFonts w:ascii="Arial" w:hAnsi="Arial" w:cs="Arial"/>
                <w:szCs w:val="22"/>
              </w:rPr>
              <w:t xml:space="preserve"> </w:t>
            </w:r>
            <w:r w:rsidRPr="00DE0B06">
              <w:rPr>
                <w:rFonts w:ascii="Arial" w:hAnsi="Arial" w:cs="Arial"/>
                <w:szCs w:val="22"/>
              </w:rPr>
              <w:t>Kromě zvyšování erudice pracovníků FTN a přenosu poznatků do postgraduálního/celoživotního vzdělávání celé odborné komunity, byly některé výsledky a expertíza výzkumných pracovníků uplatněny v praxi (např. rychlá prionová diagnostika neurodegenerativních onemocnění, spoluautorství evropských doporučení pro léčbu kardiovaskulárních onemocnění v těhotenství, případně práce z oblasti výzkumu plicní fibrózy</w:t>
            </w:r>
            <w:r w:rsidR="00566EE1">
              <w:rPr>
                <w:rFonts w:ascii="Arial" w:hAnsi="Arial" w:cs="Arial"/>
                <w:szCs w:val="22"/>
              </w:rPr>
              <w:t>)</w:t>
            </w:r>
            <w:r w:rsidRPr="00DE0B06">
              <w:rPr>
                <w:rFonts w:ascii="Arial" w:hAnsi="Arial" w:cs="Arial"/>
                <w:szCs w:val="22"/>
              </w:rPr>
              <w:t xml:space="preserve">. </w:t>
            </w:r>
          </w:p>
          <w:p w14:paraId="060171E2" w14:textId="742863DB" w:rsidR="00764B04" w:rsidRDefault="00764B04" w:rsidP="00AB348B">
            <w:pPr>
              <w:pStyle w:val="Normlnweb"/>
              <w:pBdr>
                <w:bottom w:val="single" w:sz="6" w:space="1" w:color="auto"/>
              </w:pBdr>
              <w:spacing w:before="0" w:beforeAutospacing="0" w:after="0" w:afterAutospacing="0"/>
              <w:jc w:val="both"/>
              <w:rPr>
                <w:rFonts w:ascii="Arial" w:hAnsi="Arial" w:cs="Arial"/>
                <w:sz w:val="22"/>
                <w:szCs w:val="22"/>
              </w:rPr>
            </w:pPr>
            <w:r w:rsidRPr="00DE0B06">
              <w:rPr>
                <w:rFonts w:ascii="Arial" w:hAnsi="Arial" w:cs="Arial"/>
                <w:sz w:val="22"/>
                <w:szCs w:val="22"/>
              </w:rPr>
              <w:t>Pět pracovníků získalo ocenění – nejlepší práce v různých kategoriích, včetně jedné mezinárodní, čestné členství zahraniční společnosti a Ocenění pro nejlepší vědce v oblasti medicíny dle H indexu. Omezený počet pracovníků, zde dominuje paní prof.</w:t>
            </w:r>
            <w:r w:rsidRPr="00DE0B06">
              <w:rPr>
                <w:rFonts w:ascii="Arial" w:hAnsi="Arial" w:cs="Arial"/>
                <w:color w:val="000000"/>
                <w:sz w:val="22"/>
                <w:szCs w:val="22"/>
              </w:rPr>
              <w:t xml:space="preserve"> Cífková,</w:t>
            </w:r>
            <w:r w:rsidRPr="00DE0B06">
              <w:rPr>
                <w:rFonts w:ascii="Arial" w:hAnsi="Arial" w:cs="Arial"/>
                <w:sz w:val="22"/>
                <w:szCs w:val="22"/>
              </w:rPr>
              <w:t xml:space="preserve"> je členem </w:t>
            </w:r>
            <w:r w:rsidR="00566EE1" w:rsidRPr="00DE0B06">
              <w:rPr>
                <w:rFonts w:ascii="Arial" w:hAnsi="Arial" w:cs="Arial"/>
                <w:sz w:val="22"/>
                <w:szCs w:val="22"/>
              </w:rPr>
              <w:t>významných</w:t>
            </w:r>
            <w:r w:rsidRPr="00DE0B06">
              <w:rPr>
                <w:rFonts w:ascii="Arial" w:hAnsi="Arial" w:cs="Arial"/>
                <w:sz w:val="22"/>
                <w:szCs w:val="22"/>
              </w:rPr>
              <w:t xml:space="preserve"> </w:t>
            </w:r>
            <w:r w:rsidR="00566EE1" w:rsidRPr="00DE0B06">
              <w:rPr>
                <w:rFonts w:ascii="Arial" w:hAnsi="Arial" w:cs="Arial"/>
                <w:sz w:val="22"/>
                <w:szCs w:val="22"/>
              </w:rPr>
              <w:t>vědeckých</w:t>
            </w:r>
            <w:r w:rsidRPr="00DE0B06">
              <w:rPr>
                <w:rFonts w:ascii="Arial" w:hAnsi="Arial" w:cs="Arial"/>
                <w:sz w:val="22"/>
                <w:szCs w:val="22"/>
              </w:rPr>
              <w:t xml:space="preserve"> organizací nebo se účastní </w:t>
            </w:r>
            <w:r w:rsidR="00566EE1" w:rsidRPr="00DE0B06">
              <w:rPr>
                <w:rFonts w:ascii="Arial" w:hAnsi="Arial" w:cs="Arial"/>
                <w:sz w:val="22"/>
                <w:szCs w:val="22"/>
              </w:rPr>
              <w:t>činnosti</w:t>
            </w:r>
            <w:r w:rsidRPr="00DE0B06">
              <w:rPr>
                <w:rFonts w:ascii="Arial" w:hAnsi="Arial" w:cs="Arial"/>
                <w:sz w:val="22"/>
                <w:szCs w:val="22"/>
              </w:rPr>
              <w:t xml:space="preserve"> </w:t>
            </w:r>
            <w:r w:rsidR="00566EE1" w:rsidRPr="00DE0B06">
              <w:rPr>
                <w:rFonts w:ascii="Arial" w:hAnsi="Arial" w:cs="Arial"/>
                <w:sz w:val="22"/>
                <w:szCs w:val="22"/>
              </w:rPr>
              <w:t>hodnotících</w:t>
            </w:r>
            <w:r w:rsidRPr="00DE0B06">
              <w:rPr>
                <w:rFonts w:ascii="Arial" w:hAnsi="Arial" w:cs="Arial"/>
                <w:sz w:val="22"/>
                <w:szCs w:val="22"/>
              </w:rPr>
              <w:t xml:space="preserve"> panelů a komisí </w:t>
            </w:r>
            <w:r w:rsidR="00566EE1" w:rsidRPr="00DE0B06">
              <w:rPr>
                <w:rFonts w:ascii="Arial" w:hAnsi="Arial" w:cs="Arial"/>
                <w:sz w:val="22"/>
                <w:szCs w:val="22"/>
              </w:rPr>
              <w:t>národních</w:t>
            </w:r>
            <w:r w:rsidRPr="00DE0B06">
              <w:rPr>
                <w:rFonts w:ascii="Arial" w:hAnsi="Arial" w:cs="Arial"/>
                <w:sz w:val="22"/>
                <w:szCs w:val="22"/>
              </w:rPr>
              <w:t xml:space="preserve"> a </w:t>
            </w:r>
            <w:r w:rsidR="00566EE1" w:rsidRPr="00DE0B06">
              <w:rPr>
                <w:rFonts w:ascii="Arial" w:hAnsi="Arial" w:cs="Arial"/>
                <w:sz w:val="22"/>
                <w:szCs w:val="22"/>
              </w:rPr>
              <w:t>mezinárodních</w:t>
            </w:r>
            <w:r w:rsidRPr="00DE0B06">
              <w:rPr>
                <w:rFonts w:ascii="Arial" w:hAnsi="Arial" w:cs="Arial"/>
                <w:sz w:val="22"/>
                <w:szCs w:val="22"/>
              </w:rPr>
              <w:t xml:space="preserve"> </w:t>
            </w:r>
            <w:r w:rsidR="00566EE1" w:rsidRPr="00DE0B06">
              <w:rPr>
                <w:rFonts w:ascii="Arial" w:hAnsi="Arial" w:cs="Arial"/>
                <w:sz w:val="22"/>
                <w:szCs w:val="22"/>
              </w:rPr>
              <w:t>grantových</w:t>
            </w:r>
            <w:r w:rsidRPr="00DE0B06">
              <w:rPr>
                <w:rFonts w:ascii="Arial" w:hAnsi="Arial" w:cs="Arial"/>
                <w:sz w:val="22"/>
                <w:szCs w:val="22"/>
              </w:rPr>
              <w:t xml:space="preserve"> agentur. </w:t>
            </w:r>
            <w:r>
              <w:rPr>
                <w:rFonts w:ascii="Arial" w:hAnsi="Arial" w:cs="Arial"/>
                <w:sz w:val="22"/>
                <w:szCs w:val="22"/>
              </w:rPr>
              <w:t>Společenská relevance výsledků VO je hodnocena jako velmi dobrá (B).</w:t>
            </w:r>
          </w:p>
          <w:p w14:paraId="09E13DFC" w14:textId="77777777" w:rsidR="00274457" w:rsidRDefault="00274457" w:rsidP="00AB348B">
            <w:pPr>
              <w:pStyle w:val="Normlnweb"/>
              <w:pBdr>
                <w:bottom w:val="single" w:sz="6" w:space="1" w:color="auto"/>
              </w:pBdr>
              <w:spacing w:before="0" w:beforeAutospacing="0" w:after="0" w:afterAutospacing="0"/>
              <w:jc w:val="both"/>
              <w:rPr>
                <w:rFonts w:ascii="Arial" w:hAnsi="Arial" w:cs="Arial"/>
                <w:sz w:val="22"/>
                <w:szCs w:val="22"/>
              </w:rPr>
            </w:pPr>
          </w:p>
          <w:p w14:paraId="3F4FCF05" w14:textId="7A5DA4A2" w:rsidR="00274457" w:rsidRDefault="00274457" w:rsidP="00AB348B">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Závěr průběžného hodnocení modulu 3:</w:t>
            </w:r>
            <w:r w:rsidR="00AC0CD8">
              <w:rPr>
                <w:rFonts w:ascii="Arial" w:hAnsi="Arial" w:cs="Arial"/>
                <w:b/>
                <w:bCs/>
                <w:color w:val="212121"/>
                <w:szCs w:val="22"/>
                <w:lang w:eastAsia="en-GB"/>
              </w:rPr>
              <w:t xml:space="preserve"> </w:t>
            </w:r>
          </w:p>
          <w:p w14:paraId="73C5BA12" w14:textId="18F46437" w:rsidR="00274457" w:rsidRPr="009C3CAC" w:rsidRDefault="00274457" w:rsidP="00AB348B">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růběžné hodnocení odpovídá stavu v době škálování.</w:t>
            </w:r>
            <w:r w:rsidR="00AC0CD8">
              <w:rPr>
                <w:rFonts w:ascii="Arial" w:hAnsi="Arial" w:cs="Arial"/>
                <w:b/>
                <w:bCs/>
                <w:color w:val="212121"/>
                <w:szCs w:val="22"/>
                <w:lang w:eastAsia="en-GB"/>
              </w:rPr>
              <w:t xml:space="preserve"> </w:t>
            </w:r>
            <w:r w:rsidR="00AC0CD8" w:rsidRPr="00AC0CD8">
              <w:rPr>
                <w:rFonts w:ascii="Arial" w:hAnsi="Arial" w:cs="Arial"/>
                <w:b/>
                <w:bCs/>
                <w:color w:val="212121"/>
                <w:szCs w:val="22"/>
                <w:lang w:eastAsia="en-GB"/>
              </w:rPr>
              <w:t xml:space="preserve">Společenský a ekonomický dopad výzkumu ve FTN je o poznání nižší v porovnání s ostatními FN v ČR. Podobně počet ocenění a </w:t>
            </w:r>
            <w:r w:rsidR="00AC0CD8" w:rsidRPr="00AC0CD8">
              <w:rPr>
                <w:rFonts w:ascii="Arial" w:hAnsi="Arial" w:cs="Arial"/>
                <w:b/>
                <w:bCs/>
                <w:color w:val="212121"/>
                <w:szCs w:val="22"/>
                <w:lang w:eastAsia="en-GB"/>
              </w:rPr>
              <w:lastRenderedPageBreak/>
              <w:t>počet pracovníků s členstvím ve významných orgánech VaVal.</w:t>
            </w:r>
            <w:r w:rsidR="00AC0CD8">
              <w:rPr>
                <w:rFonts w:ascii="Arial" w:hAnsi="Arial" w:cs="Arial"/>
                <w:b/>
                <w:bCs/>
                <w:color w:val="212121"/>
                <w:szCs w:val="22"/>
                <w:lang w:eastAsia="en-GB"/>
              </w:rPr>
              <w:t xml:space="preserve"> Výzkum má </w:t>
            </w:r>
            <w:r w:rsidR="00AC0CD8" w:rsidRPr="00AC0CD8">
              <w:rPr>
                <w:rFonts w:ascii="Arial" w:hAnsi="Arial" w:cs="Arial"/>
                <w:b/>
                <w:bCs/>
                <w:color w:val="212121"/>
                <w:szCs w:val="22"/>
                <w:lang w:eastAsia="en-GB"/>
              </w:rPr>
              <w:t xml:space="preserve">přesah do řady medicínských oblastí, </w:t>
            </w:r>
            <w:r w:rsidR="00AC0CD8">
              <w:rPr>
                <w:rFonts w:ascii="Arial" w:hAnsi="Arial" w:cs="Arial"/>
                <w:b/>
                <w:bCs/>
                <w:color w:val="212121"/>
                <w:szCs w:val="22"/>
                <w:lang w:eastAsia="en-GB"/>
              </w:rPr>
              <w:t>v</w:t>
            </w:r>
            <w:r w:rsidR="00AC0CD8" w:rsidRPr="00AC0CD8">
              <w:rPr>
                <w:rFonts w:ascii="Arial" w:hAnsi="Arial" w:cs="Arial"/>
                <w:b/>
                <w:bCs/>
                <w:color w:val="212121"/>
                <w:szCs w:val="22"/>
                <w:lang w:eastAsia="en-GB"/>
              </w:rPr>
              <w:t>ýstupy</w:t>
            </w:r>
            <w:r w:rsidR="00AC0CD8">
              <w:rPr>
                <w:rFonts w:ascii="Arial" w:hAnsi="Arial" w:cs="Arial"/>
                <w:b/>
                <w:bCs/>
                <w:color w:val="212121"/>
                <w:szCs w:val="22"/>
                <w:lang w:eastAsia="en-GB"/>
              </w:rPr>
              <w:t xml:space="preserve"> VO</w:t>
            </w:r>
            <w:r w:rsidR="00AC0CD8" w:rsidRPr="00AC0CD8">
              <w:rPr>
                <w:rFonts w:ascii="Arial" w:hAnsi="Arial" w:cs="Arial"/>
                <w:b/>
                <w:bCs/>
                <w:color w:val="212121"/>
                <w:szCs w:val="22"/>
                <w:lang w:eastAsia="en-GB"/>
              </w:rPr>
              <w:t xml:space="preserve"> </w:t>
            </w:r>
            <w:r w:rsidR="00AC0CD8">
              <w:rPr>
                <w:rFonts w:ascii="Arial" w:hAnsi="Arial" w:cs="Arial"/>
                <w:b/>
                <w:bCs/>
                <w:color w:val="212121"/>
                <w:szCs w:val="22"/>
                <w:lang w:eastAsia="en-GB"/>
              </w:rPr>
              <w:t xml:space="preserve">však </w:t>
            </w:r>
            <w:r w:rsidR="00AC0CD8" w:rsidRPr="00AC0CD8">
              <w:rPr>
                <w:rFonts w:ascii="Arial" w:hAnsi="Arial" w:cs="Arial"/>
                <w:b/>
                <w:bCs/>
                <w:color w:val="212121"/>
                <w:szCs w:val="22"/>
                <w:lang w:eastAsia="en-GB"/>
              </w:rPr>
              <w:t>realizují zejména obory pneumologie a neurologie</w:t>
            </w:r>
            <w:r w:rsidR="00AC0CD8">
              <w:rPr>
                <w:rFonts w:ascii="Arial" w:hAnsi="Arial" w:cs="Arial"/>
                <w:b/>
                <w:bCs/>
                <w:color w:val="212121"/>
                <w:szCs w:val="22"/>
                <w:lang w:eastAsia="en-GB"/>
              </w:rPr>
              <w:t xml:space="preserve">. </w:t>
            </w:r>
          </w:p>
          <w:p w14:paraId="07E943A0" w14:textId="77777777" w:rsidR="00274457" w:rsidRDefault="00274457" w:rsidP="00AB348B">
            <w:pPr>
              <w:pStyle w:val="Normlnweb"/>
              <w:pBdr>
                <w:bottom w:val="single" w:sz="6" w:space="1" w:color="auto"/>
              </w:pBdr>
              <w:spacing w:before="0" w:beforeAutospacing="0" w:after="0" w:afterAutospacing="0"/>
              <w:jc w:val="both"/>
              <w:rPr>
                <w:rFonts w:ascii="Arial" w:hAnsi="Arial" w:cs="Arial"/>
                <w:sz w:val="22"/>
                <w:szCs w:val="22"/>
              </w:rPr>
            </w:pPr>
          </w:p>
          <w:p w14:paraId="51658944" w14:textId="77777777" w:rsidR="00274457" w:rsidRPr="00DE0B06" w:rsidRDefault="00274457" w:rsidP="00AB348B">
            <w:pPr>
              <w:pStyle w:val="Normlnweb"/>
              <w:pBdr>
                <w:bottom w:val="single" w:sz="6" w:space="1" w:color="auto"/>
              </w:pBdr>
              <w:spacing w:before="0" w:beforeAutospacing="0" w:after="0" w:afterAutospacing="0"/>
              <w:jc w:val="both"/>
              <w:rPr>
                <w:rFonts w:ascii="Arial" w:hAnsi="Arial" w:cs="Arial"/>
                <w:sz w:val="22"/>
                <w:szCs w:val="22"/>
              </w:rPr>
            </w:pPr>
          </w:p>
          <w:p w14:paraId="5933EDF0" w14:textId="429C7D67" w:rsidR="00764B04" w:rsidRPr="00590C11" w:rsidRDefault="00764B04" w:rsidP="00AB348B">
            <w:pPr>
              <w:pStyle w:val="Zhlav"/>
              <w:jc w:val="both"/>
              <w:rPr>
                <w:rFonts w:ascii="Arial" w:hAnsi="Arial" w:cs="Arial"/>
                <w:szCs w:val="22"/>
              </w:rPr>
            </w:pPr>
          </w:p>
        </w:tc>
      </w:tr>
      <w:tr w:rsidR="00135533" w:rsidRPr="00590C11" w14:paraId="055DB40D" w14:textId="77777777" w:rsidTr="009B5451">
        <w:trPr>
          <w:trHeight w:val="255"/>
          <w:jc w:val="center"/>
        </w:trPr>
        <w:tc>
          <w:tcPr>
            <w:tcW w:w="2637" w:type="dxa"/>
            <w:tcBorders>
              <w:left w:val="single" w:sz="2" w:space="0" w:color="auto"/>
              <w:right w:val="single" w:sz="2" w:space="0" w:color="auto"/>
            </w:tcBorders>
            <w:shd w:val="clear" w:color="auto" w:fill="auto"/>
            <w:vAlign w:val="center"/>
          </w:tcPr>
          <w:p w14:paraId="772CE16B" w14:textId="77777777" w:rsidR="00135533" w:rsidRDefault="00135533" w:rsidP="00135533">
            <w:pPr>
              <w:pStyle w:val="Zhlav"/>
              <w:rPr>
                <w:rFonts w:ascii="Arial" w:hAnsi="Arial" w:cs="Arial"/>
                <w:b/>
                <w:szCs w:val="22"/>
              </w:rPr>
            </w:pPr>
            <w:r w:rsidRPr="00DB5CDA">
              <w:rPr>
                <w:rFonts w:ascii="Arial" w:hAnsi="Arial" w:cs="Arial"/>
                <w:b/>
                <w:szCs w:val="22"/>
              </w:rPr>
              <w:lastRenderedPageBreak/>
              <w:t xml:space="preserve">Modul </w:t>
            </w:r>
            <w:r>
              <w:rPr>
                <w:rFonts w:ascii="Arial" w:hAnsi="Arial" w:cs="Arial"/>
                <w:b/>
                <w:szCs w:val="22"/>
              </w:rPr>
              <w:t>4</w:t>
            </w:r>
            <w:r w:rsidRPr="00DB5CDA">
              <w:rPr>
                <w:rFonts w:ascii="Arial" w:hAnsi="Arial" w:cs="Arial"/>
                <w:b/>
                <w:szCs w:val="22"/>
              </w:rPr>
              <w:t xml:space="preserve"> –</w:t>
            </w:r>
            <w:r>
              <w:rPr>
                <w:rFonts w:ascii="Arial" w:hAnsi="Arial" w:cs="Arial"/>
                <w:b/>
                <w:szCs w:val="22"/>
              </w:rPr>
              <w:t>Viabilita</w:t>
            </w:r>
            <w:r w:rsidRPr="00DB5CDA">
              <w:rPr>
                <w:rFonts w:ascii="Arial" w:hAnsi="Arial" w:cs="Arial"/>
                <w:b/>
                <w:szCs w:val="22"/>
              </w:rPr>
              <w:t xml:space="preserve"> výzkumu</w:t>
            </w:r>
            <w:r>
              <w:rPr>
                <w:rFonts w:ascii="Arial" w:hAnsi="Arial" w:cs="Arial"/>
                <w:b/>
                <w:szCs w:val="22"/>
              </w:rPr>
              <w:t xml:space="preserve"> B</w:t>
            </w:r>
          </w:p>
          <w:p w14:paraId="0FD0C062" w14:textId="77777777" w:rsidR="00135533" w:rsidRDefault="00135533" w:rsidP="00135533">
            <w:pPr>
              <w:pStyle w:val="Zhlav"/>
              <w:rPr>
                <w:rFonts w:ascii="Arial" w:hAnsi="Arial" w:cs="Arial"/>
                <w:b/>
                <w:szCs w:val="22"/>
              </w:rPr>
            </w:pPr>
          </w:p>
          <w:p w14:paraId="5671227A" w14:textId="77777777" w:rsidR="00135533" w:rsidRDefault="00135533" w:rsidP="00135533">
            <w:pPr>
              <w:pStyle w:val="Zhlav"/>
              <w:rPr>
                <w:rFonts w:ascii="Arial" w:hAnsi="Arial" w:cs="Arial"/>
                <w:b/>
                <w:szCs w:val="22"/>
              </w:rPr>
            </w:pPr>
          </w:p>
          <w:p w14:paraId="7084BE12" w14:textId="065EE8ED" w:rsidR="00135533" w:rsidRPr="00DB5CDA" w:rsidRDefault="00135533" w:rsidP="00135533">
            <w:pPr>
              <w:pStyle w:val="Zhlav"/>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6C54C56E" w14:textId="5DBB3AE2" w:rsidR="006648E3" w:rsidRPr="00DE0B06" w:rsidRDefault="006648E3" w:rsidP="00AB348B">
            <w:pPr>
              <w:jc w:val="both"/>
              <w:rPr>
                <w:rFonts w:ascii="Arial" w:hAnsi="Arial" w:cs="Arial"/>
                <w:szCs w:val="22"/>
              </w:rPr>
            </w:pPr>
            <w:r w:rsidRPr="00DE0B06">
              <w:rPr>
                <w:rFonts w:ascii="Arial" w:hAnsi="Arial" w:cs="Arial"/>
                <w:szCs w:val="22"/>
              </w:rPr>
              <w:t>FTN doložila organizační schéma VO a popsal</w:t>
            </w:r>
            <w:r w:rsidR="00566EE1">
              <w:rPr>
                <w:rFonts w:ascii="Arial" w:hAnsi="Arial" w:cs="Arial"/>
                <w:szCs w:val="22"/>
              </w:rPr>
              <w:t>a</w:t>
            </w:r>
            <w:r w:rsidRPr="00DE0B06">
              <w:rPr>
                <w:rFonts w:ascii="Arial" w:hAnsi="Arial" w:cs="Arial"/>
                <w:szCs w:val="22"/>
              </w:rPr>
              <w:t xml:space="preserve"> procesy řízení vědecko-výzkumné činnosti. Organizace vědy a výzkumu spadá do odpovědnosti konkrétního člena vedení VO. Vědecká činnost probíhá v rámci jednotlivých klinických pracovišť FTN, která jsou sdílena s několika lékařskými fakultami</w:t>
            </w:r>
            <w:r w:rsidR="0008299C">
              <w:rPr>
                <w:rFonts w:ascii="Arial" w:hAnsi="Arial" w:cs="Arial"/>
                <w:szCs w:val="22"/>
              </w:rPr>
              <w:t xml:space="preserve"> UK</w:t>
            </w:r>
            <w:r w:rsidRPr="00DE0B06">
              <w:rPr>
                <w:rFonts w:ascii="Arial" w:hAnsi="Arial" w:cs="Arial"/>
                <w:szCs w:val="22"/>
              </w:rPr>
              <w:t xml:space="preserve">. FTN disponuje etickou komisí (společnou pro FTN a IKEM) a vědeckou radou. </w:t>
            </w:r>
          </w:p>
          <w:p w14:paraId="0B26F171" w14:textId="4084F80B" w:rsidR="006648E3" w:rsidRPr="00DE0B06" w:rsidRDefault="006648E3" w:rsidP="00AB348B">
            <w:pPr>
              <w:jc w:val="both"/>
              <w:rPr>
                <w:rFonts w:ascii="Arial" w:hAnsi="Arial" w:cs="Arial"/>
                <w:szCs w:val="22"/>
              </w:rPr>
            </w:pPr>
            <w:r w:rsidRPr="00DE0B06">
              <w:rPr>
                <w:rFonts w:ascii="Arial" w:hAnsi="Arial" w:cs="Arial"/>
                <w:szCs w:val="22"/>
              </w:rPr>
              <w:t>FTN využívá dotaci DKRVO na podporu většiny činností souvisejících s realizací výzkumných aktivit. Největší položku ve sledovaném 5letém období tvořily personální náklady (37</w:t>
            </w:r>
            <w:r w:rsidR="00546D38">
              <w:rPr>
                <w:rFonts w:ascii="Arial" w:hAnsi="Arial" w:cs="Arial"/>
                <w:szCs w:val="22"/>
              </w:rPr>
              <w:t xml:space="preserve"> </w:t>
            </w:r>
            <w:r w:rsidRPr="00DE0B06">
              <w:rPr>
                <w:rFonts w:ascii="Arial" w:hAnsi="Arial" w:cs="Arial"/>
                <w:szCs w:val="22"/>
              </w:rPr>
              <w:t>%), náklady do výzkumné infrastruktury (provoz, údržba, investice – 19</w:t>
            </w:r>
            <w:r w:rsidR="00546D38">
              <w:rPr>
                <w:rFonts w:ascii="Arial" w:hAnsi="Arial" w:cs="Arial"/>
                <w:szCs w:val="22"/>
              </w:rPr>
              <w:t xml:space="preserve"> </w:t>
            </w:r>
            <w:r w:rsidRPr="00DE0B06">
              <w:rPr>
                <w:rFonts w:ascii="Arial" w:hAnsi="Arial" w:cs="Arial"/>
                <w:szCs w:val="22"/>
              </w:rPr>
              <w:t>%) a provozní náklady na výzkumnou činnost (9</w:t>
            </w:r>
            <w:r w:rsidR="00546D38">
              <w:rPr>
                <w:rFonts w:ascii="Arial" w:hAnsi="Arial" w:cs="Arial"/>
                <w:szCs w:val="22"/>
              </w:rPr>
              <w:t xml:space="preserve"> </w:t>
            </w:r>
            <w:r w:rsidRPr="00DE0B06">
              <w:rPr>
                <w:rFonts w:ascii="Arial" w:hAnsi="Arial" w:cs="Arial"/>
                <w:szCs w:val="22"/>
              </w:rPr>
              <w:t>%). DKRVO byla použita i na podporu mobility (cca 1</w:t>
            </w:r>
            <w:r w:rsidR="00546D38">
              <w:rPr>
                <w:rFonts w:ascii="Arial" w:hAnsi="Arial" w:cs="Arial"/>
                <w:szCs w:val="22"/>
              </w:rPr>
              <w:t xml:space="preserve"> </w:t>
            </w:r>
            <w:r w:rsidRPr="00DE0B06">
              <w:rPr>
                <w:rFonts w:ascii="Arial" w:hAnsi="Arial" w:cs="Arial"/>
                <w:szCs w:val="22"/>
              </w:rPr>
              <w:t>%). Bylo popsáno, jak dochází k rozdělení prostředků, stejně tak i výhled do budoucna.</w:t>
            </w:r>
          </w:p>
          <w:p w14:paraId="700945DA" w14:textId="7F150689" w:rsidR="006648E3" w:rsidRPr="00DE0B06" w:rsidRDefault="006648E3" w:rsidP="00AB348B">
            <w:pPr>
              <w:jc w:val="both"/>
              <w:rPr>
                <w:rFonts w:ascii="Arial" w:hAnsi="Arial" w:cs="Arial"/>
                <w:szCs w:val="22"/>
              </w:rPr>
            </w:pPr>
            <w:r w:rsidRPr="00DE0B06">
              <w:rPr>
                <w:rFonts w:ascii="Arial" w:hAnsi="Arial" w:cs="Arial"/>
                <w:szCs w:val="22"/>
              </w:rPr>
              <w:t xml:space="preserve">FTN získává finanční podporu na vlastní nekomerční VaVaI činnost z několika zdrojů. </w:t>
            </w:r>
            <w:r w:rsidR="00800D03" w:rsidRPr="00800D03">
              <w:rPr>
                <w:rFonts w:ascii="Arial" w:hAnsi="Arial" w:cs="Arial"/>
                <w:szCs w:val="22"/>
              </w:rPr>
              <w:t xml:space="preserve">Podíl </w:t>
            </w:r>
            <w:r w:rsidR="00800D03">
              <w:rPr>
                <w:rFonts w:ascii="Arial" w:hAnsi="Arial" w:cs="Arial"/>
                <w:szCs w:val="22"/>
              </w:rPr>
              <w:t>příjmů VO v oblasti VaVaI je následující:</w:t>
            </w:r>
            <w:r w:rsidR="00800D03" w:rsidRPr="00800D03">
              <w:rPr>
                <w:rFonts w:ascii="Arial" w:hAnsi="Arial" w:cs="Arial"/>
                <w:szCs w:val="22"/>
              </w:rPr>
              <w:t xml:space="preserve"> 31% české</w:t>
            </w:r>
            <w:r w:rsidR="00800D03">
              <w:rPr>
                <w:rFonts w:ascii="Arial" w:hAnsi="Arial" w:cs="Arial"/>
                <w:szCs w:val="22"/>
              </w:rPr>
              <w:t xml:space="preserve"> grantové projekty</w:t>
            </w:r>
            <w:r w:rsidR="00800D03" w:rsidRPr="00800D03">
              <w:rPr>
                <w:rFonts w:ascii="Arial" w:hAnsi="Arial" w:cs="Arial"/>
                <w:szCs w:val="22"/>
              </w:rPr>
              <w:t>, dary a soukromé zdroje – 23</w:t>
            </w:r>
            <w:r w:rsidR="00546D38">
              <w:rPr>
                <w:rFonts w:ascii="Arial" w:hAnsi="Arial" w:cs="Arial"/>
                <w:szCs w:val="22"/>
              </w:rPr>
              <w:t xml:space="preserve"> </w:t>
            </w:r>
            <w:r w:rsidR="00800D03" w:rsidRPr="00800D03">
              <w:rPr>
                <w:rFonts w:ascii="Arial" w:hAnsi="Arial" w:cs="Arial"/>
                <w:szCs w:val="22"/>
              </w:rPr>
              <w:t>% a 43</w:t>
            </w:r>
            <w:r w:rsidR="00546D38">
              <w:rPr>
                <w:rFonts w:ascii="Arial" w:hAnsi="Arial" w:cs="Arial"/>
                <w:szCs w:val="22"/>
              </w:rPr>
              <w:t xml:space="preserve"> </w:t>
            </w:r>
            <w:r w:rsidR="00800D03" w:rsidRPr="00800D03">
              <w:rPr>
                <w:rFonts w:ascii="Arial" w:hAnsi="Arial" w:cs="Arial"/>
                <w:szCs w:val="22"/>
              </w:rPr>
              <w:t>% DKRVO</w:t>
            </w:r>
            <w:r w:rsidR="00800D03">
              <w:rPr>
                <w:rFonts w:ascii="Arial" w:hAnsi="Arial" w:cs="Arial"/>
                <w:szCs w:val="22"/>
              </w:rPr>
              <w:t>.</w:t>
            </w:r>
            <w:r w:rsidR="00800D03" w:rsidRPr="00800D03">
              <w:rPr>
                <w:rFonts w:ascii="Arial" w:hAnsi="Arial" w:cs="Arial"/>
                <w:szCs w:val="22"/>
              </w:rPr>
              <w:t xml:space="preserve"> </w:t>
            </w:r>
            <w:r w:rsidRPr="00DE0B06">
              <w:rPr>
                <w:rFonts w:ascii="Arial" w:hAnsi="Arial" w:cs="Arial"/>
                <w:szCs w:val="22"/>
              </w:rPr>
              <w:t>Nebyly doloženy příjmy z komercializace výsledků výzkumu a plánovaný rozpočet s nimi ve střednědobém horizontu ani nepočítá. Naopak pozitivní je úspěšnost získávání darů pro účely VaVa</w:t>
            </w:r>
            <w:r w:rsidR="0008299C">
              <w:rPr>
                <w:rFonts w:ascii="Arial" w:hAnsi="Arial" w:cs="Arial"/>
                <w:szCs w:val="22"/>
              </w:rPr>
              <w:t>I</w:t>
            </w:r>
            <w:r w:rsidRPr="00DE0B06">
              <w:rPr>
                <w:rFonts w:ascii="Arial" w:hAnsi="Arial" w:cs="Arial"/>
                <w:szCs w:val="22"/>
              </w:rPr>
              <w:t>, které tvrořily až 21</w:t>
            </w:r>
            <w:r w:rsidR="00546D38">
              <w:rPr>
                <w:rFonts w:ascii="Arial" w:hAnsi="Arial" w:cs="Arial"/>
                <w:szCs w:val="22"/>
              </w:rPr>
              <w:t xml:space="preserve"> </w:t>
            </w:r>
            <w:r w:rsidRPr="00DE0B06">
              <w:rPr>
                <w:rFonts w:ascii="Arial" w:hAnsi="Arial" w:cs="Arial"/>
                <w:szCs w:val="22"/>
              </w:rPr>
              <w:t xml:space="preserve">% příjmů v této oblasti. </w:t>
            </w:r>
          </w:p>
          <w:p w14:paraId="2EC9B92D" w14:textId="15FC8FDE" w:rsidR="006648E3" w:rsidRPr="00DE0B06" w:rsidRDefault="006648E3" w:rsidP="00AB348B">
            <w:pPr>
              <w:jc w:val="both"/>
              <w:rPr>
                <w:rFonts w:ascii="Arial" w:hAnsi="Arial" w:cs="Arial"/>
                <w:szCs w:val="22"/>
              </w:rPr>
            </w:pPr>
            <w:r w:rsidRPr="00DE0B06">
              <w:rPr>
                <w:rFonts w:ascii="Arial" w:hAnsi="Arial" w:cs="Arial"/>
                <w:szCs w:val="22"/>
              </w:rPr>
              <w:t>Výzkumný tým odborných pracovníků je v rozsahu 103 FTE,</w:t>
            </w:r>
            <w:r w:rsidR="0008299C">
              <w:rPr>
                <w:rFonts w:ascii="Arial" w:hAnsi="Arial" w:cs="Arial"/>
                <w:szCs w:val="22"/>
              </w:rPr>
              <w:t xml:space="preserve"> </w:t>
            </w:r>
            <w:r w:rsidRPr="00DE0B06">
              <w:rPr>
                <w:rFonts w:ascii="Arial" w:hAnsi="Arial" w:cs="Arial"/>
                <w:szCs w:val="22"/>
              </w:rPr>
              <w:t xml:space="preserve">s převahou žen (55 %). Mezi výzkumnými pracovníky jsou rovněž doktorandi. Dalších 137 FTE </w:t>
            </w:r>
            <w:proofErr w:type="gramStart"/>
            <w:r w:rsidRPr="00DE0B06">
              <w:rPr>
                <w:rFonts w:ascii="Arial" w:hAnsi="Arial" w:cs="Arial"/>
                <w:szCs w:val="22"/>
              </w:rPr>
              <w:t>tvoří</w:t>
            </w:r>
            <w:proofErr w:type="gramEnd"/>
            <w:r w:rsidRPr="00DE0B06">
              <w:rPr>
                <w:rFonts w:ascii="Arial" w:hAnsi="Arial" w:cs="Arial"/>
                <w:szCs w:val="22"/>
              </w:rPr>
              <w:t xml:space="preserve"> THP pracovníci ve výzkumu</w:t>
            </w:r>
            <w:r w:rsidR="00800D03">
              <w:rPr>
                <w:rFonts w:ascii="Arial" w:hAnsi="Arial" w:cs="Arial"/>
                <w:szCs w:val="22"/>
              </w:rPr>
              <w:t>, což je překvapivě vysoké číslo</w:t>
            </w:r>
            <w:r w:rsidRPr="00DE0B06">
              <w:rPr>
                <w:rFonts w:ascii="Arial" w:hAnsi="Arial" w:cs="Arial"/>
                <w:szCs w:val="22"/>
              </w:rPr>
              <w:t>. Negativní je absence zahraničních výzkumníků. Kariérní řád pro oblast výzkumu (nebo program pro rozvoj talentů) nebyl doložen, ale FTN deklaruje podporu mladým vědeckým pracovníkům, včetně existence speciální kategorie grantů pro začínající vědce, které jsou financovány z DKRVO. FTN má plán genderové rovnosti.</w:t>
            </w:r>
          </w:p>
          <w:p w14:paraId="0BD1CC4B" w14:textId="77777777" w:rsidR="006648E3" w:rsidRPr="00DE0B06" w:rsidRDefault="006648E3" w:rsidP="00AB348B">
            <w:pPr>
              <w:jc w:val="both"/>
              <w:rPr>
                <w:rFonts w:ascii="Arial" w:hAnsi="Arial" w:cs="Arial"/>
                <w:szCs w:val="22"/>
              </w:rPr>
            </w:pPr>
            <w:r w:rsidRPr="00DE0B06">
              <w:rPr>
                <w:rFonts w:ascii="Arial" w:hAnsi="Arial" w:cs="Arial"/>
                <w:szCs w:val="22"/>
              </w:rPr>
              <w:t>FTN disponuje kvalitní infrastrukturou pro klinických výzkum. Preklinický výzkum zahrnuje laboratoře vybavené přístrojovou technikou využívanou v rámci pokročilé diagnostiky (např. NGS, hmotnostní spektrometrie). FTN je součástí několika evropských referenčních sítí ERN a zřídila mozkovou banku (BrainBank) pro příslušný biologický materiál.</w:t>
            </w:r>
          </w:p>
          <w:p w14:paraId="0A96FDAA" w14:textId="77777777" w:rsidR="006648E3" w:rsidRPr="00DE0B06" w:rsidRDefault="006648E3" w:rsidP="00AB348B">
            <w:pPr>
              <w:jc w:val="both"/>
              <w:rPr>
                <w:rFonts w:ascii="Arial" w:hAnsi="Arial" w:cs="Arial"/>
                <w:szCs w:val="22"/>
              </w:rPr>
            </w:pPr>
            <w:r w:rsidRPr="00DE0B06">
              <w:rPr>
                <w:rFonts w:ascii="Arial" w:hAnsi="Arial" w:cs="Arial"/>
                <w:szCs w:val="22"/>
              </w:rPr>
              <w:t xml:space="preserve">Byly popsány investice do výzkumné infrastruktury, včetně plánu na další období. Jedná se zejména o modernizaci klinických pracovišť, nákup databázových systémů. FTN neuvedla účast v žádné jiné ze zahraničních nebo tuzemských výzkumných infrastruktur, vyjma CZECRINu. </w:t>
            </w:r>
          </w:p>
          <w:p w14:paraId="5D8E20DF" w14:textId="6C7E652A" w:rsidR="006648E3" w:rsidRPr="00800D03" w:rsidRDefault="006648E3" w:rsidP="00AB348B">
            <w:pPr>
              <w:jc w:val="both"/>
              <w:rPr>
                <w:rFonts w:ascii="Arial" w:hAnsi="Arial" w:cs="Arial"/>
                <w:szCs w:val="22"/>
              </w:rPr>
            </w:pPr>
            <w:r w:rsidRPr="00800D03">
              <w:rPr>
                <w:rFonts w:ascii="Arial" w:hAnsi="Arial" w:cs="Arial"/>
                <w:szCs w:val="22"/>
              </w:rPr>
              <w:t xml:space="preserve">FTN prokázala rozsáhlou spolupráci s jinými českými, ale i zahraničními VO, stejně tak i s komerčním sektorem. FTN je členskou institucí sítě center klinického výzkumu CZECRIN. FTN prokázala schopnost navrhovat a realizovat </w:t>
            </w:r>
            <w:r w:rsidR="0008299C">
              <w:rPr>
                <w:rFonts w:ascii="Arial" w:hAnsi="Arial" w:cs="Arial"/>
                <w:szCs w:val="22"/>
              </w:rPr>
              <w:t>nekomerční</w:t>
            </w:r>
            <w:r w:rsidRPr="00800D03">
              <w:rPr>
                <w:rFonts w:ascii="Arial" w:hAnsi="Arial" w:cs="Arial"/>
                <w:szCs w:val="22"/>
              </w:rPr>
              <w:t xml:space="preserve"> klinická hodnocení, včetně multicentrických. FTN je součástí evropské referenční sítě pro vzácná onemocnění, v </w:t>
            </w:r>
            <w:r w:rsidR="0008299C" w:rsidRPr="00800D03">
              <w:rPr>
                <w:rFonts w:ascii="Arial" w:hAnsi="Arial" w:cs="Arial"/>
                <w:szCs w:val="22"/>
              </w:rPr>
              <w:t>rámci,</w:t>
            </w:r>
            <w:r w:rsidRPr="00800D03">
              <w:rPr>
                <w:rFonts w:ascii="Arial" w:hAnsi="Arial" w:cs="Arial"/>
                <w:szCs w:val="22"/>
              </w:rPr>
              <w:t xml:space="preserve"> kterých rovněž probíhají výzkumné aktivity (ERN-LUNG, EURACAN, </w:t>
            </w:r>
            <w:r w:rsidR="0008299C">
              <w:rPr>
                <w:rFonts w:ascii="Arial" w:hAnsi="Arial" w:cs="Arial"/>
                <w:szCs w:val="22"/>
              </w:rPr>
              <w:t>E</w:t>
            </w:r>
            <w:r w:rsidRPr="00800D03">
              <w:rPr>
                <w:rFonts w:ascii="Arial" w:hAnsi="Arial" w:cs="Arial"/>
                <w:szCs w:val="22"/>
              </w:rPr>
              <w:t>UROGEN, ERN-RND). V případě zahraničních projektů</w:t>
            </w:r>
            <w:r w:rsidR="00800D03" w:rsidRPr="00800D03">
              <w:rPr>
                <w:rFonts w:ascii="Arial" w:hAnsi="Arial" w:cs="Arial"/>
                <w:szCs w:val="22"/>
              </w:rPr>
              <w:t xml:space="preserve"> (</w:t>
            </w:r>
            <w:r w:rsidR="00800D03" w:rsidRPr="00800D03">
              <w:rPr>
                <w:rFonts w:ascii="Arial" w:hAnsi="Arial" w:cs="Arial"/>
                <w:color w:val="000000"/>
                <w:sz w:val="24"/>
                <w:szCs w:val="24"/>
              </w:rPr>
              <w:t>EMPIRE, SATURN, a další)</w:t>
            </w:r>
            <w:r w:rsidRPr="00800D03">
              <w:rPr>
                <w:rFonts w:ascii="Arial" w:hAnsi="Arial" w:cs="Arial"/>
                <w:szCs w:val="22"/>
              </w:rPr>
              <w:t xml:space="preserve"> nebyly doloženy </w:t>
            </w:r>
            <w:r w:rsidRPr="00800D03">
              <w:rPr>
                <w:rFonts w:ascii="Arial" w:hAnsi="Arial" w:cs="Arial"/>
                <w:szCs w:val="22"/>
              </w:rPr>
              <w:lastRenderedPageBreak/>
              <w:t>takové, které by byly financovány z fondů EU na podporu excelentního výzkumu.</w:t>
            </w:r>
          </w:p>
          <w:p w14:paraId="308FFB1B" w14:textId="47FBFF3B" w:rsidR="006648E3" w:rsidRPr="00DE0B06" w:rsidRDefault="006648E3" w:rsidP="00AB348B">
            <w:pPr>
              <w:jc w:val="both"/>
              <w:rPr>
                <w:rFonts w:ascii="Arial" w:hAnsi="Arial" w:cs="Arial"/>
                <w:szCs w:val="22"/>
              </w:rPr>
            </w:pPr>
            <w:r w:rsidRPr="00DE0B06">
              <w:rPr>
                <w:rFonts w:ascii="Arial" w:hAnsi="Arial" w:cs="Arial"/>
                <w:szCs w:val="22"/>
              </w:rPr>
              <w:t>V rámci FTN byly realizovány krátkodobé i dlouhodobé pobyty výzkumných pracovníků (příjezdy i výjezdy, včetně zahraničních).</w:t>
            </w:r>
            <w:r w:rsidR="00800D03">
              <w:rPr>
                <w:rFonts w:ascii="Arial" w:hAnsi="Arial" w:cs="Arial"/>
                <w:szCs w:val="22"/>
              </w:rPr>
              <w:t xml:space="preserve"> Konkrétně: </w:t>
            </w:r>
            <w:r w:rsidR="00800D03" w:rsidRPr="00800D03">
              <w:rPr>
                <w:rFonts w:ascii="Arial" w:hAnsi="Arial" w:cs="Arial"/>
                <w:szCs w:val="22"/>
              </w:rPr>
              <w:t>příjezdy krátkodobé/dlouhodobé 12/3, výjezdy krátkodobé/dlouhodobé 44/2</w:t>
            </w:r>
            <w:r w:rsidR="00800D03">
              <w:rPr>
                <w:rFonts w:ascii="Arial" w:hAnsi="Arial" w:cs="Arial"/>
                <w:szCs w:val="22"/>
              </w:rPr>
              <w:t>.</w:t>
            </w:r>
            <w:r w:rsidRPr="00DE0B06">
              <w:rPr>
                <w:rFonts w:ascii="Arial" w:hAnsi="Arial" w:cs="Arial"/>
                <w:szCs w:val="22"/>
              </w:rPr>
              <w:t xml:space="preserve"> </w:t>
            </w:r>
          </w:p>
          <w:p w14:paraId="1EA10A76" w14:textId="79328D8B" w:rsidR="006648E3" w:rsidRPr="00DE0B06" w:rsidRDefault="006648E3" w:rsidP="00AB348B">
            <w:pPr>
              <w:jc w:val="both"/>
              <w:rPr>
                <w:rFonts w:ascii="Arial" w:hAnsi="Arial" w:cs="Arial"/>
                <w:szCs w:val="22"/>
              </w:rPr>
            </w:pPr>
            <w:r w:rsidRPr="00DE0B06">
              <w:rPr>
                <w:rFonts w:ascii="Arial" w:hAnsi="Arial" w:cs="Arial"/>
                <w:szCs w:val="22"/>
              </w:rPr>
              <w:t>FTN aktivně spolupracuje s aplikační sférou a podporuje transfer znalostí v oblasti zdravotnictví. Přímý ekonomický přínos z realizovaného akademického výzkumu do rozpočtu nebyl žádný. Tato oblasti není popsán</w:t>
            </w:r>
            <w:r w:rsidR="00095A22">
              <w:rPr>
                <w:rFonts w:ascii="Arial" w:hAnsi="Arial" w:cs="Arial"/>
                <w:szCs w:val="22"/>
              </w:rPr>
              <w:t>a</w:t>
            </w:r>
            <w:r w:rsidRPr="00DE0B06">
              <w:rPr>
                <w:rFonts w:ascii="Arial" w:hAnsi="Arial" w:cs="Arial"/>
                <w:szCs w:val="22"/>
              </w:rPr>
              <w:t xml:space="preserve"> a</w:t>
            </w:r>
            <w:r w:rsidR="00095A22">
              <w:rPr>
                <w:rFonts w:ascii="Arial" w:hAnsi="Arial" w:cs="Arial"/>
                <w:szCs w:val="22"/>
              </w:rPr>
              <w:t>ni</w:t>
            </w:r>
            <w:r w:rsidRPr="00DE0B06">
              <w:rPr>
                <w:rFonts w:ascii="Arial" w:hAnsi="Arial" w:cs="Arial"/>
                <w:szCs w:val="22"/>
              </w:rPr>
              <w:t xml:space="preserve"> ve strategii FTN. </w:t>
            </w:r>
          </w:p>
          <w:p w14:paraId="231B0791" w14:textId="77777777" w:rsidR="006648E3" w:rsidRPr="00DE0B06" w:rsidRDefault="006648E3" w:rsidP="00AB348B">
            <w:pPr>
              <w:jc w:val="both"/>
              <w:rPr>
                <w:rFonts w:ascii="Arial" w:hAnsi="Arial" w:cs="Arial"/>
                <w:szCs w:val="22"/>
              </w:rPr>
            </w:pPr>
            <w:r w:rsidRPr="00DE0B06">
              <w:rPr>
                <w:rFonts w:ascii="Arial" w:hAnsi="Arial" w:cs="Arial"/>
                <w:szCs w:val="22"/>
              </w:rPr>
              <w:t xml:space="preserve">FTN ve zprávě uvádí, že má stanovena vnitřní pravidla pro nakládání s výsledky výzkumné činnosti, stejně tak směrnice a postupy, které zajišťují dodržování etických standardů a řešení případných závažných selhání (konkrétně uvedena směrnice Ochrana duševního vlastnictví, statut Vědecké rady, směrnice Příprava a administrace grantů a Provádění klinického hodnocení/klinické zkoušky, SOP Etické komise, Archivace výsledků laboratorních vyšetření apod.). V etické, publikační a provozní problematice VaV probíhá školení výzkumníků. </w:t>
            </w:r>
          </w:p>
          <w:p w14:paraId="5EFE1014" w14:textId="4E5A429A" w:rsidR="006648E3" w:rsidRDefault="006648E3" w:rsidP="00AB348B">
            <w:pPr>
              <w:pBdr>
                <w:bottom w:val="single" w:sz="6" w:space="1" w:color="auto"/>
              </w:pBdr>
              <w:jc w:val="both"/>
              <w:rPr>
                <w:rFonts w:ascii="Arial" w:hAnsi="Arial" w:cs="Arial"/>
                <w:szCs w:val="22"/>
              </w:rPr>
            </w:pPr>
            <w:r w:rsidRPr="00DE0B06">
              <w:rPr>
                <w:rFonts w:ascii="Arial" w:hAnsi="Arial" w:cs="Arial"/>
                <w:szCs w:val="22"/>
              </w:rPr>
              <w:t xml:space="preserve">Byly popsány další aktivity související se vzděláváním a výzkumem, např. </w:t>
            </w:r>
            <w:proofErr w:type="gramStart"/>
            <w:r w:rsidRPr="00DE0B06">
              <w:rPr>
                <w:rFonts w:ascii="Arial" w:hAnsi="Arial" w:cs="Arial"/>
                <w:szCs w:val="22"/>
              </w:rPr>
              <w:t>pre- a</w:t>
            </w:r>
            <w:proofErr w:type="gramEnd"/>
            <w:r w:rsidRPr="00DE0B06">
              <w:rPr>
                <w:rFonts w:ascii="Arial" w:hAnsi="Arial" w:cs="Arial"/>
                <w:szCs w:val="22"/>
              </w:rPr>
              <w:t xml:space="preserve"> postgraduální vzdělávání, propagace a popularizace vědy, a to jak u odborné, tak laické veřejnosti.</w:t>
            </w:r>
            <w:r>
              <w:rPr>
                <w:rFonts w:ascii="Arial" w:hAnsi="Arial" w:cs="Arial"/>
                <w:szCs w:val="22"/>
              </w:rPr>
              <w:t xml:space="preserve"> Viabilita VO je hodnocena jako velmi dobrá (B).</w:t>
            </w:r>
          </w:p>
          <w:p w14:paraId="695BB00B" w14:textId="77777777" w:rsidR="00274457" w:rsidRDefault="00274457" w:rsidP="00AB348B">
            <w:pPr>
              <w:pBdr>
                <w:bottom w:val="single" w:sz="6" w:space="1" w:color="auto"/>
              </w:pBdr>
              <w:jc w:val="both"/>
              <w:rPr>
                <w:rFonts w:ascii="Arial" w:hAnsi="Arial" w:cs="Arial"/>
                <w:szCs w:val="22"/>
              </w:rPr>
            </w:pPr>
          </w:p>
          <w:p w14:paraId="673539F5" w14:textId="352988CC" w:rsidR="00274457" w:rsidRDefault="00274457" w:rsidP="00AB348B">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 xml:space="preserve">Závěr průběžného hodnocení modulu </w:t>
            </w:r>
            <w:r>
              <w:rPr>
                <w:rFonts w:ascii="Arial" w:hAnsi="Arial" w:cs="Arial"/>
                <w:b/>
                <w:bCs/>
                <w:color w:val="212121"/>
                <w:szCs w:val="22"/>
                <w:lang w:eastAsia="en-GB"/>
              </w:rPr>
              <w:t>4</w:t>
            </w:r>
            <w:r w:rsidRPr="009C3CAC">
              <w:rPr>
                <w:rFonts w:ascii="Arial" w:hAnsi="Arial" w:cs="Arial"/>
                <w:b/>
                <w:bCs/>
                <w:color w:val="212121"/>
                <w:szCs w:val="22"/>
                <w:lang w:eastAsia="en-GB"/>
              </w:rPr>
              <w:t>:</w:t>
            </w:r>
          </w:p>
          <w:p w14:paraId="7FFD6CBA" w14:textId="72B54CB9" w:rsidR="00274457" w:rsidRPr="009C3CAC" w:rsidRDefault="00274457" w:rsidP="00AB348B">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růběžné hodnocení odpovídá stavu v době škálování.</w:t>
            </w:r>
            <w:r w:rsidR="00AC0CD8">
              <w:rPr>
                <w:rFonts w:ascii="Arial" w:hAnsi="Arial" w:cs="Arial"/>
                <w:b/>
                <w:bCs/>
                <w:color w:val="212121"/>
                <w:szCs w:val="22"/>
                <w:lang w:eastAsia="en-GB"/>
              </w:rPr>
              <w:t xml:space="preserve"> </w:t>
            </w:r>
          </w:p>
          <w:p w14:paraId="53E42C20" w14:textId="77777777" w:rsidR="00274457" w:rsidRDefault="00274457" w:rsidP="00AB348B">
            <w:pPr>
              <w:pBdr>
                <w:bottom w:val="single" w:sz="6" w:space="1" w:color="auto"/>
              </w:pBdr>
              <w:jc w:val="both"/>
              <w:rPr>
                <w:rFonts w:ascii="Arial" w:hAnsi="Arial" w:cs="Arial"/>
                <w:szCs w:val="22"/>
              </w:rPr>
            </w:pPr>
          </w:p>
          <w:p w14:paraId="34DEECF5" w14:textId="77777777" w:rsidR="00274457" w:rsidRDefault="00274457" w:rsidP="00AB348B">
            <w:pPr>
              <w:pBdr>
                <w:bottom w:val="single" w:sz="6" w:space="1" w:color="auto"/>
              </w:pBdr>
              <w:jc w:val="both"/>
              <w:rPr>
                <w:rFonts w:ascii="Arial" w:hAnsi="Arial" w:cs="Arial"/>
                <w:szCs w:val="22"/>
              </w:rPr>
            </w:pPr>
          </w:p>
          <w:p w14:paraId="72280BE8" w14:textId="33C01E3C" w:rsidR="00135533" w:rsidRPr="00590C11" w:rsidRDefault="00135533" w:rsidP="00AB348B">
            <w:pPr>
              <w:pStyle w:val="Zhlav"/>
              <w:jc w:val="both"/>
              <w:rPr>
                <w:rFonts w:ascii="Arial" w:hAnsi="Arial" w:cs="Arial"/>
                <w:szCs w:val="22"/>
              </w:rPr>
            </w:pPr>
          </w:p>
        </w:tc>
      </w:tr>
      <w:tr w:rsidR="00135533" w:rsidRPr="001F0B21" w14:paraId="7DEF8271"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4EA33FA0" w14:textId="1BD7859F" w:rsidR="00135533" w:rsidRPr="00DB5CDA" w:rsidRDefault="00135533" w:rsidP="00135533">
            <w:pPr>
              <w:pStyle w:val="Odstavecseseznamem"/>
              <w:autoSpaceDE w:val="0"/>
              <w:autoSpaceDN w:val="0"/>
              <w:adjustRightInd w:val="0"/>
              <w:spacing w:after="120"/>
              <w:ind w:left="0"/>
              <w:contextualSpacing w:val="0"/>
              <w:jc w:val="both"/>
              <w:rPr>
                <w:rFonts w:ascii="Arial" w:hAnsi="Arial" w:cs="Arial"/>
                <w:b/>
                <w:szCs w:val="22"/>
              </w:rPr>
            </w:pPr>
            <w:r>
              <w:rPr>
                <w:rFonts w:ascii="Arial" w:hAnsi="Arial" w:cs="Arial"/>
                <w:b/>
                <w:szCs w:val="22"/>
              </w:rPr>
              <w:lastRenderedPageBreak/>
              <w:t>Modul 5 Strategie a koncepce B</w:t>
            </w:r>
          </w:p>
        </w:tc>
        <w:tc>
          <w:tcPr>
            <w:tcW w:w="6999" w:type="dxa"/>
            <w:gridSpan w:val="6"/>
            <w:tcBorders>
              <w:left w:val="single" w:sz="2" w:space="0" w:color="auto"/>
              <w:right w:val="single" w:sz="2" w:space="0" w:color="auto"/>
            </w:tcBorders>
            <w:shd w:val="clear" w:color="auto" w:fill="auto"/>
            <w:vAlign w:val="center"/>
          </w:tcPr>
          <w:p w14:paraId="4A8F4671" w14:textId="77777777" w:rsidR="00135533" w:rsidRDefault="009C2EC6" w:rsidP="00AB348B">
            <w:pPr>
              <w:jc w:val="both"/>
              <w:rPr>
                <w:rFonts w:ascii="Arial" w:hAnsi="Arial" w:cs="Arial"/>
                <w:szCs w:val="22"/>
              </w:rPr>
            </w:pPr>
            <w:r w:rsidRPr="007D6E25">
              <w:rPr>
                <w:rFonts w:ascii="Arial" w:hAnsi="Arial" w:cs="Arial"/>
                <w:szCs w:val="22"/>
              </w:rPr>
              <w:t xml:space="preserve">FTN má jasně popsanou koncepci, misi i vizi. Uvedeny strategické dokumenty zevrubně pokrývající oblast VaVaI. Koncepce a její cíle odpovídají účelu zřízení VO. Popsány </w:t>
            </w:r>
            <w:r w:rsidR="00015CEF">
              <w:rPr>
                <w:rFonts w:ascii="Arial" w:hAnsi="Arial" w:cs="Arial"/>
                <w:szCs w:val="22"/>
              </w:rPr>
              <w:t xml:space="preserve">jsou </w:t>
            </w:r>
            <w:r w:rsidRPr="007D6E25">
              <w:rPr>
                <w:rFonts w:ascii="Arial" w:hAnsi="Arial" w:cs="Arial"/>
                <w:szCs w:val="22"/>
              </w:rPr>
              <w:t>hlavní cíle a oblasti výzkumu (</w:t>
            </w:r>
            <w:r w:rsidR="00015CEF">
              <w:rPr>
                <w:rFonts w:ascii="Arial" w:hAnsi="Arial" w:cs="Arial"/>
                <w:szCs w:val="22"/>
              </w:rPr>
              <w:t xml:space="preserve">celkem </w:t>
            </w:r>
            <w:r w:rsidRPr="007D6E25">
              <w:rPr>
                <w:rFonts w:ascii="Arial" w:hAnsi="Arial" w:cs="Arial"/>
                <w:szCs w:val="22"/>
              </w:rPr>
              <w:t>10). Nebyly stanoveny indikátory jejich plnění. Bylo popsáno 14 dílčích cílů v rámci 3 oborů (dominantně Clinical Medicine, minoritně Basic a Health Science). Všechny s adekvátním výzkumným týmem a nejvýznamnějšími výsledky uplatněnými v předchozích 5 letech</w:t>
            </w:r>
            <w:r w:rsidR="00015CEF">
              <w:rPr>
                <w:rFonts w:ascii="Arial" w:hAnsi="Arial" w:cs="Arial"/>
                <w:szCs w:val="22"/>
              </w:rPr>
              <w:t xml:space="preserve">. </w:t>
            </w:r>
            <w:r w:rsidRPr="007D6E25">
              <w:rPr>
                <w:rFonts w:ascii="Arial" w:hAnsi="Arial" w:cs="Arial"/>
                <w:szCs w:val="22"/>
              </w:rPr>
              <w:t>Byly popsány návaznosti na Národní politiku VaVaI a opatření pro její implementaci v FTN, dále návaznosti na další národní politiky v oblasti VaVaI (Koncepce zdravotnického výzkumu do roku 2030, Zdraví 2030, NOPL 2030, Inovační strategie České republiky 2019-2030, Národní akční plán pro Alzheimerovu nemoc a obdobná onemocnění 2020-2030). Dále byla popsána návaznost na Horizont Evropa. Nebyly popsány postupy implementace těchto politik nebo indikátory dosažení cílů. Strategie a koncepce VO je především s ohledem na cíle a dílčí cíle hodnocena jako velmi dobrá (B).</w:t>
            </w:r>
          </w:p>
          <w:p w14:paraId="6B38C1DF" w14:textId="77777777" w:rsidR="00274457" w:rsidRDefault="00274457" w:rsidP="00AB348B">
            <w:pPr>
              <w:jc w:val="both"/>
              <w:rPr>
                <w:rFonts w:ascii="Arial" w:hAnsi="Arial" w:cs="Arial"/>
                <w:szCs w:val="22"/>
              </w:rPr>
            </w:pPr>
          </w:p>
          <w:p w14:paraId="6EC77270" w14:textId="77777777" w:rsidR="00274457" w:rsidRDefault="00274457" w:rsidP="00AB348B">
            <w:pPr>
              <w:jc w:val="both"/>
              <w:rPr>
                <w:rFonts w:ascii="Arial" w:hAnsi="Arial" w:cs="Arial"/>
                <w:szCs w:val="22"/>
              </w:rPr>
            </w:pPr>
          </w:p>
          <w:p w14:paraId="785B4D1D" w14:textId="6C79D275" w:rsidR="00274457" w:rsidRDefault="00274457" w:rsidP="00AB348B">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 xml:space="preserve">Závěr průběžného hodnocení modulu </w:t>
            </w:r>
            <w:r>
              <w:rPr>
                <w:rFonts w:ascii="Arial" w:hAnsi="Arial" w:cs="Arial"/>
                <w:b/>
                <w:bCs/>
                <w:color w:val="212121"/>
                <w:szCs w:val="22"/>
                <w:lang w:eastAsia="en-GB"/>
              </w:rPr>
              <w:t>5</w:t>
            </w:r>
            <w:r w:rsidRPr="009C3CAC">
              <w:rPr>
                <w:rFonts w:ascii="Arial" w:hAnsi="Arial" w:cs="Arial"/>
                <w:b/>
                <w:bCs/>
                <w:color w:val="212121"/>
                <w:szCs w:val="22"/>
                <w:lang w:eastAsia="en-GB"/>
              </w:rPr>
              <w:t>:</w:t>
            </w:r>
          </w:p>
          <w:p w14:paraId="61AA3DBB" w14:textId="7C2FD397" w:rsidR="00274457" w:rsidRPr="009C3CAC" w:rsidRDefault="00274457" w:rsidP="00AB348B">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růběžné hodnocení odpovídá stavu v době škálování.</w:t>
            </w:r>
            <w:r w:rsidR="009C0AC0">
              <w:rPr>
                <w:rFonts w:ascii="Arial" w:hAnsi="Arial" w:cs="Arial"/>
                <w:b/>
                <w:bCs/>
                <w:color w:val="212121"/>
                <w:szCs w:val="22"/>
                <w:lang w:eastAsia="en-GB"/>
              </w:rPr>
              <w:t xml:space="preserve"> VO v průběžném hodnocení za rok 2023 nedoložila, jakým způsobem se vypořádala s</w:t>
            </w:r>
            <w:r w:rsidR="009C0AC0" w:rsidRPr="009C0AC0">
              <w:rPr>
                <w:rFonts w:ascii="Arial" w:hAnsi="Arial" w:cs="Arial"/>
                <w:b/>
                <w:bCs/>
                <w:color w:val="212121"/>
                <w:szCs w:val="22"/>
                <w:lang w:eastAsia="en-GB"/>
              </w:rPr>
              <w:t xml:space="preserve"> výsledk</w:t>
            </w:r>
            <w:r w:rsidR="009C0AC0">
              <w:rPr>
                <w:rFonts w:ascii="Arial" w:hAnsi="Arial" w:cs="Arial"/>
                <w:b/>
                <w:bCs/>
                <w:color w:val="212121"/>
                <w:szCs w:val="22"/>
                <w:lang w:eastAsia="en-GB"/>
              </w:rPr>
              <w:t>y</w:t>
            </w:r>
            <w:r w:rsidR="009C0AC0" w:rsidRPr="009C0AC0">
              <w:rPr>
                <w:rFonts w:ascii="Arial" w:hAnsi="Arial" w:cs="Arial"/>
                <w:b/>
                <w:bCs/>
                <w:color w:val="212121"/>
                <w:szCs w:val="22"/>
                <w:lang w:eastAsia="en-GB"/>
              </w:rPr>
              <w:t xml:space="preserve"> předchozího</w:t>
            </w:r>
            <w:r w:rsidR="009C0AC0">
              <w:rPr>
                <w:rFonts w:ascii="Arial" w:hAnsi="Arial" w:cs="Arial"/>
                <w:b/>
                <w:bCs/>
                <w:color w:val="212121"/>
                <w:szCs w:val="22"/>
                <w:lang w:eastAsia="en-GB"/>
              </w:rPr>
              <w:t>, tj. vstupního</w:t>
            </w:r>
            <w:r w:rsidR="009C0AC0" w:rsidRPr="009C0AC0">
              <w:rPr>
                <w:rFonts w:ascii="Arial" w:hAnsi="Arial" w:cs="Arial"/>
                <w:b/>
                <w:bCs/>
                <w:color w:val="212121"/>
                <w:szCs w:val="22"/>
                <w:lang w:eastAsia="en-GB"/>
              </w:rPr>
              <w:t xml:space="preserve"> hodnocení</w:t>
            </w:r>
            <w:r w:rsidR="009C0AC0">
              <w:rPr>
                <w:rFonts w:ascii="Arial" w:hAnsi="Arial" w:cs="Arial"/>
                <w:b/>
                <w:bCs/>
                <w:color w:val="212121"/>
                <w:szCs w:val="22"/>
                <w:lang w:eastAsia="en-GB"/>
              </w:rPr>
              <w:t xml:space="preserve"> VO.</w:t>
            </w:r>
          </w:p>
          <w:p w14:paraId="281CEA75" w14:textId="77777777" w:rsidR="00274457" w:rsidRDefault="00274457" w:rsidP="00AB348B">
            <w:pPr>
              <w:jc w:val="both"/>
              <w:rPr>
                <w:rFonts w:ascii="Arial" w:hAnsi="Arial" w:cs="Arial"/>
                <w:szCs w:val="22"/>
              </w:rPr>
            </w:pPr>
          </w:p>
          <w:p w14:paraId="4F57FF71" w14:textId="76C92672" w:rsidR="00274457" w:rsidRPr="009C2EC6" w:rsidRDefault="00274457" w:rsidP="00AB348B">
            <w:pPr>
              <w:jc w:val="both"/>
              <w:rPr>
                <w:rFonts w:ascii="Arial" w:hAnsi="Arial" w:cs="Arial"/>
                <w:szCs w:val="22"/>
              </w:rPr>
            </w:pPr>
          </w:p>
        </w:tc>
      </w:tr>
      <w:tr w:rsidR="004E5C95" w:rsidRPr="001F0B21" w14:paraId="23BF4220" w14:textId="77777777" w:rsidTr="009B5451">
        <w:trPr>
          <w:trHeight w:val="265"/>
          <w:jc w:val="center"/>
        </w:trPr>
        <w:tc>
          <w:tcPr>
            <w:tcW w:w="2637" w:type="dxa"/>
            <w:tcBorders>
              <w:left w:val="single" w:sz="2" w:space="0" w:color="auto"/>
              <w:bottom w:val="single" w:sz="2" w:space="0" w:color="auto"/>
              <w:right w:val="single" w:sz="2" w:space="0" w:color="auto"/>
            </w:tcBorders>
            <w:shd w:val="clear" w:color="auto" w:fill="auto"/>
            <w:vAlign w:val="center"/>
          </w:tcPr>
          <w:p w14:paraId="686C1492" w14:textId="4FAB0468" w:rsidR="004E5C95" w:rsidRPr="00DB5CDA" w:rsidRDefault="004E5C95" w:rsidP="004E5C95">
            <w:pPr>
              <w:pStyle w:val="Zhlav"/>
              <w:rPr>
                <w:rFonts w:ascii="Arial" w:hAnsi="Arial" w:cs="Arial"/>
                <w:b/>
                <w:smallCaps/>
                <w:spacing w:val="20"/>
                <w:szCs w:val="22"/>
              </w:rPr>
            </w:pPr>
          </w:p>
        </w:tc>
        <w:tc>
          <w:tcPr>
            <w:tcW w:w="6999" w:type="dxa"/>
            <w:gridSpan w:val="6"/>
            <w:tcBorders>
              <w:left w:val="single" w:sz="2" w:space="0" w:color="auto"/>
              <w:bottom w:val="single" w:sz="2" w:space="0" w:color="auto"/>
              <w:right w:val="single" w:sz="2" w:space="0" w:color="auto"/>
            </w:tcBorders>
            <w:shd w:val="clear" w:color="auto" w:fill="auto"/>
            <w:vAlign w:val="center"/>
          </w:tcPr>
          <w:p w14:paraId="4D17C3CC" w14:textId="77777777" w:rsidR="004E5C95" w:rsidRPr="001F0B21" w:rsidRDefault="004E5C95" w:rsidP="004E5C95">
            <w:pPr>
              <w:pStyle w:val="Zhlav"/>
              <w:jc w:val="both"/>
              <w:rPr>
                <w:rFonts w:ascii="Arial" w:hAnsi="Arial" w:cs="Arial"/>
                <w:szCs w:val="22"/>
                <w:highlight w:val="yellow"/>
              </w:rPr>
            </w:pPr>
          </w:p>
        </w:tc>
      </w:tr>
    </w:tbl>
    <w:p w14:paraId="30547E9A" w14:textId="58ABE385" w:rsidR="00392A56" w:rsidRPr="00392A56" w:rsidRDefault="00392A56" w:rsidP="00392A56">
      <w:pPr>
        <w:rPr>
          <w:bCs/>
        </w:rPr>
      </w:pPr>
    </w:p>
    <w:sectPr w:rsidR="00392A56" w:rsidRPr="00392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83"/>
    <w:rsid w:val="00015CEF"/>
    <w:rsid w:val="000779AD"/>
    <w:rsid w:val="0008299C"/>
    <w:rsid w:val="00095A22"/>
    <w:rsid w:val="00135533"/>
    <w:rsid w:val="00274457"/>
    <w:rsid w:val="002D55C6"/>
    <w:rsid w:val="002E70F0"/>
    <w:rsid w:val="003449C6"/>
    <w:rsid w:val="0034701A"/>
    <w:rsid w:val="00392A56"/>
    <w:rsid w:val="00414E4B"/>
    <w:rsid w:val="004637EE"/>
    <w:rsid w:val="004829A8"/>
    <w:rsid w:val="004C4C60"/>
    <w:rsid w:val="004C7431"/>
    <w:rsid w:val="004E5C95"/>
    <w:rsid w:val="00546D38"/>
    <w:rsid w:val="00566EE1"/>
    <w:rsid w:val="006648E3"/>
    <w:rsid w:val="006700BE"/>
    <w:rsid w:val="00764B04"/>
    <w:rsid w:val="00791517"/>
    <w:rsid w:val="00796777"/>
    <w:rsid w:val="007F2720"/>
    <w:rsid w:val="00800D03"/>
    <w:rsid w:val="008B5509"/>
    <w:rsid w:val="008D3DF2"/>
    <w:rsid w:val="008E5E5C"/>
    <w:rsid w:val="00936696"/>
    <w:rsid w:val="00966EAC"/>
    <w:rsid w:val="0097043F"/>
    <w:rsid w:val="009C0AC0"/>
    <w:rsid w:val="009C2EC6"/>
    <w:rsid w:val="009C4A28"/>
    <w:rsid w:val="009C7D43"/>
    <w:rsid w:val="00AB348B"/>
    <w:rsid w:val="00AC0CD8"/>
    <w:rsid w:val="00BA52DF"/>
    <w:rsid w:val="00BB6190"/>
    <w:rsid w:val="00CB2E83"/>
    <w:rsid w:val="00D964D2"/>
    <w:rsid w:val="00F17E11"/>
    <w:rsid w:val="00F20B96"/>
    <w:rsid w:val="00F65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6C0D"/>
  <w15:chartTrackingRefBased/>
  <w15:docId w15:val="{D03A9F43-BC4E-42E2-97D0-68990576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A8"/>
    <w:pPr>
      <w:spacing w:after="0" w:line="240" w:lineRule="auto"/>
    </w:pPr>
    <w:rPr>
      <w:rFonts w:ascii="Times New Roman" w:eastAsia="Times New Roman" w:hAnsi="Times New Roman" w:cs="Times New Roman"/>
      <w:kern w:val="0"/>
      <w:szCs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4"/>
    <w:qFormat/>
    <w:rsid w:val="004829A8"/>
    <w:pPr>
      <w:ind w:left="720"/>
      <w:contextualSpacing/>
    </w:pPr>
  </w:style>
  <w:style w:type="paragraph" w:styleId="Zhlav">
    <w:name w:val="header"/>
    <w:basedOn w:val="Normln"/>
    <w:link w:val="ZhlavChar"/>
    <w:uiPriority w:val="99"/>
    <w:unhideWhenUsed/>
    <w:rsid w:val="004829A8"/>
    <w:pPr>
      <w:tabs>
        <w:tab w:val="center" w:pos="4536"/>
        <w:tab w:val="right" w:pos="9072"/>
      </w:tabs>
    </w:pPr>
  </w:style>
  <w:style w:type="character" w:customStyle="1" w:styleId="ZhlavChar">
    <w:name w:val="Záhlaví Char"/>
    <w:basedOn w:val="Standardnpsmoodstavce"/>
    <w:link w:val="Zhlav"/>
    <w:uiPriority w:val="99"/>
    <w:rsid w:val="004829A8"/>
    <w:rPr>
      <w:rFonts w:ascii="Times New Roman" w:eastAsia="Times New Roman" w:hAnsi="Times New Roman" w:cs="Times New Roman"/>
      <w:kern w:val="0"/>
      <w:szCs w:val="20"/>
      <w:lang w:eastAsia="cs-CZ"/>
      <w14:ligatures w14:val="none"/>
    </w:rPr>
  </w:style>
  <w:style w:type="character" w:customStyle="1" w:styleId="OdstavecseseznamemChar">
    <w:name w:val="Odstavec se seznamem Char"/>
    <w:aliases w:val="Nad Char,Odstavec_muj Char,Název grafu Char,nad 1 Char"/>
    <w:link w:val="Odstavecseseznamem"/>
    <w:uiPriority w:val="34"/>
    <w:locked/>
    <w:rsid w:val="004829A8"/>
    <w:rPr>
      <w:rFonts w:ascii="Times New Roman" w:eastAsia="Times New Roman" w:hAnsi="Times New Roman" w:cs="Times New Roman"/>
      <w:kern w:val="0"/>
      <w:szCs w:val="20"/>
      <w:lang w:eastAsia="cs-CZ"/>
      <w14:ligatures w14:val="none"/>
    </w:rPr>
  </w:style>
  <w:style w:type="paragraph" w:styleId="Normlnweb">
    <w:name w:val="Normal (Web)"/>
    <w:basedOn w:val="Normln"/>
    <w:uiPriority w:val="99"/>
    <w:unhideWhenUsed/>
    <w:rsid w:val="00392A56"/>
    <w:pPr>
      <w:spacing w:before="100" w:beforeAutospacing="1" w:after="100" w:afterAutospacing="1"/>
    </w:pPr>
    <w:rPr>
      <w:sz w:val="24"/>
      <w:szCs w:val="24"/>
    </w:rPr>
  </w:style>
  <w:style w:type="character" w:customStyle="1" w:styleId="Zkladntext">
    <w:name w:val="Základní text_"/>
    <w:basedOn w:val="Standardnpsmoodstavce"/>
    <w:link w:val="Zkladntext1"/>
    <w:rsid w:val="00392A56"/>
    <w:rPr>
      <w:rFonts w:ascii="Calibri" w:eastAsia="Calibri" w:hAnsi="Calibri" w:cs="Calibri"/>
      <w:sz w:val="24"/>
      <w:szCs w:val="24"/>
    </w:rPr>
  </w:style>
  <w:style w:type="paragraph" w:customStyle="1" w:styleId="Zkladntext1">
    <w:name w:val="Základní text1"/>
    <w:basedOn w:val="Normln"/>
    <w:link w:val="Zkladntext"/>
    <w:rsid w:val="00392A56"/>
    <w:pPr>
      <w:widowControl w:val="0"/>
      <w:spacing w:after="320" w:line="271" w:lineRule="auto"/>
    </w:pPr>
    <w:rPr>
      <w:rFonts w:ascii="Calibri" w:eastAsia="Calibri" w:hAnsi="Calibri" w:cs="Calibr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1247</Words>
  <Characters>7362</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Office365 deploy</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Hejnová Jana, Ing.</dc:creator>
  <cp:keywords/>
  <dc:description/>
  <cp:lastModifiedBy>Hejnová Jana, Ing.</cp:lastModifiedBy>
  <cp:revision>7</cp:revision>
  <dcterms:created xsi:type="dcterms:W3CDTF">2025-01-06T06:31:00Z</dcterms:created>
  <dcterms:modified xsi:type="dcterms:W3CDTF">2025-01-06T10:00:00Z</dcterms:modified>
</cp:coreProperties>
</file>