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9"/>
        <w:gridCol w:w="2518"/>
        <w:gridCol w:w="2945"/>
      </w:tblGrid>
      <w:tr w:rsidR="008F77F6" w:rsidRPr="00DE2BC0" w14:paraId="5FCDDD80" w14:textId="77777777" w:rsidTr="00DC1983">
        <w:trPr>
          <w:trHeight w:val="1105"/>
        </w:trPr>
        <w:tc>
          <w:tcPr>
            <w:tcW w:w="609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B311FFF" w14:textId="22ED79F5" w:rsidR="008F77F6" w:rsidRPr="00BF1C46" w:rsidRDefault="0060449E" w:rsidP="00E22D6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0449E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Mezinárodní poradní orgán Rady (</w:t>
            </w:r>
            <w:r w:rsidR="00F94C02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ISAB</w:t>
            </w:r>
            <w:r w:rsidRPr="0060449E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)</w:t>
            </w:r>
          </w:p>
        </w:tc>
        <w:tc>
          <w:tcPr>
            <w:tcW w:w="294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6A55580" w14:textId="2E3A4410" w:rsidR="008F77F6" w:rsidRPr="009870E8" w:rsidRDefault="00320D30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91929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14:paraId="711A4256" w14:textId="77777777" w:rsidTr="00DC1983">
        <w:tc>
          <w:tcPr>
            <w:tcW w:w="35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7B754B5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46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39A275" w14:textId="4A225490" w:rsidR="008F77F6" w:rsidRPr="00811A10" w:rsidRDefault="002714F3" w:rsidP="00691929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714F3">
              <w:rPr>
                <w:rFonts w:ascii="Arial" w:hAnsi="Arial" w:cs="Arial"/>
                <w:i/>
                <w:sz w:val="22"/>
                <w:szCs w:val="22"/>
              </w:rPr>
              <w:t>PhDr. Adéla Gjuričová, Ph.D.</w:t>
            </w:r>
          </w:p>
        </w:tc>
      </w:tr>
      <w:tr w:rsidR="008F77F6" w:rsidRPr="00DE2BC0" w14:paraId="6F3BF947" w14:textId="77777777" w:rsidTr="00DC1983">
        <w:tc>
          <w:tcPr>
            <w:tcW w:w="35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76FC34C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6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5A3FD5F" w14:textId="3AC5C4C8" w:rsidR="008F77F6" w:rsidRPr="00115DD5" w:rsidRDefault="002714F3" w:rsidP="00691929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Kempná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11</w:t>
            </w:r>
            <w:r w:rsidR="00691929">
              <w:rPr>
                <w:rFonts w:ascii="Arial" w:hAnsi="Arial" w:cs="Arial"/>
                <w:i/>
                <w:sz w:val="22"/>
                <w:szCs w:val="22"/>
              </w:rPr>
              <w:t>. 02. 202</w:t>
            </w:r>
            <w:r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BE30C0" w:rsidRPr="00DE2BC0" w14:paraId="4246732C" w14:textId="77777777" w:rsidTr="00DC1983">
        <w:trPr>
          <w:trHeight w:val="1246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AD71BD7" w14:textId="77777777" w:rsidR="00BE30C0" w:rsidRDefault="00BE30C0" w:rsidP="00BE30C0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0A8C75C2" w14:textId="0CA48077" w:rsidR="008D448F" w:rsidRPr="00B2474C" w:rsidRDefault="008D448F" w:rsidP="008D448F">
            <w:pPr>
              <w:pStyle w:val="Odstavecseseznamem"/>
              <w:numPr>
                <w:ilvl w:val="0"/>
                <w:numId w:val="23"/>
              </w:numPr>
              <w:spacing w:after="12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B2474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Návrh na jmenování členů </w:t>
            </w:r>
            <w:r w:rsidR="00006C96" w:rsidRPr="00B2474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ISAB</w:t>
            </w:r>
          </w:p>
          <w:p w14:paraId="0047C00E" w14:textId="292C6351" w:rsidR="00B7634B" w:rsidRPr="00B7634B" w:rsidRDefault="00B7634B" w:rsidP="00B7634B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7634B">
              <w:rPr>
                <w:rFonts w:ascii="Arial" w:eastAsia="Calibri" w:hAnsi="Arial" w:cs="Arial"/>
                <w:sz w:val="22"/>
                <w:szCs w:val="22"/>
              </w:rPr>
              <w:t>Mezinárodní poradní orgán Rady pro výzkum, vývoj a inovace (dále „</w:t>
            </w:r>
            <w:r w:rsidR="00A746CB">
              <w:rPr>
                <w:rFonts w:ascii="Arial" w:eastAsia="Calibri" w:hAnsi="Arial" w:cs="Arial"/>
                <w:sz w:val="22"/>
                <w:szCs w:val="22"/>
              </w:rPr>
              <w:t>ISAB</w:t>
            </w:r>
            <w:r w:rsidRPr="00B7634B">
              <w:rPr>
                <w:rFonts w:ascii="Arial" w:eastAsia="Calibri" w:hAnsi="Arial" w:cs="Arial"/>
                <w:sz w:val="22"/>
                <w:szCs w:val="22"/>
              </w:rPr>
              <w:t xml:space="preserve">“) složený z význačných zahraničních odborníků </w:t>
            </w:r>
            <w:r w:rsidR="007A72DB">
              <w:rPr>
                <w:rFonts w:ascii="Arial" w:eastAsia="Calibri" w:hAnsi="Arial" w:cs="Arial"/>
                <w:sz w:val="22"/>
                <w:szCs w:val="22"/>
              </w:rPr>
              <w:t xml:space="preserve">a odbornic </w:t>
            </w:r>
            <w:r w:rsidR="00404AFA" w:rsidRPr="00B7634B">
              <w:rPr>
                <w:rFonts w:ascii="Arial" w:eastAsia="Calibri" w:hAnsi="Arial" w:cs="Arial"/>
                <w:sz w:val="22"/>
                <w:szCs w:val="22"/>
              </w:rPr>
              <w:t>ustav</w:t>
            </w:r>
            <w:r w:rsidR="00404AFA">
              <w:rPr>
                <w:rFonts w:ascii="Arial" w:eastAsia="Calibri" w:hAnsi="Arial" w:cs="Arial"/>
                <w:sz w:val="22"/>
                <w:szCs w:val="22"/>
              </w:rPr>
              <w:t xml:space="preserve">ila </w:t>
            </w:r>
            <w:r w:rsidRPr="00B7634B">
              <w:rPr>
                <w:rFonts w:ascii="Arial" w:eastAsia="Calibri" w:hAnsi="Arial" w:cs="Arial"/>
                <w:sz w:val="22"/>
                <w:szCs w:val="22"/>
              </w:rPr>
              <w:t>Rada pro výzkum, vývoj a inovace (dále jen „Rada“), jako svůj poradní orgán podle § 35 odst. 7 zákona č. 130/2002 Sb., o podpoře výzkumu, experimentálního vývoje a inovací z veřejných prostředků a o změně některých souvisejících zákonů (zákon o podpoře výzkumu, experimentálního vývoje a inovací), ve znění pozdějších předpisů.</w:t>
            </w:r>
          </w:p>
          <w:p w14:paraId="5B9F7FE6" w14:textId="15E574AD" w:rsidR="00B7634B" w:rsidRPr="00B7634B" w:rsidRDefault="00006C96" w:rsidP="00B7634B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ISAB</w:t>
            </w:r>
            <w:r w:rsidR="00B7634B" w:rsidRPr="00B7634B">
              <w:rPr>
                <w:rFonts w:ascii="Arial" w:eastAsia="Calibri" w:hAnsi="Arial" w:cs="Arial"/>
                <w:sz w:val="22"/>
                <w:szCs w:val="22"/>
              </w:rPr>
              <w:t xml:space="preserve"> se vyjadřuje k připravovaným strategickým plánům, které se týkají výzkumu, vývoje a inovací, poskytuje nezávislá expertní stanoviska ke strategickým dokumentům vědy, výzkumu a inovací, vybraným tématům a materiálům projednávaným na jednání Rady. Dle statutu </w:t>
            </w:r>
            <w:r w:rsidR="00F94C02">
              <w:rPr>
                <w:rFonts w:ascii="Arial" w:eastAsia="Calibri" w:hAnsi="Arial" w:cs="Arial"/>
                <w:sz w:val="22"/>
                <w:szCs w:val="22"/>
              </w:rPr>
              <w:t>ISAB</w:t>
            </w:r>
            <w:r w:rsidR="00B7634B" w:rsidRPr="00B7634B">
              <w:rPr>
                <w:rFonts w:ascii="Arial" w:eastAsia="Calibri" w:hAnsi="Arial" w:cs="Arial"/>
                <w:sz w:val="22"/>
                <w:szCs w:val="22"/>
              </w:rPr>
              <w:t xml:space="preserve">, konkrétně </w:t>
            </w:r>
            <w:r w:rsidR="00B7634B" w:rsidRPr="007A72DB">
              <w:rPr>
                <w:rFonts w:ascii="Arial" w:eastAsia="Calibri" w:hAnsi="Arial" w:cs="Arial"/>
                <w:sz w:val="22"/>
                <w:szCs w:val="22"/>
              </w:rPr>
              <w:t xml:space="preserve">článku 4 odst. 2 a 3 </w:t>
            </w:r>
            <w:r w:rsidR="000B5C39">
              <w:rPr>
                <w:rFonts w:ascii="Arial" w:eastAsia="Calibri" w:hAnsi="Arial" w:cs="Arial"/>
                <w:sz w:val="22"/>
                <w:szCs w:val="22"/>
              </w:rPr>
              <w:t>č</w:t>
            </w:r>
            <w:r w:rsidR="00B7634B" w:rsidRPr="007A72DB">
              <w:rPr>
                <w:rFonts w:ascii="Arial" w:eastAsia="Calibri" w:hAnsi="Arial" w:cs="Arial"/>
                <w:sz w:val="22"/>
                <w:szCs w:val="22"/>
              </w:rPr>
              <w:t xml:space="preserve">leny </w:t>
            </w:r>
            <w:r w:rsidR="007A72DB" w:rsidRPr="009B3A1E">
              <w:rPr>
                <w:rFonts w:ascii="Arial" w:eastAsia="Calibri" w:hAnsi="Arial" w:cs="Arial"/>
                <w:sz w:val="22"/>
                <w:szCs w:val="22"/>
              </w:rPr>
              <w:t>ISAB</w:t>
            </w:r>
            <w:r w:rsidR="00B7634B" w:rsidRPr="007A72DB">
              <w:rPr>
                <w:rFonts w:ascii="Arial" w:eastAsia="Calibri" w:hAnsi="Arial" w:cs="Arial"/>
                <w:sz w:val="22"/>
                <w:szCs w:val="22"/>
              </w:rPr>
              <w:t xml:space="preserve"> jmenuje a odvolává předseda Rady na návrh</w:t>
            </w:r>
            <w:r w:rsidR="007A72DB" w:rsidRPr="009B3A1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B7634B" w:rsidRPr="007A72DB">
              <w:rPr>
                <w:rFonts w:ascii="Arial" w:eastAsia="Calibri" w:hAnsi="Arial" w:cs="Arial"/>
                <w:sz w:val="22"/>
                <w:szCs w:val="22"/>
              </w:rPr>
              <w:t xml:space="preserve">Rady. Funkční období člena </w:t>
            </w:r>
            <w:r w:rsidR="007A72DB" w:rsidRPr="009B3A1E">
              <w:rPr>
                <w:rFonts w:ascii="Arial" w:eastAsia="Calibri" w:hAnsi="Arial" w:cs="Arial"/>
                <w:sz w:val="22"/>
                <w:szCs w:val="22"/>
              </w:rPr>
              <w:t xml:space="preserve">ISAB </w:t>
            </w:r>
            <w:r w:rsidR="00B7634B" w:rsidRPr="007A72DB">
              <w:rPr>
                <w:rFonts w:ascii="Arial" w:eastAsia="Calibri" w:hAnsi="Arial" w:cs="Arial"/>
                <w:sz w:val="22"/>
                <w:szCs w:val="22"/>
              </w:rPr>
              <w:t xml:space="preserve">je čtyřleté. Člen </w:t>
            </w:r>
            <w:r w:rsidR="007A72DB" w:rsidRPr="009B3A1E">
              <w:rPr>
                <w:rFonts w:ascii="Arial" w:eastAsia="Calibri" w:hAnsi="Arial" w:cs="Arial"/>
                <w:sz w:val="22"/>
                <w:szCs w:val="22"/>
              </w:rPr>
              <w:t xml:space="preserve">ISAB </w:t>
            </w:r>
            <w:r w:rsidR="00B7634B" w:rsidRPr="007A72DB">
              <w:rPr>
                <w:rFonts w:ascii="Arial" w:eastAsia="Calibri" w:hAnsi="Arial" w:cs="Arial"/>
                <w:sz w:val="22"/>
                <w:szCs w:val="22"/>
              </w:rPr>
              <w:t>může být jmenován nejvýše na dvě po sobě následující funkční období.</w:t>
            </w:r>
          </w:p>
          <w:p w14:paraId="57799728" w14:textId="18CC9E10" w:rsidR="00B7634B" w:rsidRDefault="00B7634B" w:rsidP="009B3A1E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7634B">
              <w:rPr>
                <w:rFonts w:ascii="Arial" w:eastAsia="Calibri" w:hAnsi="Arial" w:cs="Arial"/>
                <w:sz w:val="22"/>
                <w:szCs w:val="22"/>
              </w:rPr>
              <w:t xml:space="preserve">Na </w:t>
            </w:r>
            <w:r w:rsidR="00404AFA" w:rsidRPr="00B7634B">
              <w:rPr>
                <w:rFonts w:ascii="Arial" w:eastAsia="Calibri" w:hAnsi="Arial" w:cs="Arial"/>
                <w:sz w:val="22"/>
                <w:szCs w:val="22"/>
              </w:rPr>
              <w:t>výzv</w:t>
            </w:r>
            <w:r w:rsidR="00404AFA">
              <w:rPr>
                <w:rFonts w:ascii="Arial" w:eastAsia="Calibri" w:hAnsi="Arial" w:cs="Arial"/>
                <w:sz w:val="22"/>
                <w:szCs w:val="22"/>
              </w:rPr>
              <w:t xml:space="preserve">u </w:t>
            </w:r>
            <w:r w:rsidRPr="00B7634B">
              <w:rPr>
                <w:rFonts w:ascii="Arial" w:eastAsia="Calibri" w:hAnsi="Arial" w:cs="Arial"/>
                <w:sz w:val="22"/>
                <w:szCs w:val="22"/>
              </w:rPr>
              <w:t xml:space="preserve">k nominacím na nové členy </w:t>
            </w:r>
            <w:r>
              <w:rPr>
                <w:rFonts w:ascii="Arial" w:eastAsia="Calibri" w:hAnsi="Arial" w:cs="Arial"/>
                <w:sz w:val="22"/>
                <w:szCs w:val="22"/>
              </w:rPr>
              <w:t>ISAB</w:t>
            </w:r>
            <w:r w:rsidRPr="00B7634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404AFA">
              <w:rPr>
                <w:rFonts w:ascii="Arial" w:eastAsia="Calibri" w:hAnsi="Arial" w:cs="Arial"/>
                <w:sz w:val="22"/>
                <w:szCs w:val="22"/>
              </w:rPr>
              <w:t>byly předloženy</w:t>
            </w:r>
            <w:r w:rsidRPr="00B7634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návrhy na jmenování:</w:t>
            </w:r>
          </w:p>
          <w:p w14:paraId="619E631F" w14:textId="791728AF" w:rsidR="005E3343" w:rsidRDefault="005E3343" w:rsidP="005E3343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E3343">
              <w:rPr>
                <w:rFonts w:ascii="Arial" w:eastAsia="Calibri" w:hAnsi="Arial" w:cs="Arial"/>
                <w:sz w:val="22"/>
                <w:szCs w:val="22"/>
              </w:rPr>
              <w:t>Prof. Michele Aresta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, navržený </w:t>
            </w:r>
            <w:r w:rsidR="00B87C26">
              <w:rPr>
                <w:rFonts w:ascii="Arial" w:eastAsia="Calibri" w:hAnsi="Arial" w:cs="Arial"/>
                <w:sz w:val="22"/>
                <w:szCs w:val="22"/>
              </w:rPr>
              <w:t>Ing. Holoubkem,</w:t>
            </w:r>
          </w:p>
          <w:p w14:paraId="42DBF42E" w14:textId="15C55004" w:rsidR="00B7634B" w:rsidRDefault="005E3343" w:rsidP="009B3A1E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="00B7634B" w:rsidRPr="00B7634B">
              <w:rPr>
                <w:rFonts w:ascii="Arial" w:eastAsia="Calibri" w:hAnsi="Arial" w:cs="Arial"/>
                <w:sz w:val="22"/>
                <w:szCs w:val="22"/>
              </w:rPr>
              <w:t>rof. Joseph Hamill</w:t>
            </w:r>
            <w:r w:rsidR="00B7634B">
              <w:rPr>
                <w:rFonts w:ascii="Arial" w:eastAsia="Calibri" w:hAnsi="Arial" w:cs="Arial"/>
                <w:sz w:val="22"/>
                <w:szCs w:val="22"/>
              </w:rPr>
              <w:t>, navržený prof. Latou,</w:t>
            </w:r>
          </w:p>
          <w:p w14:paraId="0483F49D" w14:textId="2705DDCB" w:rsidR="00B7634B" w:rsidRDefault="005E3343" w:rsidP="009B3A1E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="00B7634B" w:rsidRPr="00B7634B">
              <w:rPr>
                <w:rFonts w:ascii="Arial" w:eastAsia="Calibri" w:hAnsi="Arial" w:cs="Arial"/>
                <w:sz w:val="22"/>
                <w:szCs w:val="22"/>
              </w:rPr>
              <w:t>rof.</w:t>
            </w:r>
            <w:r w:rsidR="0077145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B7634B" w:rsidRPr="00B7634B">
              <w:rPr>
                <w:rFonts w:ascii="Arial" w:eastAsia="Calibri" w:hAnsi="Arial" w:cs="Arial"/>
                <w:sz w:val="22"/>
                <w:szCs w:val="22"/>
              </w:rPr>
              <w:t>Sarah de Rijcke</w:t>
            </w:r>
            <w:r w:rsidR="00B7634B">
              <w:rPr>
                <w:rFonts w:ascii="Arial" w:eastAsia="Calibri" w:hAnsi="Arial" w:cs="Arial"/>
                <w:sz w:val="22"/>
                <w:szCs w:val="22"/>
              </w:rPr>
              <w:t>, navržená prof. Matyášem. Návrh projednán v </w:t>
            </w:r>
            <w:r w:rsidR="00404AFA">
              <w:rPr>
                <w:rFonts w:ascii="Arial" w:eastAsia="Calibri" w:hAnsi="Arial" w:cs="Arial"/>
                <w:sz w:val="22"/>
                <w:szCs w:val="22"/>
              </w:rPr>
              <w:t xml:space="preserve">pracovní skupině </w:t>
            </w:r>
            <w:r w:rsidR="00B7634B">
              <w:rPr>
                <w:rFonts w:ascii="Arial" w:eastAsia="Calibri" w:hAnsi="Arial" w:cs="Arial"/>
                <w:sz w:val="22"/>
                <w:szCs w:val="22"/>
              </w:rPr>
              <w:t>Lidé ve vědě,</w:t>
            </w:r>
          </w:p>
          <w:p w14:paraId="2C8A0D42" w14:textId="4429D215" w:rsidR="00B7634B" w:rsidRDefault="005E3343" w:rsidP="009B3A1E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="00B7634B" w:rsidRPr="00B7634B">
              <w:rPr>
                <w:rFonts w:ascii="Arial" w:eastAsia="Calibri" w:hAnsi="Arial" w:cs="Arial"/>
                <w:sz w:val="22"/>
                <w:szCs w:val="22"/>
              </w:rPr>
              <w:t>rof. Joachim von Puttkamer</w:t>
            </w:r>
            <w:r w:rsidR="00B7634B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 w:rsidR="00C972CA">
              <w:rPr>
                <w:rFonts w:ascii="Arial" w:eastAsia="Calibri" w:hAnsi="Arial" w:cs="Arial"/>
                <w:sz w:val="22"/>
                <w:szCs w:val="22"/>
              </w:rPr>
              <w:t>navržený</w:t>
            </w:r>
            <w:r w:rsidR="00B7634B">
              <w:rPr>
                <w:rFonts w:ascii="Arial" w:eastAsia="Calibri" w:hAnsi="Arial" w:cs="Arial"/>
                <w:sz w:val="22"/>
                <w:szCs w:val="22"/>
              </w:rPr>
              <w:t xml:space="preserve"> dr. Gjuričovou</w:t>
            </w:r>
            <w:r w:rsidR="00B87C26">
              <w:rPr>
                <w:rFonts w:ascii="Arial" w:eastAsia="Calibri" w:hAnsi="Arial" w:cs="Arial"/>
                <w:sz w:val="22"/>
                <w:szCs w:val="22"/>
              </w:rPr>
              <w:t>,</w:t>
            </w:r>
          </w:p>
          <w:p w14:paraId="0E8DFA8D" w14:textId="670BA0EF" w:rsidR="005E3343" w:rsidRDefault="005E3343" w:rsidP="005E3343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Pr="005E3343">
              <w:rPr>
                <w:rFonts w:ascii="Arial" w:eastAsia="Calibri" w:hAnsi="Arial" w:cs="Arial"/>
                <w:sz w:val="22"/>
                <w:szCs w:val="22"/>
              </w:rPr>
              <w:t>rof. Sebastian Scholz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, navržený </w:t>
            </w:r>
            <w:r w:rsidR="00B87C26">
              <w:rPr>
                <w:rFonts w:ascii="Arial" w:eastAsia="Calibri" w:hAnsi="Arial" w:cs="Arial"/>
                <w:sz w:val="22"/>
                <w:szCs w:val="22"/>
              </w:rPr>
              <w:t>Ing. Holoubkem.</w:t>
            </w:r>
          </w:p>
          <w:p w14:paraId="448A69E6" w14:textId="32D033F0" w:rsidR="00C972CA" w:rsidRPr="005E3343" w:rsidRDefault="00B7634B" w:rsidP="005E3343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E3343">
              <w:rPr>
                <w:rFonts w:ascii="Arial" w:eastAsia="Calibri" w:hAnsi="Arial" w:cs="Arial"/>
                <w:sz w:val="22"/>
                <w:szCs w:val="22"/>
              </w:rPr>
              <w:t xml:space="preserve">Jak je patrné z přiložených CV, </w:t>
            </w:r>
            <w:r w:rsidR="00C972CA" w:rsidRPr="005E3343">
              <w:rPr>
                <w:rFonts w:ascii="Arial" w:eastAsia="Calibri" w:hAnsi="Arial" w:cs="Arial"/>
                <w:sz w:val="22"/>
                <w:szCs w:val="22"/>
              </w:rPr>
              <w:t xml:space="preserve"> jedná se o mezinárodně uznávané odborníky ve svých </w:t>
            </w:r>
            <w:r w:rsidR="00F94C02" w:rsidRPr="005E3343">
              <w:rPr>
                <w:rFonts w:ascii="Arial" w:eastAsia="Calibri" w:hAnsi="Arial" w:cs="Arial"/>
                <w:sz w:val="22"/>
                <w:szCs w:val="22"/>
              </w:rPr>
              <w:t>oblastech a působící v předních akademických institucích</w:t>
            </w:r>
            <w:r w:rsidR="00C972CA" w:rsidRPr="005E3343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  <w:p w14:paraId="5AA2935A" w14:textId="2DCF73B9" w:rsidR="005E3343" w:rsidRDefault="005E3343" w:rsidP="009B3A1E">
            <w:pPr>
              <w:spacing w:after="12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Prof. Aresta</w:t>
            </w:r>
            <w:r w:rsidR="009B7DF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="009B7DFD" w:rsidRPr="009B7DFD">
              <w:rPr>
                <w:rFonts w:ascii="Arial" w:eastAsia="Calibri" w:hAnsi="Arial" w:cs="Arial"/>
                <w:sz w:val="22"/>
                <w:szCs w:val="22"/>
              </w:rPr>
              <w:t>je profesorem chemie a CEO společnosti Innovative Catalysis for Carbon Recycling-Ltd. Specializuje se na chemii malých molekul a katalýzu. Má silnou mezinárodní veřejnou akademickou přítomnost s globálními osvětovými aktivitami v oblasti chemie a katalýzy, a opakovaně působí jako odborný poradce v evropských a globálních iniciativách v oblasti chemie.</w:t>
            </w:r>
          </w:p>
          <w:p w14:paraId="13154BF9" w14:textId="2BC90A72" w:rsidR="00B7634B" w:rsidRDefault="00C972CA" w:rsidP="009B3A1E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81889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</w:t>
            </w:r>
            <w:r w:rsidR="00B7634B" w:rsidRPr="00681889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rof. Hamill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je uznávaným</w:t>
            </w:r>
            <w:r>
              <w:t xml:space="preserve"> 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 xml:space="preserve">členem mnoha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národních i mezinárodních 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>expertních komisí a odborných společností</w:t>
            </w:r>
            <w:r>
              <w:rPr>
                <w:rFonts w:ascii="Arial" w:eastAsia="Calibri" w:hAnsi="Arial" w:cs="Arial"/>
                <w:sz w:val="22"/>
                <w:szCs w:val="22"/>
              </w:rPr>
              <w:t>. Působí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jako 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>profesor Katedry kinesiologie a neurovědy a behaviorálních studií na University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>of Massachusetts v Amherstu v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>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SA, </w:t>
            </w:r>
            <w:r>
              <w:t xml:space="preserve"> 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 xml:space="preserve">zaměřuje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se 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>například na interakci biomechanických a biochemických faktorů při poranění vazů</w:t>
            </w:r>
            <w:r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14:paraId="4942AFA7" w14:textId="292E8E13" w:rsidR="00C972CA" w:rsidRDefault="00C972CA" w:rsidP="009B3A1E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81889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Prof. de Rijcke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 xml:space="preserve"> je profesorkou vědy, technologií a inovačních studií a děkankou Fakulty sociálních věd Leidenské univerzity v Nizozemsku. </w:t>
            </w:r>
            <w:r>
              <w:rPr>
                <w:rFonts w:ascii="Arial" w:eastAsia="Calibri" w:hAnsi="Arial" w:cs="Arial"/>
                <w:sz w:val="22"/>
                <w:szCs w:val="22"/>
              </w:rPr>
              <w:t>S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>pecializuje na sociální studia hodnocení výzkumu. Má silnou mezinárodní veřejnou akademickou přítomnost s globálními osvětovými aktivitami v oblasti vědní politiky, často hovoří na téma hodnocení výzkumu a používání metrik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a 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>opakovaně působí jako odborný poradce v evropských a globálních iniciativách v oblasti vědy.</w:t>
            </w:r>
          </w:p>
          <w:p w14:paraId="3FC5379C" w14:textId="3D4E2E11" w:rsidR="00F94C02" w:rsidRDefault="00C972CA" w:rsidP="009B3A1E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81889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Prof. Puttkamer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je profesorem 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>východoevropských dějin na Univerzitě Friedricha Schillera v</w:t>
            </w:r>
            <w:r w:rsidR="007A72DB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>Jeně</w:t>
            </w:r>
            <w:r w:rsidR="007A72DB">
              <w:rPr>
                <w:rFonts w:ascii="Arial" w:eastAsia="Calibri" w:hAnsi="Arial" w:cs="Arial"/>
                <w:sz w:val="22"/>
                <w:szCs w:val="22"/>
              </w:rPr>
              <w:t>, kde rovněž působí jako vedoucí katedry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a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404AFA">
              <w:rPr>
                <w:rFonts w:ascii="Arial" w:eastAsia="Calibri" w:hAnsi="Arial" w:cs="Arial"/>
                <w:sz w:val="22"/>
                <w:szCs w:val="22"/>
              </w:rPr>
              <w:t xml:space="preserve">je 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>ředitel</w:t>
            </w:r>
            <w:r>
              <w:rPr>
                <w:rFonts w:ascii="Arial" w:eastAsia="Calibri" w:hAnsi="Arial" w:cs="Arial"/>
                <w:sz w:val="22"/>
                <w:szCs w:val="22"/>
              </w:rPr>
              <w:t>em</w:t>
            </w:r>
            <w:r w:rsidRPr="00C972CA">
              <w:rPr>
                <w:rFonts w:ascii="Arial" w:eastAsia="Calibri" w:hAnsi="Arial" w:cs="Arial"/>
                <w:sz w:val="22"/>
                <w:szCs w:val="22"/>
              </w:rPr>
              <w:t xml:space="preserve"> Imre Kerész Kolleg</w:t>
            </w:r>
            <w:r w:rsidR="00A746CB">
              <w:rPr>
                <w:rFonts w:ascii="Arial" w:eastAsia="Calibri" w:hAnsi="Arial" w:cs="Arial"/>
                <w:sz w:val="22"/>
                <w:szCs w:val="22"/>
              </w:rPr>
              <w:t xml:space="preserve">. Je </w:t>
            </w:r>
            <w:r w:rsidR="00A746CB">
              <w:rPr>
                <w:rFonts w:ascii="Arial" w:eastAsia="Calibri" w:hAnsi="Arial" w:cs="Arial"/>
                <w:sz w:val="22"/>
                <w:szCs w:val="22"/>
              </w:rPr>
              <w:lastRenderedPageBreak/>
              <w:t>autorem řady významných publikací</w:t>
            </w:r>
            <w:r w:rsidR="00A746CB" w:rsidRPr="00A746C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A746CB">
              <w:rPr>
                <w:rFonts w:ascii="Arial" w:eastAsia="Calibri" w:hAnsi="Arial" w:cs="Arial"/>
                <w:sz w:val="22"/>
                <w:szCs w:val="22"/>
              </w:rPr>
              <w:t>východoevropských dějin devatenáctého a dvacátého století.</w:t>
            </w:r>
          </w:p>
          <w:p w14:paraId="3FF2F412" w14:textId="53297844" w:rsidR="00450B3E" w:rsidRDefault="00450B3E" w:rsidP="009B3A1E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450B3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Prof. Scholz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450B3E">
              <w:rPr>
                <w:rFonts w:ascii="Arial" w:eastAsia="Calibri" w:hAnsi="Arial" w:cs="Arial"/>
                <w:sz w:val="22"/>
                <w:szCs w:val="22"/>
              </w:rPr>
              <w:t>je profesorem na Hochschule Zittau/Görlitz a vedoucím oddělení na Fraunhofer-Institutu pro obráběcí stroje a tvářecí techniku (IWU) v Zittau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v</w:t>
            </w:r>
            <w:r w:rsidRPr="00450B3E">
              <w:rPr>
                <w:rFonts w:ascii="Arial" w:eastAsia="Calibri" w:hAnsi="Arial" w:cs="Arial"/>
                <w:sz w:val="22"/>
                <w:szCs w:val="22"/>
              </w:rPr>
              <w:t xml:space="preserve"> Německ</w:t>
            </w:r>
            <w:r>
              <w:rPr>
                <w:rFonts w:ascii="Arial" w:eastAsia="Calibri" w:hAnsi="Arial" w:cs="Arial"/>
                <w:sz w:val="22"/>
                <w:szCs w:val="22"/>
              </w:rPr>
              <w:t>u</w:t>
            </w:r>
            <w:r w:rsidRPr="00450B3E">
              <w:rPr>
                <w:rFonts w:ascii="Arial" w:eastAsia="Calibri" w:hAnsi="Arial" w:cs="Arial"/>
                <w:sz w:val="22"/>
                <w:szCs w:val="22"/>
              </w:rPr>
              <w:t xml:space="preserve">. Specializuje se na funkčně integrované plastové technologie. Má silnou mezinárodní akademickou </w:t>
            </w:r>
            <w:r>
              <w:rPr>
                <w:rFonts w:ascii="Arial" w:eastAsia="Calibri" w:hAnsi="Arial" w:cs="Arial"/>
                <w:sz w:val="22"/>
                <w:szCs w:val="22"/>
              </w:rPr>
              <w:t>působnost</w:t>
            </w:r>
            <w:r w:rsidRPr="00450B3E">
              <w:rPr>
                <w:rFonts w:ascii="Arial" w:eastAsia="Calibri" w:hAnsi="Arial" w:cs="Arial"/>
                <w:sz w:val="22"/>
                <w:szCs w:val="22"/>
              </w:rPr>
              <w:t xml:space="preserve"> s globálními výzkumnými aktivitami v oblasti strojírenství a plastových technologií. </w:t>
            </w:r>
            <w:r>
              <w:rPr>
                <w:rFonts w:ascii="Arial" w:eastAsia="Calibri" w:hAnsi="Arial" w:cs="Arial"/>
                <w:sz w:val="22"/>
                <w:szCs w:val="22"/>
              </w:rPr>
              <w:t>P</w:t>
            </w:r>
            <w:r w:rsidRPr="00450B3E">
              <w:rPr>
                <w:rFonts w:ascii="Arial" w:eastAsia="Calibri" w:hAnsi="Arial" w:cs="Arial"/>
                <w:sz w:val="22"/>
                <w:szCs w:val="22"/>
              </w:rPr>
              <w:t>ůsobí jako odborný poradce v evropských a globálních iniciativách v oblasti strojírenství.</w:t>
            </w:r>
          </w:p>
          <w:p w14:paraId="7834EB79" w14:textId="22DD7448" w:rsidR="008D448F" w:rsidRPr="00B2474C" w:rsidRDefault="008D448F" w:rsidP="008D448F">
            <w:pPr>
              <w:pStyle w:val="Odstavecseseznamem"/>
              <w:numPr>
                <w:ilvl w:val="0"/>
                <w:numId w:val="23"/>
              </w:numPr>
              <w:spacing w:after="12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B2474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Návrh na uskutečnění společného zasedání členů </w:t>
            </w:r>
            <w:r w:rsidR="00F94C02" w:rsidRPr="00B2474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ISAB </w:t>
            </w:r>
            <w:r w:rsidRPr="00B2474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 Rady</w:t>
            </w:r>
          </w:p>
          <w:p w14:paraId="1290B8EC" w14:textId="58FB6EAF" w:rsidR="00661D3D" w:rsidRPr="00712580" w:rsidRDefault="00661D3D" w:rsidP="00177E62">
            <w:pPr>
              <w:spacing w:after="120"/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77E62">
              <w:rPr>
                <w:rFonts w:ascii="Arial" w:eastAsia="Calibri" w:hAnsi="Arial" w:cs="Arial"/>
                <w:sz w:val="22"/>
                <w:szCs w:val="22"/>
              </w:rPr>
              <w:t>V souladu s</w:t>
            </w:r>
            <w:r w:rsidR="00A746CB">
              <w:rPr>
                <w:rFonts w:ascii="Arial" w:hAnsi="Arial" w:cs="Arial"/>
                <w:sz w:val="22"/>
                <w:szCs w:val="22"/>
              </w:rPr>
              <w:t> Jednacím řádem</w:t>
            </w:r>
            <w:r w:rsidR="00A746CB">
              <w:t xml:space="preserve"> </w:t>
            </w:r>
            <w:r w:rsidR="00404AFA">
              <w:rPr>
                <w:rFonts w:ascii="Arial" w:hAnsi="Arial" w:cs="Arial"/>
                <w:sz w:val="22"/>
                <w:szCs w:val="22"/>
              </w:rPr>
              <w:t>ISAB</w:t>
            </w:r>
            <w:r w:rsidR="00A746CB" w:rsidRPr="00A746CB">
              <w:rPr>
                <w:rFonts w:ascii="Arial" w:hAnsi="Arial" w:cs="Arial"/>
                <w:sz w:val="22"/>
                <w:szCs w:val="22"/>
              </w:rPr>
              <w:t xml:space="preserve"> (dále jen „Jednací řád”)</w:t>
            </w:r>
            <w:r w:rsidR="00A746CB">
              <w:rPr>
                <w:rFonts w:ascii="Arial" w:hAnsi="Arial" w:cs="Arial"/>
                <w:sz w:val="22"/>
                <w:szCs w:val="22"/>
              </w:rPr>
              <w:t>, čl. 2, odst. 1</w:t>
            </w:r>
            <w:r w:rsidR="000B5C39">
              <w:rPr>
                <w:rFonts w:ascii="Arial" w:hAnsi="Arial" w:cs="Arial"/>
                <w:sz w:val="22"/>
                <w:szCs w:val="22"/>
              </w:rPr>
              <w:t xml:space="preserve"> a n</w:t>
            </w:r>
            <w:r w:rsidR="0047369E" w:rsidRPr="00177E62">
              <w:rPr>
                <w:rFonts w:ascii="Arial" w:hAnsi="Arial" w:cs="Arial"/>
                <w:sz w:val="22"/>
                <w:szCs w:val="22"/>
              </w:rPr>
              <w:t>ávrhem činnosti na rok 2025</w:t>
            </w:r>
            <w:r w:rsidR="00681488" w:rsidRPr="00177E62">
              <w:rPr>
                <w:rFonts w:ascii="Arial" w:hAnsi="Arial" w:cs="Arial"/>
                <w:sz w:val="22"/>
                <w:szCs w:val="22"/>
              </w:rPr>
              <w:t xml:space="preserve">, předloženém </w:t>
            </w:r>
            <w:r w:rsidR="00681488" w:rsidRPr="00177E62">
              <w:rPr>
                <w:rFonts w:ascii="Arial" w:eastAsia="Calibri" w:hAnsi="Arial" w:cs="Arial"/>
                <w:sz w:val="22"/>
                <w:szCs w:val="22"/>
              </w:rPr>
              <w:t xml:space="preserve">Radě </w:t>
            </w:r>
            <w:r w:rsidR="00EB1EDA">
              <w:rPr>
                <w:rFonts w:ascii="Arial" w:eastAsia="Calibri" w:hAnsi="Arial" w:cs="Arial"/>
                <w:sz w:val="22"/>
                <w:szCs w:val="22"/>
              </w:rPr>
              <w:t xml:space="preserve">na jejím 408. zasedání </w:t>
            </w:r>
            <w:r w:rsidR="00166348">
              <w:rPr>
                <w:rFonts w:ascii="Arial" w:eastAsia="Calibri" w:hAnsi="Arial" w:cs="Arial"/>
                <w:sz w:val="22"/>
                <w:szCs w:val="22"/>
              </w:rPr>
              <w:t xml:space="preserve">dne </w:t>
            </w:r>
            <w:r w:rsidR="0018043F">
              <w:rPr>
                <w:rFonts w:ascii="Arial" w:eastAsia="Calibri" w:hAnsi="Arial" w:cs="Arial"/>
                <w:sz w:val="22"/>
                <w:szCs w:val="22"/>
              </w:rPr>
              <w:t>31. ledna 2025</w:t>
            </w:r>
            <w:r w:rsidR="00A766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E42DA8">
              <w:rPr>
                <w:rFonts w:ascii="Arial" w:eastAsia="Calibri" w:hAnsi="Arial" w:cs="Arial"/>
                <w:sz w:val="22"/>
                <w:szCs w:val="22"/>
              </w:rPr>
              <w:t>se</w:t>
            </w:r>
            <w:r w:rsidR="003075C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B70A7">
              <w:rPr>
                <w:rFonts w:ascii="Arial" w:eastAsia="Calibri" w:hAnsi="Arial" w:cs="Arial"/>
                <w:sz w:val="22"/>
                <w:szCs w:val="22"/>
              </w:rPr>
              <w:t>jednání</w:t>
            </w:r>
            <w:r w:rsidR="003D387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E42DA8">
              <w:rPr>
                <w:rFonts w:ascii="Arial" w:eastAsia="Calibri" w:hAnsi="Arial" w:cs="Arial"/>
                <w:sz w:val="22"/>
                <w:szCs w:val="22"/>
              </w:rPr>
              <w:t xml:space="preserve">koná </w:t>
            </w:r>
            <w:r w:rsidR="003D3871">
              <w:rPr>
                <w:rFonts w:ascii="Arial" w:eastAsia="Calibri" w:hAnsi="Arial" w:cs="Arial"/>
                <w:sz w:val="22"/>
                <w:szCs w:val="22"/>
              </w:rPr>
              <w:t>prezenční formou.</w:t>
            </w:r>
            <w:r w:rsidR="00A0444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BD1500" w:rsidRPr="00BD1500">
              <w:rPr>
                <w:rFonts w:ascii="Arial" w:eastAsia="Calibri" w:hAnsi="Arial" w:cs="Arial"/>
                <w:sz w:val="22"/>
                <w:szCs w:val="22"/>
              </w:rPr>
              <w:t>Pro</w:t>
            </w:r>
            <w:r w:rsidR="00BD1500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BD1500" w:rsidRPr="00BD1500">
              <w:rPr>
                <w:rFonts w:ascii="Arial" w:eastAsia="Calibri" w:hAnsi="Arial" w:cs="Arial"/>
                <w:sz w:val="22"/>
                <w:szCs w:val="22"/>
              </w:rPr>
              <w:t xml:space="preserve">členy, kteří se </w:t>
            </w:r>
            <w:r w:rsidR="00E42DA8">
              <w:rPr>
                <w:rFonts w:ascii="Arial" w:eastAsia="Calibri" w:hAnsi="Arial" w:cs="Arial"/>
                <w:sz w:val="22"/>
                <w:szCs w:val="22"/>
              </w:rPr>
              <w:t xml:space="preserve">ze závažných důvodů </w:t>
            </w:r>
            <w:r w:rsidR="00BD1500" w:rsidRPr="00BD1500">
              <w:rPr>
                <w:rFonts w:ascii="Arial" w:eastAsia="Calibri" w:hAnsi="Arial" w:cs="Arial"/>
                <w:sz w:val="22"/>
                <w:szCs w:val="22"/>
              </w:rPr>
              <w:t xml:space="preserve">nebudou moci účastnit osobně, se připojí </w:t>
            </w:r>
            <w:r w:rsidR="007A72DB">
              <w:rPr>
                <w:rFonts w:ascii="Arial" w:eastAsia="Calibri" w:hAnsi="Arial" w:cs="Arial"/>
                <w:sz w:val="22"/>
                <w:szCs w:val="22"/>
              </w:rPr>
              <w:t>videokonferenčně</w:t>
            </w:r>
            <w:r w:rsidR="00BD1500" w:rsidRPr="00BD1500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71258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A0444E">
              <w:rPr>
                <w:rFonts w:ascii="Arial" w:eastAsia="Calibri" w:hAnsi="Arial" w:cs="Arial"/>
                <w:sz w:val="22"/>
                <w:szCs w:val="22"/>
              </w:rPr>
              <w:t xml:space="preserve">Termín setkání je </w:t>
            </w:r>
            <w:r w:rsidR="00712580">
              <w:rPr>
                <w:rFonts w:ascii="Arial" w:eastAsia="Calibri" w:hAnsi="Arial" w:cs="Arial"/>
                <w:sz w:val="22"/>
                <w:szCs w:val="22"/>
              </w:rPr>
              <w:t xml:space="preserve">stanoven na </w:t>
            </w:r>
            <w:r w:rsidR="00227E05">
              <w:rPr>
                <w:rFonts w:ascii="Arial" w:eastAsia="Calibri" w:hAnsi="Arial" w:cs="Arial"/>
                <w:sz w:val="22"/>
                <w:szCs w:val="22"/>
              </w:rPr>
              <w:t>21. květ</w:t>
            </w:r>
            <w:r w:rsidR="00712580">
              <w:rPr>
                <w:rFonts w:ascii="Arial" w:eastAsia="Calibri" w:hAnsi="Arial" w:cs="Arial"/>
                <w:sz w:val="22"/>
                <w:szCs w:val="22"/>
              </w:rPr>
              <w:t>en</w:t>
            </w:r>
            <w:r w:rsidR="00227E05">
              <w:rPr>
                <w:rFonts w:ascii="Arial" w:eastAsia="Calibri" w:hAnsi="Arial" w:cs="Arial"/>
                <w:sz w:val="22"/>
                <w:szCs w:val="22"/>
              </w:rPr>
              <w:t xml:space="preserve"> 2025</w:t>
            </w:r>
            <w:r w:rsidR="00E42DA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A76620">
              <w:rPr>
                <w:rFonts w:ascii="Arial" w:eastAsia="Calibri" w:hAnsi="Arial" w:cs="Arial"/>
                <w:sz w:val="22"/>
                <w:szCs w:val="22"/>
              </w:rPr>
              <w:t>od 13 hod.</w:t>
            </w:r>
          </w:p>
          <w:p w14:paraId="59D101FF" w14:textId="5B32B9FD" w:rsidR="00154481" w:rsidRPr="0051735D" w:rsidRDefault="0018043F" w:rsidP="00BD1500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Program </w:t>
            </w:r>
            <w:r w:rsidR="00DC0F1E">
              <w:rPr>
                <w:rFonts w:ascii="Arial" w:eastAsia="Calibri" w:hAnsi="Arial" w:cs="Arial"/>
                <w:sz w:val="22"/>
                <w:szCs w:val="22"/>
              </w:rPr>
              <w:t xml:space="preserve">bude upřesněn. </w:t>
            </w:r>
            <w:r w:rsidR="00404AFA">
              <w:rPr>
                <w:rFonts w:ascii="Arial" w:eastAsia="Calibri" w:hAnsi="Arial" w:cs="Arial"/>
                <w:sz w:val="22"/>
                <w:szCs w:val="22"/>
              </w:rPr>
              <w:t>Místem jednání bude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Hrzánský palác, stejně jako </w:t>
            </w:r>
            <w:r w:rsidR="00404AFA">
              <w:rPr>
                <w:rFonts w:ascii="Arial" w:eastAsia="Calibri" w:hAnsi="Arial" w:cs="Arial"/>
                <w:sz w:val="22"/>
                <w:szCs w:val="22"/>
              </w:rPr>
              <w:t xml:space="preserve">při </w:t>
            </w:r>
            <w:r>
              <w:rPr>
                <w:rFonts w:ascii="Arial" w:eastAsia="Calibri" w:hAnsi="Arial" w:cs="Arial"/>
                <w:sz w:val="22"/>
                <w:szCs w:val="22"/>
              </w:rPr>
              <w:t>předchozí</w:t>
            </w:r>
            <w:r w:rsidR="00404AFA">
              <w:rPr>
                <w:rFonts w:ascii="Arial" w:eastAsia="Calibri" w:hAnsi="Arial" w:cs="Arial"/>
                <w:sz w:val="22"/>
                <w:szCs w:val="22"/>
              </w:rPr>
              <w:t>ch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zasedání.</w:t>
            </w:r>
          </w:p>
        </w:tc>
      </w:tr>
    </w:tbl>
    <w:p w14:paraId="4CCA08B9" w14:textId="77777777" w:rsidR="0035297B" w:rsidRDefault="0035297B" w:rsidP="008F77F6"/>
    <w:sectPr w:rsidR="003529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19F0D" w14:textId="77777777" w:rsidR="00BD45D2" w:rsidRDefault="00BD45D2" w:rsidP="008F77F6">
      <w:r>
        <w:separator/>
      </w:r>
    </w:p>
  </w:endnote>
  <w:endnote w:type="continuationSeparator" w:id="0">
    <w:p w14:paraId="42B9EC20" w14:textId="77777777" w:rsidR="00BD45D2" w:rsidRDefault="00BD45D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60B22" w14:textId="77777777" w:rsidR="00BD45D2" w:rsidRDefault="00BD45D2" w:rsidP="008F77F6">
      <w:r>
        <w:separator/>
      </w:r>
    </w:p>
  </w:footnote>
  <w:footnote w:type="continuationSeparator" w:id="0">
    <w:p w14:paraId="5549F180" w14:textId="77777777" w:rsidR="00BD45D2" w:rsidRDefault="00BD45D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5AAA3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4026B0B" wp14:editId="4BD169E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7408D"/>
    <w:multiLevelType w:val="hybridMultilevel"/>
    <w:tmpl w:val="019ACA48"/>
    <w:lvl w:ilvl="0" w:tplc="E90E81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866CA"/>
    <w:multiLevelType w:val="hybridMultilevel"/>
    <w:tmpl w:val="F76ED8B2"/>
    <w:lvl w:ilvl="0" w:tplc="C1AC7C1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66CC6"/>
    <w:multiLevelType w:val="hybridMultilevel"/>
    <w:tmpl w:val="78804B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A1072"/>
    <w:multiLevelType w:val="hybridMultilevel"/>
    <w:tmpl w:val="22963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107DC"/>
    <w:multiLevelType w:val="hybridMultilevel"/>
    <w:tmpl w:val="14C87D64"/>
    <w:lvl w:ilvl="0" w:tplc="E45ADE76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9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D85EDE"/>
    <w:multiLevelType w:val="hybridMultilevel"/>
    <w:tmpl w:val="A2B22C24"/>
    <w:lvl w:ilvl="0" w:tplc="BECE82F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621182541">
    <w:abstractNumId w:val="0"/>
  </w:num>
  <w:num w:numId="2" w16cid:durableId="436826789">
    <w:abstractNumId w:val="7"/>
  </w:num>
  <w:num w:numId="3" w16cid:durableId="1738432789">
    <w:abstractNumId w:val="19"/>
  </w:num>
  <w:num w:numId="4" w16cid:durableId="456526699">
    <w:abstractNumId w:val="20"/>
  </w:num>
  <w:num w:numId="5" w16cid:durableId="107819034">
    <w:abstractNumId w:val="21"/>
  </w:num>
  <w:num w:numId="6" w16cid:durableId="804197213">
    <w:abstractNumId w:val="10"/>
  </w:num>
  <w:num w:numId="7" w16cid:durableId="583881023">
    <w:abstractNumId w:val="18"/>
  </w:num>
  <w:num w:numId="8" w16cid:durableId="910164306">
    <w:abstractNumId w:val="13"/>
  </w:num>
  <w:num w:numId="9" w16cid:durableId="1238981197">
    <w:abstractNumId w:val="3"/>
  </w:num>
  <w:num w:numId="10" w16cid:durableId="175510716">
    <w:abstractNumId w:val="16"/>
  </w:num>
  <w:num w:numId="11" w16cid:durableId="1263882794">
    <w:abstractNumId w:val="17"/>
  </w:num>
  <w:num w:numId="12" w16cid:durableId="718430824">
    <w:abstractNumId w:val="6"/>
  </w:num>
  <w:num w:numId="13" w16cid:durableId="131943253">
    <w:abstractNumId w:val="24"/>
  </w:num>
  <w:num w:numId="14" w16cid:durableId="7609219">
    <w:abstractNumId w:val="1"/>
  </w:num>
  <w:num w:numId="15" w16cid:durableId="596984035">
    <w:abstractNumId w:val="8"/>
  </w:num>
  <w:num w:numId="16" w16cid:durableId="2066950587">
    <w:abstractNumId w:val="12"/>
  </w:num>
  <w:num w:numId="17" w16cid:durableId="534082024">
    <w:abstractNumId w:val="15"/>
  </w:num>
  <w:num w:numId="18" w16cid:durableId="585576080">
    <w:abstractNumId w:val="23"/>
  </w:num>
  <w:num w:numId="19" w16cid:durableId="1221794679">
    <w:abstractNumId w:val="14"/>
  </w:num>
  <w:num w:numId="20" w16cid:durableId="86540095">
    <w:abstractNumId w:val="11"/>
  </w:num>
  <w:num w:numId="21" w16cid:durableId="121270139">
    <w:abstractNumId w:val="9"/>
  </w:num>
  <w:num w:numId="22" w16cid:durableId="348339194">
    <w:abstractNumId w:val="5"/>
  </w:num>
  <w:num w:numId="23" w16cid:durableId="1088381616">
    <w:abstractNumId w:val="22"/>
  </w:num>
  <w:num w:numId="24" w16cid:durableId="445201737">
    <w:abstractNumId w:val="2"/>
  </w:num>
  <w:num w:numId="25" w16cid:durableId="2326690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0D71"/>
    <w:rsid w:val="00006C96"/>
    <w:rsid w:val="0001394B"/>
    <w:rsid w:val="00014803"/>
    <w:rsid w:val="0001738C"/>
    <w:rsid w:val="00033C4F"/>
    <w:rsid w:val="00055F16"/>
    <w:rsid w:val="00086584"/>
    <w:rsid w:val="00095B2C"/>
    <w:rsid w:val="000A463E"/>
    <w:rsid w:val="000A7002"/>
    <w:rsid w:val="000B1E49"/>
    <w:rsid w:val="000B374F"/>
    <w:rsid w:val="000B5C39"/>
    <w:rsid w:val="000C4A33"/>
    <w:rsid w:val="000D0C8C"/>
    <w:rsid w:val="000D6C28"/>
    <w:rsid w:val="000E553E"/>
    <w:rsid w:val="000F1EB3"/>
    <w:rsid w:val="000F499B"/>
    <w:rsid w:val="00102FC4"/>
    <w:rsid w:val="00115DD5"/>
    <w:rsid w:val="00123745"/>
    <w:rsid w:val="0014301C"/>
    <w:rsid w:val="00151B3F"/>
    <w:rsid w:val="001528E0"/>
    <w:rsid w:val="00154481"/>
    <w:rsid w:val="00165AD7"/>
    <w:rsid w:val="00166348"/>
    <w:rsid w:val="00166727"/>
    <w:rsid w:val="00171C4D"/>
    <w:rsid w:val="00177E62"/>
    <w:rsid w:val="0018043F"/>
    <w:rsid w:val="00185AD6"/>
    <w:rsid w:val="001A0E30"/>
    <w:rsid w:val="001B3CDC"/>
    <w:rsid w:val="001C1693"/>
    <w:rsid w:val="001C361E"/>
    <w:rsid w:val="001D5092"/>
    <w:rsid w:val="001F03C7"/>
    <w:rsid w:val="001F7FAB"/>
    <w:rsid w:val="00206A41"/>
    <w:rsid w:val="00227E05"/>
    <w:rsid w:val="00237006"/>
    <w:rsid w:val="002405C0"/>
    <w:rsid w:val="00242103"/>
    <w:rsid w:val="0026386E"/>
    <w:rsid w:val="002714F3"/>
    <w:rsid w:val="002778BB"/>
    <w:rsid w:val="00291599"/>
    <w:rsid w:val="002917C8"/>
    <w:rsid w:val="0029200A"/>
    <w:rsid w:val="002A18DA"/>
    <w:rsid w:val="002A3ACE"/>
    <w:rsid w:val="002A6EF1"/>
    <w:rsid w:val="002A7323"/>
    <w:rsid w:val="002B0293"/>
    <w:rsid w:val="002B70A7"/>
    <w:rsid w:val="002C78F4"/>
    <w:rsid w:val="002C7FA8"/>
    <w:rsid w:val="002D514A"/>
    <w:rsid w:val="002F01DD"/>
    <w:rsid w:val="002F1937"/>
    <w:rsid w:val="003075CF"/>
    <w:rsid w:val="0031020D"/>
    <w:rsid w:val="003119BB"/>
    <w:rsid w:val="00316707"/>
    <w:rsid w:val="0032078A"/>
    <w:rsid w:val="00320D30"/>
    <w:rsid w:val="00322074"/>
    <w:rsid w:val="00325A0D"/>
    <w:rsid w:val="00332ADC"/>
    <w:rsid w:val="00343AF5"/>
    <w:rsid w:val="0035297B"/>
    <w:rsid w:val="00353C02"/>
    <w:rsid w:val="00355DAC"/>
    <w:rsid w:val="00356FC5"/>
    <w:rsid w:val="00360293"/>
    <w:rsid w:val="00366DF5"/>
    <w:rsid w:val="00375749"/>
    <w:rsid w:val="00387B05"/>
    <w:rsid w:val="003916A7"/>
    <w:rsid w:val="00393625"/>
    <w:rsid w:val="003A2896"/>
    <w:rsid w:val="003C0F72"/>
    <w:rsid w:val="003C6FA0"/>
    <w:rsid w:val="003D2395"/>
    <w:rsid w:val="003D2FB8"/>
    <w:rsid w:val="003D3871"/>
    <w:rsid w:val="003D4229"/>
    <w:rsid w:val="003E5A9B"/>
    <w:rsid w:val="003F0A5D"/>
    <w:rsid w:val="003F17E1"/>
    <w:rsid w:val="003F64DA"/>
    <w:rsid w:val="00404AFA"/>
    <w:rsid w:val="00445353"/>
    <w:rsid w:val="00450B3E"/>
    <w:rsid w:val="00460F48"/>
    <w:rsid w:val="0047369E"/>
    <w:rsid w:val="00492E38"/>
    <w:rsid w:val="00494A1F"/>
    <w:rsid w:val="004A1EB6"/>
    <w:rsid w:val="004C53FA"/>
    <w:rsid w:val="004C5843"/>
    <w:rsid w:val="004D1F1A"/>
    <w:rsid w:val="004E12B7"/>
    <w:rsid w:val="0051735D"/>
    <w:rsid w:val="005333AC"/>
    <w:rsid w:val="00543506"/>
    <w:rsid w:val="00553297"/>
    <w:rsid w:val="005632AA"/>
    <w:rsid w:val="005738CF"/>
    <w:rsid w:val="0058471A"/>
    <w:rsid w:val="005926F9"/>
    <w:rsid w:val="005A36C1"/>
    <w:rsid w:val="005C67D1"/>
    <w:rsid w:val="005D257D"/>
    <w:rsid w:val="005D4C13"/>
    <w:rsid w:val="005E1E50"/>
    <w:rsid w:val="005E3343"/>
    <w:rsid w:val="005F277C"/>
    <w:rsid w:val="005F7293"/>
    <w:rsid w:val="0060449E"/>
    <w:rsid w:val="00612AFF"/>
    <w:rsid w:val="006212EF"/>
    <w:rsid w:val="00630E9D"/>
    <w:rsid w:val="00640513"/>
    <w:rsid w:val="006435BA"/>
    <w:rsid w:val="00646D8B"/>
    <w:rsid w:val="00655313"/>
    <w:rsid w:val="00660AAF"/>
    <w:rsid w:val="00661D3D"/>
    <w:rsid w:val="00670A2D"/>
    <w:rsid w:val="00671A6D"/>
    <w:rsid w:val="00681488"/>
    <w:rsid w:val="00681889"/>
    <w:rsid w:val="00681D93"/>
    <w:rsid w:val="00691929"/>
    <w:rsid w:val="00696DC5"/>
    <w:rsid w:val="006B2EDA"/>
    <w:rsid w:val="006C13C6"/>
    <w:rsid w:val="006E328B"/>
    <w:rsid w:val="006F78C4"/>
    <w:rsid w:val="00702CC3"/>
    <w:rsid w:val="00712580"/>
    <w:rsid w:val="00713180"/>
    <w:rsid w:val="00734526"/>
    <w:rsid w:val="007358CA"/>
    <w:rsid w:val="00742394"/>
    <w:rsid w:val="00757A2B"/>
    <w:rsid w:val="007634E2"/>
    <w:rsid w:val="00766139"/>
    <w:rsid w:val="0077145B"/>
    <w:rsid w:val="00783AA1"/>
    <w:rsid w:val="00784126"/>
    <w:rsid w:val="0078472B"/>
    <w:rsid w:val="00786313"/>
    <w:rsid w:val="00792475"/>
    <w:rsid w:val="00796678"/>
    <w:rsid w:val="007A09F2"/>
    <w:rsid w:val="007A72DB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C7097"/>
    <w:rsid w:val="008D448F"/>
    <w:rsid w:val="008D475C"/>
    <w:rsid w:val="008E14F1"/>
    <w:rsid w:val="008F1999"/>
    <w:rsid w:val="008F35D6"/>
    <w:rsid w:val="008F77F6"/>
    <w:rsid w:val="00911F8C"/>
    <w:rsid w:val="00915234"/>
    <w:rsid w:val="00925EA0"/>
    <w:rsid w:val="00926DD1"/>
    <w:rsid w:val="009271CD"/>
    <w:rsid w:val="00932DF2"/>
    <w:rsid w:val="00936561"/>
    <w:rsid w:val="00940EF6"/>
    <w:rsid w:val="009434A3"/>
    <w:rsid w:val="009434DB"/>
    <w:rsid w:val="00954D90"/>
    <w:rsid w:val="00965965"/>
    <w:rsid w:val="009704D2"/>
    <w:rsid w:val="009830E4"/>
    <w:rsid w:val="009870E8"/>
    <w:rsid w:val="009926F2"/>
    <w:rsid w:val="009A6AC8"/>
    <w:rsid w:val="009B1923"/>
    <w:rsid w:val="009B3A1E"/>
    <w:rsid w:val="009B577B"/>
    <w:rsid w:val="009B7DFD"/>
    <w:rsid w:val="009C0869"/>
    <w:rsid w:val="009D6D4B"/>
    <w:rsid w:val="009D7552"/>
    <w:rsid w:val="009E0FC5"/>
    <w:rsid w:val="009E1C79"/>
    <w:rsid w:val="009E2636"/>
    <w:rsid w:val="009F753F"/>
    <w:rsid w:val="00A0444E"/>
    <w:rsid w:val="00A11B06"/>
    <w:rsid w:val="00A12977"/>
    <w:rsid w:val="00A220CF"/>
    <w:rsid w:val="00A257DC"/>
    <w:rsid w:val="00A3416C"/>
    <w:rsid w:val="00A351C4"/>
    <w:rsid w:val="00A51417"/>
    <w:rsid w:val="00A64E61"/>
    <w:rsid w:val="00A66952"/>
    <w:rsid w:val="00A72F76"/>
    <w:rsid w:val="00A746CB"/>
    <w:rsid w:val="00A754EB"/>
    <w:rsid w:val="00A76620"/>
    <w:rsid w:val="00A805E4"/>
    <w:rsid w:val="00A97FE8"/>
    <w:rsid w:val="00AA1B8F"/>
    <w:rsid w:val="00AA51BE"/>
    <w:rsid w:val="00AA7217"/>
    <w:rsid w:val="00AB5966"/>
    <w:rsid w:val="00AB734E"/>
    <w:rsid w:val="00AC3C4D"/>
    <w:rsid w:val="00AD7E5C"/>
    <w:rsid w:val="00AE7D40"/>
    <w:rsid w:val="00B12890"/>
    <w:rsid w:val="00B1333E"/>
    <w:rsid w:val="00B16359"/>
    <w:rsid w:val="00B16747"/>
    <w:rsid w:val="00B178A3"/>
    <w:rsid w:val="00B2474C"/>
    <w:rsid w:val="00B40BB1"/>
    <w:rsid w:val="00B476E7"/>
    <w:rsid w:val="00B554E8"/>
    <w:rsid w:val="00B65A4C"/>
    <w:rsid w:val="00B6661E"/>
    <w:rsid w:val="00B70A52"/>
    <w:rsid w:val="00B70F04"/>
    <w:rsid w:val="00B74FB7"/>
    <w:rsid w:val="00B7634B"/>
    <w:rsid w:val="00B833E2"/>
    <w:rsid w:val="00B87C26"/>
    <w:rsid w:val="00BA148D"/>
    <w:rsid w:val="00BA79EA"/>
    <w:rsid w:val="00BC50AD"/>
    <w:rsid w:val="00BC6024"/>
    <w:rsid w:val="00BC66E7"/>
    <w:rsid w:val="00BD1500"/>
    <w:rsid w:val="00BD45D2"/>
    <w:rsid w:val="00BE30C0"/>
    <w:rsid w:val="00BE3DC0"/>
    <w:rsid w:val="00BF1C46"/>
    <w:rsid w:val="00BF28DD"/>
    <w:rsid w:val="00C20639"/>
    <w:rsid w:val="00C341FB"/>
    <w:rsid w:val="00C720F5"/>
    <w:rsid w:val="00C760D4"/>
    <w:rsid w:val="00C92F11"/>
    <w:rsid w:val="00C972CA"/>
    <w:rsid w:val="00CA0007"/>
    <w:rsid w:val="00CC463E"/>
    <w:rsid w:val="00CD00AC"/>
    <w:rsid w:val="00CE7925"/>
    <w:rsid w:val="00D01FEB"/>
    <w:rsid w:val="00D0404D"/>
    <w:rsid w:val="00D109B0"/>
    <w:rsid w:val="00D27C56"/>
    <w:rsid w:val="00D27F0F"/>
    <w:rsid w:val="00D32B4C"/>
    <w:rsid w:val="00D4395B"/>
    <w:rsid w:val="00D7108B"/>
    <w:rsid w:val="00D81C0A"/>
    <w:rsid w:val="00D8534E"/>
    <w:rsid w:val="00D853EF"/>
    <w:rsid w:val="00D930C1"/>
    <w:rsid w:val="00DA1E2B"/>
    <w:rsid w:val="00DA56FB"/>
    <w:rsid w:val="00DA6F39"/>
    <w:rsid w:val="00DB3447"/>
    <w:rsid w:val="00DB603D"/>
    <w:rsid w:val="00DB7501"/>
    <w:rsid w:val="00DC0F1E"/>
    <w:rsid w:val="00DC1983"/>
    <w:rsid w:val="00DC5FE9"/>
    <w:rsid w:val="00DC7211"/>
    <w:rsid w:val="00DD1785"/>
    <w:rsid w:val="00DD7C8D"/>
    <w:rsid w:val="00DF1C58"/>
    <w:rsid w:val="00E13557"/>
    <w:rsid w:val="00E21A89"/>
    <w:rsid w:val="00E21EF3"/>
    <w:rsid w:val="00E22D63"/>
    <w:rsid w:val="00E4153D"/>
    <w:rsid w:val="00E42DA8"/>
    <w:rsid w:val="00E45D6C"/>
    <w:rsid w:val="00E52D50"/>
    <w:rsid w:val="00E52DA0"/>
    <w:rsid w:val="00E877A2"/>
    <w:rsid w:val="00EA095A"/>
    <w:rsid w:val="00EB1EDA"/>
    <w:rsid w:val="00EB41B7"/>
    <w:rsid w:val="00EC17F8"/>
    <w:rsid w:val="00EC70A1"/>
    <w:rsid w:val="00ED03A3"/>
    <w:rsid w:val="00ED068D"/>
    <w:rsid w:val="00EF197F"/>
    <w:rsid w:val="00F01F87"/>
    <w:rsid w:val="00F164F8"/>
    <w:rsid w:val="00F165C8"/>
    <w:rsid w:val="00F16A3D"/>
    <w:rsid w:val="00F222EB"/>
    <w:rsid w:val="00F22AA7"/>
    <w:rsid w:val="00F24603"/>
    <w:rsid w:val="00F24D60"/>
    <w:rsid w:val="00F33653"/>
    <w:rsid w:val="00F460CB"/>
    <w:rsid w:val="00F5110F"/>
    <w:rsid w:val="00F620E6"/>
    <w:rsid w:val="00F72FCA"/>
    <w:rsid w:val="00F829B9"/>
    <w:rsid w:val="00F84F17"/>
    <w:rsid w:val="00F9120E"/>
    <w:rsid w:val="00F92E8B"/>
    <w:rsid w:val="00F930CE"/>
    <w:rsid w:val="00F94C02"/>
    <w:rsid w:val="00FA776C"/>
    <w:rsid w:val="00FC0439"/>
    <w:rsid w:val="00FC09BB"/>
    <w:rsid w:val="00FD58EC"/>
    <w:rsid w:val="00FD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B38B8"/>
  <w15:docId w15:val="{1C44201B-9BAB-4420-99D1-AFBDDAEC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0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7924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2D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2DA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76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9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583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9</cp:revision>
  <cp:lastPrinted>2025-02-11T10:09:00Z</cp:lastPrinted>
  <dcterms:created xsi:type="dcterms:W3CDTF">2025-02-12T10:49:00Z</dcterms:created>
  <dcterms:modified xsi:type="dcterms:W3CDTF">2025-03-05T12:42:00Z</dcterms:modified>
</cp:coreProperties>
</file>