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EB128" w14:textId="781AB0D8" w:rsidR="0050596C" w:rsidRPr="00974AA5" w:rsidRDefault="0050596C" w:rsidP="00706262">
      <w:pPr>
        <w:pBdr>
          <w:bottom w:val="single" w:sz="6" w:space="1" w:color="auto"/>
        </w:pBdr>
        <w:spacing w:after="240"/>
        <w:jc w:val="both"/>
        <w:rPr>
          <w:rFonts w:ascii="Arial" w:hAnsi="Arial" w:cs="Arial"/>
          <w:b/>
          <w:color w:val="0070C0"/>
          <w:sz w:val="28"/>
          <w:szCs w:val="28"/>
        </w:rPr>
      </w:pPr>
      <w:r w:rsidRPr="00974AA5">
        <w:rPr>
          <w:rFonts w:ascii="Arial" w:hAnsi="Arial" w:cs="Arial"/>
          <w:b/>
          <w:color w:val="0070C0"/>
          <w:sz w:val="28"/>
          <w:szCs w:val="28"/>
        </w:rPr>
        <w:t>Stanovisko Rady pro výzkum, vývoj a inovace k </w:t>
      </w:r>
      <w:r w:rsidR="00440910">
        <w:rPr>
          <w:rFonts w:ascii="Arial" w:hAnsi="Arial" w:cs="Arial"/>
          <w:b/>
          <w:color w:val="0070C0"/>
          <w:sz w:val="28"/>
          <w:szCs w:val="28"/>
        </w:rPr>
        <w:t>n</w:t>
      </w:r>
      <w:r w:rsidRPr="00974AA5">
        <w:rPr>
          <w:rFonts w:ascii="Arial" w:hAnsi="Arial" w:cs="Arial"/>
          <w:b/>
          <w:color w:val="0070C0"/>
          <w:sz w:val="28"/>
          <w:szCs w:val="28"/>
        </w:rPr>
        <w:t xml:space="preserve">ávrhu </w:t>
      </w:r>
      <w:r w:rsidR="00440910">
        <w:rPr>
          <w:rFonts w:ascii="Arial" w:hAnsi="Arial" w:cs="Arial"/>
          <w:b/>
          <w:color w:val="0070C0"/>
          <w:sz w:val="28"/>
          <w:szCs w:val="28"/>
        </w:rPr>
        <w:t xml:space="preserve">programu </w:t>
      </w:r>
      <w:r w:rsidR="00440910" w:rsidRPr="00440910">
        <w:rPr>
          <w:rFonts w:ascii="Arial" w:hAnsi="Arial" w:cs="Arial"/>
          <w:b/>
          <w:color w:val="0070C0"/>
          <w:sz w:val="28"/>
          <w:szCs w:val="28"/>
        </w:rPr>
        <w:t>Strategická podpora rozvoje bezpečnostního výzkumu ČR</w:t>
      </w:r>
      <w:r w:rsidR="00440910">
        <w:rPr>
          <w:rFonts w:ascii="Arial" w:hAnsi="Arial" w:cs="Arial"/>
          <w:b/>
          <w:color w:val="0070C0"/>
          <w:sz w:val="28"/>
          <w:szCs w:val="28"/>
        </w:rPr>
        <w:t xml:space="preserve"> </w:t>
      </w:r>
      <w:r w:rsidR="00440910">
        <w:rPr>
          <w:rFonts w:ascii="Arial" w:hAnsi="Arial" w:cs="Arial"/>
          <w:b/>
          <w:color w:val="0070C0"/>
          <w:sz w:val="28"/>
          <w:szCs w:val="28"/>
        </w:rPr>
        <w:br/>
        <w:t>(IMPAKT 2)</w:t>
      </w:r>
      <w:r w:rsidRPr="00974AA5">
        <w:rPr>
          <w:rFonts w:ascii="Arial" w:hAnsi="Arial" w:cs="Arial"/>
          <w:b/>
          <w:color w:val="0070C0"/>
          <w:sz w:val="28"/>
          <w:szCs w:val="28"/>
        </w:rPr>
        <w:t xml:space="preserve"> </w:t>
      </w:r>
    </w:p>
    <w:p w14:paraId="5DCA82F6" w14:textId="77777777" w:rsidR="00137723" w:rsidRPr="00974AA5" w:rsidRDefault="00137723" w:rsidP="00706262">
      <w:pPr>
        <w:pStyle w:val="Default"/>
        <w:jc w:val="center"/>
        <w:rPr>
          <w:rFonts w:ascii="Arial" w:hAnsi="Arial" w:cs="Arial"/>
          <w:b/>
          <w:color w:val="0070C0"/>
          <w:sz w:val="28"/>
          <w:szCs w:val="28"/>
        </w:rPr>
      </w:pPr>
    </w:p>
    <w:p w14:paraId="39C641FF" w14:textId="319D3823" w:rsidR="00D723D5" w:rsidRPr="004564B2" w:rsidRDefault="00D56170" w:rsidP="00745DF4">
      <w:pPr>
        <w:pStyle w:val="Odstavecseseznamem"/>
        <w:numPr>
          <w:ilvl w:val="0"/>
          <w:numId w:val="1"/>
        </w:numPr>
        <w:spacing w:after="120"/>
        <w:ind w:left="726"/>
        <w:contextualSpacing w:val="0"/>
        <w:jc w:val="both"/>
        <w:rPr>
          <w:rFonts w:ascii="Arial" w:hAnsi="Arial" w:cs="Arial"/>
          <w:b/>
          <w:sz w:val="22"/>
          <w:szCs w:val="22"/>
        </w:rPr>
      </w:pPr>
      <w:r w:rsidRPr="004564B2">
        <w:rPr>
          <w:rFonts w:ascii="Arial" w:hAnsi="Arial" w:cs="Arial"/>
          <w:b/>
          <w:sz w:val="22"/>
          <w:szCs w:val="22"/>
        </w:rPr>
        <w:t>Způsob předložení a projednání návrhu</w:t>
      </w:r>
    </w:p>
    <w:p w14:paraId="23FE78DA" w14:textId="3E0BB8FE" w:rsidR="0050596C" w:rsidRPr="004564B2" w:rsidRDefault="004564B2" w:rsidP="00315F7B">
      <w:pPr>
        <w:pStyle w:val="Odstavecseseznamem"/>
        <w:numPr>
          <w:ilvl w:val="0"/>
          <w:numId w:val="5"/>
        </w:numPr>
        <w:spacing w:after="120"/>
        <w:contextualSpacing w:val="0"/>
        <w:jc w:val="both"/>
        <w:rPr>
          <w:rFonts w:ascii="Arial" w:eastAsiaTheme="minorHAnsi" w:hAnsi="Arial" w:cs="Arial"/>
          <w:sz w:val="22"/>
          <w:szCs w:val="22"/>
          <w:lang w:eastAsia="en-US"/>
        </w:rPr>
      </w:pPr>
      <w:r w:rsidRPr="004564B2">
        <w:rPr>
          <w:rFonts w:ascii="Arial" w:eastAsiaTheme="minorHAnsi" w:hAnsi="Arial" w:cs="Arial"/>
          <w:sz w:val="22"/>
          <w:szCs w:val="22"/>
          <w:lang w:eastAsia="en-US"/>
        </w:rPr>
        <w:t>Vrchní ředitel Sekce vnitřní bezpečnosti a policejního vzdělávání Ministerstva vnitra</w:t>
      </w:r>
      <w:r w:rsidR="00440910" w:rsidRPr="004564B2">
        <w:rPr>
          <w:rFonts w:ascii="Arial" w:eastAsiaTheme="minorHAnsi" w:hAnsi="Arial" w:cs="Arial"/>
          <w:sz w:val="22"/>
          <w:szCs w:val="22"/>
          <w:lang w:eastAsia="en-US"/>
        </w:rPr>
        <w:t xml:space="preserve"> </w:t>
      </w:r>
      <w:r w:rsidR="0050596C" w:rsidRPr="004564B2">
        <w:rPr>
          <w:rFonts w:ascii="Arial" w:eastAsiaTheme="minorHAnsi" w:hAnsi="Arial" w:cs="Arial"/>
          <w:sz w:val="22"/>
          <w:szCs w:val="22"/>
          <w:lang w:eastAsia="en-US"/>
        </w:rPr>
        <w:t>(dále jen „</w:t>
      </w:r>
      <w:r w:rsidR="00440910" w:rsidRPr="004564B2">
        <w:rPr>
          <w:rFonts w:ascii="Arial" w:eastAsiaTheme="minorHAnsi" w:hAnsi="Arial" w:cs="Arial"/>
          <w:sz w:val="22"/>
          <w:szCs w:val="22"/>
          <w:lang w:eastAsia="en-US"/>
        </w:rPr>
        <w:t>MV</w:t>
      </w:r>
      <w:r w:rsidR="0050596C" w:rsidRPr="004564B2">
        <w:rPr>
          <w:rFonts w:ascii="Arial" w:eastAsiaTheme="minorHAnsi" w:hAnsi="Arial" w:cs="Arial"/>
          <w:sz w:val="22"/>
          <w:szCs w:val="22"/>
          <w:lang w:eastAsia="en-US"/>
        </w:rPr>
        <w:t xml:space="preserve">“) </w:t>
      </w:r>
      <w:r w:rsidRPr="004564B2">
        <w:rPr>
          <w:rFonts w:ascii="Arial" w:eastAsiaTheme="minorHAnsi" w:hAnsi="Arial" w:cs="Arial"/>
          <w:sz w:val="22"/>
          <w:szCs w:val="22"/>
          <w:lang w:eastAsia="en-US"/>
        </w:rPr>
        <w:t xml:space="preserve">PhDr. Jan </w:t>
      </w:r>
      <w:proofErr w:type="spellStart"/>
      <w:r w:rsidRPr="004564B2">
        <w:rPr>
          <w:rFonts w:ascii="Arial" w:eastAsiaTheme="minorHAnsi" w:hAnsi="Arial" w:cs="Arial"/>
          <w:sz w:val="22"/>
          <w:szCs w:val="22"/>
          <w:lang w:eastAsia="en-US"/>
        </w:rPr>
        <w:t>Paďourek</w:t>
      </w:r>
      <w:proofErr w:type="spellEnd"/>
      <w:r w:rsidRPr="004564B2">
        <w:rPr>
          <w:rFonts w:ascii="Arial" w:eastAsiaTheme="minorHAnsi" w:hAnsi="Arial" w:cs="Arial"/>
          <w:sz w:val="22"/>
          <w:szCs w:val="22"/>
          <w:lang w:eastAsia="en-US"/>
        </w:rPr>
        <w:t>, Ph.D.</w:t>
      </w:r>
      <w:r w:rsidR="0050596C" w:rsidRPr="004564B2">
        <w:rPr>
          <w:rFonts w:ascii="Arial" w:eastAsiaTheme="minorHAnsi" w:hAnsi="Arial" w:cs="Arial"/>
          <w:sz w:val="22"/>
          <w:szCs w:val="22"/>
          <w:lang w:eastAsia="en-US"/>
        </w:rPr>
        <w:t xml:space="preserve"> zaslal dopisem ze dne </w:t>
      </w:r>
      <w:r w:rsidRPr="004564B2">
        <w:rPr>
          <w:rFonts w:ascii="Arial" w:eastAsiaTheme="minorHAnsi" w:hAnsi="Arial" w:cs="Arial"/>
          <w:sz w:val="22"/>
          <w:szCs w:val="22"/>
          <w:lang w:eastAsia="en-US"/>
        </w:rPr>
        <w:t>26</w:t>
      </w:r>
      <w:r w:rsidR="00440910" w:rsidRPr="004564B2">
        <w:rPr>
          <w:rFonts w:ascii="Arial" w:eastAsiaTheme="minorHAnsi" w:hAnsi="Arial" w:cs="Arial"/>
          <w:sz w:val="22"/>
          <w:szCs w:val="22"/>
          <w:lang w:eastAsia="en-US"/>
        </w:rPr>
        <w:t>. února</w:t>
      </w:r>
      <w:r w:rsidR="0050596C" w:rsidRPr="004564B2">
        <w:rPr>
          <w:rFonts w:ascii="Arial" w:eastAsiaTheme="minorHAnsi" w:hAnsi="Arial" w:cs="Arial"/>
          <w:sz w:val="22"/>
          <w:szCs w:val="22"/>
          <w:lang w:eastAsia="en-US"/>
        </w:rPr>
        <w:t xml:space="preserve"> 2025 </w:t>
      </w:r>
      <w:r w:rsidRPr="004564B2">
        <w:rPr>
          <w:rFonts w:ascii="Arial" w:eastAsiaTheme="minorHAnsi" w:hAnsi="Arial" w:cs="Arial"/>
          <w:sz w:val="22"/>
          <w:szCs w:val="22"/>
          <w:lang w:eastAsia="en-US"/>
        </w:rPr>
        <w:t>vrchní ředitelce Sekce pro vědu, výzkum a inovace Úřadu vlády</w:t>
      </w:r>
      <w:r w:rsidR="0050596C" w:rsidRPr="004564B2">
        <w:rPr>
          <w:rFonts w:ascii="Arial" w:eastAsiaTheme="minorHAnsi" w:hAnsi="Arial" w:cs="Arial"/>
          <w:sz w:val="22"/>
          <w:szCs w:val="22"/>
          <w:lang w:eastAsia="en-US"/>
        </w:rPr>
        <w:t xml:space="preserve"> </w:t>
      </w:r>
      <w:r w:rsidR="00440910" w:rsidRPr="004564B2">
        <w:rPr>
          <w:rFonts w:ascii="Arial" w:eastAsiaTheme="minorHAnsi" w:hAnsi="Arial" w:cs="Arial"/>
          <w:sz w:val="22"/>
          <w:szCs w:val="22"/>
          <w:lang w:eastAsia="en-US"/>
        </w:rPr>
        <w:t>n</w:t>
      </w:r>
      <w:r w:rsidR="0050596C" w:rsidRPr="004564B2">
        <w:rPr>
          <w:rFonts w:ascii="Arial" w:eastAsiaTheme="minorHAnsi" w:hAnsi="Arial" w:cs="Arial"/>
          <w:sz w:val="22"/>
          <w:szCs w:val="22"/>
          <w:lang w:eastAsia="en-US"/>
        </w:rPr>
        <w:t xml:space="preserve">ávrh </w:t>
      </w:r>
      <w:r w:rsidR="00440910" w:rsidRPr="004564B2">
        <w:rPr>
          <w:rFonts w:ascii="Arial" w:eastAsiaTheme="minorHAnsi" w:hAnsi="Arial" w:cs="Arial"/>
          <w:sz w:val="22"/>
          <w:szCs w:val="22"/>
          <w:lang w:eastAsia="en-US"/>
        </w:rPr>
        <w:t>programu Strategická podpora rozvoje bezpečnostního výzkumu ČR (IMPAKT 2)</w:t>
      </w:r>
      <w:r w:rsidR="00496736" w:rsidRPr="004564B2">
        <w:rPr>
          <w:rFonts w:ascii="Arial" w:eastAsiaTheme="minorHAnsi" w:hAnsi="Arial" w:cs="Arial"/>
          <w:sz w:val="22"/>
          <w:szCs w:val="22"/>
          <w:lang w:eastAsia="en-US"/>
        </w:rPr>
        <w:t xml:space="preserve"> (dále jen „Program“)</w:t>
      </w:r>
      <w:r w:rsidR="0050596C" w:rsidRPr="004564B2">
        <w:rPr>
          <w:rFonts w:ascii="Arial" w:eastAsiaTheme="minorHAnsi" w:hAnsi="Arial" w:cs="Arial"/>
          <w:sz w:val="22"/>
          <w:szCs w:val="22"/>
          <w:lang w:eastAsia="en-US"/>
        </w:rPr>
        <w:t>, včetně doprovodné dokumentace, a požádal o jeho předložení na zasedání Rady pro výzkum, vývoj a inovace (dále jen „Rada“).</w:t>
      </w:r>
    </w:p>
    <w:p w14:paraId="746F0E1F" w14:textId="046FA5F6" w:rsidR="0050596C" w:rsidRPr="00D53619" w:rsidRDefault="0050596C" w:rsidP="00315F7B">
      <w:pPr>
        <w:pStyle w:val="Odstavecseseznamem"/>
        <w:numPr>
          <w:ilvl w:val="0"/>
          <w:numId w:val="5"/>
        </w:numPr>
        <w:spacing w:after="120"/>
        <w:ind w:left="1083" w:hanging="357"/>
        <w:contextualSpacing w:val="0"/>
        <w:jc w:val="both"/>
        <w:rPr>
          <w:rFonts w:ascii="Arial" w:eastAsiaTheme="minorHAnsi" w:hAnsi="Arial" w:cs="Arial"/>
          <w:sz w:val="22"/>
          <w:szCs w:val="22"/>
          <w:lang w:eastAsia="en-US"/>
        </w:rPr>
      </w:pPr>
      <w:r w:rsidRPr="004564B2">
        <w:rPr>
          <w:rFonts w:ascii="Arial" w:eastAsiaTheme="minorHAnsi" w:hAnsi="Arial" w:cs="Arial"/>
          <w:sz w:val="22"/>
          <w:szCs w:val="22"/>
          <w:lang w:eastAsia="en-US"/>
        </w:rPr>
        <w:t xml:space="preserve">Návrh </w:t>
      </w:r>
      <w:r w:rsidR="00440910" w:rsidRPr="004564B2">
        <w:rPr>
          <w:rFonts w:ascii="Arial" w:eastAsiaTheme="minorHAnsi" w:hAnsi="Arial" w:cs="Arial"/>
          <w:sz w:val="22"/>
          <w:szCs w:val="22"/>
          <w:lang w:eastAsia="en-US"/>
        </w:rPr>
        <w:t>programu</w:t>
      </w:r>
      <w:r w:rsidRPr="004564B2">
        <w:rPr>
          <w:rFonts w:ascii="Arial" w:eastAsiaTheme="minorHAnsi" w:hAnsi="Arial" w:cs="Arial"/>
          <w:sz w:val="22"/>
          <w:szCs w:val="22"/>
          <w:lang w:eastAsia="en-US"/>
        </w:rPr>
        <w:t xml:space="preserve"> je předkládán ke stanovisku Radě podle § 5 odst. 2 zákona č.</w:t>
      </w:r>
      <w:r w:rsidR="00423343">
        <w:rPr>
          <w:rFonts w:ascii="Arial" w:eastAsiaTheme="minorHAnsi" w:hAnsi="Arial" w:cs="Arial"/>
          <w:sz w:val="22"/>
          <w:szCs w:val="22"/>
          <w:lang w:eastAsia="en-US"/>
        </w:rPr>
        <w:t> </w:t>
      </w:r>
      <w:r w:rsidRPr="004564B2">
        <w:rPr>
          <w:rFonts w:ascii="Arial" w:eastAsiaTheme="minorHAnsi" w:hAnsi="Arial" w:cs="Arial"/>
          <w:sz w:val="22"/>
          <w:szCs w:val="22"/>
          <w:lang w:eastAsia="en-US"/>
        </w:rPr>
        <w:t>130/2002 Sb., o podpoře výzkumu, e</w:t>
      </w:r>
      <w:r w:rsidR="00443619" w:rsidRPr="004564B2">
        <w:rPr>
          <w:rFonts w:ascii="Arial" w:eastAsiaTheme="minorHAnsi" w:hAnsi="Arial" w:cs="Arial"/>
          <w:sz w:val="22"/>
          <w:szCs w:val="22"/>
          <w:lang w:eastAsia="en-US"/>
        </w:rPr>
        <w:t>xperimentálního vývoje a </w:t>
      </w:r>
      <w:r w:rsidRPr="004564B2">
        <w:rPr>
          <w:rFonts w:ascii="Arial" w:eastAsiaTheme="minorHAnsi" w:hAnsi="Arial" w:cs="Arial"/>
          <w:sz w:val="22"/>
          <w:szCs w:val="22"/>
          <w:lang w:eastAsia="en-US"/>
        </w:rPr>
        <w:t>inovací z</w:t>
      </w:r>
      <w:r w:rsidR="00423343">
        <w:rPr>
          <w:rFonts w:ascii="Arial" w:eastAsiaTheme="minorHAnsi" w:hAnsi="Arial" w:cs="Arial"/>
          <w:sz w:val="22"/>
          <w:szCs w:val="22"/>
          <w:lang w:eastAsia="en-US"/>
        </w:rPr>
        <w:t> </w:t>
      </w:r>
      <w:r w:rsidRPr="004564B2">
        <w:rPr>
          <w:rFonts w:ascii="Arial" w:eastAsiaTheme="minorHAnsi" w:hAnsi="Arial" w:cs="Arial"/>
          <w:sz w:val="22"/>
          <w:szCs w:val="22"/>
          <w:lang w:eastAsia="en-US"/>
        </w:rPr>
        <w:t xml:space="preserve">veřejných prostředků a o </w:t>
      </w:r>
      <w:r w:rsidRPr="00D53619">
        <w:rPr>
          <w:rFonts w:ascii="Arial" w:eastAsiaTheme="minorHAnsi" w:hAnsi="Arial" w:cs="Arial"/>
          <w:sz w:val="22"/>
          <w:szCs w:val="22"/>
          <w:lang w:eastAsia="en-US"/>
        </w:rPr>
        <w:t>změně některých souvisejících zákonů (zákon o</w:t>
      </w:r>
      <w:r w:rsidR="00423343">
        <w:rPr>
          <w:rFonts w:ascii="Arial" w:eastAsiaTheme="minorHAnsi" w:hAnsi="Arial" w:cs="Arial"/>
          <w:sz w:val="22"/>
          <w:szCs w:val="22"/>
          <w:lang w:eastAsia="en-US"/>
        </w:rPr>
        <w:t> </w:t>
      </w:r>
      <w:r w:rsidRPr="00D53619">
        <w:rPr>
          <w:rFonts w:ascii="Arial" w:eastAsiaTheme="minorHAnsi" w:hAnsi="Arial" w:cs="Arial"/>
          <w:sz w:val="22"/>
          <w:szCs w:val="22"/>
          <w:lang w:eastAsia="en-US"/>
        </w:rPr>
        <w:t>podpoře výzkumu, experimentálního vývoje a inovací), ve znění pozdějších předpisů.</w:t>
      </w:r>
    </w:p>
    <w:p w14:paraId="3AD17DC6" w14:textId="70A81E36" w:rsidR="005F33CA" w:rsidRPr="00423343" w:rsidRDefault="0050596C" w:rsidP="00315F7B">
      <w:pPr>
        <w:pStyle w:val="Odstavecseseznamem"/>
        <w:numPr>
          <w:ilvl w:val="0"/>
          <w:numId w:val="5"/>
        </w:numPr>
        <w:spacing w:after="120"/>
        <w:ind w:left="1083" w:hanging="357"/>
        <w:contextualSpacing w:val="0"/>
        <w:jc w:val="both"/>
        <w:rPr>
          <w:rFonts w:ascii="Arial" w:hAnsi="Arial" w:cs="Arial"/>
          <w:sz w:val="22"/>
          <w:szCs w:val="22"/>
        </w:rPr>
      </w:pPr>
      <w:r w:rsidRPr="00423343">
        <w:rPr>
          <w:rFonts w:ascii="Arial" w:eastAsiaTheme="minorHAnsi" w:hAnsi="Arial" w:cs="Arial"/>
          <w:sz w:val="22"/>
          <w:szCs w:val="22"/>
          <w:lang w:eastAsia="en-US"/>
        </w:rPr>
        <w:t>Návrh byl projed</w:t>
      </w:r>
      <w:r w:rsidR="00D53619" w:rsidRPr="00423343">
        <w:rPr>
          <w:rFonts w:ascii="Arial" w:eastAsiaTheme="minorHAnsi" w:hAnsi="Arial" w:cs="Arial"/>
          <w:sz w:val="22"/>
          <w:szCs w:val="22"/>
          <w:lang w:eastAsia="en-US"/>
        </w:rPr>
        <w:t>nán na 410. zasedání Rady dne 28</w:t>
      </w:r>
      <w:r w:rsidRPr="00423343">
        <w:rPr>
          <w:rFonts w:ascii="Arial" w:eastAsiaTheme="minorHAnsi" w:hAnsi="Arial" w:cs="Arial"/>
          <w:sz w:val="22"/>
          <w:szCs w:val="22"/>
          <w:lang w:eastAsia="en-US"/>
        </w:rPr>
        <w:t xml:space="preserve">. </w:t>
      </w:r>
      <w:r w:rsidR="00440910" w:rsidRPr="00423343">
        <w:rPr>
          <w:rFonts w:ascii="Arial" w:eastAsiaTheme="minorHAnsi" w:hAnsi="Arial" w:cs="Arial"/>
          <w:sz w:val="22"/>
          <w:szCs w:val="22"/>
          <w:lang w:eastAsia="en-US"/>
        </w:rPr>
        <w:t>března</w:t>
      </w:r>
      <w:r w:rsidRPr="00423343">
        <w:rPr>
          <w:rFonts w:ascii="Arial" w:eastAsiaTheme="minorHAnsi" w:hAnsi="Arial" w:cs="Arial"/>
          <w:sz w:val="22"/>
          <w:szCs w:val="22"/>
          <w:lang w:eastAsia="en-US"/>
        </w:rPr>
        <w:t xml:space="preserve"> 2025.</w:t>
      </w:r>
      <w:r w:rsidR="002F2081" w:rsidRPr="00423343">
        <w:rPr>
          <w:rFonts w:ascii="Arial" w:eastAsiaTheme="minorHAnsi" w:hAnsi="Arial" w:cs="Arial"/>
          <w:sz w:val="22"/>
          <w:szCs w:val="22"/>
          <w:lang w:eastAsia="en-US"/>
        </w:rPr>
        <w:t xml:space="preserve"> </w:t>
      </w:r>
    </w:p>
    <w:p w14:paraId="294608B8" w14:textId="04226A42" w:rsidR="00D56170" w:rsidRPr="00C31AF9" w:rsidRDefault="00765BA0" w:rsidP="00745DF4">
      <w:pPr>
        <w:pStyle w:val="Odstavecseseznamem"/>
        <w:numPr>
          <w:ilvl w:val="0"/>
          <w:numId w:val="1"/>
        </w:numPr>
        <w:spacing w:before="120" w:after="120"/>
        <w:ind w:left="726"/>
        <w:contextualSpacing w:val="0"/>
        <w:jc w:val="both"/>
        <w:rPr>
          <w:rFonts w:ascii="Arial" w:hAnsi="Arial" w:cs="Arial"/>
          <w:b/>
          <w:color w:val="0070C0"/>
          <w:sz w:val="22"/>
          <w:szCs w:val="22"/>
        </w:rPr>
      </w:pPr>
      <w:r w:rsidRPr="00C31AF9">
        <w:rPr>
          <w:rFonts w:ascii="Arial" w:hAnsi="Arial" w:cs="Arial"/>
          <w:b/>
          <w:color w:val="0070C0"/>
          <w:sz w:val="22"/>
          <w:szCs w:val="22"/>
        </w:rPr>
        <w:t xml:space="preserve">K hodnocení </w:t>
      </w:r>
      <w:r w:rsidR="00D56170" w:rsidRPr="00C31AF9">
        <w:rPr>
          <w:rFonts w:ascii="Arial" w:hAnsi="Arial" w:cs="Arial"/>
          <w:b/>
          <w:color w:val="0070C0"/>
          <w:sz w:val="22"/>
          <w:szCs w:val="22"/>
        </w:rPr>
        <w:t xml:space="preserve">návrhu </w:t>
      </w:r>
      <w:r w:rsidR="007C6750" w:rsidRPr="00C31AF9">
        <w:rPr>
          <w:rFonts w:ascii="Arial" w:hAnsi="Arial" w:cs="Arial"/>
          <w:b/>
          <w:color w:val="0070C0"/>
          <w:sz w:val="22"/>
          <w:szCs w:val="22"/>
        </w:rPr>
        <w:t>P</w:t>
      </w:r>
      <w:r w:rsidR="00D56170" w:rsidRPr="00C31AF9">
        <w:rPr>
          <w:rFonts w:ascii="Arial" w:hAnsi="Arial" w:cs="Arial"/>
          <w:b/>
          <w:color w:val="0070C0"/>
          <w:sz w:val="22"/>
          <w:szCs w:val="22"/>
        </w:rPr>
        <w:t>rogramu</w:t>
      </w:r>
      <w:r w:rsidRPr="00C31AF9">
        <w:rPr>
          <w:rFonts w:ascii="Arial" w:hAnsi="Arial" w:cs="Arial"/>
          <w:b/>
          <w:color w:val="0070C0"/>
          <w:sz w:val="22"/>
          <w:szCs w:val="22"/>
        </w:rPr>
        <w:t xml:space="preserve"> Radou</w:t>
      </w:r>
    </w:p>
    <w:p w14:paraId="2B78D80A" w14:textId="487BBBE9" w:rsidR="0050596C" w:rsidRPr="00440910" w:rsidRDefault="0050596C" w:rsidP="00745DF4">
      <w:pPr>
        <w:pStyle w:val="Zkladntext2"/>
        <w:spacing w:after="120"/>
        <w:ind w:left="708"/>
        <w:jc w:val="both"/>
        <w:rPr>
          <w:rFonts w:ascii="Arial" w:hAnsi="Arial" w:cs="Arial"/>
          <w:sz w:val="22"/>
          <w:szCs w:val="22"/>
        </w:rPr>
      </w:pPr>
      <w:r w:rsidRPr="00440910">
        <w:rPr>
          <w:rFonts w:ascii="Arial" w:hAnsi="Arial" w:cs="Arial"/>
          <w:sz w:val="22"/>
          <w:szCs w:val="22"/>
        </w:rPr>
        <w:t xml:space="preserve">Rada posoudila návrh </w:t>
      </w:r>
      <w:r w:rsidR="00665CCD">
        <w:rPr>
          <w:rFonts w:ascii="Arial" w:hAnsi="Arial" w:cs="Arial"/>
          <w:sz w:val="22"/>
          <w:szCs w:val="22"/>
        </w:rPr>
        <w:t>Programu</w:t>
      </w:r>
      <w:r w:rsidRPr="00440910">
        <w:rPr>
          <w:rFonts w:ascii="Arial" w:hAnsi="Arial" w:cs="Arial"/>
          <w:sz w:val="22"/>
          <w:szCs w:val="22"/>
        </w:rPr>
        <w:t xml:space="preserve"> podle následujících dokumentů:</w:t>
      </w:r>
    </w:p>
    <w:p w14:paraId="5604C9B7" w14:textId="1E6EF5F7" w:rsidR="0050596C" w:rsidRPr="00440910" w:rsidRDefault="0050596C" w:rsidP="00315F7B">
      <w:pPr>
        <w:pStyle w:val="Zkladntext2"/>
        <w:numPr>
          <w:ilvl w:val="0"/>
          <w:numId w:val="6"/>
        </w:numPr>
        <w:spacing w:after="120"/>
        <w:jc w:val="both"/>
        <w:rPr>
          <w:rFonts w:ascii="Arial" w:hAnsi="Arial" w:cs="Arial"/>
          <w:sz w:val="22"/>
          <w:szCs w:val="22"/>
        </w:rPr>
      </w:pPr>
      <w:r w:rsidRPr="00440910">
        <w:rPr>
          <w:rFonts w:ascii="Arial" w:hAnsi="Arial" w:cs="Arial"/>
          <w:sz w:val="22"/>
          <w:szCs w:val="22"/>
        </w:rPr>
        <w:t>zákona č. 130/2002 Sb., o podpoře výzkumu, expe</w:t>
      </w:r>
      <w:r w:rsidR="00443619" w:rsidRPr="00440910">
        <w:rPr>
          <w:rFonts w:ascii="Arial" w:hAnsi="Arial" w:cs="Arial"/>
          <w:sz w:val="22"/>
          <w:szCs w:val="22"/>
        </w:rPr>
        <w:t>rimentálního vývoje a inovací z </w:t>
      </w:r>
      <w:r w:rsidRPr="00440910">
        <w:rPr>
          <w:rFonts w:ascii="Arial" w:hAnsi="Arial" w:cs="Arial"/>
          <w:sz w:val="22"/>
          <w:szCs w:val="22"/>
        </w:rPr>
        <w:t xml:space="preserve">veřejných prostředků a o změně některých zákonů (zákon o podpoře výzkumu, experimentálního vývoje a inovací), ve znění pozdějších předpisů, </w:t>
      </w:r>
    </w:p>
    <w:p w14:paraId="10BB5E04" w14:textId="59B2E7CA" w:rsidR="0050596C" w:rsidRPr="00440910" w:rsidRDefault="0050596C" w:rsidP="00315F7B">
      <w:pPr>
        <w:pStyle w:val="Zkladntext2"/>
        <w:numPr>
          <w:ilvl w:val="0"/>
          <w:numId w:val="6"/>
        </w:numPr>
        <w:spacing w:after="120"/>
        <w:jc w:val="both"/>
        <w:rPr>
          <w:rFonts w:ascii="Arial" w:hAnsi="Arial" w:cs="Arial"/>
          <w:sz w:val="22"/>
          <w:szCs w:val="22"/>
        </w:rPr>
      </w:pPr>
      <w:r w:rsidRPr="00440910">
        <w:rPr>
          <w:rFonts w:ascii="Arial" w:hAnsi="Arial" w:cs="Arial"/>
          <w:sz w:val="22"/>
          <w:szCs w:val="22"/>
        </w:rPr>
        <w:t>Metodiky hodnocení výzkumných organizací a hodnocení programů účelové podpory výzkumu, vývoje a inovací schválené usnesením vlády ze dne 8. února 2017 č. 107 (dále jen „Metodika M17+“),</w:t>
      </w:r>
    </w:p>
    <w:p w14:paraId="7F128A3A" w14:textId="3DF4A5B0" w:rsidR="0050596C" w:rsidRPr="00440910" w:rsidRDefault="0050596C" w:rsidP="00315F7B">
      <w:pPr>
        <w:pStyle w:val="Zkladntext2"/>
        <w:numPr>
          <w:ilvl w:val="0"/>
          <w:numId w:val="6"/>
        </w:numPr>
        <w:spacing w:after="120"/>
        <w:jc w:val="both"/>
        <w:rPr>
          <w:rFonts w:ascii="Arial" w:hAnsi="Arial" w:cs="Arial"/>
          <w:sz w:val="22"/>
          <w:szCs w:val="22"/>
        </w:rPr>
      </w:pPr>
      <w:r w:rsidRPr="00440910">
        <w:rPr>
          <w:rFonts w:ascii="Arial" w:hAnsi="Arial" w:cs="Arial"/>
          <w:sz w:val="22"/>
          <w:szCs w:val="22"/>
        </w:rPr>
        <w:t xml:space="preserve">Základních principů přípravy a hodnocení programů a skupin grantových projektů výzkumu, vývoje a inovací (příloha k usnesení </w:t>
      </w:r>
      <w:r w:rsidR="00443619" w:rsidRPr="00440910">
        <w:rPr>
          <w:rFonts w:ascii="Arial" w:hAnsi="Arial" w:cs="Arial"/>
          <w:sz w:val="22"/>
          <w:szCs w:val="22"/>
        </w:rPr>
        <w:t>vlády ze dne 13. května 2015 č. </w:t>
      </w:r>
      <w:r w:rsidRPr="00440910">
        <w:rPr>
          <w:rFonts w:ascii="Arial" w:hAnsi="Arial" w:cs="Arial"/>
          <w:sz w:val="22"/>
          <w:szCs w:val="22"/>
        </w:rPr>
        <w:t>351), (dále jen „Principy“).</w:t>
      </w:r>
    </w:p>
    <w:p w14:paraId="054DDDEB" w14:textId="3E94F943" w:rsidR="0050596C" w:rsidRPr="00440910" w:rsidRDefault="0050596C" w:rsidP="00315F7B">
      <w:pPr>
        <w:pStyle w:val="Zkladntext2"/>
        <w:numPr>
          <w:ilvl w:val="0"/>
          <w:numId w:val="6"/>
        </w:numPr>
        <w:spacing w:after="120"/>
        <w:jc w:val="both"/>
        <w:rPr>
          <w:rFonts w:ascii="Arial" w:hAnsi="Arial" w:cs="Arial"/>
          <w:sz w:val="22"/>
          <w:szCs w:val="22"/>
        </w:rPr>
      </w:pPr>
      <w:r w:rsidRPr="00440910">
        <w:rPr>
          <w:rFonts w:ascii="Arial" w:hAnsi="Arial" w:cs="Arial"/>
          <w:sz w:val="22"/>
          <w:szCs w:val="22"/>
        </w:rPr>
        <w:t>Národní politiky výzkumu, vývoje a inovací České republiky 2021+, schválené usnesením vlády ze dne 20. července 2020 č. 759 (dále jen „NP VaVaI 2021+“),</w:t>
      </w:r>
    </w:p>
    <w:p w14:paraId="174723D1" w14:textId="742B5F3F" w:rsidR="0050596C" w:rsidRPr="00440910" w:rsidRDefault="0050596C" w:rsidP="00315F7B">
      <w:pPr>
        <w:pStyle w:val="Zkladntext2"/>
        <w:numPr>
          <w:ilvl w:val="0"/>
          <w:numId w:val="6"/>
        </w:numPr>
        <w:spacing w:after="120"/>
        <w:jc w:val="both"/>
        <w:rPr>
          <w:rFonts w:ascii="Arial" w:hAnsi="Arial" w:cs="Arial"/>
          <w:sz w:val="22"/>
          <w:szCs w:val="22"/>
        </w:rPr>
      </w:pPr>
      <w:r w:rsidRPr="00440910">
        <w:rPr>
          <w:rFonts w:ascii="Arial" w:hAnsi="Arial" w:cs="Arial"/>
          <w:sz w:val="22"/>
          <w:szCs w:val="22"/>
        </w:rPr>
        <w:t>Národních priorit orientovaného výzkumu, experimentálního vývoje a inovací schválených usnesením vlády ze dne 19. července 2012 č. 552,</w:t>
      </w:r>
    </w:p>
    <w:p w14:paraId="287069D0" w14:textId="325F833C" w:rsidR="00423343" w:rsidRDefault="0050596C" w:rsidP="00315F7B">
      <w:pPr>
        <w:pStyle w:val="Zkladntext2"/>
        <w:numPr>
          <w:ilvl w:val="0"/>
          <w:numId w:val="6"/>
        </w:numPr>
        <w:spacing w:after="120"/>
        <w:jc w:val="both"/>
        <w:rPr>
          <w:rFonts w:ascii="Arial" w:hAnsi="Arial" w:cs="Arial"/>
          <w:sz w:val="22"/>
          <w:szCs w:val="22"/>
        </w:rPr>
      </w:pPr>
      <w:r w:rsidRPr="00440910">
        <w:rPr>
          <w:rFonts w:ascii="Arial" w:hAnsi="Arial" w:cs="Arial"/>
          <w:sz w:val="22"/>
          <w:szCs w:val="22"/>
        </w:rPr>
        <w:t>Nařízení Komise (EU) č. 651/2014 ze dne 17. čer</w:t>
      </w:r>
      <w:r w:rsidR="00443619" w:rsidRPr="00440910">
        <w:rPr>
          <w:rFonts w:ascii="Arial" w:hAnsi="Arial" w:cs="Arial"/>
          <w:sz w:val="22"/>
          <w:szCs w:val="22"/>
        </w:rPr>
        <w:t>vna 2014, kterým se v souladu s </w:t>
      </w:r>
      <w:r w:rsidRPr="00440910">
        <w:rPr>
          <w:rFonts w:ascii="Arial" w:hAnsi="Arial" w:cs="Arial"/>
          <w:sz w:val="22"/>
          <w:szCs w:val="22"/>
        </w:rPr>
        <w:t xml:space="preserve">články 107 a 108 Smlouvy prohlašují určité kategorie podpory za </w:t>
      </w:r>
      <w:r w:rsidR="00443619" w:rsidRPr="00440910">
        <w:rPr>
          <w:rFonts w:ascii="Arial" w:hAnsi="Arial" w:cs="Arial"/>
          <w:sz w:val="22"/>
          <w:szCs w:val="22"/>
        </w:rPr>
        <w:t>slučitelné s </w:t>
      </w:r>
      <w:r w:rsidRPr="00440910">
        <w:rPr>
          <w:rFonts w:ascii="Arial" w:hAnsi="Arial" w:cs="Arial"/>
          <w:sz w:val="22"/>
          <w:szCs w:val="22"/>
        </w:rPr>
        <w:t>vnitřním trhem – L 187/1 (dále jen „Nařízení Komise (EU)“) a Sdělením Komise – Rámec pro státní podporu výzkumu, vývoje a inovací - 2014/C 198/01 (dále jen „Rámec“).</w:t>
      </w:r>
    </w:p>
    <w:p w14:paraId="128C7B36" w14:textId="7D659860" w:rsidR="00DF7F81" w:rsidRPr="00440910" w:rsidRDefault="00423343" w:rsidP="00423343">
      <w:pPr>
        <w:spacing w:after="200" w:line="276" w:lineRule="auto"/>
        <w:rPr>
          <w:rFonts w:ascii="Arial" w:hAnsi="Arial" w:cs="Arial"/>
          <w:sz w:val="22"/>
          <w:szCs w:val="22"/>
        </w:rPr>
      </w:pPr>
      <w:r>
        <w:rPr>
          <w:rFonts w:ascii="Arial" w:hAnsi="Arial" w:cs="Arial"/>
          <w:sz w:val="22"/>
          <w:szCs w:val="22"/>
        </w:rPr>
        <w:br w:type="page"/>
      </w:r>
    </w:p>
    <w:p w14:paraId="4444766D" w14:textId="23759803" w:rsidR="00496736" w:rsidRPr="00A35C38" w:rsidRDefault="00496736" w:rsidP="00745DF4">
      <w:pPr>
        <w:pStyle w:val="Odstavecseseznamem"/>
        <w:keepNext/>
        <w:numPr>
          <w:ilvl w:val="0"/>
          <w:numId w:val="1"/>
        </w:numPr>
        <w:spacing w:after="120"/>
        <w:contextualSpacing w:val="0"/>
        <w:jc w:val="both"/>
        <w:rPr>
          <w:rFonts w:ascii="Arial" w:hAnsi="Arial" w:cs="Arial"/>
          <w:b/>
          <w:color w:val="0070C0"/>
          <w:sz w:val="22"/>
          <w:szCs w:val="22"/>
        </w:rPr>
      </w:pPr>
      <w:r w:rsidRPr="00A35C38">
        <w:rPr>
          <w:rFonts w:ascii="Arial" w:hAnsi="Arial" w:cs="Arial"/>
          <w:b/>
          <w:color w:val="0070C0"/>
          <w:sz w:val="22"/>
          <w:szCs w:val="22"/>
        </w:rPr>
        <w:lastRenderedPageBreak/>
        <w:t xml:space="preserve">Identifikační údaje </w:t>
      </w:r>
      <w:r w:rsidR="00A35C38">
        <w:rPr>
          <w:rFonts w:ascii="Arial" w:hAnsi="Arial" w:cs="Arial"/>
          <w:b/>
          <w:color w:val="0070C0"/>
          <w:sz w:val="22"/>
          <w:szCs w:val="22"/>
        </w:rPr>
        <w:t>P</w:t>
      </w:r>
      <w:r w:rsidRPr="00A35C38">
        <w:rPr>
          <w:rFonts w:ascii="Arial" w:hAnsi="Arial" w:cs="Arial"/>
          <w:b/>
          <w:color w:val="0070C0"/>
          <w:sz w:val="22"/>
          <w:szCs w:val="22"/>
        </w:rPr>
        <w:t>rogramu</w:t>
      </w:r>
    </w:p>
    <w:p w14:paraId="79F9FB87" w14:textId="49098367" w:rsidR="0050596C" w:rsidRPr="00C31AF9" w:rsidRDefault="0050596C" w:rsidP="00745DF4">
      <w:pPr>
        <w:pStyle w:val="Zkladntext2"/>
        <w:spacing w:after="120"/>
        <w:jc w:val="both"/>
        <w:rPr>
          <w:rFonts w:ascii="Arial" w:hAnsi="Arial" w:cs="Arial"/>
          <w:sz w:val="22"/>
          <w:szCs w:val="22"/>
        </w:rPr>
      </w:pPr>
      <w:r w:rsidRPr="00C31AF9">
        <w:rPr>
          <w:rFonts w:ascii="Arial" w:hAnsi="Arial" w:cs="Arial"/>
          <w:sz w:val="22"/>
          <w:szCs w:val="22"/>
          <w:u w:val="single"/>
        </w:rPr>
        <w:t xml:space="preserve">Název </w:t>
      </w:r>
      <w:r w:rsidR="00440910">
        <w:rPr>
          <w:rFonts w:ascii="Arial" w:hAnsi="Arial" w:cs="Arial"/>
          <w:sz w:val="22"/>
          <w:szCs w:val="22"/>
          <w:u w:val="single"/>
        </w:rPr>
        <w:t>programu</w:t>
      </w:r>
      <w:r w:rsidRPr="00C31AF9">
        <w:rPr>
          <w:rFonts w:ascii="Arial" w:hAnsi="Arial" w:cs="Arial"/>
          <w:sz w:val="22"/>
          <w:szCs w:val="22"/>
          <w:u w:val="single"/>
        </w:rPr>
        <w:t>:</w:t>
      </w:r>
      <w:r w:rsidRPr="00C31AF9">
        <w:rPr>
          <w:rFonts w:ascii="Arial" w:hAnsi="Arial" w:cs="Arial"/>
          <w:sz w:val="22"/>
          <w:szCs w:val="22"/>
        </w:rPr>
        <w:t xml:space="preserve"> </w:t>
      </w:r>
      <w:r w:rsidR="00440910" w:rsidRPr="00440910">
        <w:rPr>
          <w:rFonts w:ascii="Arial" w:hAnsi="Arial" w:cs="Arial"/>
          <w:sz w:val="22"/>
          <w:szCs w:val="22"/>
        </w:rPr>
        <w:t>Strategická podpora rozvoje bezpečnostního výzkumu ČR</w:t>
      </w:r>
      <w:r w:rsidR="00440910">
        <w:rPr>
          <w:rFonts w:ascii="Arial" w:hAnsi="Arial" w:cs="Arial"/>
          <w:sz w:val="22"/>
          <w:szCs w:val="22"/>
        </w:rPr>
        <w:t xml:space="preserve"> </w:t>
      </w:r>
      <w:r w:rsidR="00440910" w:rsidRPr="00440910">
        <w:rPr>
          <w:rFonts w:ascii="Arial" w:hAnsi="Arial" w:cs="Arial"/>
          <w:sz w:val="22"/>
          <w:szCs w:val="22"/>
        </w:rPr>
        <w:t xml:space="preserve">(IMPAKT 2) </w:t>
      </w:r>
      <w:r w:rsidRPr="00C31AF9">
        <w:rPr>
          <w:rFonts w:ascii="Arial" w:hAnsi="Arial" w:cs="Arial"/>
          <w:sz w:val="22"/>
          <w:szCs w:val="22"/>
        </w:rPr>
        <w:t xml:space="preserve"> </w:t>
      </w:r>
    </w:p>
    <w:p w14:paraId="06336D52" w14:textId="61B9DC50" w:rsidR="0050596C" w:rsidRPr="00C31AF9" w:rsidRDefault="0050596C" w:rsidP="00745DF4">
      <w:pPr>
        <w:pStyle w:val="Zkladntext2"/>
        <w:spacing w:after="120"/>
        <w:jc w:val="both"/>
        <w:rPr>
          <w:rFonts w:ascii="Arial" w:hAnsi="Arial" w:cs="Arial"/>
          <w:i/>
          <w:sz w:val="22"/>
          <w:szCs w:val="22"/>
        </w:rPr>
      </w:pPr>
      <w:r w:rsidRPr="00C31AF9">
        <w:rPr>
          <w:rFonts w:ascii="Arial" w:hAnsi="Arial" w:cs="Arial"/>
          <w:sz w:val="22"/>
          <w:szCs w:val="22"/>
          <w:u w:val="single"/>
        </w:rPr>
        <w:t>Identifikační kód</w:t>
      </w:r>
      <w:r w:rsidR="00665CCD">
        <w:rPr>
          <w:rFonts w:ascii="Arial" w:hAnsi="Arial" w:cs="Arial"/>
          <w:sz w:val="22"/>
          <w:szCs w:val="22"/>
          <w:u w:val="single"/>
        </w:rPr>
        <w:t xml:space="preserve"> programu</w:t>
      </w:r>
      <w:r w:rsidR="00440910" w:rsidRPr="00B84421">
        <w:rPr>
          <w:rFonts w:ascii="Arial" w:hAnsi="Arial" w:cs="Arial"/>
          <w:sz w:val="22"/>
          <w:szCs w:val="22"/>
        </w:rPr>
        <w:t xml:space="preserve">: </w:t>
      </w:r>
      <w:r w:rsidR="00B84421" w:rsidRPr="00B84421">
        <w:rPr>
          <w:rFonts w:ascii="Arial" w:hAnsi="Arial" w:cs="Arial"/>
          <w:sz w:val="22"/>
          <w:szCs w:val="22"/>
        </w:rPr>
        <w:t>VL</w:t>
      </w:r>
    </w:p>
    <w:p w14:paraId="74EAA934" w14:textId="77777777" w:rsidR="00496736" w:rsidRPr="00496736" w:rsidRDefault="0050596C" w:rsidP="00745DF4">
      <w:pPr>
        <w:pStyle w:val="Zkladntext2"/>
        <w:spacing w:after="120"/>
        <w:jc w:val="both"/>
        <w:rPr>
          <w:rFonts w:ascii="Arial" w:hAnsi="Arial" w:cs="Arial"/>
          <w:sz w:val="22"/>
          <w:szCs w:val="22"/>
        </w:rPr>
      </w:pPr>
      <w:r w:rsidRPr="00C31AF9">
        <w:rPr>
          <w:rFonts w:ascii="Arial" w:hAnsi="Arial" w:cs="Arial"/>
          <w:sz w:val="22"/>
          <w:szCs w:val="22"/>
          <w:u w:val="single"/>
        </w:rPr>
        <w:t xml:space="preserve">Doba trvání </w:t>
      </w:r>
      <w:r w:rsidR="00440910">
        <w:rPr>
          <w:rFonts w:ascii="Arial" w:hAnsi="Arial" w:cs="Arial"/>
          <w:sz w:val="22"/>
          <w:szCs w:val="22"/>
          <w:u w:val="single"/>
        </w:rPr>
        <w:t>programu</w:t>
      </w:r>
      <w:r w:rsidRPr="00C31AF9">
        <w:rPr>
          <w:rFonts w:ascii="Arial" w:hAnsi="Arial" w:cs="Arial"/>
          <w:sz w:val="22"/>
          <w:szCs w:val="22"/>
          <w:u w:val="single"/>
        </w:rPr>
        <w:t xml:space="preserve">: </w:t>
      </w:r>
      <w:r w:rsidR="00496736" w:rsidRPr="00496736">
        <w:rPr>
          <w:rFonts w:ascii="Arial" w:hAnsi="Arial" w:cs="Arial"/>
          <w:sz w:val="22"/>
          <w:szCs w:val="22"/>
        </w:rPr>
        <w:t>1. 1. 2026 do 31. 12. 2031.</w:t>
      </w:r>
    </w:p>
    <w:p w14:paraId="7DF59F41" w14:textId="0361BDAF" w:rsidR="0050596C" w:rsidRDefault="00496736" w:rsidP="00315F7B">
      <w:pPr>
        <w:pStyle w:val="Zkladntext2"/>
        <w:numPr>
          <w:ilvl w:val="0"/>
          <w:numId w:val="12"/>
        </w:numPr>
        <w:spacing w:after="120"/>
        <w:jc w:val="both"/>
        <w:rPr>
          <w:rFonts w:ascii="Arial" w:hAnsi="Arial" w:cs="Arial"/>
          <w:sz w:val="22"/>
          <w:szCs w:val="22"/>
        </w:rPr>
      </w:pPr>
      <w:r w:rsidRPr="00496736">
        <w:rPr>
          <w:rFonts w:ascii="Arial" w:hAnsi="Arial" w:cs="Arial"/>
          <w:sz w:val="22"/>
          <w:szCs w:val="22"/>
        </w:rPr>
        <w:t xml:space="preserve">Projekty realizované v rámci Programu musí být ukončeny nejpozději do 31. 12. 2031. Maximální délka projektu v podprogramu 1 je 6 let, v podprogramech 2 a 3 jsou to 3 roky. Minimální délka projektu je 12 měsíců.  </w:t>
      </w:r>
    </w:p>
    <w:p w14:paraId="4FEC5B50" w14:textId="3AFAB097" w:rsidR="00496736" w:rsidRPr="00496736" w:rsidRDefault="00496736" w:rsidP="00745DF4">
      <w:pPr>
        <w:pStyle w:val="Zkladntext2"/>
        <w:spacing w:after="120"/>
        <w:jc w:val="both"/>
        <w:rPr>
          <w:rFonts w:ascii="Arial" w:hAnsi="Arial" w:cs="Arial"/>
          <w:bCs/>
          <w:sz w:val="22"/>
          <w:szCs w:val="22"/>
          <w:u w:val="single"/>
        </w:rPr>
      </w:pPr>
      <w:bookmarkStart w:id="0" w:name="_Toc190087279"/>
      <w:r w:rsidRPr="00496736">
        <w:rPr>
          <w:rFonts w:ascii="Arial" w:hAnsi="Arial" w:cs="Arial"/>
          <w:bCs/>
          <w:sz w:val="22"/>
          <w:szCs w:val="22"/>
          <w:u w:val="single"/>
        </w:rPr>
        <w:t>Členění na podprogramy</w:t>
      </w:r>
      <w:bookmarkEnd w:id="0"/>
      <w:r>
        <w:rPr>
          <w:rFonts w:ascii="Arial" w:hAnsi="Arial" w:cs="Arial"/>
          <w:bCs/>
          <w:sz w:val="22"/>
          <w:szCs w:val="22"/>
          <w:u w:val="single"/>
        </w:rPr>
        <w:t>:</w:t>
      </w:r>
    </w:p>
    <w:p w14:paraId="4A5C4254" w14:textId="51A07DDF" w:rsidR="00496736" w:rsidRPr="00496736" w:rsidRDefault="00496736" w:rsidP="00315F7B">
      <w:pPr>
        <w:pStyle w:val="Zkladntext2"/>
        <w:numPr>
          <w:ilvl w:val="0"/>
          <w:numId w:val="12"/>
        </w:numPr>
        <w:spacing w:after="120"/>
        <w:jc w:val="both"/>
        <w:rPr>
          <w:rFonts w:ascii="Arial" w:hAnsi="Arial" w:cs="Arial"/>
          <w:sz w:val="22"/>
          <w:szCs w:val="22"/>
        </w:rPr>
      </w:pPr>
      <w:r w:rsidRPr="00496736">
        <w:rPr>
          <w:rFonts w:ascii="Arial" w:hAnsi="Arial" w:cs="Arial"/>
          <w:sz w:val="22"/>
          <w:szCs w:val="22"/>
        </w:rPr>
        <w:t>Podprogram 1 – Centra spolupráce v bezpečnostním výzkumu</w:t>
      </w:r>
      <w:r w:rsidR="00A558B8">
        <w:rPr>
          <w:rFonts w:ascii="Arial" w:hAnsi="Arial" w:cs="Arial"/>
          <w:sz w:val="22"/>
          <w:szCs w:val="22"/>
        </w:rPr>
        <w:t xml:space="preserve"> (PP1)</w:t>
      </w:r>
      <w:r w:rsidRPr="00496736">
        <w:rPr>
          <w:rFonts w:ascii="Arial" w:hAnsi="Arial" w:cs="Arial"/>
          <w:sz w:val="22"/>
          <w:szCs w:val="22"/>
        </w:rPr>
        <w:t>;</w:t>
      </w:r>
    </w:p>
    <w:p w14:paraId="506964A9" w14:textId="4DA14EA4" w:rsidR="00496736" w:rsidRPr="00496736" w:rsidRDefault="00496736" w:rsidP="00315F7B">
      <w:pPr>
        <w:pStyle w:val="Zkladntext2"/>
        <w:numPr>
          <w:ilvl w:val="0"/>
          <w:numId w:val="12"/>
        </w:numPr>
        <w:spacing w:after="120"/>
        <w:jc w:val="both"/>
        <w:rPr>
          <w:rFonts w:ascii="Arial" w:hAnsi="Arial" w:cs="Arial"/>
          <w:sz w:val="22"/>
          <w:szCs w:val="22"/>
        </w:rPr>
      </w:pPr>
      <w:r w:rsidRPr="00496736">
        <w:rPr>
          <w:rFonts w:ascii="Arial" w:hAnsi="Arial" w:cs="Arial"/>
          <w:sz w:val="22"/>
          <w:szCs w:val="22"/>
        </w:rPr>
        <w:t>Podprogram 2 – Internacionalizace bezpečnostního výzkumu</w:t>
      </w:r>
      <w:r w:rsidR="00A558B8">
        <w:rPr>
          <w:rFonts w:ascii="Arial" w:hAnsi="Arial" w:cs="Arial"/>
          <w:sz w:val="22"/>
          <w:szCs w:val="22"/>
        </w:rPr>
        <w:t xml:space="preserve"> (PP2)</w:t>
      </w:r>
      <w:r w:rsidRPr="00496736">
        <w:rPr>
          <w:rFonts w:ascii="Arial" w:hAnsi="Arial" w:cs="Arial"/>
          <w:sz w:val="22"/>
          <w:szCs w:val="22"/>
        </w:rPr>
        <w:t>;</w:t>
      </w:r>
    </w:p>
    <w:p w14:paraId="7647808E" w14:textId="6408EE7E" w:rsidR="00496736" w:rsidRPr="00496736" w:rsidRDefault="00496736" w:rsidP="00315F7B">
      <w:pPr>
        <w:pStyle w:val="Zkladntext2"/>
        <w:numPr>
          <w:ilvl w:val="0"/>
          <w:numId w:val="12"/>
        </w:numPr>
        <w:spacing w:after="120"/>
        <w:jc w:val="both"/>
        <w:rPr>
          <w:rFonts w:ascii="Arial" w:hAnsi="Arial" w:cs="Arial"/>
          <w:sz w:val="22"/>
          <w:szCs w:val="22"/>
        </w:rPr>
      </w:pPr>
      <w:r w:rsidRPr="00496736">
        <w:rPr>
          <w:rFonts w:ascii="Arial" w:hAnsi="Arial" w:cs="Arial"/>
          <w:sz w:val="22"/>
          <w:szCs w:val="22"/>
        </w:rPr>
        <w:t>Podprogram 3 – Lidské zdroje pro bezpečnostní výzkum</w:t>
      </w:r>
      <w:r w:rsidR="00A558B8">
        <w:rPr>
          <w:rFonts w:ascii="Arial" w:hAnsi="Arial" w:cs="Arial"/>
          <w:sz w:val="22"/>
          <w:szCs w:val="22"/>
        </w:rPr>
        <w:t xml:space="preserve"> (PP3)</w:t>
      </w:r>
      <w:r w:rsidRPr="00496736">
        <w:rPr>
          <w:rFonts w:ascii="Arial" w:hAnsi="Arial" w:cs="Arial"/>
          <w:sz w:val="22"/>
          <w:szCs w:val="22"/>
        </w:rPr>
        <w:t>.</w:t>
      </w:r>
    </w:p>
    <w:p w14:paraId="65A8FD9B" w14:textId="5BF6A268" w:rsidR="00E1673F" w:rsidRPr="00E1673F" w:rsidRDefault="00745DF4" w:rsidP="00850C5E">
      <w:pPr>
        <w:pStyle w:val="Odstavecseseznamem"/>
        <w:keepNext/>
        <w:numPr>
          <w:ilvl w:val="0"/>
          <w:numId w:val="1"/>
        </w:numPr>
        <w:spacing w:after="120"/>
        <w:contextualSpacing w:val="0"/>
        <w:jc w:val="both"/>
        <w:rPr>
          <w:rFonts w:ascii="Arial" w:hAnsi="Arial" w:cs="Arial"/>
          <w:bCs/>
          <w:sz w:val="22"/>
          <w:szCs w:val="22"/>
        </w:rPr>
      </w:pPr>
      <w:r w:rsidRPr="00E1673F">
        <w:rPr>
          <w:rFonts w:ascii="Arial" w:hAnsi="Arial" w:cs="Arial"/>
          <w:b/>
          <w:color w:val="0070C0"/>
          <w:sz w:val="22"/>
          <w:szCs w:val="22"/>
        </w:rPr>
        <w:t>Specifikace cílů Programu, jejich odůvodnění a způsob dosažení</w:t>
      </w:r>
      <w:r w:rsidR="00E1673F">
        <w:rPr>
          <w:rFonts w:ascii="Arial" w:hAnsi="Arial" w:cs="Arial"/>
          <w:b/>
          <w:color w:val="0070C0"/>
          <w:sz w:val="22"/>
          <w:szCs w:val="22"/>
        </w:rPr>
        <w:t>, přínosy a</w:t>
      </w:r>
      <w:r w:rsidR="00423343">
        <w:rPr>
          <w:rFonts w:ascii="Arial" w:hAnsi="Arial" w:cs="Arial"/>
          <w:b/>
          <w:color w:val="0070C0"/>
          <w:sz w:val="22"/>
          <w:szCs w:val="22"/>
        </w:rPr>
        <w:t> </w:t>
      </w:r>
      <w:r w:rsidR="00E1673F">
        <w:rPr>
          <w:rFonts w:ascii="Arial" w:hAnsi="Arial" w:cs="Arial"/>
          <w:b/>
          <w:color w:val="0070C0"/>
          <w:sz w:val="22"/>
          <w:szCs w:val="22"/>
        </w:rPr>
        <w:t>očekávané výsledky</w:t>
      </w:r>
    </w:p>
    <w:p w14:paraId="5CDAB8D2" w14:textId="77777777" w:rsidR="00745DF4" w:rsidRPr="00A558B8" w:rsidRDefault="00745DF4" w:rsidP="00831E43">
      <w:pPr>
        <w:pStyle w:val="Zkladntext2"/>
        <w:spacing w:after="120"/>
        <w:jc w:val="both"/>
        <w:rPr>
          <w:rFonts w:ascii="Arial" w:hAnsi="Arial" w:cs="Arial"/>
          <w:b/>
          <w:bCs/>
          <w:sz w:val="22"/>
          <w:szCs w:val="22"/>
        </w:rPr>
      </w:pPr>
      <w:r w:rsidRPr="00A558B8">
        <w:rPr>
          <w:rFonts w:ascii="Arial" w:hAnsi="Arial" w:cs="Arial"/>
          <w:bCs/>
          <w:sz w:val="22"/>
          <w:szCs w:val="22"/>
        </w:rPr>
        <w:t>Hlavním cílem programu IMPAKT 2 je</w:t>
      </w:r>
      <w:r w:rsidRPr="00A558B8">
        <w:rPr>
          <w:rFonts w:ascii="Arial" w:hAnsi="Arial" w:cs="Arial"/>
          <w:b/>
          <w:bCs/>
          <w:sz w:val="22"/>
          <w:szCs w:val="22"/>
        </w:rPr>
        <w:t xml:space="preserve"> soustředěná mobilizace potenciálu akademického a veřejného výzkumného sektoru v oblastech spolupráce a koordinace výzkumných agend výzkumných organizací, mezinárodní spolupráce a rozvoje lidských zdrojů (institucionálního zázemí) pro rozvoj bezpečnostního výzkumu, která přispěje k vytvoření prostředí pro synergickou a dlouhodobou výzkumnou podporu bezpečnostního systému ČR.</w:t>
      </w:r>
    </w:p>
    <w:p w14:paraId="2FDE4E0A" w14:textId="77777777" w:rsidR="00745DF4" w:rsidRPr="00A558B8" w:rsidRDefault="00745DF4" w:rsidP="00745DF4">
      <w:pPr>
        <w:pStyle w:val="Zkladntext2"/>
        <w:jc w:val="both"/>
        <w:rPr>
          <w:rFonts w:ascii="Arial" w:hAnsi="Arial" w:cs="Arial"/>
          <w:bCs/>
          <w:sz w:val="22"/>
          <w:szCs w:val="22"/>
        </w:rPr>
      </w:pPr>
      <w:r w:rsidRPr="00831E43">
        <w:rPr>
          <w:rFonts w:ascii="Arial" w:hAnsi="Arial" w:cs="Arial"/>
          <w:bCs/>
          <w:sz w:val="22"/>
          <w:szCs w:val="22"/>
        </w:rPr>
        <w:t>Cílem PP 1</w:t>
      </w:r>
      <w:r w:rsidRPr="00A558B8">
        <w:rPr>
          <w:rFonts w:ascii="Arial" w:hAnsi="Arial" w:cs="Arial"/>
          <w:bCs/>
          <w:sz w:val="22"/>
          <w:szCs w:val="22"/>
        </w:rPr>
        <w:t xml:space="preserve"> „</w:t>
      </w:r>
      <w:r w:rsidRPr="00831E43">
        <w:rPr>
          <w:rFonts w:ascii="Arial" w:hAnsi="Arial" w:cs="Arial"/>
          <w:b/>
          <w:bCs/>
          <w:sz w:val="22"/>
          <w:szCs w:val="22"/>
        </w:rPr>
        <w:t>Centra spolupráce v bezpečnostním výzkumu</w:t>
      </w:r>
      <w:r w:rsidRPr="00A558B8">
        <w:rPr>
          <w:rFonts w:ascii="Arial" w:hAnsi="Arial" w:cs="Arial"/>
          <w:bCs/>
          <w:sz w:val="22"/>
          <w:szCs w:val="22"/>
        </w:rPr>
        <w:t xml:space="preserve">“ je </w:t>
      </w:r>
      <w:r w:rsidRPr="00A558B8">
        <w:rPr>
          <w:rFonts w:ascii="Arial" w:hAnsi="Arial" w:cs="Arial"/>
          <w:b/>
          <w:bCs/>
          <w:sz w:val="22"/>
          <w:szCs w:val="22"/>
        </w:rPr>
        <w:t>posílit znalostní a výzkumnou základnu bezpečnostního systému prostřednictvím vytvoření Center spolupráce v bezpečnostním výzkumu</w:t>
      </w:r>
      <w:r w:rsidRPr="00A558B8">
        <w:rPr>
          <w:rFonts w:ascii="Arial" w:hAnsi="Arial" w:cs="Arial"/>
          <w:bCs/>
          <w:sz w:val="22"/>
          <w:szCs w:val="22"/>
        </w:rPr>
        <w:t>, která zajistí:</w:t>
      </w:r>
    </w:p>
    <w:p w14:paraId="7E64A47E" w14:textId="77777777" w:rsidR="00745DF4" w:rsidRPr="00A558B8" w:rsidRDefault="00745DF4" w:rsidP="00315F7B">
      <w:pPr>
        <w:pStyle w:val="Zkladntext2"/>
        <w:numPr>
          <w:ilvl w:val="0"/>
          <w:numId w:val="13"/>
        </w:numPr>
        <w:jc w:val="both"/>
        <w:rPr>
          <w:rFonts w:ascii="Arial" w:hAnsi="Arial" w:cs="Arial"/>
          <w:bCs/>
          <w:sz w:val="22"/>
          <w:szCs w:val="22"/>
        </w:rPr>
      </w:pPr>
      <w:r w:rsidRPr="00A558B8">
        <w:rPr>
          <w:rFonts w:ascii="Arial" w:hAnsi="Arial" w:cs="Arial"/>
          <w:bCs/>
          <w:sz w:val="22"/>
          <w:szCs w:val="22"/>
        </w:rPr>
        <w:t>integraci a koordinaci výzkumných aktivit v prioritních oblastech napříč výzkumnou komunitou;</w:t>
      </w:r>
    </w:p>
    <w:p w14:paraId="76076992" w14:textId="77777777" w:rsidR="00745DF4" w:rsidRPr="00745DF4" w:rsidRDefault="00745DF4" w:rsidP="00315F7B">
      <w:pPr>
        <w:pStyle w:val="Zkladntext2"/>
        <w:numPr>
          <w:ilvl w:val="0"/>
          <w:numId w:val="13"/>
        </w:numPr>
        <w:jc w:val="both"/>
        <w:rPr>
          <w:rFonts w:ascii="Arial" w:hAnsi="Arial" w:cs="Arial"/>
          <w:bCs/>
          <w:sz w:val="22"/>
          <w:szCs w:val="22"/>
        </w:rPr>
      </w:pPr>
      <w:r w:rsidRPr="00745DF4">
        <w:rPr>
          <w:rFonts w:ascii="Arial" w:hAnsi="Arial" w:cs="Arial"/>
          <w:bCs/>
          <w:sz w:val="22"/>
          <w:szCs w:val="22"/>
        </w:rPr>
        <w:t>efektivní šíření znalostí a technologií mezi výzkumnou komunitou a koncovými uživateli;</w:t>
      </w:r>
    </w:p>
    <w:p w14:paraId="156A0EF0" w14:textId="77777777" w:rsidR="00745DF4" w:rsidRPr="00745DF4" w:rsidRDefault="00745DF4" w:rsidP="00315F7B">
      <w:pPr>
        <w:pStyle w:val="Zkladntext2"/>
        <w:numPr>
          <w:ilvl w:val="0"/>
          <w:numId w:val="13"/>
        </w:numPr>
        <w:jc w:val="both"/>
        <w:rPr>
          <w:rFonts w:ascii="Arial" w:hAnsi="Arial" w:cs="Arial"/>
          <w:bCs/>
          <w:sz w:val="22"/>
          <w:szCs w:val="22"/>
        </w:rPr>
      </w:pPr>
      <w:r w:rsidRPr="00745DF4">
        <w:rPr>
          <w:rFonts w:ascii="Arial" w:hAnsi="Arial" w:cs="Arial"/>
          <w:bCs/>
          <w:sz w:val="22"/>
          <w:szCs w:val="22"/>
        </w:rPr>
        <w:t>dlouhodobý rozvoj odborných kapacit a aplikovaných znalostí v klíčových oblastech, které odpovídají dlouhodobým potřebám bezpečnostního systému.</w:t>
      </w:r>
    </w:p>
    <w:p w14:paraId="7F544051" w14:textId="559C85A6" w:rsidR="00745DF4" w:rsidRPr="00745DF4" w:rsidRDefault="00745DF4" w:rsidP="00745DF4">
      <w:pPr>
        <w:pStyle w:val="Zkladntext2"/>
        <w:jc w:val="both"/>
        <w:rPr>
          <w:rFonts w:ascii="Arial" w:hAnsi="Arial" w:cs="Arial"/>
          <w:bCs/>
          <w:sz w:val="22"/>
          <w:szCs w:val="22"/>
        </w:rPr>
      </w:pPr>
      <w:r w:rsidRPr="00831E43">
        <w:rPr>
          <w:rFonts w:ascii="Arial" w:hAnsi="Arial" w:cs="Arial"/>
          <w:bCs/>
          <w:sz w:val="22"/>
          <w:szCs w:val="22"/>
        </w:rPr>
        <w:t>Cílem PP 2</w:t>
      </w:r>
      <w:r w:rsidRPr="00745DF4">
        <w:rPr>
          <w:rFonts w:ascii="Arial" w:hAnsi="Arial" w:cs="Arial"/>
          <w:b/>
          <w:bCs/>
          <w:sz w:val="22"/>
          <w:szCs w:val="22"/>
        </w:rPr>
        <w:t xml:space="preserve"> </w:t>
      </w:r>
      <w:r w:rsidRPr="00831E43">
        <w:rPr>
          <w:rFonts w:ascii="Arial" w:hAnsi="Arial" w:cs="Arial"/>
          <w:bCs/>
          <w:sz w:val="22"/>
          <w:szCs w:val="22"/>
        </w:rPr>
        <w:t>„</w:t>
      </w:r>
      <w:r w:rsidRPr="00831E43">
        <w:rPr>
          <w:rFonts w:ascii="Arial" w:hAnsi="Arial" w:cs="Arial"/>
          <w:b/>
          <w:bCs/>
          <w:sz w:val="22"/>
          <w:szCs w:val="22"/>
        </w:rPr>
        <w:t>Internacionalizace bezpečnostního výzkumu</w:t>
      </w:r>
      <w:r w:rsidRPr="00831E43">
        <w:rPr>
          <w:rFonts w:ascii="Arial" w:hAnsi="Arial" w:cs="Arial"/>
          <w:bCs/>
          <w:sz w:val="22"/>
          <w:szCs w:val="22"/>
        </w:rPr>
        <w:t>“</w:t>
      </w:r>
      <w:r w:rsidRPr="00745DF4">
        <w:rPr>
          <w:rFonts w:ascii="Arial" w:hAnsi="Arial" w:cs="Arial"/>
          <w:b/>
          <w:bCs/>
          <w:sz w:val="22"/>
          <w:szCs w:val="22"/>
        </w:rPr>
        <w:t xml:space="preserve"> </w:t>
      </w:r>
      <w:r w:rsidRPr="004D726B">
        <w:rPr>
          <w:rFonts w:ascii="Arial" w:hAnsi="Arial" w:cs="Arial"/>
          <w:bCs/>
          <w:sz w:val="22"/>
          <w:szCs w:val="22"/>
        </w:rPr>
        <w:t>je</w:t>
      </w:r>
      <w:r w:rsidRPr="00745DF4">
        <w:rPr>
          <w:rFonts w:ascii="Arial" w:hAnsi="Arial" w:cs="Arial"/>
          <w:b/>
          <w:bCs/>
          <w:sz w:val="22"/>
          <w:szCs w:val="22"/>
        </w:rPr>
        <w:t xml:space="preserve"> rozvinout mezinárodní spolupráci v oblasti bezpečnostního výzkumu za účelem získání a sdílení klíčových poznatků a posílení globální konkurenceschopnosti domácí výzkumné komunity</w:t>
      </w:r>
      <w:r w:rsidRPr="00745DF4">
        <w:rPr>
          <w:rFonts w:ascii="Arial" w:hAnsi="Arial" w:cs="Arial"/>
          <w:bCs/>
          <w:sz w:val="22"/>
          <w:szCs w:val="22"/>
        </w:rPr>
        <w:t>. To</w:t>
      </w:r>
      <w:r w:rsidR="00423343">
        <w:rPr>
          <w:rFonts w:ascii="Arial" w:hAnsi="Arial" w:cs="Arial"/>
          <w:bCs/>
          <w:sz w:val="22"/>
          <w:szCs w:val="22"/>
        </w:rPr>
        <w:t> </w:t>
      </w:r>
      <w:r w:rsidRPr="00745DF4">
        <w:rPr>
          <w:rFonts w:ascii="Arial" w:hAnsi="Arial" w:cs="Arial"/>
          <w:bCs/>
          <w:sz w:val="22"/>
          <w:szCs w:val="22"/>
        </w:rPr>
        <w:t>zahrnuje:</w:t>
      </w:r>
    </w:p>
    <w:p w14:paraId="5E346CEB" w14:textId="08C57E6E" w:rsidR="00745DF4" w:rsidRPr="00745DF4" w:rsidRDefault="004D726B" w:rsidP="00315F7B">
      <w:pPr>
        <w:pStyle w:val="Zkladntext2"/>
        <w:numPr>
          <w:ilvl w:val="0"/>
          <w:numId w:val="15"/>
        </w:numPr>
        <w:jc w:val="both"/>
        <w:rPr>
          <w:rFonts w:ascii="Arial" w:hAnsi="Arial" w:cs="Arial"/>
          <w:bCs/>
          <w:sz w:val="22"/>
          <w:szCs w:val="22"/>
        </w:rPr>
      </w:pPr>
      <w:r>
        <w:rPr>
          <w:rFonts w:ascii="Arial" w:hAnsi="Arial" w:cs="Arial"/>
          <w:bCs/>
          <w:sz w:val="22"/>
          <w:szCs w:val="22"/>
        </w:rPr>
        <w:t>podporu</w:t>
      </w:r>
      <w:r w:rsidR="00745DF4" w:rsidRPr="00745DF4">
        <w:rPr>
          <w:rFonts w:ascii="Arial" w:hAnsi="Arial" w:cs="Arial"/>
          <w:bCs/>
          <w:sz w:val="22"/>
          <w:szCs w:val="22"/>
        </w:rPr>
        <w:t xml:space="preserve"> projektových iniciativ: zajistit podporu českých pracovišť při realizaci mezinárodních projektů v klíčových oblastech bezpečnostního výzkumu;</w:t>
      </w:r>
    </w:p>
    <w:p w14:paraId="1C435933" w14:textId="77777777" w:rsidR="00745DF4" w:rsidRPr="00745DF4" w:rsidRDefault="00745DF4" w:rsidP="00315F7B">
      <w:pPr>
        <w:pStyle w:val="Zkladntext2"/>
        <w:numPr>
          <w:ilvl w:val="0"/>
          <w:numId w:val="15"/>
        </w:numPr>
        <w:jc w:val="both"/>
        <w:rPr>
          <w:rFonts w:ascii="Arial" w:hAnsi="Arial" w:cs="Arial"/>
          <w:bCs/>
          <w:sz w:val="22"/>
          <w:szCs w:val="22"/>
        </w:rPr>
      </w:pPr>
      <w:r w:rsidRPr="00745DF4">
        <w:rPr>
          <w:rFonts w:ascii="Arial" w:hAnsi="Arial" w:cs="Arial"/>
          <w:bCs/>
          <w:sz w:val="22"/>
          <w:szCs w:val="22"/>
        </w:rPr>
        <w:t>rozvoj specializované spolupráce: podporovat spolupráci ve vysoce specializovaných tématech relevantních pro bezpečnostní systém;</w:t>
      </w:r>
    </w:p>
    <w:p w14:paraId="5EC1CD98" w14:textId="77777777" w:rsidR="00745DF4" w:rsidRPr="00745DF4" w:rsidRDefault="00745DF4" w:rsidP="00315F7B">
      <w:pPr>
        <w:pStyle w:val="Zkladntext2"/>
        <w:numPr>
          <w:ilvl w:val="0"/>
          <w:numId w:val="15"/>
        </w:numPr>
        <w:jc w:val="both"/>
        <w:rPr>
          <w:rFonts w:ascii="Arial" w:hAnsi="Arial" w:cs="Arial"/>
          <w:bCs/>
          <w:sz w:val="22"/>
          <w:szCs w:val="22"/>
        </w:rPr>
      </w:pPr>
      <w:r w:rsidRPr="00745DF4">
        <w:rPr>
          <w:rFonts w:ascii="Arial" w:hAnsi="Arial" w:cs="Arial"/>
          <w:bCs/>
          <w:sz w:val="22"/>
          <w:szCs w:val="22"/>
        </w:rPr>
        <w:t>budování mezinárodních vztahů: prohlubovat vztahy mezi českými vědeckými institucemi a zahraničními partnery za účelem dlouhodobé spolupráce a sdílení know-how.</w:t>
      </w:r>
    </w:p>
    <w:p w14:paraId="16CF5385" w14:textId="77777777" w:rsidR="00014A3E" w:rsidRDefault="00745DF4" w:rsidP="00745DF4">
      <w:pPr>
        <w:pStyle w:val="Zkladntext2"/>
        <w:jc w:val="both"/>
        <w:rPr>
          <w:rFonts w:ascii="Arial" w:hAnsi="Arial" w:cs="Arial"/>
          <w:bCs/>
          <w:sz w:val="22"/>
          <w:szCs w:val="22"/>
        </w:rPr>
      </w:pPr>
      <w:r w:rsidRPr="00014A3E">
        <w:rPr>
          <w:rFonts w:ascii="Arial" w:hAnsi="Arial" w:cs="Arial"/>
          <w:bCs/>
          <w:sz w:val="22"/>
          <w:szCs w:val="22"/>
        </w:rPr>
        <w:t>Cílem PP 3</w:t>
      </w:r>
      <w:r w:rsidRPr="00745DF4">
        <w:rPr>
          <w:rFonts w:ascii="Arial" w:hAnsi="Arial" w:cs="Arial"/>
          <w:b/>
          <w:bCs/>
          <w:sz w:val="22"/>
          <w:szCs w:val="22"/>
        </w:rPr>
        <w:t xml:space="preserve"> „Lidské zdroje pro bezpečnostní výzkum“ </w:t>
      </w:r>
      <w:r w:rsidRPr="00014A3E">
        <w:rPr>
          <w:rFonts w:ascii="Arial" w:hAnsi="Arial" w:cs="Arial"/>
          <w:bCs/>
          <w:sz w:val="22"/>
          <w:szCs w:val="22"/>
        </w:rPr>
        <w:t>je</w:t>
      </w:r>
      <w:r w:rsidRPr="00745DF4">
        <w:rPr>
          <w:rFonts w:ascii="Arial" w:hAnsi="Arial" w:cs="Arial"/>
          <w:b/>
          <w:bCs/>
          <w:sz w:val="22"/>
          <w:szCs w:val="22"/>
        </w:rPr>
        <w:t xml:space="preserve"> mobilizovat lidský potenciál nezbytný pro rozvoj bezpečnostního výzkumu. Jeho cílem je podpořit iniciativy zaměřené na profesní růst a dlouhodobý rozvoj odborné způsobilosti v oblasti bezpečnostního výzkumu.</w:t>
      </w:r>
      <w:r w:rsidRPr="00745DF4">
        <w:rPr>
          <w:rFonts w:ascii="Arial" w:hAnsi="Arial" w:cs="Arial"/>
          <w:bCs/>
          <w:sz w:val="22"/>
          <w:szCs w:val="22"/>
        </w:rPr>
        <w:t xml:space="preserve"> Zaměřuje se zejména na</w:t>
      </w:r>
      <w:r w:rsidR="00014A3E">
        <w:rPr>
          <w:rFonts w:ascii="Arial" w:hAnsi="Arial" w:cs="Arial"/>
          <w:bCs/>
          <w:sz w:val="22"/>
          <w:szCs w:val="22"/>
        </w:rPr>
        <w:t>:</w:t>
      </w:r>
    </w:p>
    <w:p w14:paraId="373EF25F" w14:textId="77777777" w:rsidR="00014A3E" w:rsidRDefault="00745DF4" w:rsidP="00315F7B">
      <w:pPr>
        <w:pStyle w:val="Zkladntext2"/>
        <w:numPr>
          <w:ilvl w:val="0"/>
          <w:numId w:val="16"/>
        </w:numPr>
        <w:jc w:val="both"/>
        <w:rPr>
          <w:rFonts w:ascii="Arial" w:hAnsi="Arial" w:cs="Arial"/>
          <w:bCs/>
          <w:sz w:val="22"/>
          <w:szCs w:val="22"/>
        </w:rPr>
      </w:pPr>
      <w:r w:rsidRPr="00745DF4">
        <w:rPr>
          <w:rFonts w:ascii="Arial" w:hAnsi="Arial" w:cs="Arial"/>
          <w:bCs/>
          <w:sz w:val="22"/>
          <w:szCs w:val="22"/>
        </w:rPr>
        <w:t xml:space="preserve">stimulaci kariérního rozvoje mladých (začínajících) výzkumníků a výzkumnic, </w:t>
      </w:r>
    </w:p>
    <w:p w14:paraId="3EF427D1" w14:textId="77777777" w:rsidR="00014A3E" w:rsidRDefault="00745DF4" w:rsidP="00315F7B">
      <w:pPr>
        <w:pStyle w:val="Zkladntext2"/>
        <w:numPr>
          <w:ilvl w:val="0"/>
          <w:numId w:val="16"/>
        </w:numPr>
        <w:jc w:val="both"/>
        <w:rPr>
          <w:rFonts w:ascii="Arial" w:hAnsi="Arial" w:cs="Arial"/>
          <w:bCs/>
          <w:sz w:val="22"/>
          <w:szCs w:val="22"/>
        </w:rPr>
      </w:pPr>
      <w:r w:rsidRPr="00745DF4">
        <w:rPr>
          <w:rFonts w:ascii="Arial" w:hAnsi="Arial" w:cs="Arial"/>
          <w:bCs/>
          <w:sz w:val="22"/>
          <w:szCs w:val="22"/>
        </w:rPr>
        <w:t xml:space="preserve">vytvoření podmínek pro návrat výzkumníků a výzkumnic do bezpečnostního výzkumu po kariérní přestávce vyvolané rodičovskou dovolenou či opatrováním rodinných příslušníků, </w:t>
      </w:r>
    </w:p>
    <w:p w14:paraId="27222F21" w14:textId="1505DC88" w:rsidR="00014A3E" w:rsidRDefault="00745DF4" w:rsidP="00315F7B">
      <w:pPr>
        <w:pStyle w:val="Zkladntext2"/>
        <w:numPr>
          <w:ilvl w:val="0"/>
          <w:numId w:val="16"/>
        </w:numPr>
        <w:jc w:val="both"/>
        <w:rPr>
          <w:rFonts w:ascii="Arial" w:hAnsi="Arial" w:cs="Arial"/>
          <w:bCs/>
          <w:sz w:val="22"/>
          <w:szCs w:val="22"/>
        </w:rPr>
      </w:pPr>
      <w:r w:rsidRPr="00745DF4">
        <w:rPr>
          <w:rFonts w:ascii="Arial" w:hAnsi="Arial" w:cs="Arial"/>
          <w:bCs/>
          <w:sz w:val="22"/>
          <w:szCs w:val="22"/>
        </w:rPr>
        <w:lastRenderedPageBreak/>
        <w:t>vytvoření podmínek pro návrat a další kariérní rozvoj výzkumníků a výzkumnic působících v zahran</w:t>
      </w:r>
      <w:r w:rsidR="00014A3E">
        <w:rPr>
          <w:rFonts w:ascii="Arial" w:hAnsi="Arial" w:cs="Arial"/>
          <w:bCs/>
          <w:sz w:val="22"/>
          <w:szCs w:val="22"/>
        </w:rPr>
        <w:t>ičních výzkumných organizacích,</w:t>
      </w:r>
      <w:r w:rsidRPr="00745DF4">
        <w:rPr>
          <w:rFonts w:ascii="Arial" w:hAnsi="Arial" w:cs="Arial"/>
          <w:bCs/>
          <w:sz w:val="22"/>
          <w:szCs w:val="22"/>
        </w:rPr>
        <w:t xml:space="preserve"> </w:t>
      </w:r>
    </w:p>
    <w:p w14:paraId="64FBE907" w14:textId="7794EBAC" w:rsidR="00745DF4" w:rsidRPr="00745DF4" w:rsidRDefault="00745DF4" w:rsidP="00315F7B">
      <w:pPr>
        <w:pStyle w:val="Zkladntext2"/>
        <w:numPr>
          <w:ilvl w:val="0"/>
          <w:numId w:val="16"/>
        </w:numPr>
        <w:jc w:val="both"/>
        <w:rPr>
          <w:rFonts w:ascii="Arial" w:hAnsi="Arial" w:cs="Arial"/>
          <w:bCs/>
          <w:sz w:val="22"/>
          <w:szCs w:val="22"/>
        </w:rPr>
      </w:pPr>
      <w:r w:rsidRPr="00745DF4">
        <w:rPr>
          <w:rFonts w:ascii="Arial" w:hAnsi="Arial" w:cs="Arial"/>
          <w:bCs/>
          <w:sz w:val="22"/>
          <w:szCs w:val="22"/>
        </w:rPr>
        <w:t xml:space="preserve">vytvoření podmínek pro začínající výzkumníky a výzkumnice pro rozvoj excelentního výzkumu.    </w:t>
      </w:r>
    </w:p>
    <w:p w14:paraId="39128099" w14:textId="180F7012" w:rsidR="00745DF4" w:rsidRPr="00745DF4" w:rsidRDefault="00745DF4" w:rsidP="00830F70">
      <w:pPr>
        <w:pStyle w:val="Zkladntext2"/>
        <w:spacing w:before="120" w:after="120"/>
        <w:jc w:val="both"/>
        <w:rPr>
          <w:rFonts w:ascii="Arial" w:hAnsi="Arial" w:cs="Arial"/>
          <w:b/>
          <w:bCs/>
          <w:sz w:val="22"/>
          <w:szCs w:val="22"/>
        </w:rPr>
      </w:pPr>
      <w:bookmarkStart w:id="1" w:name="_Toc190087285"/>
      <w:r w:rsidRPr="00745DF4">
        <w:rPr>
          <w:rFonts w:ascii="Arial" w:hAnsi="Arial" w:cs="Arial"/>
          <w:b/>
          <w:bCs/>
          <w:sz w:val="22"/>
          <w:szCs w:val="22"/>
        </w:rPr>
        <w:t>Odůvodnění cílů Programu</w:t>
      </w:r>
      <w:bookmarkEnd w:id="1"/>
    </w:p>
    <w:p w14:paraId="15DC519D" w14:textId="3D41DB37" w:rsidR="00745DF4" w:rsidRPr="00745DF4" w:rsidRDefault="00745DF4" w:rsidP="00745DF4">
      <w:pPr>
        <w:pStyle w:val="Zkladntext2"/>
        <w:jc w:val="both"/>
        <w:rPr>
          <w:rFonts w:ascii="Arial" w:hAnsi="Arial" w:cs="Arial"/>
          <w:bCs/>
          <w:sz w:val="22"/>
          <w:szCs w:val="22"/>
        </w:rPr>
      </w:pPr>
      <w:r w:rsidRPr="00745DF4">
        <w:rPr>
          <w:rFonts w:ascii="Arial" w:hAnsi="Arial" w:cs="Arial"/>
          <w:bCs/>
          <w:sz w:val="22"/>
          <w:szCs w:val="22"/>
        </w:rPr>
        <w:t>Cíle Programu navazují na zaměření předchozích programů bezpečnostního výzkumu realizovaných od roku 2010, a to zvláště na programy realizované v návaznosti na</w:t>
      </w:r>
      <w:r w:rsidR="00423343">
        <w:rPr>
          <w:rFonts w:ascii="Arial" w:hAnsi="Arial" w:cs="Arial"/>
          <w:bCs/>
          <w:sz w:val="22"/>
          <w:szCs w:val="22"/>
        </w:rPr>
        <w:t> </w:t>
      </w:r>
      <w:r w:rsidRPr="00745DF4">
        <w:rPr>
          <w:rFonts w:ascii="Arial" w:hAnsi="Arial" w:cs="Arial"/>
          <w:bCs/>
          <w:sz w:val="22"/>
          <w:szCs w:val="22"/>
        </w:rPr>
        <w:t>Meziresortní koncepci podpory bezpečnostního výzkumu 17+. Tato koncepce usiluje o</w:t>
      </w:r>
      <w:r w:rsidR="00423343">
        <w:rPr>
          <w:rFonts w:ascii="Arial" w:hAnsi="Arial" w:cs="Arial"/>
          <w:bCs/>
          <w:sz w:val="22"/>
          <w:szCs w:val="22"/>
        </w:rPr>
        <w:t> </w:t>
      </w:r>
      <w:r w:rsidRPr="00745DF4">
        <w:rPr>
          <w:rFonts w:ascii="Arial" w:hAnsi="Arial" w:cs="Arial"/>
          <w:bCs/>
          <w:sz w:val="22"/>
          <w:szCs w:val="22"/>
        </w:rPr>
        <w:t xml:space="preserve">výrazně komplexnější portfolio programových nástrojů s důrazem nejen na produkci výsledků, ale také na rozvoj vědního prostředí a vytváření předpokladů pro jeho schopnost přinášet tyto výsledky dlouhodobě, mj. program Strategická podpora rozvoje bezpečnostního výzkumu ČR 2019–2025 (IMPAKT 1) /dále jen „Program IMPAKT 1“/. </w:t>
      </w:r>
    </w:p>
    <w:p w14:paraId="4033BA51" w14:textId="77777777" w:rsidR="00745DF4" w:rsidRPr="00745DF4" w:rsidRDefault="00745DF4" w:rsidP="00745DF4">
      <w:pPr>
        <w:pStyle w:val="Zkladntext2"/>
        <w:jc w:val="both"/>
        <w:rPr>
          <w:rFonts w:ascii="Arial" w:hAnsi="Arial" w:cs="Arial"/>
          <w:bCs/>
          <w:sz w:val="22"/>
          <w:szCs w:val="22"/>
        </w:rPr>
      </w:pPr>
      <w:r w:rsidRPr="00745DF4">
        <w:rPr>
          <w:rFonts w:ascii="Arial" w:hAnsi="Arial" w:cs="Arial"/>
          <w:bCs/>
          <w:sz w:val="22"/>
          <w:szCs w:val="22"/>
        </w:rPr>
        <w:t>Program IMPAKT 2 navazuje na zkušenosti z realizace svého předchůdce a výsledky jeho průběžné evaluace</w:t>
      </w:r>
      <w:r w:rsidRPr="00745DF4">
        <w:rPr>
          <w:rFonts w:ascii="Arial" w:hAnsi="Arial" w:cs="Arial"/>
          <w:bCs/>
          <w:sz w:val="22"/>
          <w:szCs w:val="22"/>
          <w:vertAlign w:val="superscript"/>
        </w:rPr>
        <w:footnoteReference w:id="1"/>
      </w:r>
      <w:r w:rsidRPr="00745DF4">
        <w:rPr>
          <w:rFonts w:ascii="Arial" w:hAnsi="Arial" w:cs="Arial"/>
          <w:bCs/>
          <w:sz w:val="22"/>
          <w:szCs w:val="22"/>
        </w:rPr>
        <w:t xml:space="preserve"> a přináší významné změny parametrů směrem ke stabilizaci podpořených týmů s důrazem na rozvoj udržitelnosti. Zároveň vychází z dříve ověřených implementačních modelů. </w:t>
      </w:r>
    </w:p>
    <w:p w14:paraId="1B7F9DCE" w14:textId="27418813" w:rsidR="00745DF4" w:rsidRPr="00745DF4" w:rsidRDefault="00745DF4" w:rsidP="00745DF4">
      <w:pPr>
        <w:pStyle w:val="Zkladntext2"/>
        <w:jc w:val="both"/>
        <w:rPr>
          <w:rFonts w:ascii="Arial" w:hAnsi="Arial" w:cs="Arial"/>
          <w:bCs/>
          <w:sz w:val="22"/>
          <w:szCs w:val="22"/>
        </w:rPr>
      </w:pPr>
      <w:r w:rsidRPr="00745DF4">
        <w:rPr>
          <w:rFonts w:ascii="Arial" w:hAnsi="Arial" w:cs="Arial"/>
          <w:bCs/>
          <w:sz w:val="22"/>
          <w:szCs w:val="22"/>
        </w:rPr>
        <w:t xml:space="preserve">Průběžná evaluace Programu IMPAKT 1 ukázala potřebnost programu v podobné struktuře. Osvědčilo se zacílení programu na výzkumné organizace, proto průběžná evaluace doporučila, aby i návazný program cílil na tento segment organizací. Dále evaluace doporučila, aby návazný program pokračoval ve struktuře a zaměření Programu IMPAKT 1.   </w:t>
      </w:r>
    </w:p>
    <w:p w14:paraId="09D59C4A" w14:textId="77777777" w:rsidR="00745DF4" w:rsidRPr="00745DF4" w:rsidRDefault="00745DF4" w:rsidP="00745DF4">
      <w:pPr>
        <w:pStyle w:val="Zkladntext2"/>
        <w:jc w:val="both"/>
        <w:rPr>
          <w:rFonts w:ascii="Arial" w:hAnsi="Arial" w:cs="Arial"/>
          <w:bCs/>
          <w:sz w:val="22"/>
          <w:szCs w:val="22"/>
        </w:rPr>
      </w:pPr>
      <w:r w:rsidRPr="00745DF4">
        <w:rPr>
          <w:rFonts w:ascii="Arial" w:hAnsi="Arial" w:cs="Arial"/>
          <w:bCs/>
          <w:sz w:val="22"/>
          <w:szCs w:val="22"/>
        </w:rPr>
        <w:t>Zaměření Programu IMPAKT 2 také zohledňuje závěry a doporučení Výhledové studie pro oblast bezpečnostního výzkumu</w:t>
      </w:r>
      <w:r w:rsidRPr="00745DF4">
        <w:rPr>
          <w:rFonts w:ascii="Arial" w:hAnsi="Arial" w:cs="Arial"/>
          <w:bCs/>
          <w:sz w:val="22"/>
          <w:szCs w:val="22"/>
          <w:vertAlign w:val="superscript"/>
        </w:rPr>
        <w:footnoteReference w:id="2"/>
      </w:r>
      <w:r w:rsidRPr="00745DF4">
        <w:rPr>
          <w:rFonts w:ascii="Arial" w:hAnsi="Arial" w:cs="Arial"/>
          <w:bCs/>
          <w:sz w:val="22"/>
          <w:szCs w:val="22"/>
        </w:rPr>
        <w:t>, která doporučila podporu dalšího rozvoje výzkumných kapacit v bezpečnostním výzkumu prostřednictvím budování nových výzkumných týmů, odborné přípravy a specializace výzkumných pracovníků a mezinárodní spolupráce.</w:t>
      </w:r>
    </w:p>
    <w:p w14:paraId="536410DD" w14:textId="77777777" w:rsidR="0051448A" w:rsidRPr="0051448A" w:rsidRDefault="0051448A" w:rsidP="0051448A">
      <w:pPr>
        <w:pStyle w:val="Zkladntext2"/>
        <w:spacing w:before="120" w:after="120"/>
        <w:jc w:val="both"/>
        <w:rPr>
          <w:rFonts w:ascii="Arial" w:hAnsi="Arial" w:cs="Arial"/>
          <w:b/>
          <w:bCs/>
          <w:sz w:val="22"/>
          <w:szCs w:val="22"/>
        </w:rPr>
      </w:pPr>
      <w:r w:rsidRPr="0051448A">
        <w:rPr>
          <w:rFonts w:ascii="Arial" w:hAnsi="Arial" w:cs="Arial"/>
          <w:b/>
          <w:bCs/>
          <w:sz w:val="22"/>
          <w:szCs w:val="22"/>
        </w:rPr>
        <w:t>Výsledky</w:t>
      </w:r>
    </w:p>
    <w:p w14:paraId="40E7C31B" w14:textId="5024AC46" w:rsidR="0051448A" w:rsidRPr="0051448A" w:rsidRDefault="0051448A" w:rsidP="0051448A">
      <w:pPr>
        <w:pStyle w:val="Zkladntext2"/>
        <w:rPr>
          <w:rFonts w:ascii="Arial" w:hAnsi="Arial" w:cs="Arial"/>
          <w:bCs/>
          <w:sz w:val="22"/>
          <w:szCs w:val="22"/>
        </w:rPr>
      </w:pPr>
      <w:r w:rsidRPr="0051448A">
        <w:rPr>
          <w:rFonts w:ascii="Arial" w:hAnsi="Arial" w:cs="Arial"/>
          <w:b/>
          <w:bCs/>
          <w:sz w:val="22"/>
          <w:szCs w:val="22"/>
        </w:rPr>
        <w:t>PP 1</w:t>
      </w:r>
      <w:r w:rsidRPr="0051448A">
        <w:rPr>
          <w:rFonts w:ascii="Arial" w:hAnsi="Arial" w:cs="Arial"/>
          <w:bCs/>
          <w:sz w:val="22"/>
          <w:szCs w:val="22"/>
        </w:rPr>
        <w:t>:</w:t>
      </w:r>
    </w:p>
    <w:p w14:paraId="1634ADF7" w14:textId="77777777" w:rsidR="0051448A" w:rsidRPr="0051448A" w:rsidRDefault="0051448A" w:rsidP="00315F7B">
      <w:pPr>
        <w:pStyle w:val="Zkladntext2"/>
        <w:numPr>
          <w:ilvl w:val="0"/>
          <w:numId w:val="19"/>
        </w:numPr>
        <w:rPr>
          <w:rFonts w:ascii="Arial" w:hAnsi="Arial" w:cs="Arial"/>
          <w:bCs/>
          <w:sz w:val="22"/>
          <w:szCs w:val="22"/>
        </w:rPr>
      </w:pPr>
      <w:r w:rsidRPr="0051448A">
        <w:rPr>
          <w:rFonts w:ascii="Arial" w:hAnsi="Arial" w:cs="Arial"/>
          <w:bCs/>
          <w:sz w:val="22"/>
          <w:szCs w:val="22"/>
        </w:rPr>
        <w:t xml:space="preserve">posílení koordinace výzkumných agend a aktivit výzkumných organizací sdružených v jednotlivých Centrech spolupráce v bezpečnostním výzkumu a následné zvýšení efektivity a excelence prováděného </w:t>
      </w:r>
      <w:proofErr w:type="spellStart"/>
      <w:r w:rsidRPr="0051448A">
        <w:rPr>
          <w:rFonts w:ascii="Arial" w:hAnsi="Arial" w:cs="Arial"/>
          <w:bCs/>
          <w:sz w:val="22"/>
          <w:szCs w:val="22"/>
        </w:rPr>
        <w:t>VaV</w:t>
      </w:r>
      <w:proofErr w:type="spellEnd"/>
      <w:r w:rsidRPr="0051448A">
        <w:rPr>
          <w:rFonts w:ascii="Arial" w:hAnsi="Arial" w:cs="Arial"/>
          <w:bCs/>
          <w:sz w:val="22"/>
          <w:szCs w:val="22"/>
        </w:rPr>
        <w:t>;</w:t>
      </w:r>
    </w:p>
    <w:p w14:paraId="7E029752" w14:textId="77777777" w:rsidR="0051448A" w:rsidRPr="0051448A" w:rsidRDefault="0051448A" w:rsidP="00315F7B">
      <w:pPr>
        <w:pStyle w:val="Zkladntext2"/>
        <w:numPr>
          <w:ilvl w:val="0"/>
          <w:numId w:val="19"/>
        </w:numPr>
        <w:rPr>
          <w:rFonts w:ascii="Arial" w:hAnsi="Arial" w:cs="Arial"/>
          <w:bCs/>
          <w:sz w:val="22"/>
          <w:szCs w:val="22"/>
        </w:rPr>
      </w:pPr>
      <w:r w:rsidRPr="0051448A">
        <w:rPr>
          <w:rFonts w:ascii="Arial" w:hAnsi="Arial" w:cs="Arial"/>
          <w:bCs/>
          <w:sz w:val="22"/>
          <w:szCs w:val="22"/>
        </w:rPr>
        <w:t>efektivnější přenos poznatků bezpečnostního výzkumu dosažených v Centrech spolupráce v bezpečnostním výzkumu (resp. sdružených výzkumných organizacích) do aplikačního sektoru (sdružených v radě uživatelů);</w:t>
      </w:r>
    </w:p>
    <w:p w14:paraId="447426A4" w14:textId="77777777" w:rsidR="0051448A" w:rsidRPr="0051448A" w:rsidRDefault="0051448A" w:rsidP="00315F7B">
      <w:pPr>
        <w:pStyle w:val="Zkladntext2"/>
        <w:numPr>
          <w:ilvl w:val="0"/>
          <w:numId w:val="19"/>
        </w:numPr>
        <w:rPr>
          <w:rFonts w:ascii="Arial" w:hAnsi="Arial" w:cs="Arial"/>
          <w:bCs/>
          <w:sz w:val="22"/>
          <w:szCs w:val="22"/>
        </w:rPr>
      </w:pPr>
      <w:r w:rsidRPr="0051448A">
        <w:rPr>
          <w:rFonts w:ascii="Arial" w:hAnsi="Arial" w:cs="Arial"/>
          <w:bCs/>
          <w:sz w:val="22"/>
          <w:szCs w:val="22"/>
        </w:rPr>
        <w:t>identifikace a rozvoj nových směrů a oborů výzkumu dle potřeb bezpečnostního systému (aplikačního sektoru).</w:t>
      </w:r>
    </w:p>
    <w:p w14:paraId="36FB332D" w14:textId="211149D8" w:rsidR="0051448A" w:rsidRPr="0051448A" w:rsidRDefault="0051448A" w:rsidP="0051448A">
      <w:pPr>
        <w:pStyle w:val="Zkladntext2"/>
        <w:rPr>
          <w:rFonts w:ascii="Arial" w:hAnsi="Arial" w:cs="Arial"/>
          <w:bCs/>
          <w:sz w:val="22"/>
          <w:szCs w:val="22"/>
        </w:rPr>
      </w:pPr>
      <w:r w:rsidRPr="0051448A">
        <w:rPr>
          <w:rFonts w:ascii="Arial" w:hAnsi="Arial" w:cs="Arial"/>
          <w:b/>
          <w:bCs/>
          <w:sz w:val="22"/>
          <w:szCs w:val="22"/>
        </w:rPr>
        <w:t>PP 2</w:t>
      </w:r>
      <w:r w:rsidRPr="0051448A">
        <w:rPr>
          <w:rFonts w:ascii="Arial" w:hAnsi="Arial" w:cs="Arial"/>
          <w:bCs/>
          <w:sz w:val="22"/>
          <w:szCs w:val="22"/>
        </w:rPr>
        <w:t>:</w:t>
      </w:r>
    </w:p>
    <w:p w14:paraId="5DE717C4" w14:textId="77777777" w:rsidR="0051448A" w:rsidRPr="0051448A" w:rsidRDefault="0051448A" w:rsidP="00315F7B">
      <w:pPr>
        <w:pStyle w:val="Zkladntext2"/>
        <w:numPr>
          <w:ilvl w:val="0"/>
          <w:numId w:val="18"/>
        </w:numPr>
        <w:rPr>
          <w:rFonts w:ascii="Arial" w:hAnsi="Arial" w:cs="Arial"/>
          <w:bCs/>
          <w:sz w:val="22"/>
          <w:szCs w:val="22"/>
        </w:rPr>
      </w:pPr>
      <w:r w:rsidRPr="0051448A">
        <w:rPr>
          <w:rFonts w:ascii="Arial" w:hAnsi="Arial" w:cs="Arial"/>
          <w:bCs/>
          <w:sz w:val="22"/>
          <w:szCs w:val="22"/>
        </w:rPr>
        <w:t>zvýšení účasti českých výzkumných týmů v mezinárodních programech a zejména programech podpory bezpečnostního výzkumu;</w:t>
      </w:r>
    </w:p>
    <w:p w14:paraId="0587B2EB" w14:textId="77777777" w:rsidR="0051448A" w:rsidRPr="0051448A" w:rsidRDefault="0051448A" w:rsidP="00315F7B">
      <w:pPr>
        <w:pStyle w:val="Zkladntext2"/>
        <w:numPr>
          <w:ilvl w:val="0"/>
          <w:numId w:val="18"/>
        </w:numPr>
        <w:rPr>
          <w:rFonts w:ascii="Arial" w:hAnsi="Arial" w:cs="Arial"/>
          <w:bCs/>
          <w:sz w:val="22"/>
          <w:szCs w:val="22"/>
        </w:rPr>
      </w:pPr>
      <w:r w:rsidRPr="0051448A">
        <w:rPr>
          <w:rFonts w:ascii="Arial" w:hAnsi="Arial" w:cs="Arial"/>
          <w:bCs/>
          <w:sz w:val="22"/>
          <w:szCs w:val="22"/>
        </w:rPr>
        <w:t>zapojení do mezinárodních výzkumných sítí prostřednictvím nových partnerství mezi českými a zahraničními výzkumnými organizacemi;</w:t>
      </w:r>
    </w:p>
    <w:p w14:paraId="41E78663" w14:textId="77777777" w:rsidR="0051448A" w:rsidRPr="0051448A" w:rsidRDefault="0051448A" w:rsidP="00315F7B">
      <w:pPr>
        <w:pStyle w:val="Zkladntext2"/>
        <w:numPr>
          <w:ilvl w:val="0"/>
          <w:numId w:val="18"/>
        </w:numPr>
        <w:rPr>
          <w:rFonts w:ascii="Arial" w:hAnsi="Arial" w:cs="Arial"/>
          <w:bCs/>
          <w:sz w:val="22"/>
          <w:szCs w:val="22"/>
        </w:rPr>
      </w:pPr>
      <w:r w:rsidRPr="0051448A">
        <w:rPr>
          <w:rFonts w:ascii="Arial" w:hAnsi="Arial" w:cs="Arial"/>
          <w:bCs/>
          <w:sz w:val="22"/>
          <w:szCs w:val="22"/>
        </w:rPr>
        <w:t>zapojení českých výzkumných organizací do zahraničních vědeckých společností, platforem či klastrů.</w:t>
      </w:r>
    </w:p>
    <w:p w14:paraId="6A1B5376" w14:textId="77777777" w:rsidR="0051448A" w:rsidRPr="0051448A" w:rsidRDefault="0051448A" w:rsidP="0051448A">
      <w:pPr>
        <w:pStyle w:val="Zkladntext2"/>
        <w:rPr>
          <w:rFonts w:ascii="Arial" w:hAnsi="Arial" w:cs="Arial"/>
          <w:b/>
          <w:bCs/>
          <w:sz w:val="22"/>
          <w:szCs w:val="22"/>
        </w:rPr>
      </w:pPr>
    </w:p>
    <w:p w14:paraId="355DCB5B" w14:textId="3DCDEEF8" w:rsidR="0051448A" w:rsidRPr="0051448A" w:rsidRDefault="0051448A" w:rsidP="0051448A">
      <w:pPr>
        <w:pStyle w:val="Zkladntext2"/>
        <w:rPr>
          <w:rFonts w:ascii="Arial" w:hAnsi="Arial" w:cs="Arial"/>
          <w:bCs/>
          <w:sz w:val="22"/>
          <w:szCs w:val="22"/>
        </w:rPr>
      </w:pPr>
      <w:r w:rsidRPr="0051448A">
        <w:rPr>
          <w:rFonts w:ascii="Arial" w:hAnsi="Arial" w:cs="Arial"/>
          <w:b/>
          <w:bCs/>
          <w:sz w:val="22"/>
          <w:szCs w:val="22"/>
        </w:rPr>
        <w:t>PP 3</w:t>
      </w:r>
      <w:r w:rsidRPr="0051448A">
        <w:rPr>
          <w:rFonts w:ascii="Arial" w:hAnsi="Arial" w:cs="Arial"/>
          <w:bCs/>
          <w:sz w:val="22"/>
          <w:szCs w:val="22"/>
        </w:rPr>
        <w:t>:</w:t>
      </w:r>
    </w:p>
    <w:p w14:paraId="6A4F34B4" w14:textId="77777777" w:rsidR="0051448A" w:rsidRPr="0051448A" w:rsidRDefault="0051448A" w:rsidP="00315F7B">
      <w:pPr>
        <w:pStyle w:val="Zkladntext2"/>
        <w:numPr>
          <w:ilvl w:val="0"/>
          <w:numId w:val="18"/>
        </w:numPr>
        <w:rPr>
          <w:rFonts w:ascii="Arial" w:hAnsi="Arial" w:cs="Arial"/>
          <w:bCs/>
          <w:sz w:val="22"/>
          <w:szCs w:val="22"/>
        </w:rPr>
      </w:pPr>
      <w:r w:rsidRPr="0051448A">
        <w:rPr>
          <w:rFonts w:ascii="Arial" w:hAnsi="Arial" w:cs="Arial"/>
          <w:bCs/>
          <w:sz w:val="22"/>
          <w:szCs w:val="22"/>
        </w:rPr>
        <w:t>zvýšení počtu juniorních výzkumníků a výzkumnic v bezpečnostním výzkumu;</w:t>
      </w:r>
    </w:p>
    <w:p w14:paraId="7BA5C4A3" w14:textId="77777777" w:rsidR="0051448A" w:rsidRPr="0051448A" w:rsidRDefault="0051448A" w:rsidP="00315F7B">
      <w:pPr>
        <w:pStyle w:val="Zkladntext2"/>
        <w:numPr>
          <w:ilvl w:val="0"/>
          <w:numId w:val="18"/>
        </w:numPr>
        <w:rPr>
          <w:rFonts w:ascii="Arial" w:hAnsi="Arial" w:cs="Arial"/>
          <w:bCs/>
          <w:sz w:val="22"/>
          <w:szCs w:val="22"/>
        </w:rPr>
      </w:pPr>
      <w:r w:rsidRPr="0051448A">
        <w:rPr>
          <w:rFonts w:ascii="Arial" w:hAnsi="Arial" w:cs="Arial"/>
          <w:bCs/>
          <w:sz w:val="22"/>
          <w:szCs w:val="22"/>
        </w:rPr>
        <w:t xml:space="preserve">zlepšení podmínek pro návrat výzkumnic po kariérní přestávce – odstranění bariér pro jejich opětovné zapojení do </w:t>
      </w:r>
      <w:proofErr w:type="spellStart"/>
      <w:r w:rsidRPr="0051448A">
        <w:rPr>
          <w:rFonts w:ascii="Arial" w:hAnsi="Arial" w:cs="Arial"/>
          <w:bCs/>
          <w:sz w:val="22"/>
          <w:szCs w:val="22"/>
        </w:rPr>
        <w:t>VaV</w:t>
      </w:r>
      <w:proofErr w:type="spellEnd"/>
      <w:r w:rsidRPr="0051448A">
        <w:rPr>
          <w:rFonts w:ascii="Arial" w:hAnsi="Arial" w:cs="Arial"/>
          <w:bCs/>
          <w:sz w:val="22"/>
          <w:szCs w:val="22"/>
        </w:rPr>
        <w:t>;</w:t>
      </w:r>
    </w:p>
    <w:p w14:paraId="2175ACF5" w14:textId="77777777" w:rsidR="0051448A" w:rsidRPr="0051448A" w:rsidRDefault="0051448A" w:rsidP="00315F7B">
      <w:pPr>
        <w:pStyle w:val="Zkladntext2"/>
        <w:numPr>
          <w:ilvl w:val="0"/>
          <w:numId w:val="18"/>
        </w:numPr>
        <w:rPr>
          <w:rFonts w:ascii="Arial" w:hAnsi="Arial" w:cs="Arial"/>
          <w:bCs/>
          <w:sz w:val="22"/>
          <w:szCs w:val="22"/>
        </w:rPr>
      </w:pPr>
      <w:r w:rsidRPr="0051448A">
        <w:rPr>
          <w:rFonts w:ascii="Arial" w:hAnsi="Arial" w:cs="Arial"/>
          <w:bCs/>
          <w:sz w:val="22"/>
          <w:szCs w:val="22"/>
        </w:rPr>
        <w:lastRenderedPageBreak/>
        <w:t>návrat zahraničních výzkumníků do ČR – vytvoření atraktivních podmínek pro jejich uplatnění v domácích výzkumných organizacích;</w:t>
      </w:r>
    </w:p>
    <w:p w14:paraId="3A7903B4" w14:textId="77777777" w:rsidR="0051448A" w:rsidRPr="0051448A" w:rsidRDefault="0051448A" w:rsidP="00315F7B">
      <w:pPr>
        <w:pStyle w:val="Zkladntext2"/>
        <w:numPr>
          <w:ilvl w:val="0"/>
          <w:numId w:val="18"/>
        </w:numPr>
        <w:rPr>
          <w:rFonts w:ascii="Arial" w:hAnsi="Arial" w:cs="Arial"/>
          <w:bCs/>
          <w:sz w:val="22"/>
          <w:szCs w:val="22"/>
        </w:rPr>
      </w:pPr>
      <w:r w:rsidRPr="0051448A">
        <w:rPr>
          <w:rFonts w:ascii="Arial" w:hAnsi="Arial" w:cs="Arial"/>
          <w:bCs/>
          <w:sz w:val="22"/>
          <w:szCs w:val="22"/>
        </w:rPr>
        <w:t xml:space="preserve">posílení mezinárodní mobility výzkumníků a výzkumnic. </w:t>
      </w:r>
    </w:p>
    <w:p w14:paraId="27AEE555" w14:textId="388844CB" w:rsidR="00A35C38" w:rsidRPr="00A35C38" w:rsidRDefault="00745DF4" w:rsidP="00E1673F">
      <w:pPr>
        <w:pStyle w:val="Odstavecseseznamem"/>
        <w:keepNext/>
        <w:numPr>
          <w:ilvl w:val="0"/>
          <w:numId w:val="1"/>
        </w:numPr>
        <w:spacing w:before="120" w:after="120"/>
        <w:ind w:left="726"/>
        <w:contextualSpacing w:val="0"/>
        <w:jc w:val="both"/>
        <w:rPr>
          <w:rFonts w:ascii="Arial" w:hAnsi="Arial" w:cs="Arial"/>
          <w:b/>
          <w:color w:val="0070C0"/>
          <w:sz w:val="22"/>
          <w:szCs w:val="22"/>
        </w:rPr>
      </w:pPr>
      <w:r>
        <w:rPr>
          <w:rFonts w:ascii="Arial" w:hAnsi="Arial" w:cs="Arial"/>
          <w:b/>
          <w:color w:val="0070C0"/>
          <w:sz w:val="22"/>
          <w:szCs w:val="22"/>
        </w:rPr>
        <w:t>H</w:t>
      </w:r>
      <w:r w:rsidR="00A35C38" w:rsidRPr="00A35C38">
        <w:rPr>
          <w:rFonts w:ascii="Arial" w:hAnsi="Arial" w:cs="Arial"/>
          <w:b/>
          <w:color w:val="0070C0"/>
          <w:sz w:val="22"/>
          <w:szCs w:val="22"/>
        </w:rPr>
        <w:t>armonogram realizace Programu</w:t>
      </w:r>
    </w:p>
    <w:p w14:paraId="41336C84" w14:textId="2999554A" w:rsidR="00496736" w:rsidRPr="00496736" w:rsidRDefault="00496736" w:rsidP="00745DF4">
      <w:pPr>
        <w:pStyle w:val="Zkladntext2"/>
        <w:spacing w:after="120"/>
        <w:jc w:val="both"/>
        <w:rPr>
          <w:rFonts w:ascii="Arial" w:hAnsi="Arial" w:cs="Arial"/>
          <w:sz w:val="22"/>
          <w:szCs w:val="22"/>
        </w:rPr>
      </w:pPr>
      <w:r w:rsidRPr="00496736">
        <w:rPr>
          <w:rFonts w:ascii="Arial" w:hAnsi="Arial" w:cs="Arial"/>
          <w:sz w:val="22"/>
          <w:szCs w:val="22"/>
        </w:rPr>
        <w:t xml:space="preserve">Veřejné soutěže budou vyhlašovány podle dostupnosti finančních prostředků, kterou nelze predikovat. V PP 1 se předpokládá vyhlášení nejvýše dvou veřejných soutěží. Druhá veřejná soutěž se předpokládá pouze v případech, kdy: </w:t>
      </w:r>
    </w:p>
    <w:p w14:paraId="6CD6C969" w14:textId="2EF9FF98" w:rsidR="00496736" w:rsidRPr="00496736" w:rsidRDefault="00496736" w:rsidP="00315F7B">
      <w:pPr>
        <w:pStyle w:val="Zkladntext2"/>
        <w:numPr>
          <w:ilvl w:val="0"/>
          <w:numId w:val="11"/>
        </w:numPr>
        <w:spacing w:after="120"/>
        <w:jc w:val="both"/>
        <w:rPr>
          <w:rFonts w:ascii="Arial" w:hAnsi="Arial" w:cs="Arial"/>
          <w:sz w:val="22"/>
          <w:szCs w:val="22"/>
        </w:rPr>
      </w:pPr>
      <w:r w:rsidRPr="00496736">
        <w:rPr>
          <w:rFonts w:ascii="Arial" w:hAnsi="Arial" w:cs="Arial"/>
          <w:sz w:val="22"/>
          <w:szCs w:val="22"/>
        </w:rPr>
        <w:t>budou identifikovány nové potřeby adekvátní pro zařazení do Programu a</w:t>
      </w:r>
      <w:r w:rsidR="00423343">
        <w:rPr>
          <w:rFonts w:ascii="Arial" w:hAnsi="Arial" w:cs="Arial"/>
          <w:sz w:val="22"/>
          <w:szCs w:val="22"/>
        </w:rPr>
        <w:t> </w:t>
      </w:r>
      <w:r w:rsidRPr="00496736">
        <w:rPr>
          <w:rFonts w:ascii="Arial" w:hAnsi="Arial" w:cs="Arial"/>
          <w:sz w:val="22"/>
          <w:szCs w:val="22"/>
        </w:rPr>
        <w:t>zároveň budou k dispozici adekvátní finanční prostředky pro jejich podporu;</w:t>
      </w:r>
    </w:p>
    <w:p w14:paraId="06F9A999" w14:textId="77777777" w:rsidR="00496736" w:rsidRPr="00496736" w:rsidRDefault="00496736" w:rsidP="00315F7B">
      <w:pPr>
        <w:pStyle w:val="Zkladntext2"/>
        <w:numPr>
          <w:ilvl w:val="0"/>
          <w:numId w:val="11"/>
        </w:numPr>
        <w:spacing w:after="120"/>
        <w:jc w:val="both"/>
        <w:rPr>
          <w:rFonts w:ascii="Arial" w:hAnsi="Arial" w:cs="Arial"/>
          <w:sz w:val="22"/>
          <w:szCs w:val="22"/>
        </w:rPr>
      </w:pPr>
      <w:r w:rsidRPr="00496736">
        <w:rPr>
          <w:rFonts w:ascii="Arial" w:hAnsi="Arial" w:cs="Arial"/>
          <w:sz w:val="22"/>
          <w:szCs w:val="22"/>
        </w:rPr>
        <w:t>nebudou v první veřejné soutěži vybrány projekty, pokrývající celou škálu předpokládaných témat;</w:t>
      </w:r>
    </w:p>
    <w:p w14:paraId="32EC0E27" w14:textId="77777777" w:rsidR="00496736" w:rsidRPr="00496736" w:rsidRDefault="00496736" w:rsidP="00315F7B">
      <w:pPr>
        <w:pStyle w:val="Zkladntext2"/>
        <w:numPr>
          <w:ilvl w:val="0"/>
          <w:numId w:val="11"/>
        </w:numPr>
        <w:spacing w:after="120"/>
        <w:jc w:val="both"/>
        <w:rPr>
          <w:rFonts w:ascii="Arial" w:hAnsi="Arial" w:cs="Arial"/>
          <w:sz w:val="22"/>
          <w:szCs w:val="22"/>
        </w:rPr>
      </w:pPr>
      <w:r w:rsidRPr="00496736">
        <w:rPr>
          <w:rFonts w:ascii="Arial" w:hAnsi="Arial" w:cs="Arial"/>
          <w:sz w:val="22"/>
          <w:szCs w:val="22"/>
        </w:rPr>
        <w:t>podpořené projekty naplní svůj účel a potřeba jejich podpory nadále nebude zapadat do schématu Programu (a zároveň budou identifikovány potřeby nové).</w:t>
      </w:r>
    </w:p>
    <w:p w14:paraId="67840DD7" w14:textId="77777777" w:rsidR="00496736" w:rsidRPr="00496736" w:rsidRDefault="00496736" w:rsidP="00745DF4">
      <w:pPr>
        <w:pStyle w:val="Zkladntext2"/>
        <w:spacing w:after="120"/>
        <w:jc w:val="both"/>
        <w:rPr>
          <w:rFonts w:ascii="Arial" w:hAnsi="Arial" w:cs="Arial"/>
          <w:sz w:val="22"/>
          <w:szCs w:val="22"/>
        </w:rPr>
      </w:pPr>
      <w:r w:rsidRPr="00496736">
        <w:rPr>
          <w:rFonts w:ascii="Arial" w:hAnsi="Arial" w:cs="Arial"/>
          <w:sz w:val="22"/>
          <w:szCs w:val="22"/>
        </w:rPr>
        <w:t xml:space="preserve">U PP 1 se předpokládá délka projektů maximálně 6 let, přičemž všechny podpořené projekty projdou průběžným hodnocením. Harmonogram hodnocení bude stanoven pro každý projekt samostatně, podle povahy projektu (zejm. obsahu, rizikovosti a nákladů na řešení).  </w:t>
      </w:r>
    </w:p>
    <w:p w14:paraId="5013E7CB" w14:textId="77777777" w:rsidR="00496736" w:rsidRPr="00496736" w:rsidRDefault="00496736" w:rsidP="00745DF4">
      <w:pPr>
        <w:pStyle w:val="Zkladntext2"/>
        <w:spacing w:after="120"/>
        <w:jc w:val="both"/>
        <w:rPr>
          <w:rFonts w:ascii="Arial" w:hAnsi="Arial" w:cs="Arial"/>
          <w:sz w:val="22"/>
          <w:szCs w:val="22"/>
        </w:rPr>
      </w:pPr>
      <w:r w:rsidRPr="00496736">
        <w:rPr>
          <w:rFonts w:ascii="Arial" w:hAnsi="Arial" w:cs="Arial"/>
          <w:sz w:val="22"/>
          <w:szCs w:val="22"/>
        </w:rPr>
        <w:t>V PP 2 a PP 3 se předpokládá vyhlášení tří veřejných soutěží. V PP 2 a PP 3 budou podpořeny projekty s maximální dobou realizace tři roky. Minimální a maximální délka projektů bude specifikována v zadávací dokumentaci k příslušné veřejné soutěži.</w:t>
      </w:r>
    </w:p>
    <w:p w14:paraId="26B025CC" w14:textId="50DBF02D" w:rsidR="00496736" w:rsidRPr="00496736" w:rsidRDefault="00496736" w:rsidP="00745DF4">
      <w:pPr>
        <w:pStyle w:val="Zkladntext2"/>
        <w:spacing w:after="120"/>
        <w:jc w:val="both"/>
        <w:rPr>
          <w:rFonts w:ascii="Arial" w:hAnsi="Arial" w:cs="Arial"/>
          <w:i/>
          <w:iCs/>
          <w:sz w:val="22"/>
          <w:szCs w:val="22"/>
        </w:rPr>
      </w:pPr>
      <w:bookmarkStart w:id="2" w:name="_Ref188606591"/>
      <w:r w:rsidRPr="00496736">
        <w:rPr>
          <w:rFonts w:ascii="Arial" w:hAnsi="Arial" w:cs="Arial"/>
          <w:i/>
          <w:iCs/>
          <w:sz w:val="22"/>
          <w:szCs w:val="22"/>
        </w:rPr>
        <w:t xml:space="preserve">Tabulka </w:t>
      </w:r>
      <w:r w:rsidRPr="00496736">
        <w:rPr>
          <w:rFonts w:ascii="Arial" w:hAnsi="Arial" w:cs="Arial"/>
          <w:i/>
          <w:iCs/>
          <w:sz w:val="22"/>
          <w:szCs w:val="22"/>
        </w:rPr>
        <w:fldChar w:fldCharType="begin"/>
      </w:r>
      <w:r w:rsidRPr="00496736">
        <w:rPr>
          <w:rFonts w:ascii="Arial" w:hAnsi="Arial" w:cs="Arial"/>
          <w:i/>
          <w:iCs/>
          <w:sz w:val="22"/>
          <w:szCs w:val="22"/>
        </w:rPr>
        <w:instrText xml:space="preserve"> SEQ Tabulka \* ARABIC </w:instrText>
      </w:r>
      <w:r w:rsidRPr="00496736">
        <w:rPr>
          <w:rFonts w:ascii="Arial" w:hAnsi="Arial" w:cs="Arial"/>
          <w:i/>
          <w:iCs/>
          <w:sz w:val="22"/>
          <w:szCs w:val="22"/>
        </w:rPr>
        <w:fldChar w:fldCharType="separate"/>
      </w:r>
      <w:r>
        <w:rPr>
          <w:rFonts w:ascii="Arial" w:hAnsi="Arial" w:cs="Arial"/>
          <w:i/>
          <w:iCs/>
          <w:noProof/>
          <w:sz w:val="22"/>
          <w:szCs w:val="22"/>
        </w:rPr>
        <w:t>1</w:t>
      </w:r>
      <w:r w:rsidRPr="00496736">
        <w:rPr>
          <w:rFonts w:ascii="Arial" w:hAnsi="Arial" w:cs="Arial"/>
          <w:sz w:val="22"/>
          <w:szCs w:val="22"/>
        </w:rPr>
        <w:fldChar w:fldCharType="end"/>
      </w:r>
      <w:bookmarkEnd w:id="2"/>
      <w:r w:rsidRPr="00496736">
        <w:rPr>
          <w:rFonts w:ascii="Arial" w:hAnsi="Arial" w:cs="Arial"/>
          <w:i/>
          <w:iCs/>
          <w:sz w:val="22"/>
          <w:szCs w:val="22"/>
        </w:rPr>
        <w:t xml:space="preserve"> - Harmonogram vyhlašování veřejných soutěží</w:t>
      </w:r>
    </w:p>
    <w:tbl>
      <w:tblPr>
        <w:tblW w:w="9356" w:type="dxa"/>
        <w:tblLayout w:type="fixed"/>
        <w:tblCellMar>
          <w:left w:w="70" w:type="dxa"/>
          <w:right w:w="70" w:type="dxa"/>
        </w:tblCellMar>
        <w:tblLook w:val="04A0" w:firstRow="1" w:lastRow="0" w:firstColumn="1" w:lastColumn="0" w:noHBand="0" w:noVBand="1"/>
      </w:tblPr>
      <w:tblGrid>
        <w:gridCol w:w="960"/>
        <w:gridCol w:w="2798"/>
        <w:gridCol w:w="2799"/>
        <w:gridCol w:w="2799"/>
      </w:tblGrid>
      <w:tr w:rsidR="00496736" w:rsidRPr="00496736" w14:paraId="7495756B" w14:textId="77777777" w:rsidTr="00E1673F">
        <w:trPr>
          <w:trHeight w:val="288"/>
        </w:trPr>
        <w:tc>
          <w:tcPr>
            <w:tcW w:w="960" w:type="dxa"/>
            <w:tcBorders>
              <w:top w:val="single" w:sz="4" w:space="0" w:color="auto"/>
              <w:left w:val="nil"/>
              <w:bottom w:val="single" w:sz="4" w:space="0" w:color="auto"/>
              <w:right w:val="nil"/>
            </w:tcBorders>
            <w:shd w:val="clear" w:color="auto" w:fill="auto"/>
            <w:noWrap/>
            <w:vAlign w:val="center"/>
            <w:hideMark/>
          </w:tcPr>
          <w:p w14:paraId="4EA6CEC9"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Rok</w:t>
            </w:r>
          </w:p>
        </w:tc>
        <w:tc>
          <w:tcPr>
            <w:tcW w:w="2798" w:type="dxa"/>
            <w:tcBorders>
              <w:top w:val="single" w:sz="4" w:space="0" w:color="auto"/>
              <w:left w:val="nil"/>
              <w:bottom w:val="single" w:sz="4" w:space="0" w:color="auto"/>
              <w:right w:val="nil"/>
            </w:tcBorders>
            <w:shd w:val="clear" w:color="auto" w:fill="auto"/>
            <w:noWrap/>
            <w:vAlign w:val="center"/>
            <w:hideMark/>
          </w:tcPr>
          <w:p w14:paraId="7057E064"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PP 1</w:t>
            </w:r>
          </w:p>
        </w:tc>
        <w:tc>
          <w:tcPr>
            <w:tcW w:w="2799" w:type="dxa"/>
            <w:tcBorders>
              <w:top w:val="single" w:sz="4" w:space="0" w:color="auto"/>
              <w:left w:val="nil"/>
              <w:bottom w:val="single" w:sz="4" w:space="0" w:color="auto"/>
              <w:right w:val="nil"/>
            </w:tcBorders>
            <w:shd w:val="clear" w:color="auto" w:fill="auto"/>
            <w:noWrap/>
            <w:vAlign w:val="center"/>
            <w:hideMark/>
          </w:tcPr>
          <w:p w14:paraId="76484154"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PP 2</w:t>
            </w:r>
          </w:p>
        </w:tc>
        <w:tc>
          <w:tcPr>
            <w:tcW w:w="2799" w:type="dxa"/>
            <w:tcBorders>
              <w:top w:val="single" w:sz="4" w:space="0" w:color="auto"/>
              <w:left w:val="nil"/>
              <w:bottom w:val="single" w:sz="4" w:space="0" w:color="auto"/>
              <w:right w:val="nil"/>
            </w:tcBorders>
            <w:shd w:val="clear" w:color="auto" w:fill="auto"/>
            <w:noWrap/>
            <w:vAlign w:val="center"/>
            <w:hideMark/>
          </w:tcPr>
          <w:p w14:paraId="4CFF2E06"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PP 3</w:t>
            </w:r>
          </w:p>
        </w:tc>
      </w:tr>
      <w:tr w:rsidR="00496736" w:rsidRPr="00496736" w14:paraId="4E382C87" w14:textId="77777777" w:rsidTr="00E1673F">
        <w:trPr>
          <w:trHeight w:val="288"/>
        </w:trPr>
        <w:tc>
          <w:tcPr>
            <w:tcW w:w="960" w:type="dxa"/>
            <w:tcBorders>
              <w:top w:val="nil"/>
              <w:left w:val="nil"/>
              <w:bottom w:val="nil"/>
              <w:right w:val="nil"/>
            </w:tcBorders>
            <w:shd w:val="clear" w:color="auto" w:fill="auto"/>
            <w:noWrap/>
            <w:vAlign w:val="center"/>
            <w:hideMark/>
          </w:tcPr>
          <w:p w14:paraId="24C67086"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2025</w:t>
            </w:r>
          </w:p>
        </w:tc>
        <w:tc>
          <w:tcPr>
            <w:tcW w:w="2798" w:type="dxa"/>
            <w:tcBorders>
              <w:top w:val="nil"/>
              <w:left w:val="nil"/>
              <w:bottom w:val="nil"/>
              <w:right w:val="nil"/>
            </w:tcBorders>
            <w:shd w:val="clear" w:color="000000" w:fill="D0D0D0"/>
            <w:noWrap/>
            <w:vAlign w:val="center"/>
            <w:hideMark/>
          </w:tcPr>
          <w:p w14:paraId="6BD798D2" w14:textId="77777777" w:rsidR="00496736" w:rsidRPr="00496736" w:rsidRDefault="00496736" w:rsidP="00E1673F">
            <w:pPr>
              <w:pStyle w:val="Zkladntext2"/>
              <w:jc w:val="center"/>
              <w:rPr>
                <w:rFonts w:ascii="Arial" w:hAnsi="Arial" w:cs="Arial"/>
                <w:sz w:val="22"/>
                <w:szCs w:val="22"/>
              </w:rPr>
            </w:pPr>
            <w:r w:rsidRPr="00496736">
              <w:rPr>
                <w:rFonts w:ascii="Arial" w:hAnsi="Arial" w:cs="Arial"/>
                <w:sz w:val="22"/>
                <w:szCs w:val="22"/>
              </w:rPr>
              <w:t>První veřejná soutěž</w:t>
            </w:r>
          </w:p>
        </w:tc>
        <w:tc>
          <w:tcPr>
            <w:tcW w:w="2799" w:type="dxa"/>
            <w:tcBorders>
              <w:top w:val="nil"/>
              <w:left w:val="nil"/>
              <w:bottom w:val="nil"/>
              <w:right w:val="nil"/>
            </w:tcBorders>
            <w:shd w:val="clear" w:color="auto" w:fill="auto"/>
            <w:noWrap/>
            <w:vAlign w:val="center"/>
            <w:hideMark/>
          </w:tcPr>
          <w:p w14:paraId="490EAFD1" w14:textId="77777777" w:rsidR="00496736" w:rsidRPr="00496736" w:rsidRDefault="00496736" w:rsidP="00E1673F">
            <w:pPr>
              <w:pStyle w:val="Zkladntext2"/>
              <w:jc w:val="center"/>
              <w:rPr>
                <w:rFonts w:ascii="Arial" w:hAnsi="Arial" w:cs="Arial"/>
                <w:sz w:val="22"/>
                <w:szCs w:val="22"/>
              </w:rPr>
            </w:pPr>
          </w:p>
        </w:tc>
        <w:tc>
          <w:tcPr>
            <w:tcW w:w="2799" w:type="dxa"/>
            <w:tcBorders>
              <w:top w:val="nil"/>
              <w:left w:val="nil"/>
              <w:bottom w:val="nil"/>
              <w:right w:val="nil"/>
            </w:tcBorders>
            <w:shd w:val="clear" w:color="auto" w:fill="auto"/>
            <w:noWrap/>
            <w:vAlign w:val="center"/>
            <w:hideMark/>
          </w:tcPr>
          <w:p w14:paraId="537BC4C2" w14:textId="77777777" w:rsidR="00496736" w:rsidRPr="00496736" w:rsidRDefault="00496736" w:rsidP="00E1673F">
            <w:pPr>
              <w:pStyle w:val="Zkladntext2"/>
              <w:jc w:val="center"/>
              <w:rPr>
                <w:rFonts w:ascii="Arial" w:hAnsi="Arial" w:cs="Arial"/>
                <w:sz w:val="22"/>
                <w:szCs w:val="22"/>
              </w:rPr>
            </w:pPr>
          </w:p>
        </w:tc>
      </w:tr>
      <w:tr w:rsidR="00496736" w:rsidRPr="00496736" w14:paraId="2037F5BF" w14:textId="77777777" w:rsidTr="00E1673F">
        <w:trPr>
          <w:trHeight w:val="288"/>
        </w:trPr>
        <w:tc>
          <w:tcPr>
            <w:tcW w:w="960" w:type="dxa"/>
            <w:tcBorders>
              <w:top w:val="nil"/>
              <w:left w:val="nil"/>
              <w:bottom w:val="nil"/>
              <w:right w:val="nil"/>
            </w:tcBorders>
            <w:shd w:val="clear" w:color="auto" w:fill="auto"/>
            <w:noWrap/>
            <w:vAlign w:val="center"/>
            <w:hideMark/>
          </w:tcPr>
          <w:p w14:paraId="5C112004"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2026</w:t>
            </w:r>
          </w:p>
        </w:tc>
        <w:tc>
          <w:tcPr>
            <w:tcW w:w="2798" w:type="dxa"/>
            <w:tcBorders>
              <w:top w:val="nil"/>
              <w:left w:val="nil"/>
              <w:bottom w:val="nil"/>
              <w:right w:val="nil"/>
            </w:tcBorders>
            <w:shd w:val="clear" w:color="auto" w:fill="auto"/>
            <w:noWrap/>
            <w:vAlign w:val="center"/>
            <w:hideMark/>
          </w:tcPr>
          <w:p w14:paraId="180625A7" w14:textId="77777777" w:rsidR="00496736" w:rsidRPr="00496736" w:rsidRDefault="00496736" w:rsidP="00E1673F">
            <w:pPr>
              <w:pStyle w:val="Zkladntext2"/>
              <w:jc w:val="center"/>
              <w:rPr>
                <w:rFonts w:ascii="Arial" w:hAnsi="Arial" w:cs="Arial"/>
                <w:b/>
                <w:bCs/>
                <w:sz w:val="22"/>
                <w:szCs w:val="22"/>
              </w:rPr>
            </w:pPr>
          </w:p>
        </w:tc>
        <w:tc>
          <w:tcPr>
            <w:tcW w:w="2799" w:type="dxa"/>
            <w:tcBorders>
              <w:top w:val="nil"/>
              <w:left w:val="nil"/>
              <w:bottom w:val="nil"/>
              <w:right w:val="nil"/>
            </w:tcBorders>
            <w:shd w:val="clear" w:color="000000" w:fill="D0D0D0"/>
            <w:noWrap/>
            <w:vAlign w:val="center"/>
            <w:hideMark/>
          </w:tcPr>
          <w:p w14:paraId="3EDF363C" w14:textId="77777777" w:rsidR="00496736" w:rsidRPr="00496736" w:rsidRDefault="00496736" w:rsidP="00E1673F">
            <w:pPr>
              <w:pStyle w:val="Zkladntext2"/>
              <w:jc w:val="center"/>
              <w:rPr>
                <w:rFonts w:ascii="Arial" w:hAnsi="Arial" w:cs="Arial"/>
                <w:sz w:val="22"/>
                <w:szCs w:val="22"/>
              </w:rPr>
            </w:pPr>
            <w:r w:rsidRPr="00496736">
              <w:rPr>
                <w:rFonts w:ascii="Arial" w:hAnsi="Arial" w:cs="Arial"/>
                <w:sz w:val="22"/>
                <w:szCs w:val="22"/>
              </w:rPr>
              <w:t>První veřejná soutěž</w:t>
            </w:r>
          </w:p>
        </w:tc>
        <w:tc>
          <w:tcPr>
            <w:tcW w:w="2799" w:type="dxa"/>
            <w:tcBorders>
              <w:top w:val="nil"/>
              <w:left w:val="nil"/>
              <w:bottom w:val="nil"/>
              <w:right w:val="nil"/>
            </w:tcBorders>
            <w:shd w:val="clear" w:color="000000" w:fill="D0D0D0"/>
            <w:noWrap/>
            <w:vAlign w:val="center"/>
            <w:hideMark/>
          </w:tcPr>
          <w:p w14:paraId="143068FA" w14:textId="77777777" w:rsidR="00496736" w:rsidRPr="00496736" w:rsidRDefault="00496736" w:rsidP="00E1673F">
            <w:pPr>
              <w:pStyle w:val="Zkladntext2"/>
              <w:jc w:val="center"/>
              <w:rPr>
                <w:rFonts w:ascii="Arial" w:hAnsi="Arial" w:cs="Arial"/>
                <w:sz w:val="22"/>
                <w:szCs w:val="22"/>
              </w:rPr>
            </w:pPr>
            <w:r w:rsidRPr="00496736">
              <w:rPr>
                <w:rFonts w:ascii="Arial" w:hAnsi="Arial" w:cs="Arial"/>
                <w:sz w:val="22"/>
                <w:szCs w:val="22"/>
              </w:rPr>
              <w:t>První veřejná soutěž</w:t>
            </w:r>
          </w:p>
        </w:tc>
      </w:tr>
      <w:tr w:rsidR="00496736" w:rsidRPr="00496736" w14:paraId="451F320E" w14:textId="77777777" w:rsidTr="00E1673F">
        <w:trPr>
          <w:trHeight w:val="288"/>
        </w:trPr>
        <w:tc>
          <w:tcPr>
            <w:tcW w:w="960" w:type="dxa"/>
            <w:tcBorders>
              <w:top w:val="nil"/>
              <w:left w:val="nil"/>
              <w:bottom w:val="nil"/>
              <w:right w:val="nil"/>
            </w:tcBorders>
            <w:shd w:val="clear" w:color="auto" w:fill="auto"/>
            <w:noWrap/>
            <w:vAlign w:val="center"/>
            <w:hideMark/>
          </w:tcPr>
          <w:p w14:paraId="1DDB5956"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2027</w:t>
            </w:r>
          </w:p>
        </w:tc>
        <w:tc>
          <w:tcPr>
            <w:tcW w:w="2798" w:type="dxa"/>
            <w:tcBorders>
              <w:top w:val="nil"/>
              <w:left w:val="nil"/>
              <w:bottom w:val="nil"/>
              <w:right w:val="nil"/>
            </w:tcBorders>
            <w:shd w:val="clear" w:color="auto" w:fill="auto"/>
            <w:noWrap/>
            <w:vAlign w:val="center"/>
            <w:hideMark/>
          </w:tcPr>
          <w:p w14:paraId="02FEED85" w14:textId="77777777" w:rsidR="00496736" w:rsidRPr="00496736" w:rsidRDefault="00496736" w:rsidP="00E1673F">
            <w:pPr>
              <w:pStyle w:val="Zkladntext2"/>
              <w:jc w:val="center"/>
              <w:rPr>
                <w:rFonts w:ascii="Arial" w:hAnsi="Arial" w:cs="Arial"/>
                <w:b/>
                <w:bCs/>
                <w:sz w:val="22"/>
                <w:szCs w:val="22"/>
              </w:rPr>
            </w:pPr>
          </w:p>
        </w:tc>
        <w:tc>
          <w:tcPr>
            <w:tcW w:w="2799" w:type="dxa"/>
            <w:tcBorders>
              <w:top w:val="nil"/>
              <w:left w:val="nil"/>
              <w:bottom w:val="nil"/>
              <w:right w:val="nil"/>
            </w:tcBorders>
            <w:shd w:val="clear" w:color="000000" w:fill="D0D0D0"/>
            <w:noWrap/>
            <w:vAlign w:val="center"/>
            <w:hideMark/>
          </w:tcPr>
          <w:p w14:paraId="08EAC06A" w14:textId="77777777" w:rsidR="00496736" w:rsidRPr="00496736" w:rsidRDefault="00496736" w:rsidP="00E1673F">
            <w:pPr>
              <w:pStyle w:val="Zkladntext2"/>
              <w:jc w:val="center"/>
              <w:rPr>
                <w:rFonts w:ascii="Arial" w:hAnsi="Arial" w:cs="Arial"/>
                <w:sz w:val="22"/>
                <w:szCs w:val="22"/>
              </w:rPr>
            </w:pPr>
            <w:r w:rsidRPr="00496736">
              <w:rPr>
                <w:rFonts w:ascii="Arial" w:hAnsi="Arial" w:cs="Arial"/>
                <w:sz w:val="22"/>
                <w:szCs w:val="22"/>
              </w:rPr>
              <w:t>Druhá veřejná soutěž</w:t>
            </w:r>
          </w:p>
        </w:tc>
        <w:tc>
          <w:tcPr>
            <w:tcW w:w="2799" w:type="dxa"/>
            <w:tcBorders>
              <w:top w:val="nil"/>
              <w:left w:val="nil"/>
              <w:bottom w:val="nil"/>
              <w:right w:val="nil"/>
            </w:tcBorders>
            <w:shd w:val="clear" w:color="000000" w:fill="D0D0D0"/>
            <w:noWrap/>
            <w:vAlign w:val="center"/>
            <w:hideMark/>
          </w:tcPr>
          <w:p w14:paraId="30E465B9" w14:textId="77777777" w:rsidR="00496736" w:rsidRPr="00496736" w:rsidRDefault="00496736" w:rsidP="00E1673F">
            <w:pPr>
              <w:pStyle w:val="Zkladntext2"/>
              <w:jc w:val="center"/>
              <w:rPr>
                <w:rFonts w:ascii="Arial" w:hAnsi="Arial" w:cs="Arial"/>
                <w:sz w:val="22"/>
                <w:szCs w:val="22"/>
              </w:rPr>
            </w:pPr>
            <w:r w:rsidRPr="00496736">
              <w:rPr>
                <w:rFonts w:ascii="Arial" w:hAnsi="Arial" w:cs="Arial"/>
                <w:sz w:val="22"/>
                <w:szCs w:val="22"/>
              </w:rPr>
              <w:t>Druhá veřejná soutěž</w:t>
            </w:r>
          </w:p>
        </w:tc>
      </w:tr>
      <w:tr w:rsidR="00496736" w:rsidRPr="00496736" w14:paraId="36FD853A" w14:textId="77777777" w:rsidTr="00E1673F">
        <w:trPr>
          <w:trHeight w:val="288"/>
        </w:trPr>
        <w:tc>
          <w:tcPr>
            <w:tcW w:w="960" w:type="dxa"/>
            <w:tcBorders>
              <w:top w:val="nil"/>
              <w:left w:val="nil"/>
              <w:bottom w:val="nil"/>
              <w:right w:val="nil"/>
            </w:tcBorders>
            <w:shd w:val="clear" w:color="auto" w:fill="auto"/>
            <w:noWrap/>
            <w:vAlign w:val="center"/>
            <w:hideMark/>
          </w:tcPr>
          <w:p w14:paraId="58D01518"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2028</w:t>
            </w:r>
          </w:p>
        </w:tc>
        <w:tc>
          <w:tcPr>
            <w:tcW w:w="2798" w:type="dxa"/>
            <w:tcBorders>
              <w:top w:val="nil"/>
              <w:left w:val="nil"/>
              <w:bottom w:val="nil"/>
              <w:right w:val="nil"/>
            </w:tcBorders>
            <w:shd w:val="clear" w:color="000000" w:fill="D0D0D0"/>
            <w:noWrap/>
            <w:vAlign w:val="center"/>
            <w:hideMark/>
          </w:tcPr>
          <w:p w14:paraId="41C61F52" w14:textId="77777777" w:rsidR="00496736" w:rsidRPr="00496736" w:rsidRDefault="00496736" w:rsidP="00E1673F">
            <w:pPr>
              <w:pStyle w:val="Zkladntext2"/>
              <w:jc w:val="center"/>
              <w:rPr>
                <w:rFonts w:ascii="Arial" w:hAnsi="Arial" w:cs="Arial"/>
                <w:sz w:val="22"/>
                <w:szCs w:val="22"/>
              </w:rPr>
            </w:pPr>
            <w:r w:rsidRPr="00496736">
              <w:rPr>
                <w:rFonts w:ascii="Arial" w:hAnsi="Arial" w:cs="Arial"/>
                <w:sz w:val="22"/>
                <w:szCs w:val="22"/>
              </w:rPr>
              <w:t>Druhá veřejná soutěž</w:t>
            </w:r>
          </w:p>
        </w:tc>
        <w:tc>
          <w:tcPr>
            <w:tcW w:w="2799" w:type="dxa"/>
            <w:tcBorders>
              <w:top w:val="nil"/>
              <w:left w:val="nil"/>
              <w:bottom w:val="nil"/>
              <w:right w:val="nil"/>
            </w:tcBorders>
            <w:shd w:val="clear" w:color="auto" w:fill="auto"/>
            <w:noWrap/>
            <w:vAlign w:val="center"/>
            <w:hideMark/>
          </w:tcPr>
          <w:p w14:paraId="68AC7251" w14:textId="77777777" w:rsidR="00496736" w:rsidRPr="00496736" w:rsidRDefault="00496736" w:rsidP="00E1673F">
            <w:pPr>
              <w:pStyle w:val="Zkladntext2"/>
              <w:jc w:val="center"/>
              <w:rPr>
                <w:rFonts w:ascii="Arial" w:hAnsi="Arial" w:cs="Arial"/>
                <w:sz w:val="22"/>
                <w:szCs w:val="22"/>
              </w:rPr>
            </w:pPr>
          </w:p>
        </w:tc>
        <w:tc>
          <w:tcPr>
            <w:tcW w:w="2799" w:type="dxa"/>
            <w:tcBorders>
              <w:top w:val="nil"/>
              <w:left w:val="nil"/>
              <w:bottom w:val="nil"/>
              <w:right w:val="nil"/>
            </w:tcBorders>
            <w:shd w:val="clear" w:color="auto" w:fill="auto"/>
            <w:noWrap/>
            <w:vAlign w:val="center"/>
            <w:hideMark/>
          </w:tcPr>
          <w:p w14:paraId="3AAA6BFC" w14:textId="77777777" w:rsidR="00496736" w:rsidRPr="00496736" w:rsidRDefault="00496736" w:rsidP="00E1673F">
            <w:pPr>
              <w:pStyle w:val="Zkladntext2"/>
              <w:jc w:val="center"/>
              <w:rPr>
                <w:rFonts w:ascii="Arial" w:hAnsi="Arial" w:cs="Arial"/>
                <w:sz w:val="22"/>
                <w:szCs w:val="22"/>
              </w:rPr>
            </w:pPr>
          </w:p>
        </w:tc>
      </w:tr>
      <w:tr w:rsidR="00496736" w:rsidRPr="00496736" w14:paraId="7ACDA79D" w14:textId="77777777" w:rsidTr="00E1673F">
        <w:trPr>
          <w:trHeight w:val="288"/>
        </w:trPr>
        <w:tc>
          <w:tcPr>
            <w:tcW w:w="960" w:type="dxa"/>
            <w:tcBorders>
              <w:top w:val="nil"/>
              <w:left w:val="nil"/>
              <w:bottom w:val="nil"/>
              <w:right w:val="nil"/>
            </w:tcBorders>
            <w:shd w:val="clear" w:color="auto" w:fill="auto"/>
            <w:noWrap/>
            <w:vAlign w:val="center"/>
            <w:hideMark/>
          </w:tcPr>
          <w:p w14:paraId="36ECE461"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2029</w:t>
            </w:r>
          </w:p>
        </w:tc>
        <w:tc>
          <w:tcPr>
            <w:tcW w:w="2798" w:type="dxa"/>
            <w:tcBorders>
              <w:top w:val="nil"/>
              <w:left w:val="nil"/>
              <w:bottom w:val="nil"/>
              <w:right w:val="nil"/>
            </w:tcBorders>
            <w:shd w:val="clear" w:color="auto" w:fill="auto"/>
            <w:noWrap/>
            <w:vAlign w:val="center"/>
            <w:hideMark/>
          </w:tcPr>
          <w:p w14:paraId="39021CB4" w14:textId="77777777" w:rsidR="00496736" w:rsidRPr="00496736" w:rsidRDefault="00496736" w:rsidP="00E1673F">
            <w:pPr>
              <w:pStyle w:val="Zkladntext2"/>
              <w:jc w:val="center"/>
              <w:rPr>
                <w:rFonts w:ascii="Arial" w:hAnsi="Arial" w:cs="Arial"/>
                <w:b/>
                <w:bCs/>
                <w:sz w:val="22"/>
                <w:szCs w:val="22"/>
              </w:rPr>
            </w:pPr>
          </w:p>
        </w:tc>
        <w:tc>
          <w:tcPr>
            <w:tcW w:w="2799" w:type="dxa"/>
            <w:tcBorders>
              <w:top w:val="nil"/>
              <w:left w:val="nil"/>
              <w:bottom w:val="nil"/>
              <w:right w:val="nil"/>
            </w:tcBorders>
            <w:shd w:val="clear" w:color="000000" w:fill="D0D0D0"/>
            <w:noWrap/>
            <w:vAlign w:val="center"/>
            <w:hideMark/>
          </w:tcPr>
          <w:p w14:paraId="2113F976" w14:textId="77777777" w:rsidR="00496736" w:rsidRPr="00496736" w:rsidRDefault="00496736" w:rsidP="00E1673F">
            <w:pPr>
              <w:pStyle w:val="Zkladntext2"/>
              <w:jc w:val="center"/>
              <w:rPr>
                <w:rFonts w:ascii="Arial" w:hAnsi="Arial" w:cs="Arial"/>
                <w:sz w:val="22"/>
                <w:szCs w:val="22"/>
              </w:rPr>
            </w:pPr>
            <w:r w:rsidRPr="00496736">
              <w:rPr>
                <w:rFonts w:ascii="Arial" w:hAnsi="Arial" w:cs="Arial"/>
                <w:sz w:val="22"/>
                <w:szCs w:val="22"/>
              </w:rPr>
              <w:t>Třetí veřejná soutěž</w:t>
            </w:r>
          </w:p>
        </w:tc>
        <w:tc>
          <w:tcPr>
            <w:tcW w:w="2799" w:type="dxa"/>
            <w:tcBorders>
              <w:top w:val="nil"/>
              <w:left w:val="nil"/>
              <w:bottom w:val="nil"/>
              <w:right w:val="nil"/>
            </w:tcBorders>
            <w:shd w:val="clear" w:color="000000" w:fill="D0D0D0"/>
            <w:noWrap/>
            <w:vAlign w:val="center"/>
            <w:hideMark/>
          </w:tcPr>
          <w:p w14:paraId="1655F611" w14:textId="77777777" w:rsidR="00496736" w:rsidRPr="00496736" w:rsidRDefault="00496736" w:rsidP="00E1673F">
            <w:pPr>
              <w:pStyle w:val="Zkladntext2"/>
              <w:jc w:val="center"/>
              <w:rPr>
                <w:rFonts w:ascii="Arial" w:hAnsi="Arial" w:cs="Arial"/>
                <w:sz w:val="22"/>
                <w:szCs w:val="22"/>
              </w:rPr>
            </w:pPr>
            <w:r w:rsidRPr="00496736">
              <w:rPr>
                <w:rFonts w:ascii="Arial" w:hAnsi="Arial" w:cs="Arial"/>
                <w:sz w:val="22"/>
                <w:szCs w:val="22"/>
              </w:rPr>
              <w:t>Třetí veřejná soutěž</w:t>
            </w:r>
          </w:p>
        </w:tc>
      </w:tr>
      <w:tr w:rsidR="00496736" w:rsidRPr="00496736" w14:paraId="3C6C9F5F" w14:textId="77777777" w:rsidTr="00E1673F">
        <w:trPr>
          <w:trHeight w:val="288"/>
        </w:trPr>
        <w:tc>
          <w:tcPr>
            <w:tcW w:w="960" w:type="dxa"/>
            <w:tcBorders>
              <w:top w:val="nil"/>
              <w:left w:val="nil"/>
              <w:bottom w:val="nil"/>
              <w:right w:val="nil"/>
            </w:tcBorders>
            <w:shd w:val="clear" w:color="auto" w:fill="auto"/>
            <w:noWrap/>
            <w:vAlign w:val="center"/>
            <w:hideMark/>
          </w:tcPr>
          <w:p w14:paraId="3EA43024"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2030</w:t>
            </w:r>
          </w:p>
        </w:tc>
        <w:tc>
          <w:tcPr>
            <w:tcW w:w="2798" w:type="dxa"/>
            <w:tcBorders>
              <w:top w:val="nil"/>
              <w:left w:val="nil"/>
              <w:bottom w:val="nil"/>
              <w:right w:val="nil"/>
            </w:tcBorders>
            <w:shd w:val="clear" w:color="auto" w:fill="auto"/>
            <w:noWrap/>
            <w:vAlign w:val="center"/>
            <w:hideMark/>
          </w:tcPr>
          <w:p w14:paraId="3BD7A387" w14:textId="77777777" w:rsidR="00496736" w:rsidRPr="00496736" w:rsidRDefault="00496736" w:rsidP="00E1673F">
            <w:pPr>
              <w:pStyle w:val="Zkladntext2"/>
              <w:jc w:val="center"/>
              <w:rPr>
                <w:rFonts w:ascii="Arial" w:hAnsi="Arial" w:cs="Arial"/>
                <w:b/>
                <w:bCs/>
                <w:sz w:val="22"/>
                <w:szCs w:val="22"/>
              </w:rPr>
            </w:pPr>
          </w:p>
        </w:tc>
        <w:tc>
          <w:tcPr>
            <w:tcW w:w="2799" w:type="dxa"/>
            <w:tcBorders>
              <w:top w:val="nil"/>
              <w:left w:val="nil"/>
              <w:bottom w:val="nil"/>
              <w:right w:val="nil"/>
            </w:tcBorders>
            <w:shd w:val="clear" w:color="auto" w:fill="auto"/>
            <w:noWrap/>
            <w:vAlign w:val="center"/>
            <w:hideMark/>
          </w:tcPr>
          <w:p w14:paraId="5AA952B3" w14:textId="77777777" w:rsidR="00496736" w:rsidRPr="00496736" w:rsidRDefault="00496736" w:rsidP="00E1673F">
            <w:pPr>
              <w:pStyle w:val="Zkladntext2"/>
              <w:jc w:val="center"/>
              <w:rPr>
                <w:rFonts w:ascii="Arial" w:hAnsi="Arial" w:cs="Arial"/>
                <w:sz w:val="22"/>
                <w:szCs w:val="22"/>
              </w:rPr>
            </w:pPr>
          </w:p>
        </w:tc>
        <w:tc>
          <w:tcPr>
            <w:tcW w:w="2799" w:type="dxa"/>
            <w:tcBorders>
              <w:top w:val="nil"/>
              <w:left w:val="nil"/>
              <w:bottom w:val="nil"/>
              <w:right w:val="nil"/>
            </w:tcBorders>
            <w:shd w:val="clear" w:color="auto" w:fill="auto"/>
            <w:noWrap/>
            <w:vAlign w:val="center"/>
            <w:hideMark/>
          </w:tcPr>
          <w:p w14:paraId="2CD68302" w14:textId="77777777" w:rsidR="00496736" w:rsidRPr="00496736" w:rsidRDefault="00496736" w:rsidP="00E1673F">
            <w:pPr>
              <w:pStyle w:val="Zkladntext2"/>
              <w:jc w:val="center"/>
              <w:rPr>
                <w:rFonts w:ascii="Arial" w:hAnsi="Arial" w:cs="Arial"/>
                <w:sz w:val="22"/>
                <w:szCs w:val="22"/>
              </w:rPr>
            </w:pPr>
          </w:p>
        </w:tc>
      </w:tr>
      <w:tr w:rsidR="00496736" w:rsidRPr="00496736" w14:paraId="59D09CF2" w14:textId="77777777" w:rsidTr="00E1673F">
        <w:trPr>
          <w:trHeight w:val="288"/>
        </w:trPr>
        <w:tc>
          <w:tcPr>
            <w:tcW w:w="960" w:type="dxa"/>
            <w:tcBorders>
              <w:top w:val="nil"/>
              <w:left w:val="nil"/>
              <w:bottom w:val="single" w:sz="4" w:space="0" w:color="auto"/>
              <w:right w:val="nil"/>
            </w:tcBorders>
            <w:shd w:val="clear" w:color="auto" w:fill="auto"/>
            <w:noWrap/>
            <w:vAlign w:val="center"/>
            <w:hideMark/>
          </w:tcPr>
          <w:p w14:paraId="2E2AC978" w14:textId="77777777" w:rsidR="00496736" w:rsidRPr="00496736" w:rsidRDefault="00496736" w:rsidP="00E1673F">
            <w:pPr>
              <w:pStyle w:val="Zkladntext2"/>
              <w:jc w:val="center"/>
              <w:rPr>
                <w:rFonts w:ascii="Arial" w:hAnsi="Arial" w:cs="Arial"/>
                <w:b/>
                <w:bCs/>
                <w:sz w:val="22"/>
                <w:szCs w:val="22"/>
              </w:rPr>
            </w:pPr>
            <w:r w:rsidRPr="00496736">
              <w:rPr>
                <w:rFonts w:ascii="Arial" w:hAnsi="Arial" w:cs="Arial"/>
                <w:b/>
                <w:bCs/>
                <w:sz w:val="22"/>
                <w:szCs w:val="22"/>
              </w:rPr>
              <w:t>2031</w:t>
            </w:r>
          </w:p>
        </w:tc>
        <w:tc>
          <w:tcPr>
            <w:tcW w:w="2798" w:type="dxa"/>
            <w:tcBorders>
              <w:top w:val="nil"/>
              <w:left w:val="nil"/>
              <w:bottom w:val="single" w:sz="4" w:space="0" w:color="auto"/>
              <w:right w:val="nil"/>
            </w:tcBorders>
            <w:shd w:val="clear" w:color="auto" w:fill="auto"/>
            <w:noWrap/>
            <w:vAlign w:val="center"/>
            <w:hideMark/>
          </w:tcPr>
          <w:p w14:paraId="3A7FBEC9" w14:textId="0477E637" w:rsidR="00496736" w:rsidRPr="00496736" w:rsidRDefault="00496736" w:rsidP="00E1673F">
            <w:pPr>
              <w:pStyle w:val="Zkladntext2"/>
              <w:jc w:val="center"/>
              <w:rPr>
                <w:rFonts w:ascii="Arial" w:hAnsi="Arial" w:cs="Arial"/>
                <w:sz w:val="22"/>
                <w:szCs w:val="22"/>
              </w:rPr>
            </w:pPr>
          </w:p>
        </w:tc>
        <w:tc>
          <w:tcPr>
            <w:tcW w:w="2799" w:type="dxa"/>
            <w:tcBorders>
              <w:top w:val="nil"/>
              <w:left w:val="nil"/>
              <w:bottom w:val="single" w:sz="4" w:space="0" w:color="auto"/>
              <w:right w:val="nil"/>
            </w:tcBorders>
            <w:shd w:val="clear" w:color="auto" w:fill="auto"/>
            <w:noWrap/>
            <w:vAlign w:val="center"/>
            <w:hideMark/>
          </w:tcPr>
          <w:p w14:paraId="51C6F5B7" w14:textId="06C777F8" w:rsidR="00496736" w:rsidRPr="00496736" w:rsidRDefault="00496736" w:rsidP="00E1673F">
            <w:pPr>
              <w:pStyle w:val="Zkladntext2"/>
              <w:jc w:val="center"/>
              <w:rPr>
                <w:rFonts w:ascii="Arial" w:hAnsi="Arial" w:cs="Arial"/>
                <w:sz w:val="22"/>
                <w:szCs w:val="22"/>
              </w:rPr>
            </w:pPr>
          </w:p>
        </w:tc>
        <w:tc>
          <w:tcPr>
            <w:tcW w:w="2799" w:type="dxa"/>
            <w:tcBorders>
              <w:top w:val="nil"/>
              <w:left w:val="nil"/>
              <w:bottom w:val="single" w:sz="4" w:space="0" w:color="auto"/>
              <w:right w:val="nil"/>
            </w:tcBorders>
            <w:shd w:val="clear" w:color="auto" w:fill="auto"/>
            <w:noWrap/>
            <w:vAlign w:val="center"/>
            <w:hideMark/>
          </w:tcPr>
          <w:p w14:paraId="58CD5F5F" w14:textId="2D520A1C" w:rsidR="00496736" w:rsidRPr="00496736" w:rsidRDefault="00496736" w:rsidP="00E1673F">
            <w:pPr>
              <w:pStyle w:val="Zkladntext2"/>
              <w:jc w:val="center"/>
              <w:rPr>
                <w:rFonts w:ascii="Arial" w:hAnsi="Arial" w:cs="Arial"/>
                <w:sz w:val="22"/>
                <w:szCs w:val="22"/>
              </w:rPr>
            </w:pPr>
          </w:p>
        </w:tc>
      </w:tr>
    </w:tbl>
    <w:p w14:paraId="0CC0C255" w14:textId="74140749" w:rsidR="00A35C38" w:rsidRPr="00A35C38" w:rsidRDefault="00A35C38" w:rsidP="00E1673F">
      <w:pPr>
        <w:pStyle w:val="Odstavecseseznamem"/>
        <w:keepNext/>
        <w:numPr>
          <w:ilvl w:val="0"/>
          <w:numId w:val="1"/>
        </w:numPr>
        <w:spacing w:before="120" w:after="120"/>
        <w:ind w:left="726"/>
        <w:contextualSpacing w:val="0"/>
        <w:jc w:val="both"/>
        <w:rPr>
          <w:rFonts w:ascii="Arial" w:hAnsi="Arial" w:cs="Arial"/>
          <w:b/>
          <w:color w:val="0070C0"/>
          <w:sz w:val="22"/>
          <w:szCs w:val="22"/>
        </w:rPr>
      </w:pPr>
      <w:r w:rsidRPr="00A35C38">
        <w:rPr>
          <w:rFonts w:ascii="Arial" w:hAnsi="Arial" w:cs="Arial"/>
          <w:b/>
          <w:color w:val="0070C0"/>
          <w:sz w:val="22"/>
          <w:szCs w:val="22"/>
        </w:rPr>
        <w:t xml:space="preserve">Celkové </w:t>
      </w:r>
      <w:r>
        <w:rPr>
          <w:rFonts w:ascii="Arial" w:hAnsi="Arial" w:cs="Arial"/>
          <w:b/>
          <w:color w:val="0070C0"/>
          <w:sz w:val="22"/>
          <w:szCs w:val="22"/>
        </w:rPr>
        <w:t>výdaje na uskutečnění programu</w:t>
      </w:r>
    </w:p>
    <w:p w14:paraId="114A0CF6" w14:textId="2A4A2B82" w:rsidR="008168F5" w:rsidRDefault="008168F5" w:rsidP="00745DF4">
      <w:pPr>
        <w:pStyle w:val="Zkladntext2"/>
        <w:spacing w:after="120"/>
        <w:jc w:val="both"/>
        <w:rPr>
          <w:rFonts w:ascii="Arial" w:hAnsi="Arial" w:cs="Arial"/>
          <w:sz w:val="22"/>
          <w:szCs w:val="22"/>
        </w:rPr>
      </w:pPr>
      <w:r w:rsidRPr="008168F5">
        <w:rPr>
          <w:rFonts w:ascii="Arial" w:hAnsi="Arial" w:cs="Arial"/>
          <w:sz w:val="22"/>
          <w:szCs w:val="22"/>
        </w:rPr>
        <w:t xml:space="preserve">Celkové výdaje na Program se za celou dobu trvání předpokládají ve výši 1 775 000 tis. Kč, rozložených do 6 let čerpání. Předpokládaný poměr mezi podprogramy shrnuje tabulka. V průběhu implementace lze předpokládat úpravy rozpočtu a přesuny mezi podprogramy s ohledem na dostupnost finančních prostředků a také zájem o jednotlivé podporované aktivity. </w:t>
      </w:r>
    </w:p>
    <w:p w14:paraId="60DFEDD1" w14:textId="583E9ADB" w:rsidR="008168F5" w:rsidRPr="008168F5" w:rsidRDefault="008168F5" w:rsidP="008168F5">
      <w:pPr>
        <w:pStyle w:val="Zkladntext2"/>
        <w:spacing w:after="120"/>
        <w:rPr>
          <w:rFonts w:ascii="Arial" w:hAnsi="Arial" w:cs="Arial"/>
          <w:i/>
          <w:iCs/>
          <w:sz w:val="22"/>
          <w:szCs w:val="22"/>
        </w:rPr>
      </w:pPr>
      <w:r w:rsidRPr="008168F5">
        <w:rPr>
          <w:rFonts w:ascii="Arial" w:hAnsi="Arial" w:cs="Arial"/>
          <w:i/>
          <w:iCs/>
          <w:sz w:val="22"/>
          <w:szCs w:val="22"/>
        </w:rPr>
        <w:t xml:space="preserve">Tabulka </w:t>
      </w:r>
      <w:r w:rsidRPr="008168F5">
        <w:rPr>
          <w:rFonts w:ascii="Arial" w:hAnsi="Arial" w:cs="Arial"/>
          <w:i/>
          <w:iCs/>
          <w:sz w:val="22"/>
          <w:szCs w:val="22"/>
        </w:rPr>
        <w:fldChar w:fldCharType="begin"/>
      </w:r>
      <w:r w:rsidRPr="008168F5">
        <w:rPr>
          <w:rFonts w:ascii="Arial" w:hAnsi="Arial" w:cs="Arial"/>
          <w:i/>
          <w:iCs/>
          <w:sz w:val="22"/>
          <w:szCs w:val="22"/>
        </w:rPr>
        <w:instrText xml:space="preserve"> SEQ Tabulka \* ARABIC </w:instrText>
      </w:r>
      <w:r w:rsidRPr="008168F5">
        <w:rPr>
          <w:rFonts w:ascii="Arial" w:hAnsi="Arial" w:cs="Arial"/>
          <w:i/>
          <w:iCs/>
          <w:sz w:val="22"/>
          <w:szCs w:val="22"/>
        </w:rPr>
        <w:fldChar w:fldCharType="separate"/>
      </w:r>
      <w:r w:rsidR="00496736">
        <w:rPr>
          <w:rFonts w:ascii="Arial" w:hAnsi="Arial" w:cs="Arial"/>
          <w:i/>
          <w:iCs/>
          <w:noProof/>
          <w:sz w:val="22"/>
          <w:szCs w:val="22"/>
        </w:rPr>
        <w:t>2</w:t>
      </w:r>
      <w:r w:rsidRPr="008168F5">
        <w:rPr>
          <w:rFonts w:ascii="Arial" w:hAnsi="Arial" w:cs="Arial"/>
          <w:sz w:val="22"/>
          <w:szCs w:val="22"/>
        </w:rPr>
        <w:fldChar w:fldCharType="end"/>
      </w:r>
      <w:r w:rsidRPr="008168F5">
        <w:rPr>
          <w:rFonts w:ascii="Arial" w:hAnsi="Arial" w:cs="Arial"/>
          <w:i/>
          <w:iCs/>
          <w:sz w:val="22"/>
          <w:szCs w:val="22"/>
        </w:rPr>
        <w:t xml:space="preserve"> - Celkové výdaje Programu IMPAKT 2 (v tis. Kč)</w:t>
      </w:r>
    </w:p>
    <w:tbl>
      <w:tblPr>
        <w:tblW w:w="9072" w:type="dxa"/>
        <w:jc w:val="center"/>
        <w:tblLayout w:type="fixed"/>
        <w:tblCellMar>
          <w:left w:w="70" w:type="dxa"/>
          <w:right w:w="70" w:type="dxa"/>
        </w:tblCellMar>
        <w:tblLook w:val="04A0" w:firstRow="1" w:lastRow="0" w:firstColumn="1" w:lastColumn="0" w:noHBand="0" w:noVBand="1"/>
      </w:tblPr>
      <w:tblGrid>
        <w:gridCol w:w="960"/>
        <w:gridCol w:w="1158"/>
        <w:gridCol w:w="1159"/>
        <w:gridCol w:w="1159"/>
        <w:gridCol w:w="1159"/>
        <w:gridCol w:w="1159"/>
        <w:gridCol w:w="1159"/>
        <w:gridCol w:w="1159"/>
      </w:tblGrid>
      <w:tr w:rsidR="008168F5" w:rsidRPr="008168F5" w14:paraId="1B1C364B" w14:textId="77777777" w:rsidTr="00A35C38">
        <w:trPr>
          <w:trHeight w:val="288"/>
          <w:jc w:val="center"/>
        </w:trPr>
        <w:tc>
          <w:tcPr>
            <w:tcW w:w="960" w:type="dxa"/>
            <w:tcBorders>
              <w:top w:val="single" w:sz="4" w:space="0" w:color="auto"/>
              <w:left w:val="nil"/>
              <w:bottom w:val="single" w:sz="4" w:space="0" w:color="auto"/>
              <w:right w:val="nil"/>
            </w:tcBorders>
            <w:shd w:val="clear" w:color="auto" w:fill="auto"/>
            <w:noWrap/>
            <w:vAlign w:val="center"/>
            <w:hideMark/>
          </w:tcPr>
          <w:p w14:paraId="09B34A77" w14:textId="11A300CD" w:rsidR="008168F5" w:rsidRPr="008168F5" w:rsidRDefault="008168F5" w:rsidP="00A35C38">
            <w:pPr>
              <w:pStyle w:val="Zkladntext2"/>
              <w:spacing w:before="60" w:after="60"/>
              <w:jc w:val="center"/>
              <w:rPr>
                <w:rFonts w:ascii="Arial" w:hAnsi="Arial" w:cs="Arial"/>
                <w:sz w:val="22"/>
                <w:szCs w:val="22"/>
              </w:rPr>
            </w:pPr>
          </w:p>
        </w:tc>
        <w:tc>
          <w:tcPr>
            <w:tcW w:w="1158" w:type="dxa"/>
            <w:tcBorders>
              <w:top w:val="single" w:sz="4" w:space="0" w:color="auto"/>
              <w:left w:val="nil"/>
              <w:bottom w:val="single" w:sz="4" w:space="0" w:color="auto"/>
              <w:right w:val="nil"/>
            </w:tcBorders>
            <w:shd w:val="clear" w:color="auto" w:fill="auto"/>
            <w:noWrap/>
            <w:vAlign w:val="center"/>
            <w:hideMark/>
          </w:tcPr>
          <w:p w14:paraId="3E3C5B0C"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2026</w:t>
            </w:r>
          </w:p>
        </w:tc>
        <w:tc>
          <w:tcPr>
            <w:tcW w:w="1159" w:type="dxa"/>
            <w:tcBorders>
              <w:top w:val="single" w:sz="4" w:space="0" w:color="auto"/>
              <w:left w:val="nil"/>
              <w:bottom w:val="single" w:sz="4" w:space="0" w:color="auto"/>
              <w:right w:val="nil"/>
            </w:tcBorders>
            <w:shd w:val="clear" w:color="auto" w:fill="auto"/>
            <w:noWrap/>
            <w:vAlign w:val="center"/>
            <w:hideMark/>
          </w:tcPr>
          <w:p w14:paraId="2C7DAE75"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2027</w:t>
            </w:r>
          </w:p>
        </w:tc>
        <w:tc>
          <w:tcPr>
            <w:tcW w:w="1159" w:type="dxa"/>
            <w:tcBorders>
              <w:top w:val="single" w:sz="4" w:space="0" w:color="auto"/>
              <w:left w:val="nil"/>
              <w:bottom w:val="single" w:sz="4" w:space="0" w:color="auto"/>
              <w:right w:val="nil"/>
            </w:tcBorders>
            <w:shd w:val="clear" w:color="auto" w:fill="auto"/>
            <w:noWrap/>
            <w:vAlign w:val="center"/>
            <w:hideMark/>
          </w:tcPr>
          <w:p w14:paraId="6C9A82D6"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2028</w:t>
            </w:r>
          </w:p>
        </w:tc>
        <w:tc>
          <w:tcPr>
            <w:tcW w:w="1159" w:type="dxa"/>
            <w:tcBorders>
              <w:top w:val="single" w:sz="4" w:space="0" w:color="auto"/>
              <w:left w:val="nil"/>
              <w:bottom w:val="single" w:sz="4" w:space="0" w:color="auto"/>
              <w:right w:val="nil"/>
            </w:tcBorders>
            <w:shd w:val="clear" w:color="auto" w:fill="auto"/>
            <w:noWrap/>
            <w:vAlign w:val="center"/>
            <w:hideMark/>
          </w:tcPr>
          <w:p w14:paraId="7E9A3EC1"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2029</w:t>
            </w:r>
          </w:p>
        </w:tc>
        <w:tc>
          <w:tcPr>
            <w:tcW w:w="1159" w:type="dxa"/>
            <w:tcBorders>
              <w:top w:val="single" w:sz="4" w:space="0" w:color="auto"/>
              <w:left w:val="nil"/>
              <w:bottom w:val="single" w:sz="4" w:space="0" w:color="auto"/>
              <w:right w:val="nil"/>
            </w:tcBorders>
            <w:shd w:val="clear" w:color="auto" w:fill="auto"/>
            <w:noWrap/>
            <w:vAlign w:val="center"/>
            <w:hideMark/>
          </w:tcPr>
          <w:p w14:paraId="7E666B6B"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2030</w:t>
            </w:r>
          </w:p>
        </w:tc>
        <w:tc>
          <w:tcPr>
            <w:tcW w:w="1159" w:type="dxa"/>
            <w:tcBorders>
              <w:top w:val="single" w:sz="4" w:space="0" w:color="auto"/>
              <w:left w:val="nil"/>
              <w:bottom w:val="single" w:sz="4" w:space="0" w:color="auto"/>
              <w:right w:val="nil"/>
            </w:tcBorders>
            <w:shd w:val="clear" w:color="auto" w:fill="auto"/>
            <w:noWrap/>
            <w:vAlign w:val="center"/>
            <w:hideMark/>
          </w:tcPr>
          <w:p w14:paraId="3A33EB12"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2031</w:t>
            </w:r>
          </w:p>
        </w:tc>
        <w:tc>
          <w:tcPr>
            <w:tcW w:w="1159" w:type="dxa"/>
            <w:tcBorders>
              <w:top w:val="single" w:sz="4" w:space="0" w:color="auto"/>
              <w:left w:val="nil"/>
              <w:bottom w:val="single" w:sz="4" w:space="0" w:color="auto"/>
              <w:right w:val="nil"/>
            </w:tcBorders>
            <w:shd w:val="clear" w:color="auto" w:fill="auto"/>
            <w:noWrap/>
            <w:vAlign w:val="center"/>
            <w:hideMark/>
          </w:tcPr>
          <w:p w14:paraId="74CDED79"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Celkem</w:t>
            </w:r>
          </w:p>
        </w:tc>
      </w:tr>
      <w:tr w:rsidR="008168F5" w:rsidRPr="008168F5" w14:paraId="2B05240B" w14:textId="77777777" w:rsidTr="00A35C38">
        <w:trPr>
          <w:trHeight w:val="288"/>
          <w:jc w:val="center"/>
        </w:trPr>
        <w:tc>
          <w:tcPr>
            <w:tcW w:w="960" w:type="dxa"/>
            <w:tcBorders>
              <w:top w:val="nil"/>
              <w:left w:val="nil"/>
              <w:bottom w:val="nil"/>
              <w:right w:val="nil"/>
            </w:tcBorders>
            <w:shd w:val="clear" w:color="auto" w:fill="auto"/>
            <w:noWrap/>
            <w:vAlign w:val="center"/>
            <w:hideMark/>
          </w:tcPr>
          <w:p w14:paraId="245B8E20"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PP 1</w:t>
            </w:r>
          </w:p>
        </w:tc>
        <w:tc>
          <w:tcPr>
            <w:tcW w:w="1158" w:type="dxa"/>
            <w:tcBorders>
              <w:top w:val="nil"/>
              <w:left w:val="nil"/>
              <w:bottom w:val="nil"/>
              <w:right w:val="nil"/>
            </w:tcBorders>
            <w:shd w:val="clear" w:color="auto" w:fill="auto"/>
            <w:noWrap/>
            <w:vAlign w:val="center"/>
            <w:hideMark/>
          </w:tcPr>
          <w:p w14:paraId="676821E9"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108 000</w:t>
            </w:r>
          </w:p>
        </w:tc>
        <w:tc>
          <w:tcPr>
            <w:tcW w:w="1159" w:type="dxa"/>
            <w:tcBorders>
              <w:top w:val="nil"/>
              <w:left w:val="nil"/>
              <w:bottom w:val="nil"/>
              <w:right w:val="nil"/>
            </w:tcBorders>
            <w:shd w:val="clear" w:color="auto" w:fill="auto"/>
            <w:noWrap/>
            <w:vAlign w:val="center"/>
            <w:hideMark/>
          </w:tcPr>
          <w:p w14:paraId="20E9E201"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216 000</w:t>
            </w:r>
          </w:p>
        </w:tc>
        <w:tc>
          <w:tcPr>
            <w:tcW w:w="1159" w:type="dxa"/>
            <w:tcBorders>
              <w:top w:val="nil"/>
              <w:left w:val="nil"/>
              <w:bottom w:val="nil"/>
              <w:right w:val="nil"/>
            </w:tcBorders>
            <w:shd w:val="clear" w:color="auto" w:fill="auto"/>
            <w:noWrap/>
            <w:vAlign w:val="center"/>
            <w:hideMark/>
          </w:tcPr>
          <w:p w14:paraId="47900B97"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252 000</w:t>
            </w:r>
          </w:p>
        </w:tc>
        <w:tc>
          <w:tcPr>
            <w:tcW w:w="1159" w:type="dxa"/>
            <w:tcBorders>
              <w:top w:val="nil"/>
              <w:left w:val="nil"/>
              <w:bottom w:val="nil"/>
              <w:right w:val="nil"/>
            </w:tcBorders>
            <w:shd w:val="clear" w:color="auto" w:fill="auto"/>
            <w:noWrap/>
            <w:vAlign w:val="center"/>
            <w:hideMark/>
          </w:tcPr>
          <w:p w14:paraId="7C1987C7"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252 000</w:t>
            </w:r>
          </w:p>
        </w:tc>
        <w:tc>
          <w:tcPr>
            <w:tcW w:w="1159" w:type="dxa"/>
            <w:tcBorders>
              <w:top w:val="nil"/>
              <w:left w:val="nil"/>
              <w:bottom w:val="nil"/>
              <w:right w:val="nil"/>
            </w:tcBorders>
            <w:shd w:val="clear" w:color="auto" w:fill="auto"/>
            <w:noWrap/>
            <w:vAlign w:val="center"/>
            <w:hideMark/>
          </w:tcPr>
          <w:p w14:paraId="7A7ADB05"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234 000</w:t>
            </w:r>
          </w:p>
        </w:tc>
        <w:tc>
          <w:tcPr>
            <w:tcW w:w="1159" w:type="dxa"/>
            <w:tcBorders>
              <w:top w:val="nil"/>
              <w:left w:val="nil"/>
              <w:bottom w:val="nil"/>
              <w:right w:val="nil"/>
            </w:tcBorders>
            <w:shd w:val="clear" w:color="auto" w:fill="auto"/>
            <w:noWrap/>
            <w:vAlign w:val="center"/>
            <w:hideMark/>
          </w:tcPr>
          <w:p w14:paraId="5631473A"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216 000</w:t>
            </w:r>
          </w:p>
        </w:tc>
        <w:tc>
          <w:tcPr>
            <w:tcW w:w="1159" w:type="dxa"/>
            <w:tcBorders>
              <w:top w:val="nil"/>
              <w:left w:val="nil"/>
              <w:bottom w:val="nil"/>
              <w:right w:val="nil"/>
            </w:tcBorders>
            <w:shd w:val="clear" w:color="auto" w:fill="auto"/>
            <w:noWrap/>
            <w:vAlign w:val="center"/>
            <w:hideMark/>
          </w:tcPr>
          <w:p w14:paraId="3B865203"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1 278 000</w:t>
            </w:r>
          </w:p>
        </w:tc>
      </w:tr>
      <w:tr w:rsidR="008168F5" w:rsidRPr="008168F5" w14:paraId="504875D4" w14:textId="77777777" w:rsidTr="00A35C38">
        <w:trPr>
          <w:trHeight w:val="288"/>
          <w:jc w:val="center"/>
        </w:trPr>
        <w:tc>
          <w:tcPr>
            <w:tcW w:w="960" w:type="dxa"/>
            <w:tcBorders>
              <w:top w:val="nil"/>
              <w:left w:val="nil"/>
              <w:bottom w:val="nil"/>
              <w:right w:val="nil"/>
            </w:tcBorders>
            <w:shd w:val="clear" w:color="auto" w:fill="auto"/>
            <w:noWrap/>
            <w:vAlign w:val="center"/>
            <w:hideMark/>
          </w:tcPr>
          <w:p w14:paraId="7F44837F"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PP 2</w:t>
            </w:r>
          </w:p>
        </w:tc>
        <w:tc>
          <w:tcPr>
            <w:tcW w:w="1158" w:type="dxa"/>
            <w:tcBorders>
              <w:top w:val="nil"/>
              <w:left w:val="nil"/>
              <w:bottom w:val="nil"/>
              <w:right w:val="nil"/>
            </w:tcBorders>
            <w:shd w:val="clear" w:color="auto" w:fill="auto"/>
            <w:noWrap/>
            <w:vAlign w:val="center"/>
            <w:hideMark/>
          </w:tcPr>
          <w:p w14:paraId="0275A69C"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22 500</w:t>
            </w:r>
          </w:p>
        </w:tc>
        <w:tc>
          <w:tcPr>
            <w:tcW w:w="1159" w:type="dxa"/>
            <w:tcBorders>
              <w:top w:val="nil"/>
              <w:left w:val="nil"/>
              <w:bottom w:val="nil"/>
              <w:right w:val="nil"/>
            </w:tcBorders>
            <w:shd w:val="clear" w:color="auto" w:fill="auto"/>
            <w:noWrap/>
            <w:vAlign w:val="center"/>
            <w:hideMark/>
          </w:tcPr>
          <w:p w14:paraId="768571BB"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45 000</w:t>
            </w:r>
          </w:p>
        </w:tc>
        <w:tc>
          <w:tcPr>
            <w:tcW w:w="1159" w:type="dxa"/>
            <w:tcBorders>
              <w:top w:val="nil"/>
              <w:left w:val="nil"/>
              <w:bottom w:val="nil"/>
              <w:right w:val="nil"/>
            </w:tcBorders>
            <w:shd w:val="clear" w:color="auto" w:fill="auto"/>
            <w:noWrap/>
            <w:vAlign w:val="center"/>
            <w:hideMark/>
          </w:tcPr>
          <w:p w14:paraId="78690293"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52 500</w:t>
            </w:r>
          </w:p>
        </w:tc>
        <w:tc>
          <w:tcPr>
            <w:tcW w:w="1159" w:type="dxa"/>
            <w:tcBorders>
              <w:top w:val="nil"/>
              <w:left w:val="nil"/>
              <w:bottom w:val="nil"/>
              <w:right w:val="nil"/>
            </w:tcBorders>
            <w:shd w:val="clear" w:color="auto" w:fill="auto"/>
            <w:noWrap/>
            <w:vAlign w:val="center"/>
            <w:hideMark/>
          </w:tcPr>
          <w:p w14:paraId="6F94CB0B"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52 500</w:t>
            </w:r>
          </w:p>
        </w:tc>
        <w:tc>
          <w:tcPr>
            <w:tcW w:w="1159" w:type="dxa"/>
            <w:tcBorders>
              <w:top w:val="nil"/>
              <w:left w:val="nil"/>
              <w:bottom w:val="nil"/>
              <w:right w:val="nil"/>
            </w:tcBorders>
            <w:shd w:val="clear" w:color="auto" w:fill="auto"/>
            <w:noWrap/>
            <w:vAlign w:val="center"/>
            <w:hideMark/>
          </w:tcPr>
          <w:p w14:paraId="3A3E58C3"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48 750</w:t>
            </w:r>
          </w:p>
        </w:tc>
        <w:tc>
          <w:tcPr>
            <w:tcW w:w="1159" w:type="dxa"/>
            <w:tcBorders>
              <w:top w:val="nil"/>
              <w:left w:val="nil"/>
              <w:bottom w:val="nil"/>
              <w:right w:val="nil"/>
            </w:tcBorders>
            <w:shd w:val="clear" w:color="auto" w:fill="auto"/>
            <w:noWrap/>
            <w:vAlign w:val="center"/>
            <w:hideMark/>
          </w:tcPr>
          <w:p w14:paraId="04DFFCBF"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45 000</w:t>
            </w:r>
          </w:p>
        </w:tc>
        <w:tc>
          <w:tcPr>
            <w:tcW w:w="1159" w:type="dxa"/>
            <w:tcBorders>
              <w:top w:val="nil"/>
              <w:left w:val="nil"/>
              <w:bottom w:val="nil"/>
              <w:right w:val="nil"/>
            </w:tcBorders>
            <w:shd w:val="clear" w:color="auto" w:fill="auto"/>
            <w:noWrap/>
            <w:vAlign w:val="center"/>
            <w:hideMark/>
          </w:tcPr>
          <w:p w14:paraId="1FEFDEF1"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266 250</w:t>
            </w:r>
          </w:p>
        </w:tc>
      </w:tr>
      <w:tr w:rsidR="008168F5" w:rsidRPr="008168F5" w14:paraId="229573E5" w14:textId="77777777" w:rsidTr="00A35C38">
        <w:trPr>
          <w:trHeight w:val="288"/>
          <w:jc w:val="center"/>
        </w:trPr>
        <w:tc>
          <w:tcPr>
            <w:tcW w:w="960" w:type="dxa"/>
            <w:tcBorders>
              <w:top w:val="nil"/>
              <w:left w:val="nil"/>
              <w:bottom w:val="nil"/>
              <w:right w:val="nil"/>
            </w:tcBorders>
            <w:shd w:val="clear" w:color="auto" w:fill="auto"/>
            <w:noWrap/>
            <w:vAlign w:val="center"/>
            <w:hideMark/>
          </w:tcPr>
          <w:p w14:paraId="06DD1B4A"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PP 3</w:t>
            </w:r>
          </w:p>
        </w:tc>
        <w:tc>
          <w:tcPr>
            <w:tcW w:w="1158" w:type="dxa"/>
            <w:tcBorders>
              <w:top w:val="nil"/>
              <w:left w:val="nil"/>
              <w:bottom w:val="nil"/>
              <w:right w:val="nil"/>
            </w:tcBorders>
            <w:shd w:val="clear" w:color="auto" w:fill="auto"/>
            <w:noWrap/>
            <w:vAlign w:val="center"/>
            <w:hideMark/>
          </w:tcPr>
          <w:p w14:paraId="6B6C8E1E"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19 500</w:t>
            </w:r>
          </w:p>
        </w:tc>
        <w:tc>
          <w:tcPr>
            <w:tcW w:w="1159" w:type="dxa"/>
            <w:tcBorders>
              <w:top w:val="nil"/>
              <w:left w:val="nil"/>
              <w:bottom w:val="nil"/>
              <w:right w:val="nil"/>
            </w:tcBorders>
            <w:shd w:val="clear" w:color="auto" w:fill="auto"/>
            <w:noWrap/>
            <w:vAlign w:val="center"/>
            <w:hideMark/>
          </w:tcPr>
          <w:p w14:paraId="3E95037E"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39 000</w:t>
            </w:r>
          </w:p>
        </w:tc>
        <w:tc>
          <w:tcPr>
            <w:tcW w:w="1159" w:type="dxa"/>
            <w:tcBorders>
              <w:top w:val="nil"/>
              <w:left w:val="nil"/>
              <w:bottom w:val="nil"/>
              <w:right w:val="nil"/>
            </w:tcBorders>
            <w:shd w:val="clear" w:color="auto" w:fill="auto"/>
            <w:noWrap/>
            <w:vAlign w:val="center"/>
            <w:hideMark/>
          </w:tcPr>
          <w:p w14:paraId="75B3D681"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45 500</w:t>
            </w:r>
          </w:p>
        </w:tc>
        <w:tc>
          <w:tcPr>
            <w:tcW w:w="1159" w:type="dxa"/>
            <w:tcBorders>
              <w:top w:val="nil"/>
              <w:left w:val="nil"/>
              <w:bottom w:val="nil"/>
              <w:right w:val="nil"/>
            </w:tcBorders>
            <w:shd w:val="clear" w:color="auto" w:fill="auto"/>
            <w:noWrap/>
            <w:vAlign w:val="center"/>
            <w:hideMark/>
          </w:tcPr>
          <w:p w14:paraId="0F391BFC"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45 500</w:t>
            </w:r>
          </w:p>
        </w:tc>
        <w:tc>
          <w:tcPr>
            <w:tcW w:w="1159" w:type="dxa"/>
            <w:tcBorders>
              <w:top w:val="nil"/>
              <w:left w:val="nil"/>
              <w:bottom w:val="nil"/>
              <w:right w:val="nil"/>
            </w:tcBorders>
            <w:shd w:val="clear" w:color="auto" w:fill="auto"/>
            <w:noWrap/>
            <w:vAlign w:val="center"/>
            <w:hideMark/>
          </w:tcPr>
          <w:p w14:paraId="1CF3559C"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42 250</w:t>
            </w:r>
          </w:p>
        </w:tc>
        <w:tc>
          <w:tcPr>
            <w:tcW w:w="1159" w:type="dxa"/>
            <w:tcBorders>
              <w:top w:val="nil"/>
              <w:left w:val="nil"/>
              <w:bottom w:val="nil"/>
              <w:right w:val="nil"/>
            </w:tcBorders>
            <w:shd w:val="clear" w:color="auto" w:fill="auto"/>
            <w:noWrap/>
            <w:vAlign w:val="center"/>
            <w:hideMark/>
          </w:tcPr>
          <w:p w14:paraId="3E280AF4" w14:textId="77777777" w:rsidR="008168F5" w:rsidRPr="008168F5" w:rsidRDefault="008168F5" w:rsidP="00A35C38">
            <w:pPr>
              <w:pStyle w:val="Zkladntext2"/>
              <w:spacing w:before="60" w:after="60"/>
              <w:jc w:val="center"/>
              <w:rPr>
                <w:rFonts w:ascii="Arial" w:hAnsi="Arial" w:cs="Arial"/>
                <w:sz w:val="22"/>
                <w:szCs w:val="22"/>
              </w:rPr>
            </w:pPr>
            <w:r w:rsidRPr="008168F5">
              <w:rPr>
                <w:rFonts w:ascii="Arial" w:hAnsi="Arial" w:cs="Arial"/>
                <w:sz w:val="22"/>
                <w:szCs w:val="22"/>
              </w:rPr>
              <w:t>39 000</w:t>
            </w:r>
          </w:p>
        </w:tc>
        <w:tc>
          <w:tcPr>
            <w:tcW w:w="1159" w:type="dxa"/>
            <w:tcBorders>
              <w:top w:val="nil"/>
              <w:left w:val="nil"/>
              <w:bottom w:val="nil"/>
              <w:right w:val="nil"/>
            </w:tcBorders>
            <w:shd w:val="clear" w:color="auto" w:fill="auto"/>
            <w:noWrap/>
            <w:vAlign w:val="center"/>
            <w:hideMark/>
          </w:tcPr>
          <w:p w14:paraId="2138FED8"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230 750</w:t>
            </w:r>
          </w:p>
        </w:tc>
      </w:tr>
      <w:tr w:rsidR="008168F5" w:rsidRPr="008168F5" w14:paraId="1B68E32C" w14:textId="77777777" w:rsidTr="00A35C38">
        <w:trPr>
          <w:trHeight w:val="288"/>
          <w:jc w:val="center"/>
        </w:trPr>
        <w:tc>
          <w:tcPr>
            <w:tcW w:w="960" w:type="dxa"/>
            <w:tcBorders>
              <w:top w:val="single" w:sz="4" w:space="0" w:color="auto"/>
              <w:left w:val="nil"/>
              <w:bottom w:val="single" w:sz="4" w:space="0" w:color="auto"/>
              <w:right w:val="nil"/>
            </w:tcBorders>
            <w:shd w:val="clear" w:color="auto" w:fill="auto"/>
            <w:noWrap/>
            <w:vAlign w:val="center"/>
            <w:hideMark/>
          </w:tcPr>
          <w:p w14:paraId="5A8BE059"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Celkem</w:t>
            </w:r>
          </w:p>
        </w:tc>
        <w:tc>
          <w:tcPr>
            <w:tcW w:w="1158" w:type="dxa"/>
            <w:tcBorders>
              <w:top w:val="single" w:sz="4" w:space="0" w:color="auto"/>
              <w:left w:val="nil"/>
              <w:bottom w:val="single" w:sz="4" w:space="0" w:color="auto"/>
              <w:right w:val="nil"/>
            </w:tcBorders>
            <w:shd w:val="clear" w:color="auto" w:fill="auto"/>
            <w:noWrap/>
            <w:vAlign w:val="center"/>
            <w:hideMark/>
          </w:tcPr>
          <w:p w14:paraId="432A8D19"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150 000</w:t>
            </w:r>
          </w:p>
        </w:tc>
        <w:tc>
          <w:tcPr>
            <w:tcW w:w="1159" w:type="dxa"/>
            <w:tcBorders>
              <w:top w:val="single" w:sz="4" w:space="0" w:color="auto"/>
              <w:left w:val="nil"/>
              <w:bottom w:val="single" w:sz="4" w:space="0" w:color="auto"/>
              <w:right w:val="nil"/>
            </w:tcBorders>
            <w:shd w:val="clear" w:color="auto" w:fill="auto"/>
            <w:noWrap/>
            <w:vAlign w:val="center"/>
            <w:hideMark/>
          </w:tcPr>
          <w:p w14:paraId="5273DEF5"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300 000</w:t>
            </w:r>
          </w:p>
        </w:tc>
        <w:tc>
          <w:tcPr>
            <w:tcW w:w="1159" w:type="dxa"/>
            <w:tcBorders>
              <w:top w:val="single" w:sz="4" w:space="0" w:color="auto"/>
              <w:left w:val="nil"/>
              <w:bottom w:val="single" w:sz="4" w:space="0" w:color="auto"/>
              <w:right w:val="nil"/>
            </w:tcBorders>
            <w:shd w:val="clear" w:color="auto" w:fill="auto"/>
            <w:noWrap/>
            <w:vAlign w:val="center"/>
            <w:hideMark/>
          </w:tcPr>
          <w:p w14:paraId="423D45E7"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350 000</w:t>
            </w:r>
          </w:p>
        </w:tc>
        <w:tc>
          <w:tcPr>
            <w:tcW w:w="1159" w:type="dxa"/>
            <w:tcBorders>
              <w:top w:val="single" w:sz="4" w:space="0" w:color="auto"/>
              <w:left w:val="nil"/>
              <w:bottom w:val="single" w:sz="4" w:space="0" w:color="auto"/>
              <w:right w:val="nil"/>
            </w:tcBorders>
            <w:shd w:val="clear" w:color="auto" w:fill="auto"/>
            <w:noWrap/>
            <w:vAlign w:val="center"/>
            <w:hideMark/>
          </w:tcPr>
          <w:p w14:paraId="43AF9425"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350 000</w:t>
            </w:r>
          </w:p>
        </w:tc>
        <w:tc>
          <w:tcPr>
            <w:tcW w:w="1159" w:type="dxa"/>
            <w:tcBorders>
              <w:top w:val="single" w:sz="4" w:space="0" w:color="auto"/>
              <w:left w:val="nil"/>
              <w:bottom w:val="single" w:sz="4" w:space="0" w:color="auto"/>
              <w:right w:val="nil"/>
            </w:tcBorders>
            <w:shd w:val="clear" w:color="auto" w:fill="auto"/>
            <w:noWrap/>
            <w:vAlign w:val="center"/>
            <w:hideMark/>
          </w:tcPr>
          <w:p w14:paraId="41D3387E"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325 000</w:t>
            </w:r>
          </w:p>
        </w:tc>
        <w:tc>
          <w:tcPr>
            <w:tcW w:w="1159" w:type="dxa"/>
            <w:tcBorders>
              <w:top w:val="single" w:sz="4" w:space="0" w:color="auto"/>
              <w:left w:val="nil"/>
              <w:bottom w:val="single" w:sz="4" w:space="0" w:color="auto"/>
              <w:right w:val="nil"/>
            </w:tcBorders>
            <w:shd w:val="clear" w:color="auto" w:fill="auto"/>
            <w:noWrap/>
            <w:vAlign w:val="center"/>
            <w:hideMark/>
          </w:tcPr>
          <w:p w14:paraId="5F2B0693"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300 000</w:t>
            </w:r>
          </w:p>
        </w:tc>
        <w:tc>
          <w:tcPr>
            <w:tcW w:w="1159" w:type="dxa"/>
            <w:tcBorders>
              <w:top w:val="single" w:sz="4" w:space="0" w:color="auto"/>
              <w:left w:val="nil"/>
              <w:bottom w:val="single" w:sz="4" w:space="0" w:color="auto"/>
              <w:right w:val="nil"/>
            </w:tcBorders>
            <w:shd w:val="clear" w:color="auto" w:fill="auto"/>
            <w:noWrap/>
            <w:vAlign w:val="center"/>
            <w:hideMark/>
          </w:tcPr>
          <w:p w14:paraId="10A81637" w14:textId="77777777" w:rsidR="008168F5" w:rsidRPr="008168F5" w:rsidRDefault="008168F5" w:rsidP="00A35C38">
            <w:pPr>
              <w:pStyle w:val="Zkladntext2"/>
              <w:spacing w:before="60" w:after="60"/>
              <w:jc w:val="center"/>
              <w:rPr>
                <w:rFonts w:ascii="Arial" w:hAnsi="Arial" w:cs="Arial"/>
                <w:b/>
                <w:bCs/>
                <w:sz w:val="22"/>
                <w:szCs w:val="22"/>
              </w:rPr>
            </w:pPr>
            <w:r w:rsidRPr="008168F5">
              <w:rPr>
                <w:rFonts w:ascii="Arial" w:hAnsi="Arial" w:cs="Arial"/>
                <w:b/>
                <w:bCs/>
                <w:sz w:val="22"/>
                <w:szCs w:val="22"/>
              </w:rPr>
              <w:t>1 775 000</w:t>
            </w:r>
          </w:p>
        </w:tc>
      </w:tr>
    </w:tbl>
    <w:p w14:paraId="20311AAC" w14:textId="77777777" w:rsidR="008168F5" w:rsidRPr="008168F5" w:rsidRDefault="008168F5" w:rsidP="00745DF4">
      <w:pPr>
        <w:pStyle w:val="Zkladntext2"/>
        <w:spacing w:before="120" w:after="120"/>
        <w:jc w:val="both"/>
        <w:rPr>
          <w:rFonts w:ascii="Arial" w:hAnsi="Arial" w:cs="Arial"/>
          <w:sz w:val="22"/>
          <w:szCs w:val="22"/>
        </w:rPr>
      </w:pPr>
      <w:r w:rsidRPr="008168F5">
        <w:rPr>
          <w:rFonts w:ascii="Arial" w:hAnsi="Arial" w:cs="Arial"/>
          <w:sz w:val="22"/>
          <w:szCs w:val="22"/>
        </w:rPr>
        <w:t xml:space="preserve">S ohledem na omezení Programu na výzkumné organizace se nepředpokládá spoluúčast ze soukromých prostředků. Očekává se tedy intenzita podpory 100 % způsobilých nákladů projektů u všech tří podprogramů. </w:t>
      </w:r>
    </w:p>
    <w:p w14:paraId="16D8EFA2" w14:textId="0CF2A951" w:rsidR="008168F5" w:rsidRDefault="008168F5" w:rsidP="00745DF4">
      <w:pPr>
        <w:pStyle w:val="Zkladntext2"/>
        <w:spacing w:after="120"/>
        <w:jc w:val="both"/>
        <w:rPr>
          <w:rFonts w:ascii="Arial" w:hAnsi="Arial" w:cs="Arial"/>
          <w:sz w:val="22"/>
          <w:szCs w:val="22"/>
        </w:rPr>
      </w:pPr>
      <w:r w:rsidRPr="008168F5">
        <w:rPr>
          <w:rFonts w:ascii="Arial" w:hAnsi="Arial" w:cs="Arial"/>
          <w:sz w:val="22"/>
          <w:szCs w:val="22"/>
        </w:rPr>
        <w:lastRenderedPageBreak/>
        <w:t>Protože PP 1 synergicky doplňuje program institucionální podpory Ministerstva vnitra (tj. podporovat obsah, který není v institucionální podpoře řešen), bude participace příjemců institucionální podpory Ministerstva vnitra omezena na max. 20 % celkové finanční podpory projektu (toto omezení se týká pouze PP 1). Finanční rozsah podpory jednotlivých projektů celkem i na jeden rok bude pro všechny podprogramy stanoven v zadávací dokumentaci příslušné veřejné soutěže.</w:t>
      </w:r>
    </w:p>
    <w:p w14:paraId="7BC3863C" w14:textId="7BF42E33" w:rsidR="000838B5" w:rsidRPr="000838B5" w:rsidRDefault="00CA7160" w:rsidP="000838B5">
      <w:pPr>
        <w:pStyle w:val="Odstavecseseznamem"/>
        <w:numPr>
          <w:ilvl w:val="0"/>
          <w:numId w:val="1"/>
        </w:numPr>
        <w:spacing w:after="120"/>
        <w:contextualSpacing w:val="0"/>
        <w:rPr>
          <w:rFonts w:ascii="Arial" w:hAnsi="Arial" w:cs="Arial"/>
          <w:b/>
          <w:color w:val="0070C0"/>
          <w:sz w:val="22"/>
          <w:szCs w:val="22"/>
        </w:rPr>
      </w:pPr>
      <w:r>
        <w:rPr>
          <w:rFonts w:ascii="Arial" w:hAnsi="Arial" w:cs="Arial"/>
          <w:b/>
          <w:color w:val="0070C0"/>
          <w:sz w:val="22"/>
          <w:szCs w:val="22"/>
        </w:rPr>
        <w:t>Hodnocení</w:t>
      </w:r>
      <w:r w:rsidR="000838B5">
        <w:rPr>
          <w:rFonts w:ascii="Arial" w:hAnsi="Arial" w:cs="Arial"/>
          <w:b/>
          <w:color w:val="0070C0"/>
          <w:sz w:val="22"/>
          <w:szCs w:val="22"/>
        </w:rPr>
        <w:t xml:space="preserve"> a</w:t>
      </w:r>
      <w:r>
        <w:rPr>
          <w:rFonts w:ascii="Arial" w:hAnsi="Arial" w:cs="Arial"/>
          <w:b/>
          <w:color w:val="0070C0"/>
          <w:sz w:val="22"/>
          <w:szCs w:val="22"/>
        </w:rPr>
        <w:t xml:space="preserve"> monitorování projektů a Programu</w:t>
      </w:r>
      <w:r w:rsidR="00C31AF9" w:rsidRPr="00C31AF9">
        <w:rPr>
          <w:rFonts w:ascii="Arial" w:hAnsi="Arial" w:cs="Arial"/>
          <w:b/>
          <w:color w:val="0070C0"/>
          <w:sz w:val="22"/>
          <w:szCs w:val="22"/>
        </w:rPr>
        <w:t>:</w:t>
      </w:r>
    </w:p>
    <w:p w14:paraId="37217D9D" w14:textId="6FB465DB" w:rsidR="000838B5" w:rsidRPr="000838B5" w:rsidRDefault="001A12B7" w:rsidP="00706262">
      <w:pPr>
        <w:autoSpaceDE w:val="0"/>
        <w:autoSpaceDN w:val="0"/>
        <w:adjustRightInd w:val="0"/>
        <w:spacing w:after="120"/>
        <w:jc w:val="both"/>
        <w:rPr>
          <w:rFonts w:ascii="Arial" w:hAnsi="Arial" w:cs="Arial"/>
          <w:sz w:val="22"/>
          <w:szCs w:val="22"/>
        </w:rPr>
      </w:pPr>
      <w:r>
        <w:rPr>
          <w:rFonts w:ascii="Arial" w:hAnsi="Arial" w:cs="Arial"/>
          <w:sz w:val="22"/>
          <w:szCs w:val="22"/>
        </w:rPr>
        <w:t>H</w:t>
      </w:r>
      <w:r w:rsidR="000838B5" w:rsidRPr="000838B5">
        <w:rPr>
          <w:rFonts w:ascii="Arial" w:hAnsi="Arial" w:cs="Arial"/>
          <w:sz w:val="22"/>
          <w:szCs w:val="22"/>
        </w:rPr>
        <w:t>odnocení i monitorování jsou detailně zpracovány, včetně</w:t>
      </w:r>
      <w:r w:rsidR="000838B5">
        <w:rPr>
          <w:rFonts w:ascii="Arial" w:hAnsi="Arial" w:cs="Arial"/>
          <w:sz w:val="22"/>
          <w:szCs w:val="22"/>
        </w:rPr>
        <w:t xml:space="preserve"> posouzení rizik</w:t>
      </w:r>
      <w:r w:rsidR="00365E5D">
        <w:rPr>
          <w:rFonts w:ascii="Arial" w:hAnsi="Arial" w:cs="Arial"/>
          <w:sz w:val="22"/>
          <w:szCs w:val="22"/>
        </w:rPr>
        <w:t xml:space="preserve"> realizace Programu</w:t>
      </w:r>
      <w:r>
        <w:rPr>
          <w:rFonts w:ascii="Arial" w:hAnsi="Arial" w:cs="Arial"/>
          <w:sz w:val="22"/>
          <w:szCs w:val="22"/>
        </w:rPr>
        <w:t xml:space="preserve">. </w:t>
      </w:r>
      <w:r w:rsidR="007E6E15">
        <w:rPr>
          <w:rFonts w:ascii="Arial" w:hAnsi="Arial" w:cs="Arial"/>
          <w:sz w:val="22"/>
          <w:szCs w:val="22"/>
        </w:rPr>
        <w:t>Hodnocení splnění cílů bude provedeno na základě funkčnosti a efektivity za použití přesně definovaných kritérií.</w:t>
      </w:r>
    </w:p>
    <w:p w14:paraId="3E8821A8" w14:textId="719311BC" w:rsidR="00FF3F74" w:rsidRDefault="00BC3AB2" w:rsidP="00706262">
      <w:pPr>
        <w:autoSpaceDE w:val="0"/>
        <w:autoSpaceDN w:val="0"/>
        <w:adjustRightInd w:val="0"/>
        <w:spacing w:after="120"/>
        <w:jc w:val="both"/>
        <w:rPr>
          <w:rFonts w:ascii="Arial" w:hAnsi="Arial" w:cs="Arial"/>
          <w:sz w:val="22"/>
          <w:szCs w:val="22"/>
        </w:rPr>
      </w:pPr>
      <w:r w:rsidRPr="005D5AD2">
        <w:rPr>
          <w:rFonts w:ascii="Arial" w:hAnsi="Arial" w:cs="Arial"/>
          <w:b/>
          <w:sz w:val="22"/>
          <w:szCs w:val="22"/>
        </w:rPr>
        <w:t>Hodnocení projektů</w:t>
      </w:r>
      <w:r>
        <w:rPr>
          <w:rFonts w:ascii="Arial" w:hAnsi="Arial" w:cs="Arial"/>
          <w:sz w:val="22"/>
          <w:szCs w:val="22"/>
        </w:rPr>
        <w:t xml:space="preserve"> bude provedeno v </w:t>
      </w:r>
      <w:r w:rsidRPr="00BC3AB2">
        <w:rPr>
          <w:rFonts w:ascii="Arial" w:hAnsi="Arial" w:cs="Arial"/>
          <w:sz w:val="22"/>
          <w:szCs w:val="22"/>
        </w:rPr>
        <w:t>soula</w:t>
      </w:r>
      <w:r>
        <w:rPr>
          <w:rFonts w:ascii="Arial" w:hAnsi="Arial" w:cs="Arial"/>
          <w:sz w:val="22"/>
          <w:szCs w:val="22"/>
        </w:rPr>
        <w:t xml:space="preserve">du s § 21 zákona č. 130/2002 </w:t>
      </w:r>
      <w:proofErr w:type="gramStart"/>
      <w:r>
        <w:rPr>
          <w:rFonts w:ascii="Arial" w:hAnsi="Arial" w:cs="Arial"/>
          <w:sz w:val="22"/>
          <w:szCs w:val="22"/>
        </w:rPr>
        <w:t>Sb..</w:t>
      </w:r>
      <w:proofErr w:type="gramEnd"/>
      <w:r>
        <w:rPr>
          <w:rFonts w:ascii="Arial" w:hAnsi="Arial" w:cs="Arial"/>
          <w:sz w:val="22"/>
          <w:szCs w:val="22"/>
        </w:rPr>
        <w:t xml:space="preserve"> Kritéria hodnocení jednotlivých projektů jsou vylučovací a bodovací, </w:t>
      </w:r>
      <w:r w:rsidR="005D5AD2">
        <w:rPr>
          <w:rFonts w:ascii="Arial" w:hAnsi="Arial" w:cs="Arial"/>
          <w:sz w:val="22"/>
          <w:szCs w:val="22"/>
        </w:rPr>
        <w:t>hodnotící</w:t>
      </w:r>
      <w:r>
        <w:rPr>
          <w:rFonts w:ascii="Arial" w:hAnsi="Arial" w:cs="Arial"/>
          <w:sz w:val="22"/>
          <w:szCs w:val="22"/>
        </w:rPr>
        <w:t xml:space="preserve"> jak splnění podmínek veřejné soutěže, ta</w:t>
      </w:r>
      <w:r w:rsidR="00FF3F74">
        <w:rPr>
          <w:rFonts w:ascii="Arial" w:hAnsi="Arial" w:cs="Arial"/>
          <w:sz w:val="22"/>
          <w:szCs w:val="22"/>
        </w:rPr>
        <w:t>k i přínos a kvalitu výsledk</w:t>
      </w:r>
      <w:r w:rsidR="005D5AD2">
        <w:rPr>
          <w:rFonts w:ascii="Arial" w:hAnsi="Arial" w:cs="Arial"/>
          <w:sz w:val="22"/>
          <w:szCs w:val="22"/>
        </w:rPr>
        <w:t>ů</w:t>
      </w:r>
      <w:r w:rsidR="00FF3F74">
        <w:rPr>
          <w:rFonts w:ascii="Arial" w:hAnsi="Arial" w:cs="Arial"/>
          <w:sz w:val="22"/>
          <w:szCs w:val="22"/>
        </w:rPr>
        <w:t xml:space="preserve">, </w:t>
      </w:r>
      <w:r>
        <w:rPr>
          <w:rFonts w:ascii="Arial" w:hAnsi="Arial" w:cs="Arial"/>
          <w:sz w:val="22"/>
          <w:szCs w:val="22"/>
        </w:rPr>
        <w:t>proveditelnost</w:t>
      </w:r>
      <w:r w:rsidR="005D5AD2">
        <w:rPr>
          <w:rFonts w:ascii="Arial" w:hAnsi="Arial" w:cs="Arial"/>
          <w:sz w:val="22"/>
          <w:szCs w:val="22"/>
        </w:rPr>
        <w:t>,</w:t>
      </w:r>
      <w:r>
        <w:rPr>
          <w:rFonts w:ascii="Arial" w:hAnsi="Arial" w:cs="Arial"/>
          <w:sz w:val="22"/>
          <w:szCs w:val="22"/>
        </w:rPr>
        <w:t xml:space="preserve"> </w:t>
      </w:r>
      <w:r w:rsidR="00FF3F74">
        <w:rPr>
          <w:rFonts w:ascii="Arial" w:hAnsi="Arial" w:cs="Arial"/>
          <w:sz w:val="22"/>
          <w:szCs w:val="22"/>
        </w:rPr>
        <w:t>nastavení managementu a</w:t>
      </w:r>
      <w:r w:rsidR="00423343">
        <w:rPr>
          <w:rFonts w:ascii="Arial" w:hAnsi="Arial" w:cs="Arial"/>
          <w:sz w:val="22"/>
          <w:szCs w:val="22"/>
        </w:rPr>
        <w:t> </w:t>
      </w:r>
      <w:r w:rsidR="00FF3F74">
        <w:rPr>
          <w:rFonts w:ascii="Arial" w:hAnsi="Arial" w:cs="Arial"/>
          <w:sz w:val="22"/>
          <w:szCs w:val="22"/>
        </w:rPr>
        <w:t xml:space="preserve">finanční parametry projektu, včetně </w:t>
      </w:r>
      <w:r w:rsidR="00521BCD">
        <w:rPr>
          <w:rFonts w:ascii="Arial" w:hAnsi="Arial" w:cs="Arial"/>
          <w:sz w:val="22"/>
          <w:szCs w:val="22"/>
        </w:rPr>
        <w:t xml:space="preserve">hodnocení uživatelem v případě PP1. </w:t>
      </w:r>
    </w:p>
    <w:p w14:paraId="13D22780" w14:textId="77777777" w:rsidR="000B0E6F" w:rsidRDefault="005D5AD2" w:rsidP="00706262">
      <w:pPr>
        <w:autoSpaceDE w:val="0"/>
        <w:autoSpaceDN w:val="0"/>
        <w:adjustRightInd w:val="0"/>
        <w:spacing w:after="120"/>
        <w:jc w:val="both"/>
        <w:rPr>
          <w:rFonts w:ascii="Arial" w:hAnsi="Arial" w:cs="Arial"/>
          <w:b/>
          <w:sz w:val="22"/>
          <w:szCs w:val="22"/>
        </w:rPr>
      </w:pPr>
      <w:r w:rsidRPr="005D5AD2">
        <w:rPr>
          <w:rFonts w:ascii="Arial" w:hAnsi="Arial" w:cs="Arial"/>
          <w:b/>
          <w:sz w:val="22"/>
          <w:szCs w:val="22"/>
        </w:rPr>
        <w:t xml:space="preserve">Monitorování </w:t>
      </w:r>
      <w:r w:rsidR="007E6E15">
        <w:rPr>
          <w:rFonts w:ascii="Arial" w:hAnsi="Arial" w:cs="Arial"/>
          <w:sz w:val="22"/>
          <w:szCs w:val="22"/>
        </w:rPr>
        <w:t xml:space="preserve">programu bude probíhat kontinuálně sledování kvantitativních ukazatelů ze závěrečných zpráv o realizaci projektů, sledujících </w:t>
      </w:r>
      <w:r w:rsidR="007E6E15" w:rsidRPr="007E6E15">
        <w:rPr>
          <w:rFonts w:ascii="Arial" w:hAnsi="Arial" w:cs="Arial"/>
          <w:sz w:val="22"/>
          <w:szCs w:val="22"/>
        </w:rPr>
        <w:t xml:space="preserve">počet a strukturální charakteristiky projektů a příjemců </w:t>
      </w:r>
      <w:r w:rsidR="007E6E15">
        <w:rPr>
          <w:rFonts w:ascii="Arial" w:hAnsi="Arial" w:cs="Arial"/>
          <w:sz w:val="22"/>
          <w:szCs w:val="22"/>
        </w:rPr>
        <w:t xml:space="preserve">a </w:t>
      </w:r>
      <w:r w:rsidR="007E6E15" w:rsidRPr="007E6E15">
        <w:rPr>
          <w:rFonts w:ascii="Arial" w:hAnsi="Arial" w:cs="Arial"/>
          <w:sz w:val="22"/>
          <w:szCs w:val="22"/>
        </w:rPr>
        <w:t>čerpání finančních prostředků</w:t>
      </w:r>
      <w:r w:rsidR="007E6E15">
        <w:rPr>
          <w:rFonts w:ascii="Arial" w:hAnsi="Arial" w:cs="Arial"/>
          <w:sz w:val="22"/>
          <w:szCs w:val="22"/>
        </w:rPr>
        <w:t>.</w:t>
      </w:r>
    </w:p>
    <w:p w14:paraId="66D6358C" w14:textId="2D67841F" w:rsidR="000222E5" w:rsidRPr="00CA7160" w:rsidRDefault="000B0E6F" w:rsidP="00706262">
      <w:pPr>
        <w:autoSpaceDE w:val="0"/>
        <w:autoSpaceDN w:val="0"/>
        <w:adjustRightInd w:val="0"/>
        <w:spacing w:after="120"/>
        <w:jc w:val="both"/>
        <w:rPr>
          <w:rFonts w:ascii="Arial" w:hAnsi="Arial" w:cs="Arial"/>
          <w:sz w:val="22"/>
          <w:szCs w:val="22"/>
        </w:rPr>
      </w:pPr>
      <w:r>
        <w:rPr>
          <w:rFonts w:ascii="Arial" w:hAnsi="Arial" w:cs="Arial"/>
          <w:b/>
          <w:sz w:val="22"/>
          <w:szCs w:val="22"/>
        </w:rPr>
        <w:t xml:space="preserve">Hodnocení </w:t>
      </w:r>
      <w:r w:rsidRPr="000B0E6F">
        <w:rPr>
          <w:rFonts w:ascii="Arial" w:hAnsi="Arial" w:cs="Arial"/>
          <w:sz w:val="22"/>
          <w:szCs w:val="22"/>
        </w:rPr>
        <w:t xml:space="preserve">programu </w:t>
      </w:r>
      <w:r>
        <w:rPr>
          <w:rFonts w:ascii="Arial" w:hAnsi="Arial" w:cs="Arial"/>
          <w:sz w:val="22"/>
          <w:szCs w:val="22"/>
        </w:rPr>
        <w:t xml:space="preserve">bude realizováno průběžně na úrovni veřejných soutěží a podprogramů, a po jeho ukončení s hodnocením dopadů. </w:t>
      </w:r>
    </w:p>
    <w:p w14:paraId="67232EB7" w14:textId="09C429FC" w:rsidR="008F5A81" w:rsidRPr="00C31AF9" w:rsidRDefault="008F5A81" w:rsidP="00745DF4">
      <w:pPr>
        <w:pStyle w:val="Odstavecseseznamem"/>
        <w:numPr>
          <w:ilvl w:val="0"/>
          <w:numId w:val="1"/>
        </w:numPr>
        <w:spacing w:after="120"/>
        <w:contextualSpacing w:val="0"/>
        <w:jc w:val="both"/>
        <w:rPr>
          <w:rFonts w:ascii="Arial" w:hAnsi="Arial" w:cs="Arial"/>
          <w:b/>
          <w:color w:val="0070C0"/>
          <w:sz w:val="22"/>
          <w:szCs w:val="22"/>
        </w:rPr>
      </w:pPr>
      <w:r w:rsidRPr="00C31AF9">
        <w:rPr>
          <w:rFonts w:ascii="Arial" w:hAnsi="Arial" w:cs="Arial"/>
          <w:b/>
          <w:color w:val="0070C0"/>
          <w:sz w:val="22"/>
          <w:szCs w:val="22"/>
        </w:rPr>
        <w:t>Srovnání se současným stavem v České republice a v zahraničí</w:t>
      </w:r>
    </w:p>
    <w:p w14:paraId="16A16B0E" w14:textId="77C236B6" w:rsidR="0051448A" w:rsidRPr="009A77F2" w:rsidRDefault="0051448A" w:rsidP="0051448A">
      <w:pPr>
        <w:spacing w:after="120"/>
        <w:jc w:val="both"/>
        <w:rPr>
          <w:rFonts w:ascii="Arial" w:hAnsi="Arial" w:cs="Arial"/>
          <w:sz w:val="22"/>
          <w:szCs w:val="22"/>
        </w:rPr>
      </w:pPr>
      <w:r w:rsidRPr="009A77F2">
        <w:rPr>
          <w:rFonts w:ascii="Arial" w:hAnsi="Arial" w:cs="Arial"/>
          <w:sz w:val="22"/>
          <w:szCs w:val="22"/>
        </w:rPr>
        <w:t xml:space="preserve">Program IMPAKT 2 navazuje na zkušenosti z realizace Programu IMPAKT 1 a přináší významné změny parametrů směrem ke stabilizaci podpořených týmů s důrazem na rozvoj udržitelnosti. Je součástí </w:t>
      </w:r>
      <w:r w:rsidR="00744400">
        <w:rPr>
          <w:rFonts w:ascii="Arial" w:hAnsi="Arial" w:cs="Arial"/>
          <w:sz w:val="22"/>
          <w:szCs w:val="22"/>
        </w:rPr>
        <w:t>následující skupiny</w:t>
      </w:r>
      <w:r w:rsidRPr="009A77F2">
        <w:rPr>
          <w:rFonts w:ascii="Arial" w:hAnsi="Arial" w:cs="Arial"/>
          <w:sz w:val="22"/>
          <w:szCs w:val="22"/>
        </w:rPr>
        <w:t xml:space="preserve"> programů na podporu bezpečnostního výzkumu a je komplementární k institucionální podpoře na dlouhodobý koncepční rozvoj výzkumných organizací. </w:t>
      </w:r>
    </w:p>
    <w:p w14:paraId="4994AA96" w14:textId="5D3E2AA0" w:rsidR="0051448A" w:rsidRPr="009A77F2" w:rsidRDefault="0051448A" w:rsidP="00315F7B">
      <w:pPr>
        <w:numPr>
          <w:ilvl w:val="0"/>
          <w:numId w:val="20"/>
        </w:numPr>
        <w:spacing w:after="120"/>
        <w:jc w:val="both"/>
        <w:rPr>
          <w:rFonts w:ascii="Arial" w:hAnsi="Arial" w:cs="Arial"/>
          <w:sz w:val="22"/>
          <w:szCs w:val="22"/>
        </w:rPr>
      </w:pPr>
      <w:r w:rsidRPr="009A77F2">
        <w:rPr>
          <w:rFonts w:ascii="Arial" w:hAnsi="Arial" w:cs="Arial"/>
          <w:b/>
          <w:sz w:val="22"/>
          <w:szCs w:val="22"/>
        </w:rPr>
        <w:t>Program Otevřené výzvy v bezpečnostním výzkumu 2023–2029 (OPSEC)</w:t>
      </w:r>
      <w:r w:rsidR="009A77F2" w:rsidRPr="009A77F2">
        <w:rPr>
          <w:rFonts w:ascii="Arial" w:hAnsi="Arial" w:cs="Arial"/>
          <w:sz w:val="22"/>
          <w:szCs w:val="22"/>
        </w:rPr>
        <w:t>, který</w:t>
      </w:r>
      <w:r w:rsidRPr="009A77F2">
        <w:rPr>
          <w:rFonts w:ascii="Arial" w:hAnsi="Arial" w:cs="Arial"/>
          <w:sz w:val="22"/>
          <w:szCs w:val="22"/>
        </w:rPr>
        <w:t xml:space="preserve"> je páteřním programem portfolia programových nástrojů účelové podpory bezpečnostního výzkumu. </w:t>
      </w:r>
    </w:p>
    <w:p w14:paraId="676126AA" w14:textId="04EA31F1" w:rsidR="0051448A" w:rsidRPr="009A77F2" w:rsidRDefault="0051448A" w:rsidP="00315F7B">
      <w:pPr>
        <w:numPr>
          <w:ilvl w:val="0"/>
          <w:numId w:val="20"/>
        </w:numPr>
        <w:spacing w:after="120"/>
        <w:jc w:val="both"/>
        <w:rPr>
          <w:rFonts w:ascii="Arial" w:hAnsi="Arial" w:cs="Arial"/>
          <w:sz w:val="22"/>
          <w:szCs w:val="22"/>
        </w:rPr>
      </w:pPr>
      <w:r w:rsidRPr="009A77F2">
        <w:rPr>
          <w:rFonts w:ascii="Arial" w:hAnsi="Arial" w:cs="Arial"/>
          <w:b/>
          <w:sz w:val="22"/>
          <w:szCs w:val="22"/>
        </w:rPr>
        <w:t>Program bezpečnostního výzkumu pro potřeby státu 2022–2027 (</w:t>
      </w:r>
      <w:proofErr w:type="spellStart"/>
      <w:r w:rsidRPr="009A77F2">
        <w:rPr>
          <w:rFonts w:ascii="Arial" w:hAnsi="Arial" w:cs="Arial"/>
          <w:b/>
          <w:sz w:val="22"/>
          <w:szCs w:val="22"/>
        </w:rPr>
        <w:t>SecPro</w:t>
      </w:r>
      <w:proofErr w:type="spellEnd"/>
      <w:r w:rsidRPr="009A77F2">
        <w:rPr>
          <w:rFonts w:ascii="Arial" w:hAnsi="Arial" w:cs="Arial"/>
          <w:b/>
          <w:sz w:val="22"/>
          <w:szCs w:val="22"/>
        </w:rPr>
        <w:t>)</w:t>
      </w:r>
      <w:r w:rsidR="009A77F2" w:rsidRPr="009A77F2">
        <w:rPr>
          <w:rFonts w:ascii="Arial" w:hAnsi="Arial" w:cs="Arial"/>
          <w:sz w:val="22"/>
          <w:szCs w:val="22"/>
        </w:rPr>
        <w:t>, který</w:t>
      </w:r>
      <w:r w:rsidRPr="009A77F2">
        <w:rPr>
          <w:rFonts w:ascii="Arial" w:hAnsi="Arial" w:cs="Arial"/>
          <w:b/>
          <w:bCs/>
          <w:sz w:val="22"/>
          <w:szCs w:val="22"/>
        </w:rPr>
        <w:t xml:space="preserve"> </w:t>
      </w:r>
      <w:r w:rsidRPr="009A77F2">
        <w:rPr>
          <w:rFonts w:ascii="Arial" w:hAnsi="Arial" w:cs="Arial"/>
          <w:sz w:val="22"/>
          <w:szCs w:val="22"/>
        </w:rPr>
        <w:t>je realizován zadáváním jednotlivých veřejných zakázek na služby ve výzkumu a</w:t>
      </w:r>
      <w:r w:rsidR="00423343">
        <w:rPr>
          <w:rFonts w:ascii="Arial" w:hAnsi="Arial" w:cs="Arial"/>
          <w:sz w:val="22"/>
          <w:szCs w:val="22"/>
        </w:rPr>
        <w:t> </w:t>
      </w:r>
      <w:r w:rsidRPr="009A77F2">
        <w:rPr>
          <w:rFonts w:ascii="Arial" w:hAnsi="Arial" w:cs="Arial"/>
          <w:sz w:val="22"/>
          <w:szCs w:val="22"/>
        </w:rPr>
        <w:t>experimentálním vývoji</w:t>
      </w:r>
      <w:r w:rsidR="009A77F2">
        <w:rPr>
          <w:rFonts w:ascii="Arial" w:hAnsi="Arial" w:cs="Arial"/>
          <w:sz w:val="22"/>
          <w:szCs w:val="22"/>
        </w:rPr>
        <w:t xml:space="preserve"> pro</w:t>
      </w:r>
      <w:r w:rsidRPr="009A77F2">
        <w:rPr>
          <w:rFonts w:ascii="Arial" w:hAnsi="Arial" w:cs="Arial"/>
          <w:sz w:val="22"/>
          <w:szCs w:val="22"/>
        </w:rPr>
        <w:t xml:space="preserve"> zajištění výzkumných potřeb státu v oblasti bezpečn</w:t>
      </w:r>
      <w:r w:rsidR="009A77F2">
        <w:rPr>
          <w:rFonts w:ascii="Arial" w:hAnsi="Arial" w:cs="Arial"/>
          <w:sz w:val="22"/>
          <w:szCs w:val="22"/>
        </w:rPr>
        <w:t>osti.</w:t>
      </w:r>
    </w:p>
    <w:p w14:paraId="1515305C" w14:textId="0D9AD02C" w:rsidR="0051448A" w:rsidRPr="009A77F2" w:rsidRDefault="0051448A" w:rsidP="00315F7B">
      <w:pPr>
        <w:numPr>
          <w:ilvl w:val="0"/>
          <w:numId w:val="20"/>
        </w:numPr>
        <w:spacing w:after="120"/>
        <w:jc w:val="both"/>
        <w:rPr>
          <w:rFonts w:ascii="Arial" w:hAnsi="Arial" w:cs="Arial"/>
          <w:sz w:val="22"/>
          <w:szCs w:val="22"/>
        </w:rPr>
      </w:pPr>
      <w:r w:rsidRPr="009A77F2">
        <w:rPr>
          <w:rFonts w:ascii="Arial" w:hAnsi="Arial" w:cs="Arial"/>
          <w:b/>
          <w:sz w:val="22"/>
          <w:szCs w:val="22"/>
        </w:rPr>
        <w:t>Program bezpečnostního výzkumu ČR 2021–2026: vývoj, testování a evaluace nových bezpečnostních technologií (SECTECH)</w:t>
      </w:r>
      <w:r w:rsidR="009A77F2">
        <w:rPr>
          <w:rFonts w:ascii="Arial" w:hAnsi="Arial" w:cs="Arial"/>
          <w:sz w:val="22"/>
          <w:szCs w:val="22"/>
        </w:rPr>
        <w:t xml:space="preserve">, který </w:t>
      </w:r>
      <w:r w:rsidRPr="009A77F2">
        <w:rPr>
          <w:rFonts w:ascii="Arial" w:hAnsi="Arial" w:cs="Arial"/>
          <w:sz w:val="22"/>
          <w:szCs w:val="22"/>
        </w:rPr>
        <w:t>podporuje</w:t>
      </w:r>
      <w:r w:rsidRPr="009A77F2">
        <w:rPr>
          <w:rFonts w:ascii="Arial" w:hAnsi="Arial" w:cs="Arial"/>
          <w:b/>
          <w:bCs/>
          <w:sz w:val="22"/>
          <w:szCs w:val="22"/>
        </w:rPr>
        <w:t xml:space="preserve"> </w:t>
      </w:r>
      <w:r w:rsidRPr="009A77F2">
        <w:rPr>
          <w:rFonts w:ascii="Arial" w:hAnsi="Arial" w:cs="Arial"/>
          <w:sz w:val="22"/>
          <w:szCs w:val="22"/>
        </w:rPr>
        <w:t>vývojové, testovací a evaluační aktivity v oblasti bezpečnosti státu a jeho občanů v souladu s</w:t>
      </w:r>
      <w:r w:rsidR="00423343">
        <w:rPr>
          <w:rFonts w:ascii="Arial" w:hAnsi="Arial" w:cs="Arial"/>
          <w:sz w:val="22"/>
          <w:szCs w:val="22"/>
        </w:rPr>
        <w:t> </w:t>
      </w:r>
      <w:r w:rsidRPr="009A77F2">
        <w:rPr>
          <w:rFonts w:ascii="Arial" w:hAnsi="Arial" w:cs="Arial"/>
          <w:sz w:val="22"/>
          <w:szCs w:val="22"/>
        </w:rPr>
        <w:t xml:space="preserve">charakteristickými potřebami bezpečnostního systému. </w:t>
      </w:r>
    </w:p>
    <w:p w14:paraId="62A576A0" w14:textId="77777777" w:rsidR="003A2EC1" w:rsidRDefault="0051448A" w:rsidP="003A2EC1">
      <w:pPr>
        <w:spacing w:after="120"/>
        <w:jc w:val="both"/>
        <w:rPr>
          <w:rFonts w:ascii="Arial" w:hAnsi="Arial" w:cs="Arial"/>
          <w:sz w:val="22"/>
          <w:szCs w:val="22"/>
        </w:rPr>
      </w:pPr>
      <w:r w:rsidRPr="009A77F2">
        <w:rPr>
          <w:rFonts w:ascii="Arial" w:hAnsi="Arial" w:cs="Arial"/>
          <w:sz w:val="22"/>
          <w:szCs w:val="22"/>
        </w:rPr>
        <w:t>Žádný z podprogramů Programu IMPAKT 2 nemá v ČR přímý ekvivalent, ve kterém by hrozily přek</w:t>
      </w:r>
      <w:r w:rsidR="00744400">
        <w:rPr>
          <w:rFonts w:ascii="Arial" w:hAnsi="Arial" w:cs="Arial"/>
          <w:sz w:val="22"/>
          <w:szCs w:val="22"/>
        </w:rPr>
        <w:t>ryv</w:t>
      </w:r>
      <w:r w:rsidR="002338EB">
        <w:rPr>
          <w:rFonts w:ascii="Arial" w:hAnsi="Arial" w:cs="Arial"/>
          <w:sz w:val="22"/>
          <w:szCs w:val="22"/>
        </w:rPr>
        <w:t>y nebo neefektivní přístupy. Z</w:t>
      </w:r>
      <w:r w:rsidR="00744400">
        <w:rPr>
          <w:rFonts w:ascii="Arial" w:hAnsi="Arial" w:cs="Arial"/>
          <w:sz w:val="22"/>
          <w:szCs w:val="22"/>
        </w:rPr>
        <w:t xml:space="preserve">ároveň </w:t>
      </w:r>
      <w:r w:rsidRPr="009A77F2">
        <w:rPr>
          <w:rFonts w:ascii="Arial" w:hAnsi="Arial" w:cs="Arial"/>
          <w:sz w:val="22"/>
          <w:szCs w:val="22"/>
        </w:rPr>
        <w:t xml:space="preserve">vychází z požadavků na úzké propojení s praxí bezpečnostního systému a jeho specializovaných požadavků v různém časovém horizontu. </w:t>
      </w:r>
      <w:r w:rsidR="009A77F2">
        <w:rPr>
          <w:rFonts w:ascii="Arial" w:hAnsi="Arial" w:cs="Arial"/>
          <w:sz w:val="22"/>
          <w:szCs w:val="22"/>
        </w:rPr>
        <w:t>K</w:t>
      </w:r>
      <w:r w:rsidRPr="009A77F2">
        <w:rPr>
          <w:rFonts w:ascii="Arial" w:hAnsi="Arial" w:cs="Arial"/>
          <w:sz w:val="22"/>
          <w:szCs w:val="22"/>
        </w:rPr>
        <w:t>olem programů Ministerstva vnitra</w:t>
      </w:r>
      <w:r w:rsidR="009A77F2">
        <w:rPr>
          <w:rFonts w:ascii="Arial" w:hAnsi="Arial" w:cs="Arial"/>
          <w:sz w:val="22"/>
          <w:szCs w:val="22"/>
        </w:rPr>
        <w:t xml:space="preserve"> se</w:t>
      </w:r>
      <w:r w:rsidRPr="009A77F2">
        <w:rPr>
          <w:rFonts w:ascii="Arial" w:hAnsi="Arial" w:cs="Arial"/>
          <w:sz w:val="22"/>
          <w:szCs w:val="22"/>
        </w:rPr>
        <w:t xml:space="preserve"> dlouhodobě vytváří specializovaná komunita s omezenými možnostmi podpory z jiných zdrojů. Jakkoliv jsou tyto týmy relativně úspěšné i v programech EU, jde stále především o míru specializace jejich činnosti, a tedy omezenou širokou dostupnost relevantních nástrojů podpory. Program IMPAKT 2 proto aspiruje právě na posílení možností specializovaných pracovišť k vlastnímu rozvoji bez nutnosti opouštět zájmovou sféru témat relevantních pro konečné uživatele. </w:t>
      </w:r>
    </w:p>
    <w:p w14:paraId="52DCCDE9" w14:textId="5CEC6756" w:rsidR="0051448A" w:rsidRPr="009A77F2" w:rsidRDefault="003A2EC1" w:rsidP="0051448A">
      <w:pPr>
        <w:spacing w:after="120"/>
        <w:jc w:val="both"/>
        <w:rPr>
          <w:rFonts w:ascii="Arial" w:hAnsi="Arial" w:cs="Arial"/>
          <w:sz w:val="22"/>
          <w:szCs w:val="22"/>
        </w:rPr>
      </w:pPr>
      <w:r>
        <w:rPr>
          <w:rFonts w:ascii="Arial" w:hAnsi="Arial" w:cs="Arial"/>
          <w:sz w:val="22"/>
          <w:szCs w:val="22"/>
        </w:rPr>
        <w:t>S</w:t>
      </w:r>
      <w:r w:rsidR="00302934">
        <w:rPr>
          <w:rFonts w:ascii="Arial" w:hAnsi="Arial" w:cs="Arial"/>
          <w:sz w:val="22"/>
          <w:szCs w:val="22"/>
        </w:rPr>
        <w:t>hrnut je obdobný přístup k bezpečnostnímu výzkumu</w:t>
      </w:r>
      <w:r>
        <w:rPr>
          <w:rFonts w:ascii="Arial" w:hAnsi="Arial" w:cs="Arial"/>
          <w:sz w:val="22"/>
          <w:szCs w:val="22"/>
        </w:rPr>
        <w:t xml:space="preserve"> v</w:t>
      </w:r>
      <w:r w:rsidR="00302934">
        <w:rPr>
          <w:rFonts w:ascii="Arial" w:hAnsi="Arial" w:cs="Arial"/>
          <w:sz w:val="22"/>
          <w:szCs w:val="22"/>
        </w:rPr>
        <w:t xml:space="preserve"> některých</w:t>
      </w:r>
      <w:r w:rsidR="000401AE">
        <w:rPr>
          <w:rFonts w:ascii="Arial" w:hAnsi="Arial" w:cs="Arial"/>
          <w:sz w:val="22"/>
          <w:szCs w:val="22"/>
        </w:rPr>
        <w:t xml:space="preserve"> s</w:t>
      </w:r>
      <w:r>
        <w:rPr>
          <w:rFonts w:ascii="Arial" w:hAnsi="Arial" w:cs="Arial"/>
          <w:sz w:val="22"/>
          <w:szCs w:val="22"/>
        </w:rPr>
        <w:t>tátech EU, ve Velké Británii i USA</w:t>
      </w:r>
      <w:r w:rsidRPr="009A77F2">
        <w:rPr>
          <w:rFonts w:ascii="Arial" w:hAnsi="Arial" w:cs="Arial"/>
          <w:sz w:val="22"/>
          <w:szCs w:val="22"/>
        </w:rPr>
        <w:t xml:space="preserve">. </w:t>
      </w:r>
      <w:r w:rsidR="00302934">
        <w:rPr>
          <w:rFonts w:ascii="Arial" w:hAnsi="Arial" w:cs="Arial"/>
          <w:sz w:val="22"/>
          <w:szCs w:val="22"/>
        </w:rPr>
        <w:t>Program</w:t>
      </w:r>
      <w:r w:rsidRPr="009A77F2">
        <w:rPr>
          <w:rFonts w:ascii="Arial" w:hAnsi="Arial" w:cs="Arial"/>
          <w:sz w:val="22"/>
          <w:szCs w:val="22"/>
        </w:rPr>
        <w:t xml:space="preserve"> t</w:t>
      </w:r>
      <w:r w:rsidR="00302934">
        <w:rPr>
          <w:rFonts w:ascii="Arial" w:hAnsi="Arial" w:cs="Arial"/>
          <w:sz w:val="22"/>
          <w:szCs w:val="22"/>
        </w:rPr>
        <w:t>edy také vyhází</w:t>
      </w:r>
      <w:r w:rsidRPr="009A77F2">
        <w:rPr>
          <w:rFonts w:ascii="Arial" w:hAnsi="Arial" w:cs="Arial"/>
          <w:sz w:val="22"/>
          <w:szCs w:val="22"/>
        </w:rPr>
        <w:t xml:space="preserve"> z etablované zahraniční dobré praxe a vnějších limitů, které na rozvoj bezpečnostního výzkumu opakovaně dopadají v ČR. Vůči stávajícím nástrojům podpory m</w:t>
      </w:r>
      <w:r w:rsidR="007B6A69">
        <w:rPr>
          <w:rFonts w:ascii="Arial" w:hAnsi="Arial" w:cs="Arial"/>
          <w:sz w:val="22"/>
          <w:szCs w:val="22"/>
        </w:rPr>
        <w:t>á</w:t>
      </w:r>
      <w:r w:rsidRPr="009A77F2">
        <w:rPr>
          <w:rFonts w:ascii="Arial" w:hAnsi="Arial" w:cs="Arial"/>
          <w:sz w:val="22"/>
          <w:szCs w:val="22"/>
        </w:rPr>
        <w:t xml:space="preserve"> synergický efekt.</w:t>
      </w:r>
      <w:r w:rsidRPr="0051448A">
        <w:rPr>
          <w:rFonts w:ascii="Arial" w:hAnsi="Arial" w:cs="Arial"/>
          <w:sz w:val="22"/>
          <w:szCs w:val="22"/>
        </w:rPr>
        <w:t xml:space="preserve">  </w:t>
      </w:r>
    </w:p>
    <w:p w14:paraId="15BC3044" w14:textId="5FE47ECC" w:rsidR="00D56170" w:rsidRPr="00C31AF9" w:rsidRDefault="004E6839" w:rsidP="00745DF4">
      <w:pPr>
        <w:pStyle w:val="Odstavecseseznamem"/>
        <w:numPr>
          <w:ilvl w:val="0"/>
          <w:numId w:val="1"/>
        </w:numPr>
        <w:spacing w:after="120"/>
        <w:contextualSpacing w:val="0"/>
        <w:jc w:val="both"/>
        <w:rPr>
          <w:rFonts w:ascii="Arial" w:hAnsi="Arial" w:cs="Arial"/>
          <w:b/>
          <w:color w:val="0070C0"/>
          <w:sz w:val="22"/>
          <w:szCs w:val="22"/>
        </w:rPr>
      </w:pPr>
      <w:r w:rsidRPr="00C31AF9">
        <w:rPr>
          <w:rFonts w:ascii="Arial" w:hAnsi="Arial" w:cs="Arial"/>
          <w:b/>
          <w:color w:val="0070C0"/>
          <w:sz w:val="22"/>
          <w:szCs w:val="22"/>
        </w:rPr>
        <w:lastRenderedPageBreak/>
        <w:t>S</w:t>
      </w:r>
      <w:r w:rsidR="00D56170" w:rsidRPr="00C31AF9">
        <w:rPr>
          <w:rFonts w:ascii="Arial" w:hAnsi="Arial" w:cs="Arial"/>
          <w:b/>
          <w:color w:val="0070C0"/>
          <w:sz w:val="22"/>
          <w:szCs w:val="22"/>
        </w:rPr>
        <w:t>ouhrnné a věcné zhodnocení materiálu Radou</w:t>
      </w:r>
    </w:p>
    <w:p w14:paraId="32DA7394" w14:textId="7D1ED2D8" w:rsidR="00406E15" w:rsidRPr="002D223B" w:rsidRDefault="00406E15" w:rsidP="00706262">
      <w:pPr>
        <w:autoSpaceDE w:val="0"/>
        <w:autoSpaceDN w:val="0"/>
        <w:adjustRightInd w:val="0"/>
        <w:spacing w:after="120"/>
        <w:jc w:val="both"/>
        <w:rPr>
          <w:rFonts w:ascii="Arial" w:eastAsiaTheme="minorHAnsi" w:hAnsi="Arial" w:cs="Arial"/>
          <w:sz w:val="22"/>
          <w:szCs w:val="22"/>
          <w:lang w:eastAsia="en-US"/>
        </w:rPr>
      </w:pPr>
      <w:r w:rsidRPr="00FB3B92">
        <w:rPr>
          <w:rFonts w:ascii="Arial" w:eastAsiaTheme="minorHAnsi" w:hAnsi="Arial" w:cs="Arial"/>
          <w:sz w:val="22"/>
          <w:szCs w:val="22"/>
          <w:lang w:eastAsia="en-US"/>
        </w:rPr>
        <w:t>Program IMPAKT 2 vychází z</w:t>
      </w:r>
      <w:r w:rsidR="00C2552B" w:rsidRPr="00FB3B92">
        <w:rPr>
          <w:rFonts w:ascii="Arial" w:eastAsiaTheme="minorHAnsi" w:hAnsi="Arial" w:cs="Arial"/>
          <w:sz w:val="22"/>
          <w:szCs w:val="22"/>
          <w:lang w:eastAsia="en-US"/>
        </w:rPr>
        <w:t xml:space="preserve"> ověřeného konceptu úspěšného předcházejícího programu pro podporu bezpečnostního výzkumu IMPAKT 1 a rovněž etablované zahraniční dobré praxe. </w:t>
      </w:r>
      <w:r w:rsidR="00FB3B92" w:rsidRPr="00FB3B92">
        <w:rPr>
          <w:rFonts w:ascii="Arial" w:eastAsiaTheme="minorHAnsi" w:hAnsi="Arial" w:cs="Arial"/>
          <w:sz w:val="22"/>
          <w:szCs w:val="22"/>
          <w:lang w:eastAsia="en-US"/>
        </w:rPr>
        <w:t xml:space="preserve">Svým zaměřením cíli na vytvoření rámce dlouhodobé stabilní podpory bezpečnostního výzkumu, zahrnující podporu excelentního bezpečnostního výzkumu a expertní základny v bezpečnostním </w:t>
      </w:r>
      <w:r w:rsidR="00FB3B92" w:rsidRPr="002D223B">
        <w:rPr>
          <w:rFonts w:ascii="Arial" w:eastAsiaTheme="minorHAnsi" w:hAnsi="Arial" w:cs="Arial"/>
          <w:sz w:val="22"/>
          <w:szCs w:val="22"/>
          <w:lang w:eastAsia="en-US"/>
        </w:rPr>
        <w:t xml:space="preserve">výzkumu, včetně systematické mezinárodní spolupráce s důvěryhodnými zahraničními partnery. Klíčová je pak </w:t>
      </w:r>
      <w:r w:rsidR="002D223B" w:rsidRPr="002D223B">
        <w:rPr>
          <w:rFonts w:ascii="Arial" w:eastAsiaTheme="minorHAnsi" w:hAnsi="Arial" w:cs="Arial"/>
          <w:sz w:val="22"/>
          <w:szCs w:val="22"/>
          <w:lang w:eastAsia="en-US"/>
        </w:rPr>
        <w:t xml:space="preserve">v PP1 </w:t>
      </w:r>
      <w:r w:rsidR="00FB3B92" w:rsidRPr="002D223B">
        <w:rPr>
          <w:rFonts w:ascii="Arial" w:eastAsiaTheme="minorHAnsi" w:hAnsi="Arial" w:cs="Arial"/>
          <w:sz w:val="22"/>
          <w:szCs w:val="22"/>
          <w:lang w:eastAsia="en-US"/>
        </w:rPr>
        <w:t>participace koncových uživatelů z</w:t>
      </w:r>
      <w:r w:rsidR="002D223B" w:rsidRPr="002D223B">
        <w:rPr>
          <w:rFonts w:ascii="Arial" w:eastAsiaTheme="minorHAnsi" w:hAnsi="Arial" w:cs="Arial"/>
          <w:sz w:val="22"/>
          <w:szCs w:val="22"/>
          <w:lang w:eastAsia="en-US"/>
        </w:rPr>
        <w:t> bezpečnostního systému</w:t>
      </w:r>
      <w:r w:rsidR="002D223B">
        <w:rPr>
          <w:rFonts w:ascii="Arial" w:eastAsiaTheme="minorHAnsi" w:hAnsi="Arial" w:cs="Arial"/>
          <w:sz w:val="22"/>
          <w:szCs w:val="22"/>
          <w:lang w:eastAsia="en-US"/>
        </w:rPr>
        <w:t xml:space="preserve">, čímž dojde k zachování i prohloubení vazeb vysoce specializovaného bezpečnostního výzkumu na specifické potřeby bezpečnostního systému. Vazba na mezinárodní prostředí, která je předmětem PP2, může </w:t>
      </w:r>
      <w:r w:rsidR="0033537C">
        <w:rPr>
          <w:rFonts w:ascii="Arial" w:eastAsiaTheme="minorHAnsi" w:hAnsi="Arial" w:cs="Arial"/>
          <w:sz w:val="22"/>
          <w:szCs w:val="22"/>
          <w:lang w:eastAsia="en-US"/>
        </w:rPr>
        <w:t>zároveň významně přispět</w:t>
      </w:r>
      <w:r w:rsidR="002D223B">
        <w:rPr>
          <w:rFonts w:ascii="Arial" w:eastAsiaTheme="minorHAnsi" w:hAnsi="Arial" w:cs="Arial"/>
          <w:sz w:val="22"/>
          <w:szCs w:val="22"/>
          <w:lang w:eastAsia="en-US"/>
        </w:rPr>
        <w:t xml:space="preserve"> k vytvoření nových prosperujících partnerství </w:t>
      </w:r>
      <w:r w:rsidR="0033537C">
        <w:rPr>
          <w:rFonts w:ascii="Arial" w:eastAsiaTheme="minorHAnsi" w:hAnsi="Arial" w:cs="Arial"/>
          <w:sz w:val="22"/>
          <w:szCs w:val="22"/>
          <w:lang w:eastAsia="en-US"/>
        </w:rPr>
        <w:t xml:space="preserve">ze zahraničními aktéry, čímž bude posílena pozice bezpečnostního výzkumu ČR na mezinárodní scéně. </w:t>
      </w:r>
      <w:r w:rsidR="00CE537E">
        <w:rPr>
          <w:rFonts w:ascii="Arial" w:eastAsiaTheme="minorHAnsi" w:hAnsi="Arial" w:cs="Arial"/>
          <w:sz w:val="22"/>
          <w:szCs w:val="22"/>
          <w:lang w:eastAsia="en-US"/>
        </w:rPr>
        <w:t xml:space="preserve">Podpora expertní základny v PP3 pak povede k rozvoji a udržení vědeckých pracovníků v této specifické oblasti, čímž dojde ke zvýšení inovačního potenciálu. Podpora mobility je významným pozitivem PP3, neboť lze předpokládat přísun znalostí </w:t>
      </w:r>
      <w:r w:rsidR="00E02A7F">
        <w:rPr>
          <w:rFonts w:ascii="Arial" w:eastAsiaTheme="minorHAnsi" w:hAnsi="Arial" w:cs="Arial"/>
          <w:sz w:val="22"/>
          <w:szCs w:val="22"/>
          <w:lang w:eastAsia="en-US"/>
        </w:rPr>
        <w:t>i</w:t>
      </w:r>
      <w:r w:rsidR="00CE537E">
        <w:rPr>
          <w:rFonts w:ascii="Arial" w:eastAsiaTheme="minorHAnsi" w:hAnsi="Arial" w:cs="Arial"/>
          <w:sz w:val="22"/>
          <w:szCs w:val="22"/>
          <w:lang w:eastAsia="en-US"/>
        </w:rPr>
        <w:t xml:space="preserve"> vysoce specializovaných pracovníků ze zahraničí</w:t>
      </w:r>
      <w:r w:rsidR="00E93043">
        <w:rPr>
          <w:rFonts w:ascii="Arial" w:eastAsiaTheme="minorHAnsi" w:hAnsi="Arial" w:cs="Arial"/>
          <w:sz w:val="22"/>
          <w:szCs w:val="22"/>
          <w:lang w:eastAsia="en-US"/>
        </w:rPr>
        <w:t xml:space="preserve"> do ČR</w:t>
      </w:r>
      <w:r w:rsidR="00CE537E">
        <w:rPr>
          <w:rFonts w:ascii="Arial" w:eastAsiaTheme="minorHAnsi" w:hAnsi="Arial" w:cs="Arial"/>
          <w:sz w:val="22"/>
          <w:szCs w:val="22"/>
          <w:lang w:eastAsia="en-US"/>
        </w:rPr>
        <w:t xml:space="preserve">. </w:t>
      </w:r>
      <w:r w:rsidR="002D223B">
        <w:rPr>
          <w:rFonts w:ascii="Arial" w:eastAsiaTheme="minorHAnsi" w:hAnsi="Arial" w:cs="Arial"/>
          <w:sz w:val="22"/>
          <w:szCs w:val="22"/>
          <w:lang w:eastAsia="en-US"/>
        </w:rPr>
        <w:t xml:space="preserve">   </w:t>
      </w:r>
    </w:p>
    <w:p w14:paraId="76271E94" w14:textId="406C3CDE" w:rsidR="00653A93" w:rsidRPr="0033537C" w:rsidRDefault="0033537C" w:rsidP="00653A93">
      <w:pPr>
        <w:autoSpaceDE w:val="0"/>
        <w:autoSpaceDN w:val="0"/>
        <w:adjustRightInd w:val="0"/>
        <w:spacing w:after="120"/>
        <w:jc w:val="both"/>
        <w:rPr>
          <w:rFonts w:ascii="Arial" w:eastAsiaTheme="minorHAnsi" w:hAnsi="Arial" w:cs="Arial"/>
          <w:sz w:val="22"/>
          <w:szCs w:val="22"/>
          <w:lang w:eastAsia="en-US"/>
        </w:rPr>
      </w:pPr>
      <w:r>
        <w:rPr>
          <w:rFonts w:ascii="Arial" w:eastAsiaTheme="minorHAnsi" w:hAnsi="Arial" w:cs="Arial"/>
          <w:sz w:val="22"/>
          <w:szCs w:val="22"/>
          <w:lang w:eastAsia="en-US"/>
        </w:rPr>
        <w:t>Samotný materiál splňuje všechny určené náležitosti. D</w:t>
      </w:r>
      <w:r w:rsidR="00653A93" w:rsidRPr="0033537C">
        <w:rPr>
          <w:rFonts w:ascii="Arial" w:eastAsiaTheme="minorHAnsi" w:hAnsi="Arial" w:cs="Arial"/>
          <w:sz w:val="22"/>
          <w:szCs w:val="22"/>
          <w:lang w:eastAsia="en-US"/>
        </w:rPr>
        <w:t xml:space="preserve">etailně popisuje </w:t>
      </w:r>
      <w:r>
        <w:rPr>
          <w:rFonts w:ascii="Arial" w:eastAsiaTheme="minorHAnsi" w:hAnsi="Arial" w:cs="Arial"/>
          <w:sz w:val="22"/>
          <w:szCs w:val="22"/>
          <w:lang w:eastAsia="en-US"/>
        </w:rPr>
        <w:t>vazb</w:t>
      </w:r>
      <w:r w:rsidR="002164D7">
        <w:rPr>
          <w:rFonts w:ascii="Arial" w:eastAsiaTheme="minorHAnsi" w:hAnsi="Arial" w:cs="Arial"/>
          <w:sz w:val="22"/>
          <w:szCs w:val="22"/>
          <w:lang w:eastAsia="en-US"/>
        </w:rPr>
        <w:t>y na legislativní rámec</w:t>
      </w:r>
      <w:r>
        <w:rPr>
          <w:rFonts w:ascii="Arial" w:eastAsiaTheme="minorHAnsi" w:hAnsi="Arial" w:cs="Arial"/>
          <w:sz w:val="22"/>
          <w:szCs w:val="22"/>
          <w:lang w:eastAsia="en-US"/>
        </w:rPr>
        <w:t xml:space="preserve"> i </w:t>
      </w:r>
      <w:r w:rsidR="00653A93" w:rsidRPr="0033537C">
        <w:rPr>
          <w:rFonts w:ascii="Arial" w:eastAsiaTheme="minorHAnsi" w:hAnsi="Arial" w:cs="Arial"/>
          <w:sz w:val="22"/>
          <w:szCs w:val="22"/>
          <w:lang w:eastAsia="en-US"/>
        </w:rPr>
        <w:t>s</w:t>
      </w:r>
      <w:r w:rsidR="00C2552B" w:rsidRPr="0033537C">
        <w:rPr>
          <w:rFonts w:ascii="Arial" w:eastAsiaTheme="minorHAnsi" w:hAnsi="Arial" w:cs="Arial"/>
          <w:sz w:val="22"/>
          <w:szCs w:val="22"/>
          <w:lang w:eastAsia="en-US"/>
        </w:rPr>
        <w:t>oulad s</w:t>
      </w:r>
      <w:r>
        <w:rPr>
          <w:rFonts w:ascii="Arial" w:eastAsiaTheme="minorHAnsi" w:hAnsi="Arial" w:cs="Arial"/>
          <w:sz w:val="22"/>
          <w:szCs w:val="22"/>
          <w:lang w:eastAsia="en-US"/>
        </w:rPr>
        <w:t>e strategickými dokumenty jako je např.</w:t>
      </w:r>
      <w:r w:rsidR="00C2552B" w:rsidRPr="0033537C">
        <w:rPr>
          <w:rFonts w:ascii="Arial" w:eastAsiaTheme="minorHAnsi" w:hAnsi="Arial" w:cs="Arial"/>
          <w:sz w:val="22"/>
          <w:szCs w:val="22"/>
          <w:lang w:eastAsia="en-US"/>
        </w:rPr>
        <w:t xml:space="preserve"> Národní politik</w:t>
      </w:r>
      <w:r>
        <w:rPr>
          <w:rFonts w:ascii="Arial" w:eastAsiaTheme="minorHAnsi" w:hAnsi="Arial" w:cs="Arial"/>
          <w:sz w:val="22"/>
          <w:szCs w:val="22"/>
          <w:lang w:eastAsia="en-US"/>
        </w:rPr>
        <w:t>a</w:t>
      </w:r>
      <w:r w:rsidR="00C2552B" w:rsidRPr="0033537C">
        <w:rPr>
          <w:rFonts w:ascii="Arial" w:eastAsiaTheme="minorHAnsi" w:hAnsi="Arial" w:cs="Arial"/>
          <w:sz w:val="22"/>
          <w:szCs w:val="22"/>
          <w:lang w:eastAsia="en-US"/>
        </w:rPr>
        <w:t xml:space="preserve"> VaVaI</w:t>
      </w:r>
      <w:r w:rsidR="00CE537E">
        <w:rPr>
          <w:rFonts w:ascii="Arial" w:eastAsiaTheme="minorHAnsi" w:hAnsi="Arial" w:cs="Arial"/>
          <w:sz w:val="22"/>
          <w:szCs w:val="22"/>
          <w:lang w:eastAsia="en-US"/>
        </w:rPr>
        <w:t xml:space="preserve">, </w:t>
      </w:r>
      <w:r w:rsidR="00CE537E" w:rsidRPr="00CE537E">
        <w:rPr>
          <w:rFonts w:ascii="Arial" w:eastAsiaTheme="minorHAnsi" w:hAnsi="Arial" w:cs="Arial"/>
          <w:sz w:val="22"/>
          <w:szCs w:val="22"/>
          <w:lang w:eastAsia="en-US"/>
        </w:rPr>
        <w:t>Národní RIS3 strategie</w:t>
      </w:r>
      <w:r>
        <w:rPr>
          <w:rFonts w:ascii="Arial" w:eastAsiaTheme="minorHAnsi" w:hAnsi="Arial" w:cs="Arial"/>
          <w:sz w:val="22"/>
          <w:szCs w:val="22"/>
          <w:lang w:eastAsia="en-US"/>
        </w:rPr>
        <w:t xml:space="preserve"> nebo</w:t>
      </w:r>
      <w:r w:rsidR="00C2552B" w:rsidRPr="0033537C">
        <w:rPr>
          <w:rFonts w:ascii="Arial" w:eastAsiaTheme="minorHAnsi" w:hAnsi="Arial" w:cs="Arial"/>
          <w:sz w:val="22"/>
          <w:szCs w:val="22"/>
          <w:lang w:eastAsia="en-US"/>
        </w:rPr>
        <w:t xml:space="preserve"> </w:t>
      </w:r>
      <w:r w:rsidR="00653A93" w:rsidRPr="0033537C">
        <w:rPr>
          <w:rFonts w:ascii="Arial" w:eastAsiaTheme="minorHAnsi" w:hAnsi="Arial" w:cs="Arial"/>
          <w:sz w:val="22"/>
          <w:szCs w:val="22"/>
          <w:lang w:eastAsia="en-US"/>
        </w:rPr>
        <w:t>s platnými NPOV.</w:t>
      </w:r>
      <w:r w:rsidR="00C2552B" w:rsidRPr="0033537C">
        <w:rPr>
          <w:rFonts w:ascii="Arial" w:eastAsiaTheme="minorHAnsi" w:hAnsi="Arial" w:cs="Arial"/>
          <w:sz w:val="22"/>
          <w:szCs w:val="22"/>
          <w:lang w:eastAsia="en-US"/>
        </w:rPr>
        <w:t xml:space="preserve"> </w:t>
      </w:r>
    </w:p>
    <w:p w14:paraId="0F52C440" w14:textId="1FA22C1F" w:rsidR="00451C82" w:rsidRPr="00C31AF9" w:rsidRDefault="00451C82" w:rsidP="00745DF4">
      <w:pPr>
        <w:keepNext/>
        <w:numPr>
          <w:ilvl w:val="0"/>
          <w:numId w:val="1"/>
        </w:numPr>
        <w:spacing w:after="120"/>
        <w:rPr>
          <w:rFonts w:ascii="Arial" w:hAnsi="Arial" w:cs="Arial"/>
          <w:b/>
          <w:color w:val="0070C0"/>
          <w:sz w:val="22"/>
          <w:szCs w:val="22"/>
        </w:rPr>
      </w:pPr>
      <w:r w:rsidRPr="00C31AF9">
        <w:rPr>
          <w:rFonts w:ascii="Arial" w:hAnsi="Arial" w:cs="Arial"/>
          <w:b/>
          <w:color w:val="0070C0"/>
          <w:sz w:val="22"/>
          <w:szCs w:val="22"/>
        </w:rPr>
        <w:t>K materiálu předkládanému na jednání vlády</w:t>
      </w:r>
    </w:p>
    <w:p w14:paraId="2B836752" w14:textId="48442287" w:rsidR="00451C82" w:rsidRPr="00406E15" w:rsidRDefault="00451C82" w:rsidP="00406E15">
      <w:pPr>
        <w:keepNext/>
        <w:spacing w:after="120"/>
        <w:ind w:left="3"/>
        <w:jc w:val="both"/>
        <w:rPr>
          <w:rFonts w:ascii="Arial" w:eastAsiaTheme="minorHAnsi" w:hAnsi="Arial" w:cs="Arial"/>
          <w:bCs/>
          <w:sz w:val="22"/>
          <w:szCs w:val="22"/>
          <w:lang w:eastAsia="en-US"/>
        </w:rPr>
      </w:pPr>
      <w:r w:rsidRPr="00406E15">
        <w:rPr>
          <w:rFonts w:ascii="Arial" w:eastAsiaTheme="minorHAnsi" w:hAnsi="Arial" w:cs="Arial"/>
          <w:bCs/>
          <w:sz w:val="22"/>
          <w:szCs w:val="22"/>
          <w:lang w:eastAsia="en-US"/>
        </w:rPr>
        <w:t>Předložený návrh Programu obsahuje všechny náležitosti, které musí být podle Jednacího řádu součástí materiálu předkládaného na jednání vlády.</w:t>
      </w:r>
    </w:p>
    <w:p w14:paraId="01EC6FBC" w14:textId="22B0292C" w:rsidR="004F7B50" w:rsidRPr="00C31AF9" w:rsidRDefault="00451C82" w:rsidP="00745DF4">
      <w:pPr>
        <w:keepNext/>
        <w:numPr>
          <w:ilvl w:val="0"/>
          <w:numId w:val="1"/>
        </w:numPr>
        <w:spacing w:after="120"/>
        <w:rPr>
          <w:rFonts w:ascii="Arial" w:hAnsi="Arial" w:cs="Arial"/>
          <w:b/>
          <w:color w:val="0070C0"/>
          <w:sz w:val="22"/>
          <w:szCs w:val="22"/>
        </w:rPr>
      </w:pPr>
      <w:r w:rsidRPr="00C31AF9">
        <w:rPr>
          <w:rFonts w:ascii="Arial" w:hAnsi="Arial" w:cs="Arial"/>
          <w:b/>
          <w:color w:val="0070C0"/>
          <w:sz w:val="22"/>
          <w:szCs w:val="22"/>
        </w:rPr>
        <w:t>Vyjádření Komise pro hodnocení výsledků a ukončených programů</w:t>
      </w:r>
    </w:p>
    <w:p w14:paraId="08CC6285" w14:textId="34CEB028" w:rsidR="006F512E" w:rsidRDefault="006F512E" w:rsidP="006F512E">
      <w:pPr>
        <w:spacing w:after="120"/>
        <w:jc w:val="both"/>
        <w:rPr>
          <w:rFonts w:ascii="Arial" w:eastAsiaTheme="minorHAnsi" w:hAnsi="Arial" w:cs="Arial"/>
          <w:bCs/>
          <w:sz w:val="22"/>
          <w:szCs w:val="22"/>
          <w:lang w:eastAsia="en-US"/>
        </w:rPr>
      </w:pPr>
      <w:r w:rsidRPr="00406E15">
        <w:rPr>
          <w:rFonts w:ascii="Arial" w:eastAsiaTheme="minorHAnsi" w:hAnsi="Arial" w:cs="Arial"/>
          <w:bCs/>
          <w:sz w:val="22"/>
          <w:szCs w:val="22"/>
          <w:lang w:eastAsia="en-US"/>
        </w:rPr>
        <w:t xml:space="preserve">Komise pro hodnocení výsledků a ukončených programů (dále jen „KHV“) projednala předložený návrh </w:t>
      </w:r>
      <w:r w:rsidR="00665CCD">
        <w:rPr>
          <w:rFonts w:ascii="Arial" w:eastAsiaTheme="minorHAnsi" w:hAnsi="Arial" w:cs="Arial"/>
          <w:bCs/>
          <w:sz w:val="22"/>
          <w:szCs w:val="22"/>
          <w:lang w:eastAsia="en-US"/>
        </w:rPr>
        <w:t>Programu</w:t>
      </w:r>
      <w:r w:rsidR="00406E15" w:rsidRPr="00406E15">
        <w:rPr>
          <w:rFonts w:ascii="Arial" w:eastAsiaTheme="minorHAnsi" w:hAnsi="Arial" w:cs="Arial"/>
          <w:bCs/>
          <w:sz w:val="22"/>
          <w:szCs w:val="22"/>
          <w:lang w:eastAsia="en-US"/>
        </w:rPr>
        <w:t xml:space="preserve"> dne</w:t>
      </w:r>
      <w:r w:rsidR="00F94BD1">
        <w:rPr>
          <w:rFonts w:ascii="Arial" w:eastAsiaTheme="minorHAnsi" w:hAnsi="Arial" w:cs="Arial"/>
          <w:bCs/>
          <w:sz w:val="22"/>
          <w:szCs w:val="22"/>
          <w:lang w:eastAsia="en-US"/>
        </w:rPr>
        <w:t xml:space="preserve"> 10. března 2025</w:t>
      </w:r>
      <w:r w:rsidR="00406E15" w:rsidRPr="00406E15">
        <w:rPr>
          <w:rFonts w:ascii="Arial" w:eastAsiaTheme="minorHAnsi" w:hAnsi="Arial" w:cs="Arial"/>
          <w:bCs/>
          <w:sz w:val="22"/>
          <w:szCs w:val="22"/>
          <w:lang w:eastAsia="en-US"/>
        </w:rPr>
        <w:t xml:space="preserve"> </w:t>
      </w:r>
      <w:r w:rsidRPr="00406E15">
        <w:rPr>
          <w:rFonts w:ascii="Arial" w:eastAsiaTheme="minorHAnsi" w:hAnsi="Arial" w:cs="Arial"/>
          <w:bCs/>
          <w:sz w:val="22"/>
          <w:szCs w:val="22"/>
          <w:lang w:eastAsia="en-US"/>
        </w:rPr>
        <w:t>a vydala k němu následující vyjádření:</w:t>
      </w:r>
    </w:p>
    <w:p w14:paraId="48C9AB8A" w14:textId="7BEC8C94" w:rsidR="004760C6" w:rsidRPr="00406E15" w:rsidRDefault="004760C6" w:rsidP="006F512E">
      <w:pPr>
        <w:spacing w:after="120"/>
        <w:jc w:val="both"/>
        <w:rPr>
          <w:rFonts w:ascii="Arial" w:eastAsiaTheme="minorHAnsi" w:hAnsi="Arial" w:cs="Arial"/>
          <w:bCs/>
          <w:sz w:val="22"/>
          <w:szCs w:val="22"/>
          <w:lang w:eastAsia="en-US"/>
        </w:rPr>
      </w:pPr>
      <w:r w:rsidRPr="004760C6">
        <w:rPr>
          <w:rFonts w:ascii="Arial" w:eastAsiaTheme="minorHAnsi" w:hAnsi="Arial" w:cs="Arial"/>
          <w:bCs/>
          <w:sz w:val="22"/>
          <w:szCs w:val="22"/>
          <w:lang w:eastAsia="en-US"/>
        </w:rPr>
        <w:t>Návrh programu IMPAKT II splňuje všechny náležitosti požadované pro návrh programu účelové podpory. Je podpořen dvěma ex ante hodnoceními, která návrh hodnotí pozitivně jak z hlediska zpracování, tak z hlediska účelu, a nenavrhují žádné doplnění či úpravy. Návrh programu má jasně definovaný harmonogram i zdůvodněné a popsané náklady. Principy hodnocení jsou popsány, návrh také obsahuje detailní popis a vyhodnocení možných rizik. Program považuje za uznatelné prakticky všechny druhy výsledků, což ale vzhledem k šíři svého zaměření (program cílí na všechny typy VO napříč obory) nelze považovat za nedostatek. V příloze jsou jasně definovány jak kvantitativní, tak i kvalitativní indikátory plnění programu. KHV nemá k programu připomínky.</w:t>
      </w:r>
    </w:p>
    <w:p w14:paraId="27B08DF9" w14:textId="0D802C8F" w:rsidR="00C2552B" w:rsidRPr="00C2552B" w:rsidRDefault="00D56170" w:rsidP="00C2552B">
      <w:pPr>
        <w:keepNext/>
        <w:numPr>
          <w:ilvl w:val="0"/>
          <w:numId w:val="1"/>
        </w:numPr>
        <w:spacing w:after="120"/>
        <w:rPr>
          <w:rFonts w:ascii="Arial" w:hAnsi="Arial" w:cs="Arial"/>
          <w:b/>
          <w:color w:val="0070C0"/>
          <w:sz w:val="22"/>
          <w:szCs w:val="22"/>
        </w:rPr>
      </w:pPr>
      <w:r w:rsidRPr="00C31AF9">
        <w:rPr>
          <w:rFonts w:ascii="Arial" w:hAnsi="Arial" w:cs="Arial"/>
          <w:b/>
          <w:color w:val="0070C0"/>
          <w:sz w:val="22"/>
          <w:szCs w:val="22"/>
        </w:rPr>
        <w:t xml:space="preserve">Připomínky </w:t>
      </w:r>
      <w:r w:rsidR="00A400DD" w:rsidRPr="00C31AF9">
        <w:rPr>
          <w:rFonts w:ascii="Arial" w:hAnsi="Arial" w:cs="Arial"/>
          <w:b/>
          <w:color w:val="0070C0"/>
          <w:sz w:val="22"/>
          <w:szCs w:val="22"/>
        </w:rPr>
        <w:t xml:space="preserve">Rady </w:t>
      </w:r>
      <w:r w:rsidRPr="00C31AF9">
        <w:rPr>
          <w:rFonts w:ascii="Arial" w:hAnsi="Arial" w:cs="Arial"/>
          <w:b/>
          <w:color w:val="0070C0"/>
          <w:sz w:val="22"/>
          <w:szCs w:val="22"/>
        </w:rPr>
        <w:t>k</w:t>
      </w:r>
      <w:r w:rsidR="00513865" w:rsidRPr="00C31AF9">
        <w:rPr>
          <w:rFonts w:ascii="Arial" w:hAnsi="Arial" w:cs="Arial"/>
          <w:b/>
          <w:color w:val="0070C0"/>
          <w:sz w:val="22"/>
          <w:szCs w:val="22"/>
        </w:rPr>
        <w:t> návrhu programu</w:t>
      </w:r>
    </w:p>
    <w:p w14:paraId="6D9FA00A" w14:textId="6A2A17E5" w:rsidR="005C154B" w:rsidRPr="005C154B" w:rsidRDefault="005C154B" w:rsidP="005C154B">
      <w:pPr>
        <w:autoSpaceDE w:val="0"/>
        <w:autoSpaceDN w:val="0"/>
        <w:adjustRightInd w:val="0"/>
        <w:spacing w:after="120"/>
        <w:jc w:val="both"/>
        <w:rPr>
          <w:rFonts w:ascii="Arial" w:hAnsi="Arial" w:cs="Arial"/>
          <w:sz w:val="22"/>
          <w:szCs w:val="22"/>
        </w:rPr>
      </w:pPr>
      <w:r w:rsidRPr="005C154B">
        <w:rPr>
          <w:rFonts w:ascii="Arial" w:hAnsi="Arial" w:cs="Arial"/>
          <w:b/>
          <w:sz w:val="22"/>
          <w:szCs w:val="22"/>
        </w:rPr>
        <w:t>Zásadní připomínky</w:t>
      </w:r>
    </w:p>
    <w:p w14:paraId="1FCB9041" w14:textId="5AB1410E" w:rsidR="005C154B" w:rsidRPr="005C154B" w:rsidRDefault="005C154B" w:rsidP="005C154B">
      <w:pPr>
        <w:pStyle w:val="Odstavecseseznamem"/>
        <w:numPr>
          <w:ilvl w:val="0"/>
          <w:numId w:val="21"/>
        </w:numPr>
        <w:autoSpaceDE w:val="0"/>
        <w:autoSpaceDN w:val="0"/>
        <w:adjustRightInd w:val="0"/>
        <w:spacing w:after="120"/>
        <w:jc w:val="both"/>
        <w:rPr>
          <w:rFonts w:ascii="Arial" w:hAnsi="Arial" w:cs="Arial"/>
          <w:sz w:val="22"/>
          <w:szCs w:val="22"/>
        </w:rPr>
      </w:pPr>
      <w:r w:rsidRPr="005C154B">
        <w:rPr>
          <w:rFonts w:ascii="Arial" w:hAnsi="Arial" w:cs="Arial"/>
          <w:sz w:val="22"/>
          <w:szCs w:val="22"/>
        </w:rPr>
        <w:t>K návrhu usnesení vlády</w:t>
      </w:r>
    </w:p>
    <w:p w14:paraId="5F69C163" w14:textId="77777777" w:rsidR="005C154B" w:rsidRPr="005C154B" w:rsidRDefault="005C154B" w:rsidP="005C154B">
      <w:pPr>
        <w:autoSpaceDE w:val="0"/>
        <w:autoSpaceDN w:val="0"/>
        <w:adjustRightInd w:val="0"/>
        <w:spacing w:after="120"/>
        <w:jc w:val="both"/>
        <w:rPr>
          <w:rFonts w:ascii="Arial" w:hAnsi="Arial" w:cs="Arial"/>
          <w:sz w:val="22"/>
          <w:szCs w:val="22"/>
        </w:rPr>
      </w:pPr>
      <w:r w:rsidRPr="005C154B">
        <w:rPr>
          <w:rFonts w:ascii="Arial" w:hAnsi="Arial" w:cs="Arial"/>
          <w:sz w:val="22"/>
          <w:szCs w:val="22"/>
        </w:rPr>
        <w:t>RVVI požaduje doplnit do bodu I. text, že „financování programu bude zajištěno podle možností státního rozpočtu“.</w:t>
      </w:r>
    </w:p>
    <w:p w14:paraId="772CE082" w14:textId="7507C41D" w:rsidR="005C154B" w:rsidRPr="005C154B" w:rsidRDefault="005C154B" w:rsidP="005C154B">
      <w:pPr>
        <w:pStyle w:val="Odstavecseseznamem"/>
        <w:numPr>
          <w:ilvl w:val="0"/>
          <w:numId w:val="21"/>
        </w:numPr>
        <w:autoSpaceDE w:val="0"/>
        <w:autoSpaceDN w:val="0"/>
        <w:adjustRightInd w:val="0"/>
        <w:spacing w:after="120"/>
        <w:jc w:val="both"/>
        <w:rPr>
          <w:rFonts w:ascii="Arial" w:hAnsi="Arial" w:cs="Arial"/>
          <w:sz w:val="22"/>
          <w:szCs w:val="22"/>
        </w:rPr>
      </w:pPr>
      <w:r w:rsidRPr="005C154B">
        <w:rPr>
          <w:rFonts w:ascii="Arial" w:hAnsi="Arial" w:cs="Arial"/>
          <w:sz w:val="22"/>
          <w:szCs w:val="22"/>
        </w:rPr>
        <w:t>K výdajům na Program</w:t>
      </w:r>
    </w:p>
    <w:p w14:paraId="0FADCA80" w14:textId="7A51592A" w:rsidR="005C154B" w:rsidRPr="005C154B" w:rsidRDefault="005C154B" w:rsidP="005C154B">
      <w:pPr>
        <w:autoSpaceDE w:val="0"/>
        <w:autoSpaceDN w:val="0"/>
        <w:adjustRightInd w:val="0"/>
        <w:spacing w:after="120"/>
        <w:jc w:val="both"/>
        <w:rPr>
          <w:rFonts w:ascii="Arial" w:hAnsi="Arial" w:cs="Arial"/>
          <w:sz w:val="22"/>
          <w:szCs w:val="22"/>
        </w:rPr>
      </w:pPr>
      <w:r w:rsidRPr="005C154B">
        <w:rPr>
          <w:rFonts w:ascii="Arial" w:hAnsi="Arial" w:cs="Arial"/>
          <w:sz w:val="22"/>
          <w:szCs w:val="22"/>
        </w:rPr>
        <w:t>Ve střednědobém výhledu státního rozpočtu ČR na VaVaI na roky 2026 a 2027 schváleném usnesením vlády ze dne 25. září 2024 č. 645 jsou v účelové podpoře MV zahrnuty prostředky na plánovaný program IMPAKT 2. V roce 2026 odpovídá alokace v návrhu Programu schválenému výhledu (tj. 150 mil. Kč), v roce 2027 je návrh o 18 mil. Kč vyšší, než je schváleno ve výhledu. To ale MV vyřešilo požadavkem navýšení prostředků v uvedeném roce v</w:t>
      </w:r>
      <w:r w:rsidR="00423343">
        <w:rPr>
          <w:rFonts w:ascii="Arial" w:hAnsi="Arial" w:cs="Arial"/>
          <w:sz w:val="22"/>
          <w:szCs w:val="22"/>
        </w:rPr>
        <w:t> </w:t>
      </w:r>
      <w:r w:rsidRPr="005C154B">
        <w:rPr>
          <w:rFonts w:ascii="Arial" w:hAnsi="Arial" w:cs="Arial"/>
          <w:sz w:val="22"/>
          <w:szCs w:val="22"/>
        </w:rPr>
        <w:t xml:space="preserve">předloženém návrhu výdajů na VaVaI na období 2026+. </w:t>
      </w:r>
    </w:p>
    <w:p w14:paraId="193E39F0" w14:textId="599FE1D2" w:rsidR="005C154B" w:rsidRPr="005C154B" w:rsidRDefault="005C154B" w:rsidP="005C154B">
      <w:pPr>
        <w:autoSpaceDE w:val="0"/>
        <w:autoSpaceDN w:val="0"/>
        <w:adjustRightInd w:val="0"/>
        <w:spacing w:after="120"/>
        <w:jc w:val="both"/>
        <w:rPr>
          <w:rFonts w:ascii="Arial" w:hAnsi="Arial" w:cs="Arial"/>
          <w:sz w:val="22"/>
          <w:szCs w:val="22"/>
        </w:rPr>
      </w:pPr>
      <w:r w:rsidRPr="005C154B">
        <w:rPr>
          <w:rFonts w:ascii="Arial" w:hAnsi="Arial" w:cs="Arial"/>
          <w:sz w:val="22"/>
          <w:szCs w:val="22"/>
        </w:rPr>
        <w:t xml:space="preserve">Jednání o návrhu výdajů na VaVaI na období 2026+ proběhlo mezi zástupci MV a ÚVČR/RVVI dne 6. 2. 2025 a poskytovatel byl důrazně upozorněn, že návrh Programu je před předložením </w:t>
      </w:r>
      <w:r w:rsidRPr="005C154B">
        <w:rPr>
          <w:rFonts w:ascii="Arial" w:hAnsi="Arial" w:cs="Arial"/>
          <w:sz w:val="22"/>
          <w:szCs w:val="22"/>
        </w:rPr>
        <w:lastRenderedPageBreak/>
        <w:t xml:space="preserve">Radě standardně nutné předložit Komisi </w:t>
      </w:r>
      <w:r w:rsidR="00F94BD1" w:rsidRPr="00F94BD1">
        <w:rPr>
          <w:rFonts w:ascii="Arial" w:hAnsi="Arial" w:cs="Arial"/>
          <w:sz w:val="22"/>
          <w:szCs w:val="22"/>
        </w:rPr>
        <w:t>pro hodnocení výzkumných organizací a ukončených programů</w:t>
      </w:r>
      <w:r w:rsidRPr="005C154B">
        <w:rPr>
          <w:rFonts w:ascii="Arial" w:hAnsi="Arial" w:cs="Arial"/>
          <w:sz w:val="22"/>
          <w:szCs w:val="22"/>
        </w:rPr>
        <w:t xml:space="preserve"> k vyjádření, časově tedy</w:t>
      </w:r>
      <w:r w:rsidR="00F94BD1">
        <w:rPr>
          <w:rFonts w:ascii="Arial" w:hAnsi="Arial" w:cs="Arial"/>
          <w:sz w:val="22"/>
          <w:szCs w:val="22"/>
        </w:rPr>
        <w:t xml:space="preserve"> byl</w:t>
      </w:r>
      <w:r w:rsidRPr="005C154B">
        <w:rPr>
          <w:rFonts w:ascii="Arial" w:hAnsi="Arial" w:cs="Arial"/>
          <w:sz w:val="22"/>
          <w:szCs w:val="22"/>
        </w:rPr>
        <w:t xml:space="preserve"> ohrožen termín předložení </w:t>
      </w:r>
      <w:r w:rsidR="00F94BD1">
        <w:rPr>
          <w:rFonts w:ascii="Arial" w:hAnsi="Arial" w:cs="Arial"/>
          <w:sz w:val="22"/>
          <w:szCs w:val="22"/>
        </w:rPr>
        <w:t xml:space="preserve">na březnové zasedání </w:t>
      </w:r>
      <w:r w:rsidRPr="005C154B">
        <w:rPr>
          <w:rFonts w:ascii="Arial" w:hAnsi="Arial" w:cs="Arial"/>
          <w:sz w:val="22"/>
          <w:szCs w:val="22"/>
        </w:rPr>
        <w:t>Radě. Aby mohla Rada zahrnout návrh výdajů na Program do svého návrhu výdajů na VaVaI na rok 2026, je nutné, aby byl Program schválen vládou ČR dříve, než bude Rada schvalovat finální návrh výdajů na VaVaI 2026+ pro předložení vládě ČR.</w:t>
      </w:r>
    </w:p>
    <w:p w14:paraId="034170D3" w14:textId="77777777" w:rsidR="005C154B" w:rsidRPr="005C154B" w:rsidRDefault="005C154B" w:rsidP="005C154B">
      <w:pPr>
        <w:autoSpaceDE w:val="0"/>
        <w:autoSpaceDN w:val="0"/>
        <w:adjustRightInd w:val="0"/>
        <w:spacing w:after="120"/>
        <w:jc w:val="both"/>
        <w:rPr>
          <w:rFonts w:ascii="Arial" w:hAnsi="Arial" w:cs="Arial"/>
          <w:sz w:val="22"/>
          <w:szCs w:val="22"/>
        </w:rPr>
      </w:pPr>
      <w:r w:rsidRPr="005C154B">
        <w:rPr>
          <w:rFonts w:ascii="Arial" w:hAnsi="Arial" w:cs="Arial"/>
          <w:sz w:val="22"/>
          <w:szCs w:val="22"/>
        </w:rPr>
        <w:t>Současně Rada upozorňuje, že schválení Programu vládou nezakládá automaticky nárok na jeho financování ze státního rozpočtu v objemech navržených v Programu. Financování se bude odvíjet od možností státního rozpočtu.</w:t>
      </w:r>
    </w:p>
    <w:p w14:paraId="009210D1" w14:textId="1876495A" w:rsidR="005C154B" w:rsidRPr="005C154B" w:rsidRDefault="005C154B" w:rsidP="005C154B">
      <w:pPr>
        <w:pStyle w:val="Odstavecseseznamem"/>
        <w:numPr>
          <w:ilvl w:val="0"/>
          <w:numId w:val="21"/>
        </w:numPr>
        <w:autoSpaceDE w:val="0"/>
        <w:autoSpaceDN w:val="0"/>
        <w:adjustRightInd w:val="0"/>
        <w:spacing w:after="120"/>
        <w:jc w:val="both"/>
        <w:rPr>
          <w:rFonts w:ascii="Arial" w:hAnsi="Arial" w:cs="Arial"/>
          <w:sz w:val="22"/>
          <w:szCs w:val="22"/>
        </w:rPr>
      </w:pPr>
      <w:r w:rsidRPr="005C154B">
        <w:rPr>
          <w:rFonts w:ascii="Arial" w:hAnsi="Arial" w:cs="Arial"/>
          <w:sz w:val="22"/>
          <w:szCs w:val="22"/>
        </w:rPr>
        <w:t>K výdajům na Program</w:t>
      </w:r>
    </w:p>
    <w:p w14:paraId="23CF8A1A" w14:textId="4A69E822" w:rsidR="00E87111" w:rsidRDefault="005C154B" w:rsidP="005C154B">
      <w:pPr>
        <w:autoSpaceDE w:val="0"/>
        <w:autoSpaceDN w:val="0"/>
        <w:adjustRightInd w:val="0"/>
        <w:spacing w:after="120"/>
        <w:jc w:val="both"/>
        <w:rPr>
          <w:rFonts w:ascii="Arial" w:hAnsi="Arial" w:cs="Arial"/>
          <w:sz w:val="22"/>
          <w:szCs w:val="22"/>
        </w:rPr>
      </w:pPr>
      <w:r w:rsidRPr="005C154B">
        <w:rPr>
          <w:rFonts w:ascii="Arial" w:hAnsi="Arial" w:cs="Arial"/>
          <w:sz w:val="22"/>
          <w:szCs w:val="22"/>
        </w:rPr>
        <w:t>Rada požaduje informaci, z jakých zdrojů plánuje MV pokrýt výdaje plánované v Programu v</w:t>
      </w:r>
      <w:r w:rsidR="00423343">
        <w:rPr>
          <w:rFonts w:ascii="Arial" w:hAnsi="Arial" w:cs="Arial"/>
          <w:sz w:val="22"/>
          <w:szCs w:val="22"/>
        </w:rPr>
        <w:t> </w:t>
      </w:r>
      <w:r w:rsidRPr="005C154B">
        <w:rPr>
          <w:rFonts w:ascii="Arial" w:hAnsi="Arial" w:cs="Arial"/>
          <w:sz w:val="22"/>
          <w:szCs w:val="22"/>
        </w:rPr>
        <w:t>roce 2026 v případě, že se nepodaří schválit Program vládou ČR včas pro jeho zahrnutí do návrhu výdajů na VaVaI již pro rok 2026.</w:t>
      </w:r>
    </w:p>
    <w:p w14:paraId="021718F0" w14:textId="2A60C94F" w:rsidR="00211162" w:rsidRDefault="00211162" w:rsidP="00211162">
      <w:pPr>
        <w:pStyle w:val="Odstavecseseznamem"/>
        <w:numPr>
          <w:ilvl w:val="0"/>
          <w:numId w:val="21"/>
        </w:numPr>
        <w:autoSpaceDE w:val="0"/>
        <w:autoSpaceDN w:val="0"/>
        <w:adjustRightInd w:val="0"/>
        <w:spacing w:after="120"/>
        <w:jc w:val="both"/>
        <w:rPr>
          <w:rFonts w:ascii="Arial" w:hAnsi="Arial" w:cs="Arial"/>
          <w:sz w:val="22"/>
          <w:szCs w:val="22"/>
        </w:rPr>
      </w:pPr>
      <w:r>
        <w:rPr>
          <w:rFonts w:ascii="Arial" w:hAnsi="Arial" w:cs="Arial"/>
          <w:sz w:val="22"/>
          <w:szCs w:val="22"/>
        </w:rPr>
        <w:t xml:space="preserve">K propojení </w:t>
      </w:r>
      <w:r w:rsidR="00DE4411">
        <w:rPr>
          <w:rFonts w:ascii="Arial" w:hAnsi="Arial" w:cs="Arial"/>
          <w:sz w:val="22"/>
          <w:szCs w:val="22"/>
        </w:rPr>
        <w:t>cílů systému bezpečnostního výzkumu a cílů podprogramů</w:t>
      </w:r>
    </w:p>
    <w:p w14:paraId="25FBA29A" w14:textId="5C0BFB6D" w:rsidR="00DE4411" w:rsidRDefault="00DE4411" w:rsidP="00DE4411">
      <w:pPr>
        <w:autoSpaceDE w:val="0"/>
        <w:autoSpaceDN w:val="0"/>
        <w:adjustRightInd w:val="0"/>
        <w:spacing w:after="120"/>
        <w:jc w:val="both"/>
        <w:rPr>
          <w:rFonts w:ascii="Arial" w:hAnsi="Arial" w:cs="Arial"/>
          <w:sz w:val="22"/>
          <w:szCs w:val="22"/>
        </w:rPr>
      </w:pPr>
      <w:r>
        <w:rPr>
          <w:rFonts w:ascii="Arial" w:hAnsi="Arial" w:cs="Arial"/>
          <w:sz w:val="22"/>
          <w:szCs w:val="22"/>
        </w:rPr>
        <w:t>Rada požaduje lépe propojit prioritní cíle celého systému podpory bezpečnostního výzkumu (v úvodu části 3) a cíle výzev PP2 a PP3 a jejich očekávané dopady dle předkládací zprávy.</w:t>
      </w:r>
    </w:p>
    <w:p w14:paraId="658E8943" w14:textId="132ECEAA" w:rsidR="00DE4411" w:rsidRDefault="00DE4411" w:rsidP="00DE4411">
      <w:pPr>
        <w:pStyle w:val="Odstavecseseznamem"/>
        <w:numPr>
          <w:ilvl w:val="0"/>
          <w:numId w:val="21"/>
        </w:numPr>
        <w:autoSpaceDE w:val="0"/>
        <w:autoSpaceDN w:val="0"/>
        <w:adjustRightInd w:val="0"/>
        <w:spacing w:after="120"/>
        <w:jc w:val="both"/>
        <w:rPr>
          <w:rFonts w:ascii="Arial" w:hAnsi="Arial" w:cs="Arial"/>
          <w:sz w:val="22"/>
          <w:szCs w:val="22"/>
        </w:rPr>
      </w:pPr>
      <w:r>
        <w:rPr>
          <w:rFonts w:ascii="Arial" w:hAnsi="Arial" w:cs="Arial"/>
          <w:sz w:val="22"/>
          <w:szCs w:val="22"/>
        </w:rPr>
        <w:t>K reflexi poznatků z IMPAKT 1</w:t>
      </w:r>
    </w:p>
    <w:p w14:paraId="6156D1B8" w14:textId="634E96CC" w:rsidR="00DE4411" w:rsidRPr="00C45DF2" w:rsidRDefault="00DE4411" w:rsidP="00DE4411">
      <w:pPr>
        <w:autoSpaceDE w:val="0"/>
        <w:autoSpaceDN w:val="0"/>
        <w:adjustRightInd w:val="0"/>
        <w:spacing w:after="120"/>
        <w:jc w:val="both"/>
        <w:rPr>
          <w:rFonts w:ascii="Arial" w:hAnsi="Arial" w:cs="Arial"/>
          <w:sz w:val="22"/>
          <w:szCs w:val="22"/>
        </w:rPr>
      </w:pPr>
      <w:r>
        <w:rPr>
          <w:rFonts w:ascii="Arial" w:hAnsi="Arial" w:cs="Arial"/>
          <w:sz w:val="22"/>
          <w:szCs w:val="22"/>
        </w:rPr>
        <w:t xml:space="preserve">Rada požaduje rozšířit a vyjasnit reflexi poznatků z IMPAKT 1. IMPAKT 2 je plynule navazující na program IMPAKT 1 a není jasná logika, resp. cíl alokace prostředků na jednotlivé podprogramy. </w:t>
      </w:r>
    </w:p>
    <w:p w14:paraId="53602881" w14:textId="3F49799C" w:rsidR="00BD3129" w:rsidRPr="00BD3129" w:rsidRDefault="00BD3129" w:rsidP="005C154B">
      <w:pPr>
        <w:autoSpaceDE w:val="0"/>
        <w:autoSpaceDN w:val="0"/>
        <w:adjustRightInd w:val="0"/>
        <w:spacing w:after="120"/>
        <w:jc w:val="both"/>
        <w:rPr>
          <w:rFonts w:ascii="Arial" w:hAnsi="Arial" w:cs="Arial"/>
          <w:b/>
          <w:sz w:val="22"/>
          <w:szCs w:val="22"/>
        </w:rPr>
      </w:pPr>
      <w:r w:rsidRPr="00BD3129">
        <w:rPr>
          <w:rFonts w:ascii="Arial" w:hAnsi="Arial" w:cs="Arial"/>
          <w:b/>
          <w:sz w:val="22"/>
          <w:szCs w:val="22"/>
        </w:rPr>
        <w:t>Doporuč</w:t>
      </w:r>
      <w:r>
        <w:rPr>
          <w:rFonts w:ascii="Arial" w:hAnsi="Arial" w:cs="Arial"/>
          <w:b/>
          <w:sz w:val="22"/>
          <w:szCs w:val="22"/>
        </w:rPr>
        <w:t>u</w:t>
      </w:r>
      <w:r w:rsidRPr="00BD3129">
        <w:rPr>
          <w:rFonts w:ascii="Arial" w:hAnsi="Arial" w:cs="Arial"/>
          <w:b/>
          <w:sz w:val="22"/>
          <w:szCs w:val="22"/>
        </w:rPr>
        <w:t>jící</w:t>
      </w:r>
    </w:p>
    <w:p w14:paraId="40C87393" w14:textId="1E07F607" w:rsidR="00E02A7F" w:rsidRPr="00D53619" w:rsidRDefault="00E02A7F" w:rsidP="00E02A7F">
      <w:pPr>
        <w:pStyle w:val="Odstavecseseznamem"/>
        <w:numPr>
          <w:ilvl w:val="0"/>
          <w:numId w:val="21"/>
        </w:numPr>
        <w:autoSpaceDE w:val="0"/>
        <w:autoSpaceDN w:val="0"/>
        <w:adjustRightInd w:val="0"/>
        <w:spacing w:after="120"/>
        <w:jc w:val="both"/>
        <w:rPr>
          <w:rFonts w:ascii="Arial" w:hAnsi="Arial" w:cs="Arial"/>
          <w:sz w:val="22"/>
          <w:szCs w:val="22"/>
        </w:rPr>
      </w:pPr>
      <w:r w:rsidRPr="00D53619">
        <w:rPr>
          <w:rFonts w:ascii="Arial" w:hAnsi="Arial" w:cs="Arial"/>
          <w:sz w:val="22"/>
          <w:szCs w:val="22"/>
        </w:rPr>
        <w:t>K vazbě programu na aktualizované NPOV</w:t>
      </w:r>
    </w:p>
    <w:p w14:paraId="189C8E4B" w14:textId="3149E9A6" w:rsidR="006A0250" w:rsidRPr="00D53619" w:rsidRDefault="00E02A7F" w:rsidP="00E02A7F">
      <w:pPr>
        <w:autoSpaceDE w:val="0"/>
        <w:autoSpaceDN w:val="0"/>
        <w:adjustRightInd w:val="0"/>
        <w:spacing w:after="120"/>
        <w:jc w:val="both"/>
        <w:rPr>
          <w:rFonts w:ascii="Arial" w:hAnsi="Arial" w:cs="Arial"/>
          <w:sz w:val="22"/>
          <w:szCs w:val="22"/>
        </w:rPr>
      </w:pPr>
      <w:r w:rsidRPr="00D53619">
        <w:rPr>
          <w:rFonts w:ascii="Arial" w:hAnsi="Arial" w:cs="Arial"/>
          <w:sz w:val="22"/>
          <w:szCs w:val="22"/>
        </w:rPr>
        <w:t xml:space="preserve">Lze pozitivně hodnotit snahu vytvořit vazbu Programu již na </w:t>
      </w:r>
      <w:r w:rsidR="00454699">
        <w:rPr>
          <w:rFonts w:ascii="Arial" w:hAnsi="Arial" w:cs="Arial"/>
          <w:sz w:val="22"/>
          <w:szCs w:val="22"/>
        </w:rPr>
        <w:t>právě</w:t>
      </w:r>
      <w:r w:rsidR="00F94BD1">
        <w:rPr>
          <w:rFonts w:ascii="Arial" w:hAnsi="Arial" w:cs="Arial"/>
          <w:sz w:val="22"/>
          <w:szCs w:val="22"/>
        </w:rPr>
        <w:t xml:space="preserve"> probíhající</w:t>
      </w:r>
      <w:r w:rsidR="00454699">
        <w:rPr>
          <w:rFonts w:ascii="Arial" w:hAnsi="Arial" w:cs="Arial"/>
          <w:sz w:val="22"/>
          <w:szCs w:val="22"/>
        </w:rPr>
        <w:t xml:space="preserve"> aktualiz</w:t>
      </w:r>
      <w:r w:rsidR="00F94BD1">
        <w:rPr>
          <w:rFonts w:ascii="Arial" w:hAnsi="Arial" w:cs="Arial"/>
          <w:sz w:val="22"/>
          <w:szCs w:val="22"/>
        </w:rPr>
        <w:t>aci</w:t>
      </w:r>
      <w:r w:rsidRPr="00D53619">
        <w:rPr>
          <w:rFonts w:ascii="Arial" w:hAnsi="Arial" w:cs="Arial"/>
          <w:sz w:val="22"/>
          <w:szCs w:val="22"/>
        </w:rPr>
        <w:t xml:space="preserve"> NPOV</w:t>
      </w:r>
      <w:r w:rsidR="00F94BD1">
        <w:rPr>
          <w:rFonts w:ascii="Arial" w:hAnsi="Arial" w:cs="Arial"/>
          <w:sz w:val="22"/>
          <w:szCs w:val="22"/>
        </w:rPr>
        <w:t>,</w:t>
      </w:r>
      <w:r w:rsidR="00BD3129" w:rsidRPr="00D53619">
        <w:rPr>
          <w:rFonts w:ascii="Arial" w:hAnsi="Arial" w:cs="Arial"/>
          <w:sz w:val="22"/>
          <w:szCs w:val="22"/>
        </w:rPr>
        <w:t xml:space="preserve"> </w:t>
      </w:r>
      <w:r w:rsidR="006A0250" w:rsidRPr="00D53619">
        <w:rPr>
          <w:rFonts w:ascii="Arial" w:hAnsi="Arial" w:cs="Arial"/>
          <w:sz w:val="22"/>
          <w:szCs w:val="22"/>
        </w:rPr>
        <w:t>např. na</w:t>
      </w:r>
      <w:r w:rsidR="00BD3129" w:rsidRPr="00D53619">
        <w:rPr>
          <w:rFonts w:ascii="Arial" w:hAnsi="Arial" w:cs="Arial"/>
          <w:sz w:val="22"/>
          <w:szCs w:val="22"/>
        </w:rPr>
        <w:t xml:space="preserve"> str. 4 Strategický rámec Programu, odst. 4 </w:t>
      </w:r>
      <w:r w:rsidR="006A0250" w:rsidRPr="00D53619">
        <w:rPr>
          <w:rFonts w:ascii="Arial" w:hAnsi="Arial" w:cs="Arial"/>
          <w:sz w:val="22"/>
          <w:szCs w:val="22"/>
        </w:rPr>
        <w:t>(</w:t>
      </w:r>
      <w:r w:rsidR="00BD3129" w:rsidRPr="00D53619">
        <w:rPr>
          <w:rFonts w:ascii="Arial" w:hAnsi="Arial" w:cs="Arial"/>
          <w:sz w:val="22"/>
          <w:szCs w:val="22"/>
        </w:rPr>
        <w:t>„Svým tematickým vymezením Program navazuje na vysoce participativní proces tvorby Národních priorit orientovaného výzkumu, vývoje a inovací, který byl realizován v roce 2024.“</w:t>
      </w:r>
      <w:r w:rsidR="006A0250" w:rsidRPr="00D53619">
        <w:rPr>
          <w:rFonts w:ascii="Arial" w:hAnsi="Arial" w:cs="Arial"/>
          <w:sz w:val="22"/>
          <w:szCs w:val="22"/>
        </w:rPr>
        <w:t>) nebo na str. 5, odst. 2 („Zároveň navazuje na proces identifikace Národních priorit orientovaného výzkumu, realizovaný v roce 2024 ve svém věcném vymezení, čímž plní požadavky NP VaVaI, opatření 27, které žádá podporu celospolečensky relevantních hrozeb“)</w:t>
      </w:r>
      <w:r w:rsidRPr="00D53619">
        <w:rPr>
          <w:rFonts w:ascii="Arial" w:hAnsi="Arial" w:cs="Arial"/>
          <w:sz w:val="22"/>
          <w:szCs w:val="22"/>
        </w:rPr>
        <w:t xml:space="preserve">. </w:t>
      </w:r>
    </w:p>
    <w:p w14:paraId="65984AEB" w14:textId="7497A5F7" w:rsidR="00211162" w:rsidRPr="00E02A7F" w:rsidRDefault="00E02A7F" w:rsidP="00E02A7F">
      <w:pPr>
        <w:autoSpaceDE w:val="0"/>
        <w:autoSpaceDN w:val="0"/>
        <w:adjustRightInd w:val="0"/>
        <w:spacing w:after="120"/>
        <w:jc w:val="both"/>
        <w:rPr>
          <w:rFonts w:ascii="Arial" w:hAnsi="Arial" w:cs="Arial"/>
          <w:sz w:val="22"/>
          <w:szCs w:val="22"/>
        </w:rPr>
      </w:pPr>
      <w:r w:rsidRPr="00D53619">
        <w:rPr>
          <w:rFonts w:ascii="Arial" w:hAnsi="Arial" w:cs="Arial"/>
          <w:sz w:val="22"/>
          <w:szCs w:val="22"/>
        </w:rPr>
        <w:t xml:space="preserve">Rada však upozorňuje předkladatele, že „nové“ NPOV jsou stále v procesu aktualizace a jejich výsledná podoba tedy není ještě známa. Z tohoto důvodu </w:t>
      </w:r>
      <w:r w:rsidR="00BD3129" w:rsidRPr="00D53619">
        <w:rPr>
          <w:rFonts w:ascii="Arial" w:hAnsi="Arial" w:cs="Arial"/>
          <w:sz w:val="22"/>
          <w:szCs w:val="22"/>
        </w:rPr>
        <w:t xml:space="preserve">se doporučuje </w:t>
      </w:r>
      <w:r w:rsidR="006A0250" w:rsidRPr="00D53619">
        <w:rPr>
          <w:rFonts w:ascii="Arial" w:hAnsi="Arial" w:cs="Arial"/>
          <w:sz w:val="22"/>
          <w:szCs w:val="22"/>
        </w:rPr>
        <w:t xml:space="preserve">uvedenou vazbu </w:t>
      </w:r>
      <w:r w:rsidR="00D53619">
        <w:rPr>
          <w:rFonts w:ascii="Arial" w:hAnsi="Arial" w:cs="Arial"/>
          <w:sz w:val="22"/>
          <w:szCs w:val="22"/>
        </w:rPr>
        <w:t xml:space="preserve">Programu na „nové“ NPOV </w:t>
      </w:r>
      <w:r w:rsidR="00BD3129" w:rsidRPr="00D53619">
        <w:rPr>
          <w:rFonts w:ascii="Arial" w:hAnsi="Arial" w:cs="Arial"/>
          <w:sz w:val="22"/>
          <w:szCs w:val="22"/>
        </w:rPr>
        <w:t>v dokumentu neuvádět.</w:t>
      </w:r>
    </w:p>
    <w:p w14:paraId="7989D80B" w14:textId="77777777" w:rsidR="00D56170" w:rsidRPr="00C31AF9" w:rsidRDefault="00D56170" w:rsidP="00745DF4">
      <w:pPr>
        <w:keepNext/>
        <w:numPr>
          <w:ilvl w:val="0"/>
          <w:numId w:val="1"/>
        </w:numPr>
        <w:spacing w:before="240" w:after="120"/>
        <w:rPr>
          <w:rFonts w:ascii="Arial" w:hAnsi="Arial" w:cs="Arial"/>
          <w:b/>
          <w:color w:val="0070C0"/>
          <w:sz w:val="22"/>
          <w:szCs w:val="22"/>
        </w:rPr>
      </w:pPr>
      <w:r w:rsidRPr="00C31AF9">
        <w:rPr>
          <w:rFonts w:ascii="Arial" w:hAnsi="Arial" w:cs="Arial"/>
          <w:b/>
          <w:color w:val="0070C0"/>
          <w:sz w:val="22"/>
          <w:szCs w:val="22"/>
        </w:rPr>
        <w:t>Závěr</w:t>
      </w:r>
    </w:p>
    <w:p w14:paraId="1A868408" w14:textId="68C0B827" w:rsidR="00D56170" w:rsidRPr="00266522" w:rsidRDefault="00451C82" w:rsidP="00266522">
      <w:pPr>
        <w:pStyle w:val="Zkladntext2"/>
        <w:spacing w:after="120"/>
        <w:jc w:val="both"/>
        <w:rPr>
          <w:rFonts w:ascii="Arial" w:hAnsi="Arial" w:cs="Arial"/>
          <w:sz w:val="22"/>
          <w:szCs w:val="22"/>
        </w:rPr>
      </w:pPr>
      <w:bookmarkStart w:id="3" w:name="OLE_LINK1"/>
      <w:r w:rsidRPr="00266522">
        <w:rPr>
          <w:rFonts w:ascii="Arial" w:hAnsi="Arial" w:cs="Arial"/>
          <w:b/>
          <w:sz w:val="22"/>
          <w:szCs w:val="22"/>
        </w:rPr>
        <w:t xml:space="preserve">Rada souhlasí s návrhem </w:t>
      </w:r>
      <w:r w:rsidR="00266522">
        <w:rPr>
          <w:rFonts w:ascii="Arial" w:hAnsi="Arial" w:cs="Arial"/>
          <w:b/>
          <w:sz w:val="22"/>
          <w:szCs w:val="22"/>
        </w:rPr>
        <w:t xml:space="preserve">programu </w:t>
      </w:r>
      <w:r w:rsidR="00266522" w:rsidRPr="00266522">
        <w:rPr>
          <w:rFonts w:ascii="Arial" w:hAnsi="Arial" w:cs="Arial"/>
          <w:b/>
          <w:sz w:val="22"/>
          <w:szCs w:val="22"/>
        </w:rPr>
        <w:t xml:space="preserve">Strategická podpora rozvoje bezpečnostního výzkumu ČR (IMPAKT 2) </w:t>
      </w:r>
      <w:r w:rsidRPr="00266522">
        <w:rPr>
          <w:rFonts w:ascii="Arial" w:hAnsi="Arial" w:cs="Arial"/>
          <w:b/>
          <w:sz w:val="22"/>
          <w:szCs w:val="22"/>
        </w:rPr>
        <w:t>po za</w:t>
      </w:r>
      <w:r w:rsidR="00756D0F" w:rsidRPr="00266522">
        <w:rPr>
          <w:rFonts w:ascii="Arial" w:hAnsi="Arial" w:cs="Arial"/>
          <w:b/>
          <w:sz w:val="22"/>
          <w:szCs w:val="22"/>
        </w:rPr>
        <w:t>pracování připomínek Rady a KHV a žádá</w:t>
      </w:r>
      <w:r w:rsidR="003F52B1" w:rsidRPr="00266522">
        <w:rPr>
          <w:rFonts w:ascii="Arial" w:hAnsi="Arial" w:cs="Arial"/>
          <w:b/>
          <w:sz w:val="22"/>
          <w:szCs w:val="22"/>
        </w:rPr>
        <w:t xml:space="preserve"> </w:t>
      </w:r>
      <w:r w:rsidR="00266522">
        <w:rPr>
          <w:rFonts w:ascii="Arial" w:hAnsi="Arial" w:cs="Arial"/>
          <w:b/>
          <w:sz w:val="22"/>
          <w:szCs w:val="22"/>
        </w:rPr>
        <w:t>MV</w:t>
      </w:r>
      <w:r w:rsidR="00756D0F" w:rsidRPr="00266522">
        <w:rPr>
          <w:rFonts w:ascii="Arial" w:hAnsi="Arial" w:cs="Arial"/>
          <w:b/>
          <w:sz w:val="22"/>
          <w:szCs w:val="22"/>
        </w:rPr>
        <w:t xml:space="preserve"> o zaslání vypořádání připomínek Rady a KHV </w:t>
      </w:r>
      <w:r w:rsidR="003F52B1" w:rsidRPr="00266522">
        <w:rPr>
          <w:rFonts w:ascii="Arial" w:hAnsi="Arial" w:cs="Arial"/>
          <w:b/>
          <w:sz w:val="22"/>
          <w:szCs w:val="22"/>
        </w:rPr>
        <w:t xml:space="preserve">před předložením návrhu </w:t>
      </w:r>
      <w:r w:rsidR="00266522">
        <w:rPr>
          <w:rFonts w:ascii="Arial" w:hAnsi="Arial" w:cs="Arial"/>
          <w:b/>
          <w:sz w:val="22"/>
          <w:szCs w:val="22"/>
        </w:rPr>
        <w:t xml:space="preserve">programu </w:t>
      </w:r>
      <w:r w:rsidR="00266522" w:rsidRPr="00266522">
        <w:rPr>
          <w:rFonts w:ascii="Arial" w:hAnsi="Arial" w:cs="Arial"/>
          <w:b/>
          <w:sz w:val="22"/>
          <w:szCs w:val="22"/>
        </w:rPr>
        <w:t>Strategická podpora rozvoje bezpečnostního výzkumu ČR (IMPAKT 2)</w:t>
      </w:r>
      <w:r w:rsidR="00FE3889" w:rsidRPr="00266522">
        <w:rPr>
          <w:rFonts w:ascii="Arial" w:hAnsi="Arial" w:cs="Arial"/>
          <w:b/>
          <w:sz w:val="22"/>
          <w:szCs w:val="22"/>
        </w:rPr>
        <w:t xml:space="preserve"> </w:t>
      </w:r>
      <w:r w:rsidR="00756D0F" w:rsidRPr="00266522">
        <w:rPr>
          <w:rFonts w:ascii="Arial" w:hAnsi="Arial" w:cs="Arial"/>
          <w:b/>
          <w:sz w:val="22"/>
          <w:szCs w:val="22"/>
        </w:rPr>
        <w:t>do meziresortního připomínkového řízení.</w:t>
      </w:r>
    </w:p>
    <w:p w14:paraId="3583E3F9" w14:textId="77777777" w:rsidR="00D56170" w:rsidRPr="00C31AF9" w:rsidRDefault="00D56170" w:rsidP="00706262">
      <w:pPr>
        <w:pStyle w:val="Zkladntext"/>
        <w:jc w:val="both"/>
        <w:rPr>
          <w:rFonts w:ascii="Arial" w:hAnsi="Arial" w:cs="Arial"/>
          <w:color w:val="FF0000"/>
          <w:sz w:val="22"/>
          <w:szCs w:val="22"/>
          <w:highlight w:val="yellow"/>
        </w:rPr>
      </w:pPr>
    </w:p>
    <w:p w14:paraId="1FCDA2B9" w14:textId="77777777" w:rsidR="00D56170" w:rsidRPr="00C31AF9" w:rsidRDefault="00D56170" w:rsidP="00706262">
      <w:pPr>
        <w:pStyle w:val="Zkladntext"/>
        <w:jc w:val="both"/>
        <w:rPr>
          <w:rFonts w:ascii="Arial" w:hAnsi="Arial" w:cs="Arial"/>
          <w:color w:val="FF0000"/>
          <w:sz w:val="22"/>
          <w:szCs w:val="22"/>
          <w:highlight w:val="yellow"/>
        </w:rPr>
      </w:pPr>
    </w:p>
    <w:p w14:paraId="2EE84FD3" w14:textId="5447F7FF" w:rsidR="00D56170" w:rsidRPr="00C45DF2" w:rsidRDefault="00D56170" w:rsidP="00706262">
      <w:pPr>
        <w:pStyle w:val="Zkladntext"/>
        <w:jc w:val="both"/>
        <w:rPr>
          <w:rFonts w:ascii="Arial" w:hAnsi="Arial" w:cs="Arial"/>
          <w:sz w:val="22"/>
          <w:szCs w:val="22"/>
        </w:rPr>
      </w:pPr>
      <w:r w:rsidRPr="00C45DF2">
        <w:rPr>
          <w:rFonts w:ascii="Arial" w:hAnsi="Arial" w:cs="Arial"/>
          <w:sz w:val="22"/>
          <w:szCs w:val="22"/>
        </w:rPr>
        <w:t xml:space="preserve">V Praze dne </w:t>
      </w:r>
      <w:r w:rsidR="00C45DF2" w:rsidRPr="00C45DF2">
        <w:rPr>
          <w:rFonts w:ascii="Arial" w:hAnsi="Arial" w:cs="Arial"/>
          <w:sz w:val="22"/>
          <w:szCs w:val="22"/>
        </w:rPr>
        <w:t>28</w:t>
      </w:r>
      <w:r w:rsidR="003B4B10" w:rsidRPr="00C45DF2">
        <w:rPr>
          <w:rFonts w:ascii="Arial" w:hAnsi="Arial" w:cs="Arial"/>
          <w:sz w:val="22"/>
          <w:szCs w:val="22"/>
        </w:rPr>
        <w:t xml:space="preserve">. </w:t>
      </w:r>
      <w:r w:rsidR="00266522" w:rsidRPr="00C45DF2">
        <w:rPr>
          <w:rFonts w:ascii="Arial" w:hAnsi="Arial" w:cs="Arial"/>
          <w:sz w:val="22"/>
          <w:szCs w:val="22"/>
        </w:rPr>
        <w:t>března</w:t>
      </w:r>
      <w:r w:rsidRPr="00C45DF2">
        <w:rPr>
          <w:rFonts w:ascii="Arial" w:hAnsi="Arial" w:cs="Arial"/>
          <w:sz w:val="22"/>
          <w:szCs w:val="22"/>
        </w:rPr>
        <w:t xml:space="preserve"> 20</w:t>
      </w:r>
      <w:bookmarkEnd w:id="3"/>
      <w:r w:rsidR="007634FA" w:rsidRPr="00C45DF2">
        <w:rPr>
          <w:rFonts w:ascii="Arial" w:hAnsi="Arial" w:cs="Arial"/>
          <w:sz w:val="22"/>
          <w:szCs w:val="22"/>
        </w:rPr>
        <w:t>2</w:t>
      </w:r>
      <w:r w:rsidR="002714FA" w:rsidRPr="00C45DF2">
        <w:rPr>
          <w:rFonts w:ascii="Arial" w:hAnsi="Arial" w:cs="Arial"/>
          <w:sz w:val="22"/>
          <w:szCs w:val="22"/>
        </w:rPr>
        <w:t>5</w:t>
      </w:r>
    </w:p>
    <w:p w14:paraId="214B2978" w14:textId="77777777" w:rsidR="005E4F01" w:rsidRPr="00C31AF9" w:rsidRDefault="005E4F01" w:rsidP="00706262">
      <w:pPr>
        <w:rPr>
          <w:rFonts w:ascii="Arial" w:hAnsi="Arial" w:cs="Arial"/>
          <w:sz w:val="22"/>
          <w:szCs w:val="22"/>
        </w:rPr>
      </w:pPr>
    </w:p>
    <w:sectPr w:rsidR="005E4F01" w:rsidRPr="00C31AF9"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B31F3" w14:textId="77777777" w:rsidR="00DA4AC9" w:rsidRDefault="00DA4AC9" w:rsidP="008F77F6">
      <w:r>
        <w:separator/>
      </w:r>
    </w:p>
  </w:endnote>
  <w:endnote w:type="continuationSeparator" w:id="0">
    <w:p w14:paraId="6E852CB3" w14:textId="77777777" w:rsidR="00DA4AC9" w:rsidRDefault="00DA4AC9"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6B26" w14:textId="35424C13" w:rsidR="008B3A53" w:rsidRPr="00CC370F" w:rsidRDefault="00665CCD"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sidR="00D53619">
          <w:rPr>
            <w:rFonts w:ascii="Arial" w:hAnsi="Arial" w:cs="Arial"/>
            <w:noProof/>
            <w:sz w:val="18"/>
            <w:szCs w:val="18"/>
          </w:rPr>
          <w:t>7</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sidR="00D53619">
          <w:rPr>
            <w:rFonts w:ascii="Arial" w:hAnsi="Arial" w:cs="Arial"/>
            <w:noProof/>
            <w:sz w:val="18"/>
            <w:szCs w:val="18"/>
          </w:rPr>
          <w:t>7</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93ADE" w14:textId="40294B24" w:rsidR="00D56170" w:rsidRPr="00CC370F" w:rsidRDefault="00665CCD"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sidR="00D53619">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sidR="00D53619">
          <w:rPr>
            <w:rFonts w:ascii="Arial" w:hAnsi="Arial" w:cs="Arial"/>
            <w:noProof/>
            <w:sz w:val="18"/>
            <w:szCs w:val="18"/>
          </w:rPr>
          <w:t>7</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1B3008" w14:textId="77777777" w:rsidR="00DA4AC9" w:rsidRDefault="00DA4AC9" w:rsidP="008F77F6">
      <w:r>
        <w:separator/>
      </w:r>
    </w:p>
  </w:footnote>
  <w:footnote w:type="continuationSeparator" w:id="0">
    <w:p w14:paraId="3B868988" w14:textId="77777777" w:rsidR="00DA4AC9" w:rsidRDefault="00DA4AC9" w:rsidP="008F77F6">
      <w:r>
        <w:continuationSeparator/>
      </w:r>
    </w:p>
  </w:footnote>
  <w:footnote w:id="1">
    <w:p w14:paraId="45AC6952" w14:textId="77777777" w:rsidR="00745DF4" w:rsidRPr="00EC16D2" w:rsidRDefault="00745DF4" w:rsidP="00745DF4">
      <w:pPr>
        <w:pStyle w:val="Textpoznpodarou"/>
        <w:rPr>
          <w:rFonts w:ascii="Arial" w:hAnsi="Arial" w:cs="Arial"/>
        </w:rPr>
      </w:pPr>
      <w:r w:rsidRPr="00EC16D2">
        <w:rPr>
          <w:rStyle w:val="Znakapoznpodarou"/>
          <w:rFonts w:cs="Arial"/>
        </w:rPr>
        <w:footnoteRef/>
      </w:r>
      <w:r w:rsidRPr="00EC16D2">
        <w:rPr>
          <w:rFonts w:ascii="Arial" w:hAnsi="Arial" w:cs="Arial"/>
        </w:rPr>
        <w:t xml:space="preserve"> Průběžné hodnocení programu Strategická podpora rozvoje bezpečnostního výzkumu ČR 2019</w:t>
      </w:r>
      <w:r>
        <w:rPr>
          <w:rFonts w:ascii="Arial" w:hAnsi="Arial" w:cs="Arial"/>
        </w:rPr>
        <w:t>–</w:t>
      </w:r>
      <w:r w:rsidRPr="00EC16D2">
        <w:rPr>
          <w:rFonts w:ascii="Arial" w:hAnsi="Arial" w:cs="Arial"/>
        </w:rPr>
        <w:t>2025 (IMPAKT 1), Ministerstvo vnitra, 2024.</w:t>
      </w:r>
    </w:p>
  </w:footnote>
  <w:footnote w:id="2">
    <w:p w14:paraId="02515632" w14:textId="77777777" w:rsidR="00745DF4" w:rsidRPr="00EC16D2" w:rsidRDefault="00745DF4" w:rsidP="00745DF4">
      <w:pPr>
        <w:pStyle w:val="Textpoznpodarou"/>
        <w:rPr>
          <w:rFonts w:ascii="Arial" w:hAnsi="Arial" w:cs="Arial"/>
        </w:rPr>
      </w:pPr>
      <w:r w:rsidRPr="00EC16D2">
        <w:rPr>
          <w:rStyle w:val="Znakapoznpodarou"/>
          <w:rFonts w:cs="Arial"/>
        </w:rPr>
        <w:footnoteRef/>
      </w:r>
      <w:r w:rsidRPr="00EC16D2">
        <w:rPr>
          <w:rFonts w:ascii="Arial" w:hAnsi="Arial" w:cs="Arial"/>
        </w:rPr>
        <w:t xml:space="preserve"> Faťun, M., Pazour, M., Bahenský, V., Ludvík, J., Pohnerová, E. (2024): Výhledová studie pro oblast bezpečnostního výzkumu. Praha, Technologické centrum Praha a Fakulta sociálních věd UK.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7" w:type="dxa"/>
      <w:tblLook w:val="04A0" w:firstRow="1" w:lastRow="0" w:firstColumn="1" w:lastColumn="0" w:noHBand="0" w:noVBand="1"/>
    </w:tblPr>
    <w:tblGrid>
      <w:gridCol w:w="8188"/>
      <w:gridCol w:w="1559"/>
    </w:tblGrid>
    <w:tr w:rsidR="00292257" w:rsidRPr="00EE4FE2"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2C105EBF" w:rsidR="00292257" w:rsidRPr="00EE4FE2" w:rsidRDefault="0088396E" w:rsidP="00D53619">
          <w:pPr>
            <w:pStyle w:val="Zhlav"/>
            <w:jc w:val="center"/>
            <w:rPr>
              <w:rFonts w:ascii="Arial" w:hAnsi="Arial" w:cs="Arial"/>
              <w:b/>
              <w:color w:val="0070C0"/>
              <w:sz w:val="28"/>
              <w:szCs w:val="28"/>
            </w:rPr>
          </w:pPr>
          <w:r>
            <w:rPr>
              <w:rFonts w:ascii="Arial" w:hAnsi="Arial" w:cs="Arial"/>
              <w:b/>
              <w:color w:val="0070C0"/>
              <w:sz w:val="28"/>
              <w:szCs w:val="28"/>
            </w:rPr>
            <w:t>4</w:t>
          </w:r>
          <w:r w:rsidR="00D53619">
            <w:rPr>
              <w:rFonts w:ascii="Arial" w:hAnsi="Arial" w:cs="Arial"/>
              <w:b/>
              <w:color w:val="0070C0"/>
              <w:sz w:val="28"/>
              <w:szCs w:val="28"/>
            </w:rPr>
            <w:t>10</w:t>
          </w:r>
          <w:r>
            <w:rPr>
              <w:rFonts w:ascii="Arial" w:hAnsi="Arial" w:cs="Arial"/>
              <w:b/>
              <w:color w:val="0070C0"/>
              <w:sz w:val="28"/>
              <w:szCs w:val="28"/>
            </w:rPr>
            <w:t>/A</w:t>
          </w:r>
          <w:r w:rsidR="00D53619">
            <w:rPr>
              <w:rFonts w:ascii="Arial" w:hAnsi="Arial" w:cs="Arial"/>
              <w:b/>
              <w:color w:val="0070C0"/>
              <w:sz w:val="28"/>
              <w:szCs w:val="28"/>
            </w:rPr>
            <w:t>1</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E7B46"/>
    <w:multiLevelType w:val="hybridMultilevel"/>
    <w:tmpl w:val="16E0E5E2"/>
    <w:lvl w:ilvl="0" w:tplc="127C8EA2">
      <w:start w:val="2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297C2C1E"/>
    <w:multiLevelType w:val="hybridMultilevel"/>
    <w:tmpl w:val="68D64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1E549F2"/>
    <w:multiLevelType w:val="multilevel"/>
    <w:tmpl w:val="2094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173BFB"/>
    <w:multiLevelType w:val="hybridMultilevel"/>
    <w:tmpl w:val="835A84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D0763CA"/>
    <w:multiLevelType w:val="hybridMultilevel"/>
    <w:tmpl w:val="EFCE430E"/>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463D5117"/>
    <w:multiLevelType w:val="hybridMultilevel"/>
    <w:tmpl w:val="7B02904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8035368"/>
    <w:multiLevelType w:val="hybridMultilevel"/>
    <w:tmpl w:val="2A9CFA8A"/>
    <w:lvl w:ilvl="0" w:tplc="127C8EA2">
      <w:start w:val="2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4A1B36A2"/>
    <w:multiLevelType w:val="hybridMultilevel"/>
    <w:tmpl w:val="F7B0D0DA"/>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FE6128"/>
    <w:multiLevelType w:val="hybridMultilevel"/>
    <w:tmpl w:val="2BDA9A36"/>
    <w:lvl w:ilvl="0" w:tplc="127C8EA2">
      <w:start w:val="24"/>
      <w:numFmt w:val="bullet"/>
      <w:lvlText w:val="-"/>
      <w:lvlJc w:val="left"/>
      <w:pPr>
        <w:ind w:left="1086" w:hanging="360"/>
      </w:pPr>
      <w:rPr>
        <w:rFonts w:ascii="Arial" w:eastAsia="Times New Roman" w:hAnsi="Arial" w:cs="Arial" w:hint="default"/>
      </w:rPr>
    </w:lvl>
    <w:lvl w:ilvl="1" w:tplc="04050003" w:tentative="1">
      <w:start w:val="1"/>
      <w:numFmt w:val="bullet"/>
      <w:lvlText w:val="o"/>
      <w:lvlJc w:val="left"/>
      <w:pPr>
        <w:ind w:left="1806" w:hanging="360"/>
      </w:pPr>
      <w:rPr>
        <w:rFonts w:ascii="Courier New" w:hAnsi="Courier New" w:cs="Courier New" w:hint="default"/>
      </w:rPr>
    </w:lvl>
    <w:lvl w:ilvl="2" w:tplc="04050005" w:tentative="1">
      <w:start w:val="1"/>
      <w:numFmt w:val="bullet"/>
      <w:lvlText w:val=""/>
      <w:lvlJc w:val="left"/>
      <w:pPr>
        <w:ind w:left="2526" w:hanging="360"/>
      </w:pPr>
      <w:rPr>
        <w:rFonts w:ascii="Wingdings" w:hAnsi="Wingdings" w:hint="default"/>
      </w:rPr>
    </w:lvl>
    <w:lvl w:ilvl="3" w:tplc="04050001" w:tentative="1">
      <w:start w:val="1"/>
      <w:numFmt w:val="bullet"/>
      <w:lvlText w:val=""/>
      <w:lvlJc w:val="left"/>
      <w:pPr>
        <w:ind w:left="3246" w:hanging="360"/>
      </w:pPr>
      <w:rPr>
        <w:rFonts w:ascii="Symbol" w:hAnsi="Symbol" w:hint="default"/>
      </w:rPr>
    </w:lvl>
    <w:lvl w:ilvl="4" w:tplc="04050003" w:tentative="1">
      <w:start w:val="1"/>
      <w:numFmt w:val="bullet"/>
      <w:lvlText w:val="o"/>
      <w:lvlJc w:val="left"/>
      <w:pPr>
        <w:ind w:left="3966" w:hanging="360"/>
      </w:pPr>
      <w:rPr>
        <w:rFonts w:ascii="Courier New" w:hAnsi="Courier New" w:cs="Courier New" w:hint="default"/>
      </w:rPr>
    </w:lvl>
    <w:lvl w:ilvl="5" w:tplc="04050005" w:tentative="1">
      <w:start w:val="1"/>
      <w:numFmt w:val="bullet"/>
      <w:lvlText w:val=""/>
      <w:lvlJc w:val="left"/>
      <w:pPr>
        <w:ind w:left="4686" w:hanging="360"/>
      </w:pPr>
      <w:rPr>
        <w:rFonts w:ascii="Wingdings" w:hAnsi="Wingdings" w:hint="default"/>
      </w:rPr>
    </w:lvl>
    <w:lvl w:ilvl="6" w:tplc="04050001" w:tentative="1">
      <w:start w:val="1"/>
      <w:numFmt w:val="bullet"/>
      <w:lvlText w:val=""/>
      <w:lvlJc w:val="left"/>
      <w:pPr>
        <w:ind w:left="5406" w:hanging="360"/>
      </w:pPr>
      <w:rPr>
        <w:rFonts w:ascii="Symbol" w:hAnsi="Symbol" w:hint="default"/>
      </w:rPr>
    </w:lvl>
    <w:lvl w:ilvl="7" w:tplc="04050003" w:tentative="1">
      <w:start w:val="1"/>
      <w:numFmt w:val="bullet"/>
      <w:lvlText w:val="o"/>
      <w:lvlJc w:val="left"/>
      <w:pPr>
        <w:ind w:left="6126" w:hanging="360"/>
      </w:pPr>
      <w:rPr>
        <w:rFonts w:ascii="Courier New" w:hAnsi="Courier New" w:cs="Courier New" w:hint="default"/>
      </w:rPr>
    </w:lvl>
    <w:lvl w:ilvl="8" w:tplc="04050005" w:tentative="1">
      <w:start w:val="1"/>
      <w:numFmt w:val="bullet"/>
      <w:lvlText w:val=""/>
      <w:lvlJc w:val="left"/>
      <w:pPr>
        <w:ind w:left="6846" w:hanging="360"/>
      </w:pPr>
      <w:rPr>
        <w:rFonts w:ascii="Wingdings" w:hAnsi="Wingdings" w:hint="default"/>
      </w:rPr>
    </w:lvl>
  </w:abstractNum>
  <w:abstractNum w:abstractNumId="11" w15:restartNumberingAfterBreak="0">
    <w:nsid w:val="54B90F64"/>
    <w:multiLevelType w:val="hybridMultilevel"/>
    <w:tmpl w:val="60B688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996104C"/>
    <w:multiLevelType w:val="hybridMultilevel"/>
    <w:tmpl w:val="F2D47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DC05811"/>
    <w:multiLevelType w:val="hybridMultilevel"/>
    <w:tmpl w:val="A438A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E064F81"/>
    <w:multiLevelType w:val="multilevel"/>
    <w:tmpl w:val="A78E77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31D0FF4"/>
    <w:multiLevelType w:val="hybridMultilevel"/>
    <w:tmpl w:val="0E925ED0"/>
    <w:lvl w:ilvl="0" w:tplc="AC26A4E8">
      <w:start w:val="1"/>
      <w:numFmt w:val="bullet"/>
      <w:lvlText w:val=""/>
      <w:lvlJc w:val="left"/>
      <w:pPr>
        <w:ind w:left="720" w:hanging="360"/>
      </w:pPr>
      <w:rPr>
        <w:rFonts w:ascii="Symbol" w:hAnsi="Symbol" w:hint="default"/>
      </w:rPr>
    </w:lvl>
    <w:lvl w:ilvl="1" w:tplc="BFE2F16C" w:tentative="1">
      <w:start w:val="1"/>
      <w:numFmt w:val="bullet"/>
      <w:lvlText w:val="o"/>
      <w:lvlJc w:val="left"/>
      <w:pPr>
        <w:ind w:left="1440" w:hanging="360"/>
      </w:pPr>
      <w:rPr>
        <w:rFonts w:ascii="Courier New" w:hAnsi="Courier New" w:cs="Courier New" w:hint="default"/>
      </w:rPr>
    </w:lvl>
    <w:lvl w:ilvl="2" w:tplc="621E88BA" w:tentative="1">
      <w:start w:val="1"/>
      <w:numFmt w:val="bullet"/>
      <w:lvlText w:val=""/>
      <w:lvlJc w:val="left"/>
      <w:pPr>
        <w:ind w:left="2160" w:hanging="360"/>
      </w:pPr>
      <w:rPr>
        <w:rFonts w:ascii="Wingdings" w:hAnsi="Wingdings" w:hint="default"/>
      </w:rPr>
    </w:lvl>
    <w:lvl w:ilvl="3" w:tplc="CC30E0E8" w:tentative="1">
      <w:start w:val="1"/>
      <w:numFmt w:val="bullet"/>
      <w:lvlText w:val=""/>
      <w:lvlJc w:val="left"/>
      <w:pPr>
        <w:ind w:left="2880" w:hanging="360"/>
      </w:pPr>
      <w:rPr>
        <w:rFonts w:ascii="Symbol" w:hAnsi="Symbol" w:hint="default"/>
      </w:rPr>
    </w:lvl>
    <w:lvl w:ilvl="4" w:tplc="D7C643C4" w:tentative="1">
      <w:start w:val="1"/>
      <w:numFmt w:val="bullet"/>
      <w:lvlText w:val="o"/>
      <w:lvlJc w:val="left"/>
      <w:pPr>
        <w:ind w:left="3600" w:hanging="360"/>
      </w:pPr>
      <w:rPr>
        <w:rFonts w:ascii="Courier New" w:hAnsi="Courier New" w:cs="Courier New" w:hint="default"/>
      </w:rPr>
    </w:lvl>
    <w:lvl w:ilvl="5" w:tplc="331064DE" w:tentative="1">
      <w:start w:val="1"/>
      <w:numFmt w:val="bullet"/>
      <w:lvlText w:val=""/>
      <w:lvlJc w:val="left"/>
      <w:pPr>
        <w:ind w:left="4320" w:hanging="360"/>
      </w:pPr>
      <w:rPr>
        <w:rFonts w:ascii="Wingdings" w:hAnsi="Wingdings" w:hint="default"/>
      </w:rPr>
    </w:lvl>
    <w:lvl w:ilvl="6" w:tplc="31AE48F0" w:tentative="1">
      <w:start w:val="1"/>
      <w:numFmt w:val="bullet"/>
      <w:lvlText w:val=""/>
      <w:lvlJc w:val="left"/>
      <w:pPr>
        <w:ind w:left="5040" w:hanging="360"/>
      </w:pPr>
      <w:rPr>
        <w:rFonts w:ascii="Symbol" w:hAnsi="Symbol" w:hint="default"/>
      </w:rPr>
    </w:lvl>
    <w:lvl w:ilvl="7" w:tplc="7772E7EC" w:tentative="1">
      <w:start w:val="1"/>
      <w:numFmt w:val="bullet"/>
      <w:lvlText w:val="o"/>
      <w:lvlJc w:val="left"/>
      <w:pPr>
        <w:ind w:left="5760" w:hanging="360"/>
      </w:pPr>
      <w:rPr>
        <w:rFonts w:ascii="Courier New" w:hAnsi="Courier New" w:cs="Courier New" w:hint="default"/>
      </w:rPr>
    </w:lvl>
    <w:lvl w:ilvl="8" w:tplc="E7F07194" w:tentative="1">
      <w:start w:val="1"/>
      <w:numFmt w:val="bullet"/>
      <w:lvlText w:val=""/>
      <w:lvlJc w:val="left"/>
      <w:pPr>
        <w:ind w:left="6480" w:hanging="360"/>
      </w:pPr>
      <w:rPr>
        <w:rFonts w:ascii="Wingdings" w:hAnsi="Wingdings" w:hint="default"/>
      </w:rPr>
    </w:lvl>
  </w:abstractNum>
  <w:abstractNum w:abstractNumId="16" w15:restartNumberingAfterBreak="0">
    <w:nsid w:val="658B4933"/>
    <w:multiLevelType w:val="hybridMultilevel"/>
    <w:tmpl w:val="621C309C"/>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1B1C7ED2">
      <w:numFmt w:val="bullet"/>
      <w:lvlText w:val=""/>
      <w:lvlJc w:val="left"/>
      <w:pPr>
        <w:ind w:left="2328" w:hanging="705"/>
      </w:pPr>
      <w:rPr>
        <w:rFonts w:ascii="Symbol" w:eastAsia="Times New Roman" w:hAnsi="Symbol" w:cs="Arial" w:hint="default"/>
      </w:r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7" w15:restartNumberingAfterBreak="0">
    <w:nsid w:val="67D77F13"/>
    <w:multiLevelType w:val="hybridMultilevel"/>
    <w:tmpl w:val="9320A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903F40"/>
    <w:multiLevelType w:val="hybridMultilevel"/>
    <w:tmpl w:val="8F1A6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DB14221"/>
    <w:multiLevelType w:val="hybridMultilevel"/>
    <w:tmpl w:val="7B2CC156"/>
    <w:lvl w:ilvl="0" w:tplc="16644524">
      <w:start w:val="1"/>
      <w:numFmt w:val="decimal"/>
      <w:lvlText w:val="%1"/>
      <w:lvlJc w:val="left"/>
      <w:pPr>
        <w:tabs>
          <w:tab w:val="num" w:pos="1410"/>
        </w:tabs>
        <w:ind w:left="1410" w:hanging="705"/>
      </w:pPr>
      <w:rPr>
        <w:rFonts w:hint="default"/>
      </w:r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8D7E9C3A">
      <w:start w:val="1"/>
      <w:numFmt w:val="lowerLetter"/>
      <w:lvlText w:val="%8)"/>
      <w:lvlJc w:val="left"/>
      <w:pPr>
        <w:tabs>
          <w:tab w:val="num" w:pos="6870"/>
        </w:tabs>
        <w:ind w:left="6870" w:hanging="1125"/>
      </w:pPr>
      <w:rPr>
        <w:rFonts w:hint="default"/>
      </w:rPr>
    </w:lvl>
    <w:lvl w:ilvl="8" w:tplc="0405001B" w:tentative="1">
      <w:start w:val="1"/>
      <w:numFmt w:val="lowerRoman"/>
      <w:lvlText w:val="%9."/>
      <w:lvlJc w:val="right"/>
      <w:pPr>
        <w:tabs>
          <w:tab w:val="num" w:pos="6825"/>
        </w:tabs>
        <w:ind w:left="6825" w:hanging="180"/>
      </w:pPr>
    </w:lvl>
  </w:abstractNum>
  <w:num w:numId="1" w16cid:durableId="151870255">
    <w:abstractNumId w:val="16"/>
  </w:num>
  <w:num w:numId="2" w16cid:durableId="810369089">
    <w:abstractNumId w:val="5"/>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123379396">
    <w:abstractNumId w:val="5"/>
  </w:num>
  <w:num w:numId="4" w16cid:durableId="108745977">
    <w:abstractNumId w:val="1"/>
  </w:num>
  <w:num w:numId="5" w16cid:durableId="914320008">
    <w:abstractNumId w:val="10"/>
  </w:num>
  <w:num w:numId="6" w16cid:durableId="951208337">
    <w:abstractNumId w:val="8"/>
  </w:num>
  <w:num w:numId="7" w16cid:durableId="375854532">
    <w:abstractNumId w:val="15"/>
  </w:num>
  <w:num w:numId="8" w16cid:durableId="2035959920">
    <w:abstractNumId w:val="0"/>
  </w:num>
  <w:num w:numId="9" w16cid:durableId="453601888">
    <w:abstractNumId w:val="14"/>
  </w:num>
  <w:num w:numId="10" w16cid:durableId="1350909248">
    <w:abstractNumId w:val="19"/>
  </w:num>
  <w:num w:numId="11" w16cid:durableId="190919357">
    <w:abstractNumId w:val="9"/>
  </w:num>
  <w:num w:numId="12" w16cid:durableId="938365498">
    <w:abstractNumId w:val="6"/>
  </w:num>
  <w:num w:numId="13" w16cid:durableId="954553917">
    <w:abstractNumId w:val="11"/>
  </w:num>
  <w:num w:numId="14" w16cid:durableId="2088501530">
    <w:abstractNumId w:val="18"/>
  </w:num>
  <w:num w:numId="15" w16cid:durableId="1547058733">
    <w:abstractNumId w:val="2"/>
  </w:num>
  <w:num w:numId="16" w16cid:durableId="274216811">
    <w:abstractNumId w:val="13"/>
  </w:num>
  <w:num w:numId="17" w16cid:durableId="1529178521">
    <w:abstractNumId w:val="17"/>
  </w:num>
  <w:num w:numId="18" w16cid:durableId="684136742">
    <w:abstractNumId w:val="3"/>
  </w:num>
  <w:num w:numId="19" w16cid:durableId="1776899884">
    <w:abstractNumId w:val="4"/>
  </w:num>
  <w:num w:numId="20" w16cid:durableId="1390570619">
    <w:abstractNumId w:val="12"/>
  </w:num>
  <w:num w:numId="21" w16cid:durableId="1509756236">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7F6"/>
    <w:rsid w:val="00000064"/>
    <w:rsid w:val="00000AFA"/>
    <w:rsid w:val="00001899"/>
    <w:rsid w:val="0000235E"/>
    <w:rsid w:val="00003EAC"/>
    <w:rsid w:val="00005EDE"/>
    <w:rsid w:val="00010B56"/>
    <w:rsid w:val="00012560"/>
    <w:rsid w:val="00012B2B"/>
    <w:rsid w:val="00014A3E"/>
    <w:rsid w:val="00016490"/>
    <w:rsid w:val="000204F5"/>
    <w:rsid w:val="000215A4"/>
    <w:rsid w:val="000222E5"/>
    <w:rsid w:val="000226BE"/>
    <w:rsid w:val="000227AD"/>
    <w:rsid w:val="00022903"/>
    <w:rsid w:val="000236DF"/>
    <w:rsid w:val="000258FA"/>
    <w:rsid w:val="00027835"/>
    <w:rsid w:val="000337B3"/>
    <w:rsid w:val="00033E73"/>
    <w:rsid w:val="000349F3"/>
    <w:rsid w:val="00034CD4"/>
    <w:rsid w:val="00036C60"/>
    <w:rsid w:val="000401AE"/>
    <w:rsid w:val="000438C0"/>
    <w:rsid w:val="00046964"/>
    <w:rsid w:val="00046C65"/>
    <w:rsid w:val="00047BA2"/>
    <w:rsid w:val="00047D06"/>
    <w:rsid w:val="0005402D"/>
    <w:rsid w:val="00054107"/>
    <w:rsid w:val="00055E92"/>
    <w:rsid w:val="00056AE5"/>
    <w:rsid w:val="00057085"/>
    <w:rsid w:val="00057983"/>
    <w:rsid w:val="000619CD"/>
    <w:rsid w:val="00061AF3"/>
    <w:rsid w:val="0006481A"/>
    <w:rsid w:val="00065FF7"/>
    <w:rsid w:val="00071E29"/>
    <w:rsid w:val="0007259D"/>
    <w:rsid w:val="00072852"/>
    <w:rsid w:val="00072DB7"/>
    <w:rsid w:val="00073216"/>
    <w:rsid w:val="00073E19"/>
    <w:rsid w:val="00077160"/>
    <w:rsid w:val="000831BC"/>
    <w:rsid w:val="000838B5"/>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6FF5"/>
    <w:rsid w:val="000A72AD"/>
    <w:rsid w:val="000A7B45"/>
    <w:rsid w:val="000B0213"/>
    <w:rsid w:val="000B0E6F"/>
    <w:rsid w:val="000B2D25"/>
    <w:rsid w:val="000B5076"/>
    <w:rsid w:val="000B672D"/>
    <w:rsid w:val="000B71C9"/>
    <w:rsid w:val="000B7275"/>
    <w:rsid w:val="000C0819"/>
    <w:rsid w:val="000C0AEB"/>
    <w:rsid w:val="000C0E34"/>
    <w:rsid w:val="000C1FB5"/>
    <w:rsid w:val="000C2777"/>
    <w:rsid w:val="000C406D"/>
    <w:rsid w:val="000C4A33"/>
    <w:rsid w:val="000C5513"/>
    <w:rsid w:val="000C6BE5"/>
    <w:rsid w:val="000D3AF3"/>
    <w:rsid w:val="000D407A"/>
    <w:rsid w:val="000D55B9"/>
    <w:rsid w:val="000D797D"/>
    <w:rsid w:val="000D7EFD"/>
    <w:rsid w:val="000E2ABD"/>
    <w:rsid w:val="000E2DE2"/>
    <w:rsid w:val="000E775B"/>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22102"/>
    <w:rsid w:val="001239EC"/>
    <w:rsid w:val="00124D03"/>
    <w:rsid w:val="001256C3"/>
    <w:rsid w:val="001311D9"/>
    <w:rsid w:val="00134AB8"/>
    <w:rsid w:val="001367E6"/>
    <w:rsid w:val="00137469"/>
    <w:rsid w:val="00137723"/>
    <w:rsid w:val="00137B8B"/>
    <w:rsid w:val="00141202"/>
    <w:rsid w:val="00141A0F"/>
    <w:rsid w:val="00141E47"/>
    <w:rsid w:val="001420BD"/>
    <w:rsid w:val="0014359A"/>
    <w:rsid w:val="00145399"/>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6A5"/>
    <w:rsid w:val="00184DD9"/>
    <w:rsid w:val="001867D5"/>
    <w:rsid w:val="00186D3A"/>
    <w:rsid w:val="00187072"/>
    <w:rsid w:val="00187B65"/>
    <w:rsid w:val="00187FD9"/>
    <w:rsid w:val="00190FDE"/>
    <w:rsid w:val="00196263"/>
    <w:rsid w:val="001A0A6A"/>
    <w:rsid w:val="001A0E6F"/>
    <w:rsid w:val="001A12B7"/>
    <w:rsid w:val="001A385B"/>
    <w:rsid w:val="001B2AB5"/>
    <w:rsid w:val="001B2C32"/>
    <w:rsid w:val="001B4219"/>
    <w:rsid w:val="001B4AE4"/>
    <w:rsid w:val="001B5A4D"/>
    <w:rsid w:val="001B7F9C"/>
    <w:rsid w:val="001C0C52"/>
    <w:rsid w:val="001C1451"/>
    <w:rsid w:val="001C1730"/>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7D59"/>
    <w:rsid w:val="00210960"/>
    <w:rsid w:val="00211162"/>
    <w:rsid w:val="002143F0"/>
    <w:rsid w:val="002164D7"/>
    <w:rsid w:val="002223BF"/>
    <w:rsid w:val="002237F3"/>
    <w:rsid w:val="00223EE3"/>
    <w:rsid w:val="00225139"/>
    <w:rsid w:val="00226853"/>
    <w:rsid w:val="002331D0"/>
    <w:rsid w:val="002338EB"/>
    <w:rsid w:val="00234AE6"/>
    <w:rsid w:val="00237006"/>
    <w:rsid w:val="0024039E"/>
    <w:rsid w:val="00247829"/>
    <w:rsid w:val="00253EDD"/>
    <w:rsid w:val="002551EE"/>
    <w:rsid w:val="002553C0"/>
    <w:rsid w:val="00255552"/>
    <w:rsid w:val="00256B33"/>
    <w:rsid w:val="00257696"/>
    <w:rsid w:val="00264E5B"/>
    <w:rsid w:val="00265A36"/>
    <w:rsid w:val="00265C93"/>
    <w:rsid w:val="00266522"/>
    <w:rsid w:val="00267BED"/>
    <w:rsid w:val="002714FA"/>
    <w:rsid w:val="00272598"/>
    <w:rsid w:val="002735E0"/>
    <w:rsid w:val="00277193"/>
    <w:rsid w:val="002807F8"/>
    <w:rsid w:val="00281560"/>
    <w:rsid w:val="002820FB"/>
    <w:rsid w:val="002845E9"/>
    <w:rsid w:val="0029015F"/>
    <w:rsid w:val="00292257"/>
    <w:rsid w:val="00292D9F"/>
    <w:rsid w:val="002936AE"/>
    <w:rsid w:val="00294522"/>
    <w:rsid w:val="0029560D"/>
    <w:rsid w:val="00295695"/>
    <w:rsid w:val="0029614C"/>
    <w:rsid w:val="00296A9F"/>
    <w:rsid w:val="002A315B"/>
    <w:rsid w:val="002A3AEC"/>
    <w:rsid w:val="002A40D7"/>
    <w:rsid w:val="002B4879"/>
    <w:rsid w:val="002B7654"/>
    <w:rsid w:val="002C019A"/>
    <w:rsid w:val="002C05DA"/>
    <w:rsid w:val="002C19CB"/>
    <w:rsid w:val="002C3341"/>
    <w:rsid w:val="002C3B04"/>
    <w:rsid w:val="002C4087"/>
    <w:rsid w:val="002C6DE1"/>
    <w:rsid w:val="002D018B"/>
    <w:rsid w:val="002D0AB2"/>
    <w:rsid w:val="002D0E86"/>
    <w:rsid w:val="002D0FBB"/>
    <w:rsid w:val="002D1D2E"/>
    <w:rsid w:val="002D223B"/>
    <w:rsid w:val="002D3A36"/>
    <w:rsid w:val="002D4844"/>
    <w:rsid w:val="002D4F83"/>
    <w:rsid w:val="002D5080"/>
    <w:rsid w:val="002D52DF"/>
    <w:rsid w:val="002D5F7F"/>
    <w:rsid w:val="002D6E00"/>
    <w:rsid w:val="002D7E27"/>
    <w:rsid w:val="002E2591"/>
    <w:rsid w:val="002E3DF9"/>
    <w:rsid w:val="002E46FE"/>
    <w:rsid w:val="002E70A0"/>
    <w:rsid w:val="002F2081"/>
    <w:rsid w:val="002F3BC4"/>
    <w:rsid w:val="002F530A"/>
    <w:rsid w:val="002F5D47"/>
    <w:rsid w:val="002F6A80"/>
    <w:rsid w:val="002F6F8A"/>
    <w:rsid w:val="002F70B2"/>
    <w:rsid w:val="00301405"/>
    <w:rsid w:val="00302934"/>
    <w:rsid w:val="00304B9F"/>
    <w:rsid w:val="00311735"/>
    <w:rsid w:val="003121C0"/>
    <w:rsid w:val="00312655"/>
    <w:rsid w:val="00315D81"/>
    <w:rsid w:val="00315F7B"/>
    <w:rsid w:val="00316A4E"/>
    <w:rsid w:val="00316FC8"/>
    <w:rsid w:val="003179DD"/>
    <w:rsid w:val="00322103"/>
    <w:rsid w:val="00323BCF"/>
    <w:rsid w:val="003254BD"/>
    <w:rsid w:val="00327391"/>
    <w:rsid w:val="003277E9"/>
    <w:rsid w:val="00327F1A"/>
    <w:rsid w:val="00330034"/>
    <w:rsid w:val="00330CA0"/>
    <w:rsid w:val="00330D60"/>
    <w:rsid w:val="00333174"/>
    <w:rsid w:val="0033537C"/>
    <w:rsid w:val="00337A87"/>
    <w:rsid w:val="00341398"/>
    <w:rsid w:val="00341788"/>
    <w:rsid w:val="00343A36"/>
    <w:rsid w:val="00343E8B"/>
    <w:rsid w:val="00346043"/>
    <w:rsid w:val="00346CFC"/>
    <w:rsid w:val="00346D34"/>
    <w:rsid w:val="00352F44"/>
    <w:rsid w:val="003557FD"/>
    <w:rsid w:val="0035612D"/>
    <w:rsid w:val="00356D9D"/>
    <w:rsid w:val="00356F11"/>
    <w:rsid w:val="00357E5E"/>
    <w:rsid w:val="00360293"/>
    <w:rsid w:val="00363304"/>
    <w:rsid w:val="00364CC3"/>
    <w:rsid w:val="00365455"/>
    <w:rsid w:val="00365E5D"/>
    <w:rsid w:val="0037016F"/>
    <w:rsid w:val="003704AE"/>
    <w:rsid w:val="00371688"/>
    <w:rsid w:val="00371B1C"/>
    <w:rsid w:val="003723F0"/>
    <w:rsid w:val="0037371B"/>
    <w:rsid w:val="00373F4A"/>
    <w:rsid w:val="003773A9"/>
    <w:rsid w:val="003776FE"/>
    <w:rsid w:val="003861FB"/>
    <w:rsid w:val="00387B05"/>
    <w:rsid w:val="0039336F"/>
    <w:rsid w:val="00394153"/>
    <w:rsid w:val="00394907"/>
    <w:rsid w:val="00394A60"/>
    <w:rsid w:val="00394B19"/>
    <w:rsid w:val="0039784B"/>
    <w:rsid w:val="00397E39"/>
    <w:rsid w:val="003A2D00"/>
    <w:rsid w:val="003A2EC1"/>
    <w:rsid w:val="003A3070"/>
    <w:rsid w:val="003A3519"/>
    <w:rsid w:val="003B2280"/>
    <w:rsid w:val="003B2937"/>
    <w:rsid w:val="003B4B10"/>
    <w:rsid w:val="003B6AB8"/>
    <w:rsid w:val="003B6FA5"/>
    <w:rsid w:val="003C2A8E"/>
    <w:rsid w:val="003C3E5C"/>
    <w:rsid w:val="003C5977"/>
    <w:rsid w:val="003C5E95"/>
    <w:rsid w:val="003C6A3A"/>
    <w:rsid w:val="003D331F"/>
    <w:rsid w:val="003D4AC4"/>
    <w:rsid w:val="003D789A"/>
    <w:rsid w:val="003E23D7"/>
    <w:rsid w:val="003E29D1"/>
    <w:rsid w:val="003E3468"/>
    <w:rsid w:val="003E4654"/>
    <w:rsid w:val="003E5E28"/>
    <w:rsid w:val="003E64BF"/>
    <w:rsid w:val="003E6D5C"/>
    <w:rsid w:val="003E7490"/>
    <w:rsid w:val="003F1ED0"/>
    <w:rsid w:val="003F1FC8"/>
    <w:rsid w:val="003F52B1"/>
    <w:rsid w:val="003F5856"/>
    <w:rsid w:val="003F75E8"/>
    <w:rsid w:val="0040106A"/>
    <w:rsid w:val="00401486"/>
    <w:rsid w:val="00401B18"/>
    <w:rsid w:val="00401DF3"/>
    <w:rsid w:val="00401F7D"/>
    <w:rsid w:val="004066A6"/>
    <w:rsid w:val="00406E15"/>
    <w:rsid w:val="00411749"/>
    <w:rsid w:val="0041225D"/>
    <w:rsid w:val="0041678A"/>
    <w:rsid w:val="00417874"/>
    <w:rsid w:val="00417978"/>
    <w:rsid w:val="00420DA7"/>
    <w:rsid w:val="004225FE"/>
    <w:rsid w:val="00423343"/>
    <w:rsid w:val="00423A12"/>
    <w:rsid w:val="0042600A"/>
    <w:rsid w:val="00427151"/>
    <w:rsid w:val="004348D9"/>
    <w:rsid w:val="00440910"/>
    <w:rsid w:val="00441023"/>
    <w:rsid w:val="00441B95"/>
    <w:rsid w:val="0044233D"/>
    <w:rsid w:val="00443619"/>
    <w:rsid w:val="00450C4F"/>
    <w:rsid w:val="00451C82"/>
    <w:rsid w:val="00454699"/>
    <w:rsid w:val="004556AE"/>
    <w:rsid w:val="004564B2"/>
    <w:rsid w:val="004571D0"/>
    <w:rsid w:val="00462DFB"/>
    <w:rsid w:val="004636DD"/>
    <w:rsid w:val="00464FF8"/>
    <w:rsid w:val="00465972"/>
    <w:rsid w:val="0046659E"/>
    <w:rsid w:val="00467196"/>
    <w:rsid w:val="004704D5"/>
    <w:rsid w:val="0047132A"/>
    <w:rsid w:val="00471871"/>
    <w:rsid w:val="00471DE1"/>
    <w:rsid w:val="0047328F"/>
    <w:rsid w:val="004732B0"/>
    <w:rsid w:val="00473B62"/>
    <w:rsid w:val="00474678"/>
    <w:rsid w:val="00474D68"/>
    <w:rsid w:val="004760C6"/>
    <w:rsid w:val="004765C3"/>
    <w:rsid w:val="004775D3"/>
    <w:rsid w:val="0048222D"/>
    <w:rsid w:val="00483B87"/>
    <w:rsid w:val="00484349"/>
    <w:rsid w:val="00484810"/>
    <w:rsid w:val="004853B5"/>
    <w:rsid w:val="00485A47"/>
    <w:rsid w:val="00490958"/>
    <w:rsid w:val="00492D41"/>
    <w:rsid w:val="004938DB"/>
    <w:rsid w:val="00496736"/>
    <w:rsid w:val="004A0728"/>
    <w:rsid w:val="004A0B4D"/>
    <w:rsid w:val="004A1DA6"/>
    <w:rsid w:val="004A2EA2"/>
    <w:rsid w:val="004A31B5"/>
    <w:rsid w:val="004A4BBD"/>
    <w:rsid w:val="004B01E2"/>
    <w:rsid w:val="004B2C2B"/>
    <w:rsid w:val="004B333D"/>
    <w:rsid w:val="004B398E"/>
    <w:rsid w:val="004B446B"/>
    <w:rsid w:val="004C0DD8"/>
    <w:rsid w:val="004C3729"/>
    <w:rsid w:val="004C4485"/>
    <w:rsid w:val="004C7734"/>
    <w:rsid w:val="004D4FB8"/>
    <w:rsid w:val="004D5EDD"/>
    <w:rsid w:val="004D6655"/>
    <w:rsid w:val="004D670A"/>
    <w:rsid w:val="004D69BE"/>
    <w:rsid w:val="004D726B"/>
    <w:rsid w:val="004E0690"/>
    <w:rsid w:val="004E1EBF"/>
    <w:rsid w:val="004E6839"/>
    <w:rsid w:val="004F3897"/>
    <w:rsid w:val="004F4C1C"/>
    <w:rsid w:val="004F556C"/>
    <w:rsid w:val="004F5E61"/>
    <w:rsid w:val="004F70A7"/>
    <w:rsid w:val="004F7B50"/>
    <w:rsid w:val="005007BB"/>
    <w:rsid w:val="0050093F"/>
    <w:rsid w:val="00502882"/>
    <w:rsid w:val="0050596C"/>
    <w:rsid w:val="00506DBD"/>
    <w:rsid w:val="00510445"/>
    <w:rsid w:val="00510F08"/>
    <w:rsid w:val="0051163E"/>
    <w:rsid w:val="005132DA"/>
    <w:rsid w:val="00513865"/>
    <w:rsid w:val="0051425F"/>
    <w:rsid w:val="0051448A"/>
    <w:rsid w:val="00515CDD"/>
    <w:rsid w:val="00520728"/>
    <w:rsid w:val="00520AC1"/>
    <w:rsid w:val="00520FC1"/>
    <w:rsid w:val="0052136C"/>
    <w:rsid w:val="00521430"/>
    <w:rsid w:val="00521BCD"/>
    <w:rsid w:val="00522D1F"/>
    <w:rsid w:val="00534BFE"/>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584F"/>
    <w:rsid w:val="0058608D"/>
    <w:rsid w:val="005862F8"/>
    <w:rsid w:val="00586F30"/>
    <w:rsid w:val="0058713F"/>
    <w:rsid w:val="005902B3"/>
    <w:rsid w:val="005936E8"/>
    <w:rsid w:val="00595DC1"/>
    <w:rsid w:val="005963DB"/>
    <w:rsid w:val="00597898"/>
    <w:rsid w:val="005A7F32"/>
    <w:rsid w:val="005B3E64"/>
    <w:rsid w:val="005B4135"/>
    <w:rsid w:val="005B644A"/>
    <w:rsid w:val="005B6556"/>
    <w:rsid w:val="005C154B"/>
    <w:rsid w:val="005C1664"/>
    <w:rsid w:val="005C3E1F"/>
    <w:rsid w:val="005C5DB1"/>
    <w:rsid w:val="005D0A23"/>
    <w:rsid w:val="005D238A"/>
    <w:rsid w:val="005D39CC"/>
    <w:rsid w:val="005D4B41"/>
    <w:rsid w:val="005D4D5A"/>
    <w:rsid w:val="005D5AD2"/>
    <w:rsid w:val="005E1F3D"/>
    <w:rsid w:val="005E30D9"/>
    <w:rsid w:val="005E43C2"/>
    <w:rsid w:val="005E4F01"/>
    <w:rsid w:val="005E5800"/>
    <w:rsid w:val="005E5BAB"/>
    <w:rsid w:val="005E7215"/>
    <w:rsid w:val="005F33CA"/>
    <w:rsid w:val="005F3F8D"/>
    <w:rsid w:val="005F59C6"/>
    <w:rsid w:val="005F7131"/>
    <w:rsid w:val="005F7D1A"/>
    <w:rsid w:val="00601C5B"/>
    <w:rsid w:val="00607827"/>
    <w:rsid w:val="00610BEF"/>
    <w:rsid w:val="00611E9C"/>
    <w:rsid w:val="00611FE4"/>
    <w:rsid w:val="00613258"/>
    <w:rsid w:val="00616978"/>
    <w:rsid w:val="00623B84"/>
    <w:rsid w:val="00624324"/>
    <w:rsid w:val="00624BA7"/>
    <w:rsid w:val="0062732B"/>
    <w:rsid w:val="006308A3"/>
    <w:rsid w:val="00630B5C"/>
    <w:rsid w:val="00631E5E"/>
    <w:rsid w:val="00632B6A"/>
    <w:rsid w:val="00633048"/>
    <w:rsid w:val="00635659"/>
    <w:rsid w:val="00637376"/>
    <w:rsid w:val="00640FB1"/>
    <w:rsid w:val="006422BF"/>
    <w:rsid w:val="00643A14"/>
    <w:rsid w:val="00643A6E"/>
    <w:rsid w:val="006472AE"/>
    <w:rsid w:val="006475AA"/>
    <w:rsid w:val="00653A93"/>
    <w:rsid w:val="00656490"/>
    <w:rsid w:val="006576B5"/>
    <w:rsid w:val="00657701"/>
    <w:rsid w:val="00657AB6"/>
    <w:rsid w:val="0066162B"/>
    <w:rsid w:val="0066287F"/>
    <w:rsid w:val="006633FD"/>
    <w:rsid w:val="006639B6"/>
    <w:rsid w:val="006652E4"/>
    <w:rsid w:val="00665CCD"/>
    <w:rsid w:val="006704DB"/>
    <w:rsid w:val="00670584"/>
    <w:rsid w:val="006722D8"/>
    <w:rsid w:val="00672354"/>
    <w:rsid w:val="00672ACB"/>
    <w:rsid w:val="00672F31"/>
    <w:rsid w:val="00674BCD"/>
    <w:rsid w:val="00682907"/>
    <w:rsid w:val="0068373C"/>
    <w:rsid w:val="0068387D"/>
    <w:rsid w:val="00686636"/>
    <w:rsid w:val="006914E8"/>
    <w:rsid w:val="00691CE7"/>
    <w:rsid w:val="00692D78"/>
    <w:rsid w:val="00693042"/>
    <w:rsid w:val="00693EF7"/>
    <w:rsid w:val="006A0250"/>
    <w:rsid w:val="006A031E"/>
    <w:rsid w:val="006A0620"/>
    <w:rsid w:val="006A2592"/>
    <w:rsid w:val="006A2AA1"/>
    <w:rsid w:val="006A63AE"/>
    <w:rsid w:val="006B070A"/>
    <w:rsid w:val="006B3A74"/>
    <w:rsid w:val="006B6A20"/>
    <w:rsid w:val="006C225B"/>
    <w:rsid w:val="006C45C1"/>
    <w:rsid w:val="006D10A5"/>
    <w:rsid w:val="006D17F4"/>
    <w:rsid w:val="006D2D24"/>
    <w:rsid w:val="006D300E"/>
    <w:rsid w:val="006D3CD8"/>
    <w:rsid w:val="006D54D8"/>
    <w:rsid w:val="006D54FD"/>
    <w:rsid w:val="006D5846"/>
    <w:rsid w:val="006E3E32"/>
    <w:rsid w:val="006E3F48"/>
    <w:rsid w:val="006F2FEA"/>
    <w:rsid w:val="006F512E"/>
    <w:rsid w:val="006F55B4"/>
    <w:rsid w:val="006F5854"/>
    <w:rsid w:val="006F5A46"/>
    <w:rsid w:val="007007AD"/>
    <w:rsid w:val="007013F9"/>
    <w:rsid w:val="007054A9"/>
    <w:rsid w:val="00705651"/>
    <w:rsid w:val="00706262"/>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26582"/>
    <w:rsid w:val="00731806"/>
    <w:rsid w:val="00731D80"/>
    <w:rsid w:val="00734D4C"/>
    <w:rsid w:val="00736821"/>
    <w:rsid w:val="00736C59"/>
    <w:rsid w:val="00740289"/>
    <w:rsid w:val="007407BD"/>
    <w:rsid w:val="00743EB6"/>
    <w:rsid w:val="00743FAD"/>
    <w:rsid w:val="0074400F"/>
    <w:rsid w:val="00744400"/>
    <w:rsid w:val="00745526"/>
    <w:rsid w:val="00745DF4"/>
    <w:rsid w:val="00746499"/>
    <w:rsid w:val="00747426"/>
    <w:rsid w:val="00752226"/>
    <w:rsid w:val="007551A8"/>
    <w:rsid w:val="007563E2"/>
    <w:rsid w:val="00756D0F"/>
    <w:rsid w:val="007601A5"/>
    <w:rsid w:val="0076209A"/>
    <w:rsid w:val="007634FA"/>
    <w:rsid w:val="00765BA0"/>
    <w:rsid w:val="00765DD0"/>
    <w:rsid w:val="00767640"/>
    <w:rsid w:val="0077340C"/>
    <w:rsid w:val="00773803"/>
    <w:rsid w:val="00774201"/>
    <w:rsid w:val="00780BE2"/>
    <w:rsid w:val="00780E3B"/>
    <w:rsid w:val="00780F66"/>
    <w:rsid w:val="00787137"/>
    <w:rsid w:val="00790503"/>
    <w:rsid w:val="007925AF"/>
    <w:rsid w:val="00793521"/>
    <w:rsid w:val="00796D38"/>
    <w:rsid w:val="007A0CC7"/>
    <w:rsid w:val="007A2117"/>
    <w:rsid w:val="007B094A"/>
    <w:rsid w:val="007B1BC4"/>
    <w:rsid w:val="007B6A69"/>
    <w:rsid w:val="007C0810"/>
    <w:rsid w:val="007C09AC"/>
    <w:rsid w:val="007C1F8C"/>
    <w:rsid w:val="007C51CB"/>
    <w:rsid w:val="007C562F"/>
    <w:rsid w:val="007C6205"/>
    <w:rsid w:val="007C6750"/>
    <w:rsid w:val="007D1B7A"/>
    <w:rsid w:val="007D1FA5"/>
    <w:rsid w:val="007D3045"/>
    <w:rsid w:val="007D6473"/>
    <w:rsid w:val="007D7669"/>
    <w:rsid w:val="007D7DAE"/>
    <w:rsid w:val="007E0AD0"/>
    <w:rsid w:val="007E0E3E"/>
    <w:rsid w:val="007E1F32"/>
    <w:rsid w:val="007E44B6"/>
    <w:rsid w:val="007E4690"/>
    <w:rsid w:val="007E55F2"/>
    <w:rsid w:val="007E5E41"/>
    <w:rsid w:val="007E66C5"/>
    <w:rsid w:val="007E6E15"/>
    <w:rsid w:val="007E7867"/>
    <w:rsid w:val="007F14C9"/>
    <w:rsid w:val="007F1623"/>
    <w:rsid w:val="007F1A50"/>
    <w:rsid w:val="007F1C25"/>
    <w:rsid w:val="007F4AEF"/>
    <w:rsid w:val="00800490"/>
    <w:rsid w:val="00803135"/>
    <w:rsid w:val="00803326"/>
    <w:rsid w:val="00804B54"/>
    <w:rsid w:val="00807DF9"/>
    <w:rsid w:val="00810AA0"/>
    <w:rsid w:val="0081198C"/>
    <w:rsid w:val="00813E4D"/>
    <w:rsid w:val="00814A5F"/>
    <w:rsid w:val="008168F5"/>
    <w:rsid w:val="0082138E"/>
    <w:rsid w:val="00821B28"/>
    <w:rsid w:val="00826899"/>
    <w:rsid w:val="00826E1D"/>
    <w:rsid w:val="00830789"/>
    <w:rsid w:val="00830F70"/>
    <w:rsid w:val="00831E43"/>
    <w:rsid w:val="00832EDE"/>
    <w:rsid w:val="00833098"/>
    <w:rsid w:val="00833119"/>
    <w:rsid w:val="008341FE"/>
    <w:rsid w:val="0083531B"/>
    <w:rsid w:val="008374EA"/>
    <w:rsid w:val="008416B2"/>
    <w:rsid w:val="0084357A"/>
    <w:rsid w:val="00846BFF"/>
    <w:rsid w:val="00847D0C"/>
    <w:rsid w:val="00850700"/>
    <w:rsid w:val="00850745"/>
    <w:rsid w:val="008512A8"/>
    <w:rsid w:val="0085232E"/>
    <w:rsid w:val="00852594"/>
    <w:rsid w:val="00852719"/>
    <w:rsid w:val="0085388D"/>
    <w:rsid w:val="00854494"/>
    <w:rsid w:val="00856391"/>
    <w:rsid w:val="00856ADE"/>
    <w:rsid w:val="0085744F"/>
    <w:rsid w:val="008615D2"/>
    <w:rsid w:val="0086317A"/>
    <w:rsid w:val="00863B12"/>
    <w:rsid w:val="008649CF"/>
    <w:rsid w:val="0086630C"/>
    <w:rsid w:val="008719A0"/>
    <w:rsid w:val="00871C75"/>
    <w:rsid w:val="00871D5D"/>
    <w:rsid w:val="00872589"/>
    <w:rsid w:val="00873BBE"/>
    <w:rsid w:val="0087519D"/>
    <w:rsid w:val="008768AB"/>
    <w:rsid w:val="0088396E"/>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4A5"/>
    <w:rsid w:val="008D7E37"/>
    <w:rsid w:val="008E100B"/>
    <w:rsid w:val="008E2F44"/>
    <w:rsid w:val="008E43F2"/>
    <w:rsid w:val="008E4ED5"/>
    <w:rsid w:val="008E567D"/>
    <w:rsid w:val="008E6175"/>
    <w:rsid w:val="008F261E"/>
    <w:rsid w:val="008F5A81"/>
    <w:rsid w:val="008F77F6"/>
    <w:rsid w:val="00900034"/>
    <w:rsid w:val="00901EB7"/>
    <w:rsid w:val="0090372F"/>
    <w:rsid w:val="00903F50"/>
    <w:rsid w:val="009101BA"/>
    <w:rsid w:val="009131E2"/>
    <w:rsid w:val="00914F0E"/>
    <w:rsid w:val="0091589E"/>
    <w:rsid w:val="00917ED0"/>
    <w:rsid w:val="00920952"/>
    <w:rsid w:val="00920D4A"/>
    <w:rsid w:val="0092187D"/>
    <w:rsid w:val="00923F26"/>
    <w:rsid w:val="00926863"/>
    <w:rsid w:val="0093089A"/>
    <w:rsid w:val="009328D9"/>
    <w:rsid w:val="00934BD4"/>
    <w:rsid w:val="00940DD4"/>
    <w:rsid w:val="00941EA3"/>
    <w:rsid w:val="00942429"/>
    <w:rsid w:val="0094295B"/>
    <w:rsid w:val="0094416A"/>
    <w:rsid w:val="00951C38"/>
    <w:rsid w:val="00952624"/>
    <w:rsid w:val="009532BB"/>
    <w:rsid w:val="0095446E"/>
    <w:rsid w:val="009547B3"/>
    <w:rsid w:val="00956725"/>
    <w:rsid w:val="00956941"/>
    <w:rsid w:val="0095734A"/>
    <w:rsid w:val="009577A5"/>
    <w:rsid w:val="00957916"/>
    <w:rsid w:val="00961D67"/>
    <w:rsid w:val="009655EA"/>
    <w:rsid w:val="00965CAD"/>
    <w:rsid w:val="00965DE7"/>
    <w:rsid w:val="00966853"/>
    <w:rsid w:val="00974428"/>
    <w:rsid w:val="00974AA5"/>
    <w:rsid w:val="009758E5"/>
    <w:rsid w:val="00975A4A"/>
    <w:rsid w:val="009776E9"/>
    <w:rsid w:val="00980F34"/>
    <w:rsid w:val="00981FB9"/>
    <w:rsid w:val="00982849"/>
    <w:rsid w:val="00982EE7"/>
    <w:rsid w:val="009842E4"/>
    <w:rsid w:val="00984BCF"/>
    <w:rsid w:val="009850CE"/>
    <w:rsid w:val="00985346"/>
    <w:rsid w:val="00986B9D"/>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A77F2"/>
    <w:rsid w:val="009B37F9"/>
    <w:rsid w:val="009B4A48"/>
    <w:rsid w:val="009B621D"/>
    <w:rsid w:val="009B63EA"/>
    <w:rsid w:val="009B667F"/>
    <w:rsid w:val="009B6E4A"/>
    <w:rsid w:val="009B73B4"/>
    <w:rsid w:val="009C1B78"/>
    <w:rsid w:val="009C23B2"/>
    <w:rsid w:val="009C5C10"/>
    <w:rsid w:val="009C6650"/>
    <w:rsid w:val="009D15D9"/>
    <w:rsid w:val="009D1BE0"/>
    <w:rsid w:val="009D1DC8"/>
    <w:rsid w:val="009D3FC8"/>
    <w:rsid w:val="009D414A"/>
    <w:rsid w:val="009D4C0A"/>
    <w:rsid w:val="009D66AA"/>
    <w:rsid w:val="009D7BC6"/>
    <w:rsid w:val="009E6E0B"/>
    <w:rsid w:val="009E777A"/>
    <w:rsid w:val="009E787E"/>
    <w:rsid w:val="009F5211"/>
    <w:rsid w:val="009F6828"/>
    <w:rsid w:val="00A00F56"/>
    <w:rsid w:val="00A04286"/>
    <w:rsid w:val="00A053C4"/>
    <w:rsid w:val="00A07E2A"/>
    <w:rsid w:val="00A07E44"/>
    <w:rsid w:val="00A12489"/>
    <w:rsid w:val="00A13DD5"/>
    <w:rsid w:val="00A14D35"/>
    <w:rsid w:val="00A16460"/>
    <w:rsid w:val="00A16E9E"/>
    <w:rsid w:val="00A22273"/>
    <w:rsid w:val="00A244F6"/>
    <w:rsid w:val="00A30498"/>
    <w:rsid w:val="00A3090E"/>
    <w:rsid w:val="00A31635"/>
    <w:rsid w:val="00A35C38"/>
    <w:rsid w:val="00A35C53"/>
    <w:rsid w:val="00A400DD"/>
    <w:rsid w:val="00A40E47"/>
    <w:rsid w:val="00A454B4"/>
    <w:rsid w:val="00A46558"/>
    <w:rsid w:val="00A47B0E"/>
    <w:rsid w:val="00A509CE"/>
    <w:rsid w:val="00A52DCD"/>
    <w:rsid w:val="00A53EFE"/>
    <w:rsid w:val="00A558B8"/>
    <w:rsid w:val="00A62454"/>
    <w:rsid w:val="00A6280A"/>
    <w:rsid w:val="00A62839"/>
    <w:rsid w:val="00A63C68"/>
    <w:rsid w:val="00A66127"/>
    <w:rsid w:val="00A674A7"/>
    <w:rsid w:val="00A707D6"/>
    <w:rsid w:val="00A71956"/>
    <w:rsid w:val="00A7201A"/>
    <w:rsid w:val="00A7269D"/>
    <w:rsid w:val="00A72B66"/>
    <w:rsid w:val="00A75003"/>
    <w:rsid w:val="00A75F68"/>
    <w:rsid w:val="00A761DD"/>
    <w:rsid w:val="00A7773E"/>
    <w:rsid w:val="00A80AA9"/>
    <w:rsid w:val="00A81A8B"/>
    <w:rsid w:val="00A828DC"/>
    <w:rsid w:val="00A82B2A"/>
    <w:rsid w:val="00A832DF"/>
    <w:rsid w:val="00A833B8"/>
    <w:rsid w:val="00A83475"/>
    <w:rsid w:val="00A83944"/>
    <w:rsid w:val="00A85B51"/>
    <w:rsid w:val="00A87468"/>
    <w:rsid w:val="00A903BD"/>
    <w:rsid w:val="00A923AA"/>
    <w:rsid w:val="00A926BD"/>
    <w:rsid w:val="00A93B08"/>
    <w:rsid w:val="00A9480D"/>
    <w:rsid w:val="00A95AEF"/>
    <w:rsid w:val="00A95F6C"/>
    <w:rsid w:val="00A97358"/>
    <w:rsid w:val="00AA092A"/>
    <w:rsid w:val="00AA1306"/>
    <w:rsid w:val="00AA27E3"/>
    <w:rsid w:val="00AA3EDD"/>
    <w:rsid w:val="00AA5D38"/>
    <w:rsid w:val="00AA632B"/>
    <w:rsid w:val="00AA6A69"/>
    <w:rsid w:val="00AA6FDD"/>
    <w:rsid w:val="00AA73C5"/>
    <w:rsid w:val="00AB2174"/>
    <w:rsid w:val="00AB376F"/>
    <w:rsid w:val="00AB3883"/>
    <w:rsid w:val="00AC30E6"/>
    <w:rsid w:val="00AC3573"/>
    <w:rsid w:val="00AC4466"/>
    <w:rsid w:val="00AC46AB"/>
    <w:rsid w:val="00AC5716"/>
    <w:rsid w:val="00AD0F20"/>
    <w:rsid w:val="00AD40A5"/>
    <w:rsid w:val="00AD5458"/>
    <w:rsid w:val="00AD5826"/>
    <w:rsid w:val="00AD5972"/>
    <w:rsid w:val="00AD608D"/>
    <w:rsid w:val="00AE28CA"/>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468"/>
    <w:rsid w:val="00B0587C"/>
    <w:rsid w:val="00B05FF6"/>
    <w:rsid w:val="00B061BF"/>
    <w:rsid w:val="00B066DC"/>
    <w:rsid w:val="00B0799B"/>
    <w:rsid w:val="00B13B82"/>
    <w:rsid w:val="00B21311"/>
    <w:rsid w:val="00B217A4"/>
    <w:rsid w:val="00B22EEC"/>
    <w:rsid w:val="00B2374E"/>
    <w:rsid w:val="00B23C06"/>
    <w:rsid w:val="00B242E4"/>
    <w:rsid w:val="00B24392"/>
    <w:rsid w:val="00B25306"/>
    <w:rsid w:val="00B3052F"/>
    <w:rsid w:val="00B30A40"/>
    <w:rsid w:val="00B335E9"/>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421"/>
    <w:rsid w:val="00B84C6F"/>
    <w:rsid w:val="00B85176"/>
    <w:rsid w:val="00B86543"/>
    <w:rsid w:val="00B8682E"/>
    <w:rsid w:val="00B8788B"/>
    <w:rsid w:val="00B91917"/>
    <w:rsid w:val="00B92BC6"/>
    <w:rsid w:val="00B93517"/>
    <w:rsid w:val="00B93C97"/>
    <w:rsid w:val="00B94122"/>
    <w:rsid w:val="00B96008"/>
    <w:rsid w:val="00B9623D"/>
    <w:rsid w:val="00BA0B46"/>
    <w:rsid w:val="00BA1D20"/>
    <w:rsid w:val="00BA2396"/>
    <w:rsid w:val="00BA3359"/>
    <w:rsid w:val="00BA3705"/>
    <w:rsid w:val="00BA43F2"/>
    <w:rsid w:val="00BA441F"/>
    <w:rsid w:val="00BA7304"/>
    <w:rsid w:val="00BB2D38"/>
    <w:rsid w:val="00BB3577"/>
    <w:rsid w:val="00BB5BDE"/>
    <w:rsid w:val="00BB7F0D"/>
    <w:rsid w:val="00BC3AB2"/>
    <w:rsid w:val="00BC5357"/>
    <w:rsid w:val="00BC559D"/>
    <w:rsid w:val="00BC5DB0"/>
    <w:rsid w:val="00BC643D"/>
    <w:rsid w:val="00BC665E"/>
    <w:rsid w:val="00BD0A1A"/>
    <w:rsid w:val="00BD1A7C"/>
    <w:rsid w:val="00BD3129"/>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1E24"/>
    <w:rsid w:val="00C22212"/>
    <w:rsid w:val="00C2552B"/>
    <w:rsid w:val="00C25B36"/>
    <w:rsid w:val="00C27C25"/>
    <w:rsid w:val="00C31178"/>
    <w:rsid w:val="00C317AB"/>
    <w:rsid w:val="00C31AF9"/>
    <w:rsid w:val="00C31F7F"/>
    <w:rsid w:val="00C322F9"/>
    <w:rsid w:val="00C33C8E"/>
    <w:rsid w:val="00C354F6"/>
    <w:rsid w:val="00C36189"/>
    <w:rsid w:val="00C373A4"/>
    <w:rsid w:val="00C405B4"/>
    <w:rsid w:val="00C40998"/>
    <w:rsid w:val="00C415D6"/>
    <w:rsid w:val="00C41A66"/>
    <w:rsid w:val="00C42720"/>
    <w:rsid w:val="00C42AE3"/>
    <w:rsid w:val="00C43427"/>
    <w:rsid w:val="00C44863"/>
    <w:rsid w:val="00C45DF2"/>
    <w:rsid w:val="00C47079"/>
    <w:rsid w:val="00C47780"/>
    <w:rsid w:val="00C51C30"/>
    <w:rsid w:val="00C52E25"/>
    <w:rsid w:val="00C54500"/>
    <w:rsid w:val="00C56F9A"/>
    <w:rsid w:val="00C61FF9"/>
    <w:rsid w:val="00C626BA"/>
    <w:rsid w:val="00C62FF2"/>
    <w:rsid w:val="00C632D7"/>
    <w:rsid w:val="00C63ED6"/>
    <w:rsid w:val="00C646E3"/>
    <w:rsid w:val="00C650A4"/>
    <w:rsid w:val="00C65412"/>
    <w:rsid w:val="00C65670"/>
    <w:rsid w:val="00C71F43"/>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4021"/>
    <w:rsid w:val="00C9532F"/>
    <w:rsid w:val="00CA08E7"/>
    <w:rsid w:val="00CA0AEF"/>
    <w:rsid w:val="00CA0F80"/>
    <w:rsid w:val="00CA7160"/>
    <w:rsid w:val="00CB0A3A"/>
    <w:rsid w:val="00CB1434"/>
    <w:rsid w:val="00CB5BF7"/>
    <w:rsid w:val="00CB6CE1"/>
    <w:rsid w:val="00CC0810"/>
    <w:rsid w:val="00CC1317"/>
    <w:rsid w:val="00CC2688"/>
    <w:rsid w:val="00CC370F"/>
    <w:rsid w:val="00CC3B87"/>
    <w:rsid w:val="00CC46A1"/>
    <w:rsid w:val="00CC5F73"/>
    <w:rsid w:val="00CC6206"/>
    <w:rsid w:val="00CD02DE"/>
    <w:rsid w:val="00CD4315"/>
    <w:rsid w:val="00CD60AC"/>
    <w:rsid w:val="00CD68C9"/>
    <w:rsid w:val="00CD6EF6"/>
    <w:rsid w:val="00CE136E"/>
    <w:rsid w:val="00CE294D"/>
    <w:rsid w:val="00CE35C6"/>
    <w:rsid w:val="00CE46B3"/>
    <w:rsid w:val="00CE537E"/>
    <w:rsid w:val="00CE5483"/>
    <w:rsid w:val="00CE5CC3"/>
    <w:rsid w:val="00CF0C49"/>
    <w:rsid w:val="00CF0C80"/>
    <w:rsid w:val="00CF21D3"/>
    <w:rsid w:val="00CF24D7"/>
    <w:rsid w:val="00CF37EC"/>
    <w:rsid w:val="00CF4738"/>
    <w:rsid w:val="00CF4B63"/>
    <w:rsid w:val="00CF59D9"/>
    <w:rsid w:val="00CF753B"/>
    <w:rsid w:val="00D02FC7"/>
    <w:rsid w:val="00D0409A"/>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3619"/>
    <w:rsid w:val="00D56024"/>
    <w:rsid w:val="00D56170"/>
    <w:rsid w:val="00D5686F"/>
    <w:rsid w:val="00D615D1"/>
    <w:rsid w:val="00D62011"/>
    <w:rsid w:val="00D632DE"/>
    <w:rsid w:val="00D64B3A"/>
    <w:rsid w:val="00D65334"/>
    <w:rsid w:val="00D711E5"/>
    <w:rsid w:val="00D723D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AC9"/>
    <w:rsid w:val="00DA4BDC"/>
    <w:rsid w:val="00DA6781"/>
    <w:rsid w:val="00DB249F"/>
    <w:rsid w:val="00DB2D65"/>
    <w:rsid w:val="00DB3322"/>
    <w:rsid w:val="00DB3701"/>
    <w:rsid w:val="00DB3DFA"/>
    <w:rsid w:val="00DB68B8"/>
    <w:rsid w:val="00DB6E68"/>
    <w:rsid w:val="00DC0689"/>
    <w:rsid w:val="00DC1DA2"/>
    <w:rsid w:val="00DC32EC"/>
    <w:rsid w:val="00DC37F8"/>
    <w:rsid w:val="00DC5FE9"/>
    <w:rsid w:val="00DC649F"/>
    <w:rsid w:val="00DC7A71"/>
    <w:rsid w:val="00DD02B0"/>
    <w:rsid w:val="00DD0586"/>
    <w:rsid w:val="00DD0A15"/>
    <w:rsid w:val="00DD26A9"/>
    <w:rsid w:val="00DD3CE0"/>
    <w:rsid w:val="00DD4BCE"/>
    <w:rsid w:val="00DD658C"/>
    <w:rsid w:val="00DD6D20"/>
    <w:rsid w:val="00DE0660"/>
    <w:rsid w:val="00DE0EBD"/>
    <w:rsid w:val="00DE22D0"/>
    <w:rsid w:val="00DE2F29"/>
    <w:rsid w:val="00DE3989"/>
    <w:rsid w:val="00DE4411"/>
    <w:rsid w:val="00DE449B"/>
    <w:rsid w:val="00DE55E7"/>
    <w:rsid w:val="00DE61CE"/>
    <w:rsid w:val="00DF2D10"/>
    <w:rsid w:val="00DF4E40"/>
    <w:rsid w:val="00DF7708"/>
    <w:rsid w:val="00DF7F81"/>
    <w:rsid w:val="00E02A7F"/>
    <w:rsid w:val="00E02D21"/>
    <w:rsid w:val="00E033E0"/>
    <w:rsid w:val="00E04019"/>
    <w:rsid w:val="00E046B1"/>
    <w:rsid w:val="00E047DF"/>
    <w:rsid w:val="00E04F9B"/>
    <w:rsid w:val="00E062EB"/>
    <w:rsid w:val="00E12B15"/>
    <w:rsid w:val="00E14892"/>
    <w:rsid w:val="00E150A3"/>
    <w:rsid w:val="00E1673F"/>
    <w:rsid w:val="00E20B11"/>
    <w:rsid w:val="00E21B71"/>
    <w:rsid w:val="00E26548"/>
    <w:rsid w:val="00E26D6E"/>
    <w:rsid w:val="00E275F6"/>
    <w:rsid w:val="00E27F6F"/>
    <w:rsid w:val="00E3043C"/>
    <w:rsid w:val="00E30C3F"/>
    <w:rsid w:val="00E319CE"/>
    <w:rsid w:val="00E34992"/>
    <w:rsid w:val="00E35CAB"/>
    <w:rsid w:val="00E42844"/>
    <w:rsid w:val="00E43C31"/>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87111"/>
    <w:rsid w:val="00E90863"/>
    <w:rsid w:val="00E90F11"/>
    <w:rsid w:val="00E93043"/>
    <w:rsid w:val="00E95A3C"/>
    <w:rsid w:val="00E969CD"/>
    <w:rsid w:val="00EA0356"/>
    <w:rsid w:val="00EA4A66"/>
    <w:rsid w:val="00EA6B79"/>
    <w:rsid w:val="00EB4867"/>
    <w:rsid w:val="00EB4B04"/>
    <w:rsid w:val="00EB609D"/>
    <w:rsid w:val="00EB681D"/>
    <w:rsid w:val="00EC00F6"/>
    <w:rsid w:val="00EC1176"/>
    <w:rsid w:val="00EC23C5"/>
    <w:rsid w:val="00EC365B"/>
    <w:rsid w:val="00EC4248"/>
    <w:rsid w:val="00EC5AD7"/>
    <w:rsid w:val="00ED18DC"/>
    <w:rsid w:val="00ED27D0"/>
    <w:rsid w:val="00ED286C"/>
    <w:rsid w:val="00ED2AAD"/>
    <w:rsid w:val="00ED4F7E"/>
    <w:rsid w:val="00ED6B77"/>
    <w:rsid w:val="00EE1B5C"/>
    <w:rsid w:val="00EE2269"/>
    <w:rsid w:val="00EE4FE2"/>
    <w:rsid w:val="00EE57B0"/>
    <w:rsid w:val="00EE6313"/>
    <w:rsid w:val="00EF0396"/>
    <w:rsid w:val="00EF378F"/>
    <w:rsid w:val="00EF432F"/>
    <w:rsid w:val="00F0128E"/>
    <w:rsid w:val="00F021B4"/>
    <w:rsid w:val="00F02379"/>
    <w:rsid w:val="00F0322E"/>
    <w:rsid w:val="00F04601"/>
    <w:rsid w:val="00F05AAC"/>
    <w:rsid w:val="00F1028B"/>
    <w:rsid w:val="00F10DE4"/>
    <w:rsid w:val="00F133AD"/>
    <w:rsid w:val="00F15401"/>
    <w:rsid w:val="00F20310"/>
    <w:rsid w:val="00F21CA9"/>
    <w:rsid w:val="00F22B09"/>
    <w:rsid w:val="00F23E2A"/>
    <w:rsid w:val="00F246CC"/>
    <w:rsid w:val="00F26965"/>
    <w:rsid w:val="00F306C5"/>
    <w:rsid w:val="00F310C7"/>
    <w:rsid w:val="00F312A4"/>
    <w:rsid w:val="00F34B69"/>
    <w:rsid w:val="00F34FCE"/>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8724C"/>
    <w:rsid w:val="00F90345"/>
    <w:rsid w:val="00F90D17"/>
    <w:rsid w:val="00F91BE2"/>
    <w:rsid w:val="00F91D06"/>
    <w:rsid w:val="00F93CBF"/>
    <w:rsid w:val="00F9473D"/>
    <w:rsid w:val="00F94BD1"/>
    <w:rsid w:val="00F94E45"/>
    <w:rsid w:val="00F956AA"/>
    <w:rsid w:val="00F95FED"/>
    <w:rsid w:val="00F9777C"/>
    <w:rsid w:val="00FA0345"/>
    <w:rsid w:val="00FA15D5"/>
    <w:rsid w:val="00FA18D2"/>
    <w:rsid w:val="00FA2778"/>
    <w:rsid w:val="00FA2E86"/>
    <w:rsid w:val="00FA691E"/>
    <w:rsid w:val="00FB058D"/>
    <w:rsid w:val="00FB0793"/>
    <w:rsid w:val="00FB1855"/>
    <w:rsid w:val="00FB3B92"/>
    <w:rsid w:val="00FB3DD3"/>
    <w:rsid w:val="00FB4178"/>
    <w:rsid w:val="00FB6313"/>
    <w:rsid w:val="00FB64CF"/>
    <w:rsid w:val="00FC4A50"/>
    <w:rsid w:val="00FD0117"/>
    <w:rsid w:val="00FD0309"/>
    <w:rsid w:val="00FD0FB2"/>
    <w:rsid w:val="00FD1690"/>
    <w:rsid w:val="00FD1798"/>
    <w:rsid w:val="00FD181A"/>
    <w:rsid w:val="00FE2DE3"/>
    <w:rsid w:val="00FE34B4"/>
    <w:rsid w:val="00FE3889"/>
    <w:rsid w:val="00FE7051"/>
    <w:rsid w:val="00FF302C"/>
    <w:rsid w:val="00FF3F57"/>
    <w:rsid w:val="00FF3F74"/>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ECDC8B4"/>
  <w15:docId w15:val="{3B1F4C90-CD85-471E-84DA-86A3E2154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unhideWhenUsed/>
    <w:rsid w:val="00CC6206"/>
    <w:rPr>
      <w:sz w:val="16"/>
      <w:szCs w:val="16"/>
    </w:rPr>
  </w:style>
  <w:style w:type="paragraph" w:styleId="Textkomente">
    <w:name w:val="annotation text"/>
    <w:basedOn w:val="Normln"/>
    <w:link w:val="TextkomenteChar"/>
    <w:uiPriority w:val="99"/>
    <w:unhideWhenUsed/>
    <w:rsid w:val="00CC6206"/>
    <w:rPr>
      <w:sz w:val="20"/>
      <w:szCs w:val="20"/>
    </w:rPr>
  </w:style>
  <w:style w:type="character" w:customStyle="1" w:styleId="TextkomenteChar">
    <w:name w:val="Text komentáře Char"/>
    <w:basedOn w:val="Standardnpsmoodstavce"/>
    <w:link w:val="Textkomente"/>
    <w:uiPriority w:val="99"/>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 w:type="table" w:styleId="Svtlmkatabulky">
    <w:name w:val="Grid Table Light"/>
    <w:basedOn w:val="Normlntabulka"/>
    <w:uiPriority w:val="40"/>
    <w:rsid w:val="008F5A8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61398671">
          <w:marLeft w:val="0"/>
          <w:marRight w:val="0"/>
          <w:marTop w:val="0"/>
          <w:marBottom w:val="0"/>
          <w:divBdr>
            <w:top w:val="none" w:sz="0" w:space="0" w:color="auto"/>
            <w:left w:val="none" w:sz="0" w:space="0" w:color="auto"/>
            <w:bottom w:val="none" w:sz="0" w:space="0" w:color="auto"/>
            <w:right w:val="none" w:sz="0" w:space="0" w:color="auto"/>
          </w:divBdr>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0ED5D-85B6-4B4D-A59F-32CE24E8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7</Pages>
  <Words>2933</Words>
  <Characters>17308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Luboš Sychra</dc:creator>
  <cp:keywords/>
  <dc:description/>
  <cp:lastModifiedBy>Petr Lysý</cp:lastModifiedBy>
  <cp:revision>8</cp:revision>
  <cp:lastPrinted>2021-02-03T12:53:00Z</cp:lastPrinted>
  <dcterms:created xsi:type="dcterms:W3CDTF">2025-03-10T13:45:00Z</dcterms:created>
  <dcterms:modified xsi:type="dcterms:W3CDTF">2025-03-14T10:26:00Z</dcterms:modified>
</cp:coreProperties>
</file>