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02" w:type="dxa"/>
        <w:jc w:val="center"/>
        <w:tblLook w:val="04A0" w:firstRow="1" w:lastRow="0" w:firstColumn="1" w:lastColumn="0" w:noHBand="0" w:noVBand="1"/>
      </w:tblPr>
      <w:tblGrid>
        <w:gridCol w:w="1571"/>
        <w:gridCol w:w="656"/>
        <w:gridCol w:w="3726"/>
        <w:gridCol w:w="716"/>
        <w:gridCol w:w="656"/>
        <w:gridCol w:w="656"/>
        <w:gridCol w:w="620"/>
        <w:gridCol w:w="701"/>
      </w:tblGrid>
      <w:tr w:rsidR="00E77E80" w:rsidRPr="00DB5CDA" w14:paraId="6DD04344" w14:textId="77777777" w:rsidTr="00721939">
        <w:trPr>
          <w:trHeight w:val="480"/>
          <w:jc w:val="center"/>
        </w:trPr>
        <w:tc>
          <w:tcPr>
            <w:tcW w:w="15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687E31DD" w14:textId="77777777" w:rsidR="00E77E80" w:rsidRPr="00DB5CDA" w:rsidRDefault="00E77E80" w:rsidP="00E77E80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E77E80" w:rsidRPr="00DB5CDA" w:rsidRDefault="00E77E80" w:rsidP="00E77E80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E77E80" w:rsidRPr="00DB5CDA" w:rsidRDefault="00E77E80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8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1F8946C1" w14:textId="77777777" w:rsidR="00E77E80" w:rsidRPr="002852AF" w:rsidRDefault="00E77E80" w:rsidP="00E77E80">
            <w:pPr>
              <w:rPr>
                <w:rFonts w:ascii="Arial" w:hAnsi="Arial" w:cs="Arial"/>
                <w:b/>
              </w:rPr>
            </w:pPr>
          </w:p>
          <w:p w14:paraId="706C2BEF" w14:textId="77777777" w:rsidR="00E77E80" w:rsidRPr="002852AF" w:rsidRDefault="00E77E80" w:rsidP="00E77E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Západočeská univerzita v Plzni</w:t>
            </w:r>
          </w:p>
        </w:tc>
        <w:tc>
          <w:tcPr>
            <w:tcW w:w="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  <w:vAlign w:val="center"/>
          </w:tcPr>
          <w:p w14:paraId="00DE5728" w14:textId="478EDA35" w:rsidR="00E77E80" w:rsidRPr="002852AF" w:rsidRDefault="00E77E80" w:rsidP="00E77E8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CF6D75" w14:textId="2EB14E62" w:rsidR="00E77E80" w:rsidRPr="00E77E80" w:rsidRDefault="00E77E80" w:rsidP="00E77E80">
            <w:pPr>
              <w:rPr>
                <w:rFonts w:ascii="Arial" w:hAnsi="Arial" w:cs="Arial"/>
              </w:rPr>
            </w:pPr>
            <w:r w:rsidRPr="00E77E80">
              <w:rPr>
                <w:rFonts w:ascii="Arial" w:hAnsi="Arial" w:cs="Arial"/>
              </w:rPr>
              <w:t>H22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2D280187" w:rsidR="00E77E80" w:rsidRPr="00E77E80" w:rsidRDefault="00E77E80" w:rsidP="00E77E80">
            <w:pPr>
              <w:rPr>
                <w:rFonts w:ascii="Arial" w:hAnsi="Arial" w:cs="Arial"/>
              </w:rPr>
            </w:pPr>
            <w:r w:rsidRPr="00E77E80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77777777" w:rsidR="00E77E80" w:rsidRPr="00E77E80" w:rsidRDefault="00E77E80" w:rsidP="00E77E80">
            <w:pPr>
              <w:rPr>
                <w:rFonts w:ascii="Arial" w:hAnsi="Arial" w:cs="Arial"/>
              </w:rPr>
            </w:pPr>
            <w:r w:rsidRPr="00E77E80">
              <w:rPr>
                <w:rFonts w:ascii="Arial" w:hAnsi="Arial" w:cs="Arial"/>
              </w:rPr>
              <w:t>H20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E77E80" w:rsidRPr="00E77E80" w:rsidRDefault="00E77E80" w:rsidP="00E77E80">
            <w:pPr>
              <w:rPr>
                <w:rFonts w:ascii="Arial" w:hAnsi="Arial" w:cs="Arial"/>
              </w:rPr>
            </w:pPr>
            <w:r w:rsidRPr="00E77E80">
              <w:rPr>
                <w:rFonts w:ascii="Arial" w:hAnsi="Arial" w:cs="Arial"/>
              </w:rPr>
              <w:t>H19</w:t>
            </w:r>
          </w:p>
        </w:tc>
      </w:tr>
      <w:tr w:rsidR="00E77E80" w:rsidRPr="00DB5CDA" w14:paraId="5816E9E2" w14:textId="77777777" w:rsidTr="00721939">
        <w:trPr>
          <w:trHeight w:val="402"/>
          <w:jc w:val="center"/>
        </w:trPr>
        <w:tc>
          <w:tcPr>
            <w:tcW w:w="15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69B17505" w14:textId="77777777" w:rsidR="00E77E80" w:rsidRPr="00DB5CDA" w:rsidRDefault="00E77E80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8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</w:tcPr>
          <w:p w14:paraId="57E3419E" w14:textId="77777777" w:rsidR="00E77E80" w:rsidRPr="002852AF" w:rsidRDefault="00E77E80" w:rsidP="00E77E80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 w:themeFill="accent5" w:themeFillTint="99"/>
            <w:vAlign w:val="center"/>
          </w:tcPr>
          <w:p w14:paraId="44592D74" w14:textId="4E6D4328" w:rsidR="00E77E80" w:rsidRPr="00CC41FA" w:rsidRDefault="00E77E80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highlight w:val="yellow"/>
              </w:rPr>
            </w:pPr>
            <w:r w:rsidRPr="00EE27B4">
              <w:rPr>
                <w:rFonts w:ascii="Arial" w:hAnsi="Arial" w:cs="Arial"/>
                <w:b/>
              </w:rPr>
              <w:t>B</w:t>
            </w:r>
            <w:r w:rsidRPr="00EE27B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C69D9" w14:textId="6318C79D" w:rsidR="00E77E80" w:rsidRPr="00E77E80" w:rsidRDefault="00E77E80" w:rsidP="00E77E80">
            <w:pPr>
              <w:pStyle w:val="Zhlav"/>
              <w:rPr>
                <w:rFonts w:ascii="Arial" w:hAnsi="Arial" w:cs="Arial"/>
              </w:rPr>
            </w:pPr>
            <w:r w:rsidRPr="00E77E80">
              <w:rPr>
                <w:rFonts w:ascii="Arial" w:hAnsi="Arial" w:cs="Arial"/>
              </w:rPr>
              <w:t>B</w:t>
            </w:r>
            <w:r w:rsidRPr="00E77E80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1AA72468" w:rsidR="00E77E80" w:rsidRPr="00E77E80" w:rsidRDefault="00E77E80" w:rsidP="00E77E80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E77E80">
              <w:rPr>
                <w:rFonts w:ascii="Arial" w:hAnsi="Arial" w:cs="Arial"/>
              </w:rPr>
              <w:t>B</w:t>
            </w:r>
            <w:r w:rsidRPr="00E77E80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77777777" w:rsidR="00E77E80" w:rsidRPr="00E77E80" w:rsidRDefault="00E77E80" w:rsidP="00E77E80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E77E80">
              <w:rPr>
                <w:rFonts w:ascii="Arial" w:hAnsi="Arial" w:cs="Arial"/>
              </w:rPr>
              <w:t>B</w:t>
            </w:r>
            <w:r w:rsidRPr="00E77E80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77777777" w:rsidR="00E77E80" w:rsidRPr="00E77E80" w:rsidRDefault="00E77E80" w:rsidP="00E77E80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E77E80">
              <w:rPr>
                <w:rFonts w:ascii="Arial" w:hAnsi="Arial" w:cs="Arial"/>
              </w:rPr>
              <w:t>B</w:t>
            </w:r>
            <w:r w:rsidRPr="00E77E80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721939" w:rsidRPr="00DB5CDA" w14:paraId="0A95F550" w14:textId="77777777" w:rsidTr="00721939">
        <w:trPr>
          <w:trHeight w:val="265"/>
          <w:jc w:val="center"/>
        </w:trPr>
        <w:tc>
          <w:tcPr>
            <w:tcW w:w="157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AC555E" w14:textId="77777777" w:rsidR="00075DFE" w:rsidRDefault="00075DFE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2F8632" w14:textId="05FF8560" w:rsidR="00721939" w:rsidRDefault="00721939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1C0628">
              <w:rPr>
                <w:rFonts w:ascii="Arial" w:hAnsi="Arial" w:cs="Arial"/>
                <w:b/>
                <w:szCs w:val="22"/>
              </w:rPr>
              <w:t> </w:t>
            </w:r>
            <w:r w:rsidRPr="007D08F3">
              <w:rPr>
                <w:rFonts w:ascii="Arial" w:hAnsi="Arial" w:cs="Arial"/>
                <w:b/>
                <w:szCs w:val="22"/>
              </w:rPr>
              <w:t>%</w:t>
            </w:r>
          </w:p>
          <w:p w14:paraId="021772F9" w14:textId="5E7F1072" w:rsidR="00721939" w:rsidRPr="00DB5CDA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31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8A27533" w14:textId="57E568EC" w:rsidR="00721939" w:rsidRPr="001F0B21" w:rsidRDefault="00721939" w:rsidP="00E77E8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1E9FB753" w14:textId="77777777" w:rsidR="00721939" w:rsidRPr="007D08F3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  <w:r w:rsidRPr="007D08F3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7048B99A" w14:textId="77777777" w:rsidR="00721939" w:rsidRPr="007D08F3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  <w:r w:rsidRPr="007D08F3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3105299B" w14:textId="77777777" w:rsidR="00721939" w:rsidRPr="007D08F3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  <w:r w:rsidRPr="007D08F3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2E19DF13" w14:textId="77777777" w:rsidR="00721939" w:rsidRPr="007D08F3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  <w:r w:rsidRPr="007D08F3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318FA57C" w14:textId="77777777" w:rsidR="00721939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  <w:r w:rsidRPr="007D08F3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5A2900CD" w14:textId="77777777" w:rsidR="00721939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210A797" w14:textId="77777777" w:rsidR="00721939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E8253A2" w14:textId="73B79B17" w:rsidR="00721939" w:rsidRPr="00F06CC4" w:rsidRDefault="00721939" w:rsidP="00721939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F06CC4">
              <w:rPr>
                <w:rFonts w:ascii="Arial" w:hAnsi="Arial" w:cs="Arial"/>
                <w:b/>
              </w:rPr>
              <w:t>Výstupy letošního tripartitního jednání budou jako průběžný podklad za národní úroveň poskytnuty mezinárodním evaluačním panelům (tzv.</w:t>
            </w:r>
            <w:r>
              <w:rPr>
                <w:rFonts w:ascii="Arial" w:hAnsi="Arial" w:cs="Arial"/>
                <w:b/>
              </w:rPr>
              <w:t> </w:t>
            </w:r>
            <w:r w:rsidRPr="00F06CC4">
              <w:rPr>
                <w:rFonts w:ascii="Arial" w:hAnsi="Arial" w:cs="Arial"/>
                <w:b/>
              </w:rPr>
              <w:t>MEP) a kalibračnímu orgánu OPO spolu se standardními výstupy z</w:t>
            </w:r>
            <w:r>
              <w:rPr>
                <w:rFonts w:ascii="Arial" w:hAnsi="Arial" w:cs="Arial"/>
                <w:b/>
              </w:rPr>
              <w:t> </w:t>
            </w:r>
            <w:r w:rsidRPr="00F06CC4">
              <w:rPr>
                <w:rFonts w:ascii="Arial" w:hAnsi="Arial" w:cs="Arial"/>
                <w:b/>
              </w:rPr>
              <w:t>Modulu 1 a 2 na národní úrovni (včetně vizualizace rozpadu pro orjk).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</w:t>
            </w:r>
            <w:r>
              <w:rPr>
                <w:rFonts w:ascii="Arial" w:hAnsi="Arial" w:cs="Arial"/>
                <w:b/>
              </w:rPr>
              <w:t> </w:t>
            </w:r>
            <w:r w:rsidRPr="00F06CC4">
              <w:rPr>
                <w:rFonts w:ascii="Arial" w:hAnsi="Arial" w:cs="Arial"/>
                <w:b/>
              </w:rPr>
              <w:t>výsledné škále A–D ze strany Odborných panelů, zástupců RVVI a</w:t>
            </w:r>
            <w:r>
              <w:rPr>
                <w:rFonts w:ascii="Arial" w:hAnsi="Arial" w:cs="Arial"/>
                <w:b/>
              </w:rPr>
              <w:t> </w:t>
            </w:r>
            <w:r w:rsidRPr="00F06CC4">
              <w:rPr>
                <w:rFonts w:ascii="Arial" w:hAnsi="Arial" w:cs="Arial"/>
                <w:b/>
              </w:rPr>
              <w:t>zástupců poskytovatele.</w:t>
            </w:r>
          </w:p>
          <w:p w14:paraId="78CF5420" w14:textId="01FC5147" w:rsidR="00721939" w:rsidRPr="00F06CC4" w:rsidRDefault="00721939" w:rsidP="00721939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F06CC4">
              <w:rPr>
                <w:rFonts w:ascii="Arial" w:hAnsi="Arial" w:cs="Arial"/>
                <w:bCs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</w:rPr>
              <w:t> </w:t>
            </w:r>
            <w:r w:rsidRPr="00F06CC4">
              <w:rPr>
                <w:rFonts w:ascii="Arial" w:hAnsi="Arial" w:cs="Arial"/>
                <w:bCs/>
              </w:rPr>
              <w:t xml:space="preserve">kumulaci za posledních pět let. U této VŠ převládají lepší hodnocení nad horšími (252:105, viz dále tabulková část), v hodnocení podle kritéria „přínos k poznání“ převládají lepší hodnocení, v hodnocení podle kritéria „společenská relevance“ je poměr lepších hodnocení a horších hodnocení </w:t>
            </w:r>
            <w:r w:rsidR="009F1FF3">
              <w:rPr>
                <w:rFonts w:ascii="Arial" w:hAnsi="Arial" w:cs="Arial"/>
                <w:bCs/>
              </w:rPr>
              <w:t>v podstatě</w:t>
            </w:r>
            <w:r w:rsidR="009F1FF3" w:rsidRPr="00F06CC4">
              <w:rPr>
                <w:rFonts w:ascii="Arial" w:hAnsi="Arial" w:cs="Arial"/>
                <w:bCs/>
              </w:rPr>
              <w:t xml:space="preserve"> </w:t>
            </w:r>
            <w:r w:rsidRPr="00F06CC4">
              <w:rPr>
                <w:rFonts w:ascii="Arial" w:hAnsi="Arial" w:cs="Arial"/>
                <w:bCs/>
              </w:rPr>
              <w:t xml:space="preserve">vyrovnaný. Jako orientační pomocný ukazatel zástupci Odborných panelů využívají průměr známek v Modulu 1 s vědomím, že známka 3 je posuzována jako lepší ve vazbě na misi organizace. </w:t>
            </w:r>
          </w:p>
          <w:p w14:paraId="2C392DB3" w14:textId="11988699" w:rsidR="00721939" w:rsidRPr="00F06CC4" w:rsidRDefault="00721939" w:rsidP="00721939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F06CC4">
              <w:rPr>
                <w:rFonts w:ascii="Arial" w:hAnsi="Arial" w:cs="Arial"/>
                <w:bCs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>
              <w:rPr>
                <w:rFonts w:ascii="Arial" w:hAnsi="Arial" w:cs="Arial"/>
                <w:bCs/>
              </w:rPr>
              <w:t> </w:t>
            </w:r>
            <w:r w:rsidRPr="00F06CC4">
              <w:rPr>
                <w:rFonts w:ascii="Arial" w:hAnsi="Arial" w:cs="Arial"/>
                <w:bCs/>
              </w:rPr>
              <w:t>daty z</w:t>
            </w:r>
            <w:r>
              <w:rPr>
                <w:rFonts w:ascii="Arial" w:hAnsi="Arial" w:cs="Arial"/>
                <w:bCs/>
              </w:rPr>
              <w:t> </w:t>
            </w:r>
            <w:r w:rsidRPr="00F06CC4">
              <w:rPr>
                <w:rFonts w:ascii="Arial" w:hAnsi="Arial" w:cs="Arial"/>
                <w:bCs/>
              </w:rPr>
              <w:t>M</w:t>
            </w:r>
            <w:r>
              <w:rPr>
                <w:rFonts w:ascii="Arial" w:hAnsi="Arial" w:cs="Arial"/>
                <w:bCs/>
              </w:rPr>
              <w:t xml:space="preserve">odulu </w:t>
            </w:r>
            <w:r w:rsidRPr="00F06CC4">
              <w:rPr>
                <w:rFonts w:ascii="Arial" w:hAnsi="Arial" w:cs="Arial"/>
                <w:bCs/>
              </w:rPr>
              <w:t xml:space="preserve">1 a </w:t>
            </w:r>
            <w:r>
              <w:rPr>
                <w:rFonts w:ascii="Arial" w:hAnsi="Arial" w:cs="Arial"/>
                <w:bCs/>
              </w:rPr>
              <w:t xml:space="preserve">Modulu </w:t>
            </w:r>
            <w:r w:rsidRPr="00F06CC4">
              <w:rPr>
                <w:rFonts w:ascii="Arial" w:hAnsi="Arial" w:cs="Arial"/>
                <w:bCs/>
              </w:rPr>
              <w:t>2, bylo tripartitou doporučeno prověřit, zda nedochází k</w:t>
            </w:r>
            <w:r>
              <w:rPr>
                <w:rFonts w:ascii="Arial" w:hAnsi="Arial" w:cs="Arial"/>
                <w:bCs/>
              </w:rPr>
              <w:t> </w:t>
            </w:r>
            <w:r w:rsidRPr="00F06CC4">
              <w:rPr>
                <w:rFonts w:ascii="Arial" w:hAnsi="Arial" w:cs="Arial"/>
                <w:bCs/>
              </w:rPr>
              <w:t>nedorozumění v přihlašování nebo ve výkaznictví.</w:t>
            </w:r>
          </w:p>
          <w:p w14:paraId="289AEBB8" w14:textId="6B977D3B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06CC4">
              <w:rPr>
                <w:rFonts w:ascii="Arial" w:hAnsi="Arial" w:cs="Arial"/>
              </w:rPr>
              <w:t xml:space="preserve">Z pohledu panelu přírodních věd jsou vybrané výsledky v Modulu 1 nadprůměrné, převládá hodnocení stupněm 1 a 2, </w:t>
            </w:r>
            <w:r w:rsidR="009F1FF3">
              <w:rPr>
                <w:rFonts w:ascii="Arial" w:hAnsi="Arial" w:cs="Arial"/>
              </w:rPr>
              <w:t xml:space="preserve">v mezidobí </w:t>
            </w:r>
            <w:r w:rsidRPr="00F06CC4">
              <w:rPr>
                <w:rFonts w:ascii="Arial" w:hAnsi="Arial" w:cs="Arial"/>
              </w:rPr>
              <w:t xml:space="preserve">bylo zaznamenáno výrazné zlepšení. V Modulu 2 vykazuje ZČU poměrně vysoký počet reprint autorů. Celkový návrh za panel přírodních věd je hodnocení B+. </w:t>
            </w:r>
          </w:p>
          <w:p w14:paraId="5A51B474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B84B257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06CC4">
              <w:rPr>
                <w:rFonts w:ascii="Arial" w:hAnsi="Arial" w:cs="Arial"/>
              </w:rPr>
              <w:lastRenderedPageBreak/>
              <w:t>Z pohledu panelu technických věd je v Modulu 1 26 % výsledků hodnoceno stupněm 1 či 2, což odpovídá hodnocení B-C. V Modulu 2 jsou oborové kapacity deklarovány pro tři hlavní obory: 2.2 Electrical engineering, Electronic engineering, Information engineering, 2.3</w:t>
            </w:r>
            <w:r>
              <w:rPr>
                <w:rFonts w:ascii="Arial" w:hAnsi="Arial" w:cs="Arial"/>
              </w:rPr>
              <w:t> </w:t>
            </w:r>
            <w:r w:rsidRPr="00F06CC4">
              <w:rPr>
                <w:rFonts w:ascii="Arial" w:hAnsi="Arial" w:cs="Arial"/>
              </w:rPr>
              <w:t xml:space="preserve">Mechanical engineering a 2.5 Materials engineering. Ve schopnosti produkovat články v Q1 v rámci ČR je ZČU v 2.2 Electrical engineering, Electronic engineering, Information engineering a v 2.3 Mechanical engineering na 7. místě, v 2.5 Materials engineering ZČU nefiguruje v top 10. Celkově za panel technických věd je navrženo hodnocení B/C. </w:t>
            </w:r>
          </w:p>
          <w:p w14:paraId="7CBA722B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7BACF2A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06CC4">
              <w:rPr>
                <w:rFonts w:ascii="Arial" w:hAnsi="Arial" w:cs="Arial"/>
              </w:rPr>
              <w:t xml:space="preserve">ZČU deklaruje 16 % oborových kapacit v sociálních vědách. V Modulu 1 převažují výsledky v oboru 5.5. Law hodnocení stupněm 3 a v oboru 5.3 Education převažují hodnocení stupněm 4. Celkově panel sociálních věd navrhuje hodnocení za Modul 1 jako C. V Modulu 2 dle tabulky produktivity má ZČU v 5.2 Economics průměr Q1+Q2 vůči národnímu průměru 0,4, podobně je to v 5.3 Education, kde činí 0,7. Naopak v 5.4 Sociology mají dvojnásobek národního průměru produkce Q1+Q2. Celkově je za Modul 2 za panel sociálních věd navrženo hodnocení C a stejně tak i souhrnně za oba dva moduly. </w:t>
            </w:r>
          </w:p>
          <w:p w14:paraId="74AA3554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0CCC4C3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06CC4">
              <w:rPr>
                <w:rFonts w:ascii="Arial" w:hAnsi="Arial" w:cs="Arial"/>
              </w:rPr>
              <w:t>Panel humanitních věd identifikoval velmi dobrý výkon ZČU v 6.1 History and archaelogy a</w:t>
            </w:r>
            <w:r>
              <w:rPr>
                <w:rFonts w:ascii="Arial" w:hAnsi="Arial" w:cs="Arial"/>
              </w:rPr>
              <w:t> </w:t>
            </w:r>
            <w:r w:rsidRPr="00F06CC4">
              <w:rPr>
                <w:rFonts w:ascii="Arial" w:hAnsi="Arial" w:cs="Arial"/>
              </w:rPr>
              <w:t>6.3</w:t>
            </w:r>
            <w:r>
              <w:rPr>
                <w:rFonts w:ascii="Arial" w:hAnsi="Arial" w:cs="Arial"/>
              </w:rPr>
              <w:t> </w:t>
            </w:r>
            <w:r w:rsidRPr="00F06CC4">
              <w:rPr>
                <w:rFonts w:ascii="Arial" w:hAnsi="Arial" w:cs="Arial"/>
              </w:rPr>
              <w:t>Philosophy</w:t>
            </w:r>
            <w:r>
              <w:rPr>
                <w:rFonts w:ascii="Arial" w:hAnsi="Arial" w:cs="Arial"/>
              </w:rPr>
              <w:t>,</w:t>
            </w:r>
            <w:r w:rsidRPr="00F06CC4">
              <w:rPr>
                <w:rFonts w:ascii="Arial" w:hAnsi="Arial" w:cs="Arial"/>
              </w:rPr>
              <w:t xml:space="preserve"> Ethics and Religion. ZČU kumulativně za pět let získala v Modulu 1 tři hodnocení stupněm 1. Celkový návrh za panel humanitních věd je hodnocení A/B. </w:t>
            </w:r>
          </w:p>
          <w:p w14:paraId="0AA54063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0A3DDC0" w14:textId="2ED795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06CC4">
              <w:rPr>
                <w:rFonts w:ascii="Arial" w:hAnsi="Arial" w:cs="Arial"/>
              </w:rPr>
              <w:t xml:space="preserve">Z pohledu panelu lékařských věd v Modulu 1 je průměrná známka 3,6. Lékařské obory nejsou pro ZČU dominantní, výkon odpovídá hodnocení C. </w:t>
            </w:r>
          </w:p>
          <w:p w14:paraId="297EC2AD" w14:textId="77777777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0AC6543" w14:textId="04C29178" w:rsidR="00721939" w:rsidRPr="00F06CC4" w:rsidRDefault="00721939" w:rsidP="0072193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06CC4">
              <w:rPr>
                <w:rFonts w:ascii="Arial" w:hAnsi="Arial" w:cs="Arial"/>
                <w:b/>
                <w:szCs w:val="22"/>
              </w:rPr>
              <w:t>V minulém hodnocení na národní úrovni se tripartita shodla na hodnocení B</w:t>
            </w:r>
            <w:r w:rsidRPr="00F06CC4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VŠ. </w:t>
            </w:r>
            <w:r w:rsidR="009F1FF3" w:rsidRPr="00F06CC4">
              <w:rPr>
                <w:rFonts w:ascii="Arial" w:hAnsi="Arial" w:cs="Arial"/>
              </w:rPr>
              <w:t>Souhrnně bylo konstatováno zlepšení v přírodních vědách</w:t>
            </w:r>
            <w:r w:rsidR="009F1FF3">
              <w:rPr>
                <w:rFonts w:ascii="Arial" w:hAnsi="Arial" w:cs="Arial"/>
              </w:rPr>
              <w:t>, stagnace v oblasti technických věd, podpůrně kvalitní výsledky v oblasti humanitních vědy, ale slabé sociální vědy.</w:t>
            </w:r>
            <w:r w:rsidR="00580FEE">
              <w:rPr>
                <w:rFonts w:ascii="Arial" w:hAnsi="Arial" w:cs="Arial"/>
              </w:rPr>
              <w:t xml:space="preserve"> </w:t>
            </w:r>
            <w:r w:rsidRPr="00F06CC4">
              <w:rPr>
                <w:rFonts w:ascii="Arial" w:hAnsi="Arial" w:cs="Arial"/>
                <w:b/>
              </w:rPr>
              <w:t xml:space="preserve">Celkově se tripartita </w:t>
            </w:r>
            <w:r w:rsidR="009F1FF3">
              <w:rPr>
                <w:rFonts w:ascii="Arial" w:hAnsi="Arial" w:cs="Arial"/>
                <w:b/>
              </w:rPr>
              <w:t xml:space="preserve">navrhuje, v případě že se zaznamenané trendy </w:t>
            </w:r>
            <w:r w:rsidR="00580FEE">
              <w:rPr>
                <w:rFonts w:ascii="Arial" w:hAnsi="Arial" w:cs="Arial"/>
                <w:b/>
              </w:rPr>
              <w:t>potvrdí</w:t>
            </w:r>
            <w:r w:rsidR="009F1FF3">
              <w:rPr>
                <w:rFonts w:ascii="Arial" w:hAnsi="Arial" w:cs="Arial"/>
                <w:b/>
              </w:rPr>
              <w:t>, ponechat hodnocení</w:t>
            </w:r>
            <w:r w:rsidRPr="00F06CC4">
              <w:rPr>
                <w:rFonts w:ascii="Arial" w:hAnsi="Arial" w:cs="Arial"/>
                <w:b/>
              </w:rPr>
              <w:t xml:space="preserve"> ZČU jako B</w:t>
            </w:r>
            <w:r w:rsidRPr="00F06CC4">
              <w:rPr>
                <w:rFonts w:ascii="Arial" w:hAnsi="Arial" w:cs="Arial"/>
                <w:b/>
                <w:vertAlign w:val="subscript"/>
              </w:rPr>
              <w:t>VŠ</w:t>
            </w:r>
            <w:r w:rsidRPr="00F06CC4">
              <w:rPr>
                <w:rFonts w:ascii="Arial" w:hAnsi="Arial" w:cs="Arial"/>
                <w:b/>
              </w:rPr>
              <w:t>.</w:t>
            </w:r>
          </w:p>
          <w:p w14:paraId="10B57437" w14:textId="77777777" w:rsidR="00721939" w:rsidRDefault="00721939" w:rsidP="0072193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3B5B297" w14:textId="77777777" w:rsidR="00721939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C9102E7" w14:textId="77777777" w:rsidR="00721939" w:rsidRDefault="00721939" w:rsidP="00E77E80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18586EC" w14:textId="77777777" w:rsidR="00721939" w:rsidRPr="001F0B21" w:rsidRDefault="00721939" w:rsidP="00E77E80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21939" w:rsidRPr="00DB5CDA" w14:paraId="77385A0D" w14:textId="77777777" w:rsidTr="00721939">
        <w:trPr>
          <w:trHeight w:val="265"/>
          <w:jc w:val="center"/>
        </w:trPr>
        <w:tc>
          <w:tcPr>
            <w:tcW w:w="15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D77E5E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4E50FE57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16F5C4D9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6558A62E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417EAE4E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  <w:p w14:paraId="35F0AEEB" w14:textId="77777777" w:rsidR="00721939" w:rsidRPr="006C019C" w:rsidRDefault="00721939" w:rsidP="00E77E80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31" w:type="dxa"/>
            <w:gridSpan w:val="7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733154" w14:textId="1C613FF5" w:rsidR="00721939" w:rsidRPr="006C019C" w:rsidRDefault="00721939" w:rsidP="00E77E80">
            <w:pPr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721939" w:rsidRPr="00DB5CDA" w14:paraId="7E33C941" w14:textId="77777777" w:rsidTr="00721939">
        <w:trPr>
          <w:trHeight w:val="265"/>
          <w:jc w:val="center"/>
        </w:trPr>
        <w:tc>
          <w:tcPr>
            <w:tcW w:w="15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77A240" w14:textId="5750B735" w:rsidR="00721939" w:rsidRDefault="00721939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42B7F6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983A85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09FE93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47A5DE8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6EA8BD5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FEBF582" w14:textId="6AC9C4C6" w:rsidR="00721939" w:rsidRDefault="009F1FF3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03B88305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1B958DD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61E4CC7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2362D1D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95B3825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6F74B19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57663A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8E7633F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EE79AEB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C5BF55" w14:textId="77777777" w:rsidR="00721939" w:rsidRDefault="00721939" w:rsidP="0072193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4678035A" w14:textId="77777777" w:rsidR="00721939" w:rsidRPr="00DB5CDA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31" w:type="dxa"/>
            <w:gridSpan w:val="7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7936FC6" w14:textId="77777777" w:rsidR="00721939" w:rsidRPr="001F0B21" w:rsidRDefault="00721939" w:rsidP="00E77E80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721939" w:rsidRPr="00DB5CDA" w14:paraId="77E9A8B2" w14:textId="77777777" w:rsidTr="00721939">
        <w:trPr>
          <w:trHeight w:val="255"/>
          <w:jc w:val="center"/>
        </w:trPr>
        <w:tc>
          <w:tcPr>
            <w:tcW w:w="15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BCCA03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C9E9142" w14:textId="77777777" w:rsidR="00721939" w:rsidRDefault="00721939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35BAE2" w14:textId="3E69FCE1" w:rsidR="00721939" w:rsidRDefault="00721939" w:rsidP="00E77E80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47A202A" w14:textId="77777777" w:rsidR="00721939" w:rsidRPr="00DB5CDA" w:rsidRDefault="00721939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31" w:type="dxa"/>
            <w:gridSpan w:val="7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402178F8" w14:textId="77777777" w:rsidR="00721939" w:rsidRDefault="00721939" w:rsidP="00E77E8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18767AC" w14:textId="77777777" w:rsidR="00721939" w:rsidRDefault="00721939" w:rsidP="00E77E8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079CEAE" w14:textId="77777777" w:rsidR="00721939" w:rsidRDefault="00721939" w:rsidP="00E77E8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6D82EA0F" w14:textId="77777777" w:rsidR="00A560F2" w:rsidRDefault="00A560F2" w:rsidP="00E77E8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547A09F" w14:textId="19F8813E" w:rsidR="00721939" w:rsidRPr="00721939" w:rsidRDefault="00721939" w:rsidP="00E77E8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721939" w:rsidRPr="00DB5CDA" w14:paraId="6DA5001A" w14:textId="77777777" w:rsidTr="00721939">
        <w:trPr>
          <w:trHeight w:val="265"/>
          <w:jc w:val="center"/>
        </w:trPr>
        <w:tc>
          <w:tcPr>
            <w:tcW w:w="157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E2FF23" w14:textId="77777777" w:rsidR="00721939" w:rsidRDefault="00721939" w:rsidP="00E77E8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864CFA0" w14:textId="77777777" w:rsidR="00721939" w:rsidRDefault="00721939" w:rsidP="00E77E8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E7E0505" w14:textId="77777777" w:rsidR="00721939" w:rsidRDefault="00721939" w:rsidP="00E77E8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E93128" w14:textId="77777777" w:rsidR="00721939" w:rsidRPr="00DB5CDA" w:rsidRDefault="00721939" w:rsidP="00E77E80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31" w:type="dxa"/>
            <w:gridSpan w:val="7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00F7FC3" w14:textId="4590003A" w:rsidR="00721939" w:rsidRPr="00711EFE" w:rsidRDefault="00721939" w:rsidP="00E77E80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E77E80" w:rsidRPr="00DB5CDA" w14:paraId="3EAB3F6E" w14:textId="77777777" w:rsidTr="00721939">
        <w:trPr>
          <w:trHeight w:val="265"/>
          <w:jc w:val="center"/>
        </w:trPr>
        <w:tc>
          <w:tcPr>
            <w:tcW w:w="157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1E25A" w14:textId="77777777" w:rsidR="00E77E80" w:rsidRPr="00DB5CDA" w:rsidRDefault="00E77E80" w:rsidP="00E77E8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65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18D0" w14:textId="77777777" w:rsidR="00E77E80" w:rsidRPr="001F0B21" w:rsidRDefault="00E77E80" w:rsidP="00E77E8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  <w:tc>
          <w:tcPr>
            <w:tcW w:w="7075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557661" w14:textId="3D477144" w:rsidR="00E77E80" w:rsidRPr="001F0B21" w:rsidRDefault="00E77E80" w:rsidP="00E77E80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bookmarkEnd w:id="0"/>
    </w:tbl>
    <w:p w14:paraId="69130179" w14:textId="77777777" w:rsidR="00FC6459" w:rsidRDefault="00FC6459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78AA3F8" w14:textId="77777777" w:rsidR="00A560F2" w:rsidRDefault="00A560F2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331CA1E" w14:textId="77777777" w:rsidR="0006750C" w:rsidRDefault="0006750C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F94C3A7" w14:textId="73A10460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FC6459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A60D29" w:rsidRPr="00DB5CDA" w14:paraId="5DB3C2CB" w14:textId="77777777" w:rsidTr="00FC6459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9889E9D" w14:textId="5D971763" w:rsidR="00A60D29" w:rsidRPr="000471B2" w:rsidRDefault="00A60D2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Západočeská univerzita v Plzni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A60D29" w:rsidRPr="00636774" w:rsidRDefault="00A60D2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148B8137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63F45220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3AB75507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5DF06CEB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76971F7F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6F44D72A" w:rsidR="00A60D29" w:rsidRPr="00636774" w:rsidRDefault="00A60D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</w:tr>
      <w:tr w:rsidR="00A60D29" w:rsidRPr="00DB5CDA" w14:paraId="058C793C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444CF65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74F8DC6B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67AED353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1F817413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1CED8717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77777777" w:rsidR="00A60D29" w:rsidRPr="00D2023E" w:rsidRDefault="00A60D2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2023E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7371B075" w:rsidR="00A60D29" w:rsidRPr="00077A74" w:rsidRDefault="00A60D2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A60D29" w:rsidRPr="00DB5CDA" w14:paraId="5B62E3CA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79139DA7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A60D29" w:rsidRPr="00D2023E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0F1B2B25" w:rsidR="00A60D29" w:rsidRPr="00D2023E" w:rsidRDefault="00A60D2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23083DAA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3D50DFE4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2E48B010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04034BBB" w:rsidR="00A60D29" w:rsidRPr="00D2023E" w:rsidRDefault="00116F3A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A60D29" w:rsidRPr="00077A74" w:rsidRDefault="00A60D2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3CC9EDA9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C717440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A60D29" w:rsidRPr="00636774" w:rsidRDefault="003731C0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07011426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1F5683A4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7CDB6101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7E0A4349" w:rsidR="00A60D29" w:rsidRPr="00636774" w:rsidRDefault="00116F3A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1B514AE1" w:rsidR="00116F3A" w:rsidRPr="00636774" w:rsidRDefault="00116F3A" w:rsidP="00116F3A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A60D29" w:rsidRPr="00636774" w:rsidRDefault="00A60D29" w:rsidP="00D2023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31F53BEC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9AF2F02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64E1B905" w:rsidR="00A60D29" w:rsidRDefault="00A60D2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116BE0EF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185C987D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06A22F94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6AAA647" w:rsidR="00A60D29" w:rsidRPr="00D2023E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A60D29" w:rsidRPr="00077A74" w:rsidRDefault="00A60D2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076DCDCB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808AC1F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A60D29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1C3CB749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7C7731AB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9433629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1429847A" w:rsidR="00A60D29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6A3FA0E4" w:rsidR="00A60D29" w:rsidRPr="00D2023E" w:rsidRDefault="00116F3A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A60D29" w:rsidRPr="00077A74" w:rsidRDefault="00A60D2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3600662E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15EF9AD" w14:textId="77777777" w:rsidR="00A60D29" w:rsidRPr="000471B2" w:rsidRDefault="00A60D2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A60D29" w:rsidRPr="00636774" w:rsidRDefault="00A60D29" w:rsidP="00FD1A03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15E03800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55D1154A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512AA80D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0F315BA6" w:rsidR="00A60D29" w:rsidRPr="00636774" w:rsidRDefault="00116F3A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31D4CF8C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A60D29" w:rsidRPr="00636774" w:rsidRDefault="00A60D29" w:rsidP="00FD1A03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A60D29" w:rsidRPr="00DB5CDA" w14:paraId="294A11FA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85CD265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27944991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7ED70548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19F2918C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09C65B0A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99F446F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198B353E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19A0690F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75411C6E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5DEC9FFF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3EE3F7E2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222C4183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22819700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6242E11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A60D29" w:rsidRPr="00636774" w:rsidRDefault="00A60D29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7B4DE9B9" w:rsidR="00A60D29" w:rsidRPr="00636774" w:rsidRDefault="00A60D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73FB3E02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5A394CE6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3DC6D845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5E810474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65E74B89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</w:tr>
      <w:tr w:rsidR="00A60D29" w:rsidRPr="00DB5CDA" w14:paraId="75409CD5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08A95D1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3D180A9D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60D3C2EC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3F6B03C7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57E3C632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5D291327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5E4B1F39" w:rsidR="00A60D29" w:rsidRPr="00077A74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A60D29" w:rsidRPr="00DB5CDA" w14:paraId="0AF78F28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ACD9B7A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2515701D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3403DDF4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3FF0A845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69A529D5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613B1B19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08DE22C7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1B61EB50" w:rsidR="00A60D29" w:rsidRPr="00077A74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</w:tr>
      <w:tr w:rsidR="00A60D29" w:rsidRPr="00DB5CDA" w14:paraId="4B8EAE6B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97A589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4145D08D" w:rsidR="00A60D29" w:rsidRPr="00636774" w:rsidRDefault="003731C0" w:rsidP="00077A74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6.</w:t>
            </w:r>
            <w:r w:rsidR="00A60D29" w:rsidRPr="00636774">
              <w:rPr>
                <w:rFonts w:ascii="Arial" w:hAnsi="Arial" w:cs="Arial"/>
                <w:b/>
                <w:color w:val="000000"/>
                <w:szCs w:val="22"/>
              </w:rPr>
              <w:t>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29A558AB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0EC668A2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0D9C1FB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295706C6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751FC0A3" w:rsidR="00A60D29" w:rsidRPr="00636774" w:rsidRDefault="00116F3A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1A533ED" w:rsidR="00A60D29" w:rsidRPr="00636774" w:rsidRDefault="00A60D29" w:rsidP="00077A74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</w:tr>
      <w:tr w:rsidR="00A60D29" w:rsidRPr="00DB5CDA" w14:paraId="77A7F11A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BC6156A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3D9127AF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2B06DE19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5192211D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0A7D8BF3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656F8194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626EA508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</w:tr>
      <w:tr w:rsidR="00A60D29" w:rsidRPr="00DB5CDA" w14:paraId="024CBB08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0D971E7" w14:textId="77777777" w:rsidR="00A60D29" w:rsidRPr="000471B2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70DE948B" w:rsidR="00A60D29" w:rsidRDefault="00A60D2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="003731C0">
              <w:rPr>
                <w:rFonts w:ascii="Arial" w:hAnsi="Arial" w:cs="Arial"/>
                <w:color w:val="000000"/>
                <w:szCs w:val="22"/>
              </w:rPr>
              <w:t>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3748985B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7709B199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64066E0F" w:rsidR="00A60D29" w:rsidRDefault="00116F3A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7881306B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0F2B6AEA" w:rsidR="00A60D29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A60D29" w:rsidRPr="00077A74" w:rsidRDefault="00A60D2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A60D29" w:rsidRPr="00DB5CDA" w14:paraId="54D67A2E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7BC9B158" w14:textId="77777777" w:rsidR="00A60D29" w:rsidRPr="000471B2" w:rsidRDefault="00A60D2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A60D29" w:rsidRPr="00D2023E" w:rsidRDefault="00A60D2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5BD96D3F" w:rsidR="00A60D29" w:rsidRPr="00D2023E" w:rsidRDefault="00116F3A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56118800" w:rsidR="00A60D29" w:rsidRPr="00D2023E" w:rsidRDefault="00116F3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1E2667D3" w:rsidR="00A60D29" w:rsidRPr="00D2023E" w:rsidRDefault="00116F3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1E2BDF65" w:rsidR="00A60D29" w:rsidRPr="00D2023E" w:rsidRDefault="00116F3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14761474" w:rsidR="00A60D29" w:rsidRPr="00D2023E" w:rsidRDefault="00116F3A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254C744C" w:rsidR="00116F3A" w:rsidRPr="00116F3A" w:rsidRDefault="00116F3A" w:rsidP="00116F3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</w:tr>
      <w:tr w:rsidR="00A60D29" w:rsidRPr="00DB5CDA" w14:paraId="6A143D12" w14:textId="77777777" w:rsidTr="00FC645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31A19D8" w14:textId="77777777" w:rsidR="00A60D29" w:rsidRPr="000471B2" w:rsidRDefault="00A60D29" w:rsidP="007D08F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A60D29" w:rsidRPr="00302800" w:rsidRDefault="00A60D29" w:rsidP="007D08F3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CAE1546" w14:textId="17E99CD4" w:rsidR="00A60D29" w:rsidRPr="007D08F3" w:rsidRDefault="00116F3A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5 </w:t>
            </w:r>
            <w:r w:rsidR="00A60D29" w:rsidRPr="007D08F3">
              <w:rPr>
                <w:rFonts w:ascii="Arial" w:hAnsi="Arial" w:cs="Arial"/>
                <w:b/>
                <w:bCs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D72D415" w14:textId="78323E43" w:rsidR="00A60D29" w:rsidRPr="007D08F3" w:rsidRDefault="00A60D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2</w:t>
            </w:r>
            <w:r w:rsidR="00116F3A">
              <w:rPr>
                <w:rFonts w:ascii="Arial" w:hAnsi="Arial" w:cs="Arial"/>
                <w:b/>
                <w:bCs/>
                <w:szCs w:val="22"/>
              </w:rPr>
              <w:t xml:space="preserve">8 </w:t>
            </w:r>
            <w:r w:rsidRPr="007D08F3">
              <w:rPr>
                <w:rFonts w:ascii="Arial" w:hAnsi="Arial" w:cs="Arial"/>
                <w:b/>
                <w:bCs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3A8B9AF5" w:rsidR="00A60D29" w:rsidRPr="007D08F3" w:rsidRDefault="00A60D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3</w:t>
            </w:r>
            <w:r w:rsidR="00116F3A">
              <w:rPr>
                <w:rFonts w:ascii="Arial" w:hAnsi="Arial" w:cs="Arial"/>
                <w:b/>
                <w:bCs/>
                <w:szCs w:val="22"/>
              </w:rPr>
              <w:t xml:space="preserve">7 </w:t>
            </w:r>
            <w:r w:rsidRPr="007D08F3">
              <w:rPr>
                <w:rFonts w:ascii="Arial" w:hAnsi="Arial" w:cs="Arial"/>
                <w:b/>
                <w:bCs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18C48458" w:rsidR="00A60D29" w:rsidRPr="007D08F3" w:rsidRDefault="00A60D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2</w:t>
            </w:r>
            <w:r w:rsidR="00116F3A">
              <w:rPr>
                <w:rFonts w:ascii="Arial" w:hAnsi="Arial" w:cs="Arial"/>
                <w:b/>
                <w:bCs/>
                <w:szCs w:val="22"/>
              </w:rPr>
              <w:t xml:space="preserve">0 </w:t>
            </w:r>
            <w:r w:rsidRPr="007D08F3">
              <w:rPr>
                <w:rFonts w:ascii="Arial" w:hAnsi="Arial" w:cs="Arial"/>
                <w:b/>
                <w:bCs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F45AB04" w14:textId="4615E78E" w:rsidR="00A60D29" w:rsidRPr="007D08F3" w:rsidRDefault="00116F3A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8 </w:t>
            </w:r>
            <w:r w:rsidR="00A60D29" w:rsidRPr="007D08F3">
              <w:rPr>
                <w:rFonts w:ascii="Arial" w:hAnsi="Arial" w:cs="Arial"/>
                <w:b/>
                <w:bCs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EBE6ACD" w14:textId="51610648" w:rsidR="00A60D29" w:rsidRPr="007D08F3" w:rsidRDefault="00A60D29" w:rsidP="007D08F3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3</w:t>
            </w:r>
            <w:r w:rsidR="00116F3A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7D08F3">
              <w:rPr>
                <w:rFonts w:ascii="Arial" w:hAnsi="Arial" w:cs="Arial"/>
                <w:b/>
                <w:bCs/>
                <w:szCs w:val="22"/>
              </w:rPr>
              <w:t>%</w:t>
            </w:r>
          </w:p>
        </w:tc>
      </w:tr>
    </w:tbl>
    <w:p w14:paraId="2577CC75" w14:textId="1271C59D" w:rsidR="000471B2" w:rsidRPr="00DB5CDA" w:rsidRDefault="00A45C3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31B6C3F2" wp14:editId="4B87DF53">
            <wp:extent cx="5599043" cy="8713306"/>
            <wp:effectExtent l="0" t="0" r="1905" b="12065"/>
            <wp:docPr id="41019937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2823A276" w:rsidR="00D2023E" w:rsidRPr="0006750C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W w:w="99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1934"/>
        <w:gridCol w:w="1112"/>
        <w:gridCol w:w="756"/>
        <w:gridCol w:w="756"/>
        <w:gridCol w:w="756"/>
        <w:gridCol w:w="756"/>
        <w:gridCol w:w="756"/>
        <w:gridCol w:w="756"/>
        <w:gridCol w:w="756"/>
      </w:tblGrid>
      <w:tr w:rsidR="000508C3" w:rsidRPr="000508C3" w14:paraId="50CF2CDB" w14:textId="77777777" w:rsidTr="000508C3">
        <w:trPr>
          <w:trHeight w:val="489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9694"/>
            <w:vAlign w:val="center"/>
            <w:hideMark/>
          </w:tcPr>
          <w:p w14:paraId="393FAF6A" w14:textId="294100F1" w:rsidR="000508C3" w:rsidRPr="000508C3" w:rsidRDefault="000508C3" w:rsidP="000508C3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B3957D0" w14:textId="1D96572C" w:rsidR="000508C3" w:rsidRPr="000508C3" w:rsidRDefault="000508C3" w:rsidP="000508C3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1EAAC64" w14:textId="7279582A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2E44C65" w14:textId="6A141F22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B53B740" w14:textId="60DE02D7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5A9F60F" w14:textId="229D0986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4514ED3" w14:textId="28DB9ADA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E49E965" w14:textId="521563C2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48B7B05" w14:textId="4E2BD5DA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5FB328D" w14:textId="66F1D70E" w:rsidR="000508C3" w:rsidRPr="000508C3" w:rsidRDefault="000508C3" w:rsidP="000508C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0508C3" w:rsidRPr="000508C3" w14:paraId="009E3F08" w14:textId="77777777" w:rsidTr="000508C3">
        <w:trPr>
          <w:trHeight w:val="288"/>
        </w:trPr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36F89B09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b/>
                <w:color w:val="000000"/>
                <w:szCs w:val="22"/>
              </w:rPr>
            </w:pPr>
            <w:r w:rsidRPr="000508C3">
              <w:rPr>
                <w:rFonts w:ascii="Arial" w:hAnsi="Arial" w:cs="Arial"/>
                <w:b/>
                <w:color w:val="000000"/>
                <w:szCs w:val="22"/>
              </w:rPr>
              <w:t>Západočeská univerzita v Plzni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7B10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eastAsia="Arial" w:hAnsi="Arial" w:cs="Arial"/>
                <w:color w:val="000000"/>
                <w:szCs w:val="22"/>
              </w:rPr>
              <w:t>1.1  Mathematics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0A00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4CB27F2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6C43315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FE8B6DF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DBC67C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E6CE55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8668D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32%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70273F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21%</w:t>
            </w:r>
          </w:p>
        </w:tc>
      </w:tr>
      <w:tr w:rsidR="000508C3" w:rsidRPr="000508C3" w14:paraId="303375C4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1E4D0A6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59BB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2FAD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0261EA66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16A09EC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C0B656C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3C3EC409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F351E7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27%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99F371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1D1ECE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29%</w:t>
            </w:r>
          </w:p>
        </w:tc>
      </w:tr>
      <w:tr w:rsidR="000508C3" w:rsidRPr="000508C3" w14:paraId="37400113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4139AB22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0367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6E44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00651D78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228345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B6C22AE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E7B3CDD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20%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DAA0F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41%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5EADF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46%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442B5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29%</w:t>
            </w:r>
          </w:p>
        </w:tc>
      </w:tr>
      <w:tr w:rsidR="000508C3" w:rsidRPr="000508C3" w14:paraId="566BBFE7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2D760687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2D9B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4E81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41B7715F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585206E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F39EA69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BE29ECC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F3047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33%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FE91D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2E75D9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37%</w:t>
            </w:r>
          </w:p>
        </w:tc>
      </w:tr>
      <w:tr w:rsidR="000508C3" w:rsidRPr="000508C3" w14:paraId="62BD0F7B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7EADD1FD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C547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2410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0682499D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F4ED0A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DA818A6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4C65AB1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16%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920F97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22%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6D0525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6B4ED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25%</w:t>
            </w:r>
          </w:p>
        </w:tc>
      </w:tr>
      <w:tr w:rsidR="000508C3" w:rsidRPr="000508C3" w14:paraId="39B95AA1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0A07DF6B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B767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D8B6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1610A658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7CA4AD9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12%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6A6283F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F62C250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AC57791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31%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88BCEF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52%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C4ECB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44%</w:t>
            </w:r>
          </w:p>
        </w:tc>
      </w:tr>
      <w:tr w:rsidR="000508C3" w:rsidRPr="000508C3" w14:paraId="7C0A1B60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16D6B6E5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331F4" w14:textId="77777777" w:rsidR="000508C3" w:rsidRPr="000508C3" w:rsidRDefault="000508C3" w:rsidP="000508C3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3169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494465D5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0036A4D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E120893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4DFF23B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26%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5C7A9A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35%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D8567C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51%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7ACCA8" w14:textId="77777777" w:rsidR="000508C3" w:rsidRPr="000508C3" w:rsidRDefault="000508C3" w:rsidP="000508C3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0508C3">
              <w:rPr>
                <w:rFonts w:ascii="Arial" w:hAnsi="Arial" w:cs="Arial"/>
                <w:color w:val="000000"/>
                <w:szCs w:val="22"/>
              </w:rPr>
              <w:t>41%</w:t>
            </w:r>
          </w:p>
        </w:tc>
      </w:tr>
      <w:tr w:rsidR="000508C3" w:rsidRPr="000508C3" w14:paraId="16B7B46F" w14:textId="77777777" w:rsidTr="000508C3">
        <w:trPr>
          <w:trHeight w:val="288"/>
        </w:trPr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2AC9239E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8340D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8D6C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1BB32A3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5928AB8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51E07B80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BEEC25B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1A2E345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F5891C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99D61B" w14:textId="77777777" w:rsidR="000508C3" w:rsidRPr="000508C3" w:rsidRDefault="000508C3" w:rsidP="000508C3">
            <w:pPr>
              <w:rPr>
                <w:rFonts w:ascii="Calibri Light" w:hAnsi="Calibri Light" w:cs="Calibri Light"/>
                <w:color w:val="000000"/>
                <w:sz w:val="20"/>
              </w:rPr>
            </w:pPr>
            <w:r w:rsidRPr="000508C3">
              <w:rPr>
                <w:rFonts w:ascii="Calibri Light" w:hAnsi="Calibri Light" w:cs="Calibri Light"/>
                <w:color w:val="000000"/>
                <w:sz w:val="20"/>
              </w:rPr>
              <w:t> 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0D34F7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A60D29" w:rsidRPr="00AE5726" w14:paraId="4F0DA252" w14:textId="77777777" w:rsidTr="00FC6459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7F2CD58A" w14:textId="56A880A1" w:rsidR="00A60D29" w:rsidRDefault="000D34F7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Západočeská univerzita v</w:t>
            </w:r>
            <w:r w:rsidR="00FC6459">
              <w:rPr>
                <w:rFonts w:ascii="Arial" w:hAnsi="Arial" w:cs="Arial"/>
                <w:b/>
                <w:color w:val="000000"/>
                <w:szCs w:val="22"/>
              </w:rPr>
              <w:t> </w:t>
            </w:r>
            <w:r>
              <w:rPr>
                <w:rFonts w:ascii="Arial" w:hAnsi="Arial" w:cs="Arial"/>
                <w:b/>
                <w:color w:val="000000"/>
                <w:szCs w:val="22"/>
              </w:rPr>
              <w:t>Plzni</w:t>
            </w:r>
          </w:p>
          <w:p w14:paraId="705EB1E5" w14:textId="77777777" w:rsidR="00FC6459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29634E" w14:textId="77777777" w:rsidR="00FC6459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38F2191" w14:textId="77777777" w:rsidR="00FC6459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0C87D41" w14:textId="77777777" w:rsidR="00FC6459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4D79C1B" w14:textId="337669E0" w:rsidR="00FC6459" w:rsidRPr="00FE1FC3" w:rsidRDefault="00FC6459" w:rsidP="00661948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5505B" w14:textId="77777777" w:rsidR="00A45C3E" w:rsidRDefault="00A45C3E" w:rsidP="00A45C3E">
            <w:pPr>
              <w:spacing w:line="276" w:lineRule="auto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</w:rPr>
              <w:t xml:space="preserve">2.2 </w:t>
            </w:r>
            <w:r w:rsidRPr="000D34F7">
              <w:rPr>
                <w:rFonts w:ascii="Arial" w:hAnsi="Arial" w:cs="Arial"/>
                <w:color w:val="000000"/>
                <w:szCs w:val="22"/>
              </w:rPr>
              <w:t>Electrical engineering, electronic engineering, information engineering</w:t>
            </w:r>
          </w:p>
          <w:p w14:paraId="725581CE" w14:textId="5ED57022" w:rsidR="00A45C3E" w:rsidRDefault="00A45C3E" w:rsidP="00A45C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 Mechanical engineering</w:t>
            </w:r>
          </w:p>
          <w:p w14:paraId="62573267" w14:textId="77777777" w:rsidR="00A45C3E" w:rsidRDefault="00A45C3E" w:rsidP="00A45C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 Education</w:t>
            </w:r>
          </w:p>
          <w:p w14:paraId="3F02AAE2" w14:textId="77777777" w:rsidR="00A45C3E" w:rsidRDefault="00A45C3E" w:rsidP="00A45C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 Law</w:t>
            </w:r>
          </w:p>
          <w:p w14:paraId="1A9E6551" w14:textId="38648E73" w:rsidR="00A45C3E" w:rsidRDefault="00A45C3E" w:rsidP="00A45C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 Materials engineering</w:t>
            </w:r>
          </w:p>
          <w:p w14:paraId="1A1F67A2" w14:textId="77777777" w:rsidR="00A45C3E" w:rsidRDefault="00A45C3E" w:rsidP="00A45C3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 Computer and information sciences</w:t>
            </w:r>
          </w:p>
          <w:p w14:paraId="786F756E" w14:textId="17A38009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 History and archaeology</w:t>
            </w:r>
          </w:p>
          <w:p w14:paraId="0D1F0C26" w14:textId="77777777" w:rsidR="00A60D29" w:rsidRDefault="000D34F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 Economics and business</w:t>
            </w:r>
          </w:p>
          <w:p w14:paraId="1C83C331" w14:textId="77777777" w:rsidR="000E04B6" w:rsidRDefault="000E04B6" w:rsidP="00FC6459">
            <w:pPr>
              <w:spacing w:line="276" w:lineRule="auto"/>
              <w:rPr>
                <w:rFonts w:ascii="Arial" w:hAnsi="Arial" w:cs="Arial"/>
              </w:rPr>
            </w:pPr>
            <w:r w:rsidRPr="000E04B6">
              <w:rPr>
                <w:rFonts w:ascii="Arial" w:hAnsi="Arial" w:cs="Arial"/>
              </w:rPr>
              <w:t>6.2 Languages and literature</w:t>
            </w:r>
          </w:p>
          <w:p w14:paraId="3E8CB277" w14:textId="3BF93556" w:rsidR="000E04B6" w:rsidRPr="00517C58" w:rsidRDefault="000E04B6" w:rsidP="00FC6459">
            <w:pPr>
              <w:spacing w:line="276" w:lineRule="auto"/>
              <w:rPr>
                <w:rFonts w:ascii="Arial" w:hAnsi="Arial" w:cs="Arial"/>
              </w:rPr>
            </w:pPr>
            <w:r w:rsidRPr="000E04B6">
              <w:rPr>
                <w:rFonts w:ascii="Arial" w:hAnsi="Arial" w:cs="Arial"/>
              </w:rPr>
              <w:t>3.3 Health sciences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D3147C" w14:textId="6A2D1CC9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</w:t>
            </w:r>
          </w:p>
          <w:p w14:paraId="6B51AAD7" w14:textId="77777777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</w:p>
          <w:p w14:paraId="11154174" w14:textId="3634D89C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  <w:p w14:paraId="0EDEAB2D" w14:textId="52D418A7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</w:t>
            </w:r>
          </w:p>
          <w:p w14:paraId="1F2D7035" w14:textId="6D55B9DE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</w:t>
            </w:r>
          </w:p>
          <w:p w14:paraId="003FA5CF" w14:textId="61BE7702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</w:t>
            </w:r>
          </w:p>
          <w:p w14:paraId="0ADF27BA" w14:textId="2D480904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</w:t>
            </w:r>
          </w:p>
          <w:p w14:paraId="61328790" w14:textId="05BABC16" w:rsidR="00A45C3E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</w:t>
            </w:r>
          </w:p>
          <w:p w14:paraId="12F098BE" w14:textId="77777777" w:rsidR="00A60D29" w:rsidRDefault="000D34F7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</w:t>
            </w:r>
          </w:p>
          <w:p w14:paraId="5FD3A4DF" w14:textId="77777777" w:rsidR="000E04B6" w:rsidRDefault="000E04B6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  <w:p w14:paraId="36A76655" w14:textId="3744BBF7" w:rsidR="000E04B6" w:rsidRPr="00517C58" w:rsidRDefault="000E04B6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</w:tr>
      <w:tr w:rsidR="00A60D29" w:rsidRPr="00AE5726" w14:paraId="06A2E51D" w14:textId="77777777" w:rsidTr="00FC6459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5918FCA7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1272F" w14:textId="77A7E08A" w:rsidR="00A45C3E" w:rsidRPr="00A45C3E" w:rsidRDefault="00A45C3E" w:rsidP="00A45C3E">
            <w:pPr>
              <w:pStyle w:val="Odstavecseseznamem"/>
              <w:numPr>
                <w:ilvl w:val="1"/>
                <w:numId w:val="30"/>
              </w:numPr>
              <w:rPr>
                <w:rFonts w:ascii="Arial" w:hAnsi="Arial" w:cs="Arial"/>
                <w:color w:val="000000"/>
                <w:szCs w:val="22"/>
              </w:rPr>
            </w:pPr>
            <w:r w:rsidRPr="00A45C3E">
              <w:rPr>
                <w:rFonts w:ascii="Arial" w:hAnsi="Arial" w:cs="Arial"/>
                <w:color w:val="000000"/>
                <w:szCs w:val="22"/>
              </w:rPr>
              <w:t>Mathematics</w:t>
            </w:r>
          </w:p>
          <w:p w14:paraId="42E7A1D2" w14:textId="77777777" w:rsidR="00A45C3E" w:rsidRPr="00A45C3E" w:rsidRDefault="00A45C3E" w:rsidP="00A45C3E">
            <w:pPr>
              <w:rPr>
                <w:rFonts w:ascii="Arial" w:hAnsi="Arial" w:cs="Arial"/>
                <w:color w:val="000000"/>
                <w:szCs w:val="22"/>
              </w:rPr>
            </w:pPr>
            <w:r w:rsidRPr="00A45C3E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5E36CEC9" w14:textId="77777777" w:rsidR="00A45C3E" w:rsidRPr="00A45C3E" w:rsidRDefault="00A45C3E" w:rsidP="00A45C3E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EA17CD8" w14:textId="4BFF1522" w:rsidR="00A60D29" w:rsidRPr="00A45C3E" w:rsidRDefault="00A60D29" w:rsidP="00FC645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924A6F" w14:textId="77777777" w:rsidR="00A60D29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  <w:p w14:paraId="043F2CB6" w14:textId="3BE252A3" w:rsidR="00A45C3E" w:rsidRPr="00517C58" w:rsidRDefault="00A45C3E" w:rsidP="00FC645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A60D29" w:rsidRPr="00AE5726" w14:paraId="28F5E29D" w14:textId="77777777" w:rsidTr="00FC6459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14:paraId="323C3658" w14:textId="77777777" w:rsidR="00A60D29" w:rsidRPr="00AE5726" w:rsidRDefault="00A60D29" w:rsidP="00661948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FC6459" w:rsidRPr="00517C58" w:rsidRDefault="00FC6459" w:rsidP="00A45C3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0D34F7" w:rsidRPr="00517C58" w:rsidRDefault="000D34F7" w:rsidP="00FC645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CD7852" w14:textId="77777777" w:rsidR="000D34F7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tbl>
      <w:tblPr>
        <w:tblW w:w="7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960"/>
      </w:tblGrid>
      <w:tr w:rsidR="000D34F7" w:rsidRPr="000D34F7" w14:paraId="605CB104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2A381" w14:textId="0D2B8274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76C26" w14:textId="4162FA5C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8EE6C97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BDAB" w14:textId="5EEBE23C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C3373" w14:textId="5938464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DE798AD" w14:textId="77777777" w:rsidR="000D34F7" w:rsidRPr="00580FEE" w:rsidRDefault="000D34F7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D34F7" w:rsidRPr="00580FEE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AD993" w14:textId="77777777" w:rsidR="00373964" w:rsidRDefault="00373964" w:rsidP="009B41B1">
      <w:r>
        <w:separator/>
      </w:r>
    </w:p>
  </w:endnote>
  <w:endnote w:type="continuationSeparator" w:id="0">
    <w:p w14:paraId="61D1E215" w14:textId="77777777" w:rsidR="00373964" w:rsidRDefault="00373964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6BF08C32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9F1FF3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9F1FF3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3BCAF846" w14:textId="7A6C43E9" w:rsidR="006F50A8" w:rsidRPr="00F37865" w:rsidRDefault="006F50A8" w:rsidP="006F50A8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6F50A8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6EFACF44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1FD7ABA9" w:rsidR="006F50A8" w:rsidRPr="006F50A8" w:rsidRDefault="006F50A8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F50A8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04289" w14:textId="77777777" w:rsidR="00373964" w:rsidRDefault="00373964" w:rsidP="009B41B1">
      <w:r>
        <w:separator/>
      </w:r>
    </w:p>
  </w:footnote>
  <w:footnote w:type="continuationSeparator" w:id="0">
    <w:p w14:paraId="30BB3605" w14:textId="77777777" w:rsidR="00373964" w:rsidRDefault="00373964" w:rsidP="009B41B1">
      <w:r>
        <w:continuationSeparator/>
      </w:r>
    </w:p>
  </w:footnote>
  <w:footnote w:id="1">
    <w:p w14:paraId="4A92AF76" w14:textId="41D7DEA5" w:rsidR="00721939" w:rsidRPr="00606A64" w:rsidRDefault="00721939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06750C" w14:paraId="7130CD90" w14:textId="77777777" w:rsidTr="00893A61">
      <w:tc>
        <w:tcPr>
          <w:tcW w:w="6345" w:type="dxa"/>
          <w:shd w:val="clear" w:color="auto" w:fill="auto"/>
        </w:tcPr>
        <w:p w14:paraId="62E86E93" w14:textId="77777777" w:rsidR="0006750C" w:rsidRDefault="0006750C" w:rsidP="0006750C"/>
        <w:p w14:paraId="09E6DF0A" w14:textId="77777777" w:rsidR="0006750C" w:rsidRDefault="0006750C" w:rsidP="0006750C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784B0F03" wp14:editId="728BD01C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06750C" w:rsidRPr="008517B5" w14:paraId="22D9572F" w14:textId="77777777" w:rsidTr="00893A61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790729BE" w14:textId="77777777" w:rsidR="0006750C" w:rsidRPr="008517B5" w:rsidRDefault="0006750C" w:rsidP="0006750C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06750C" w14:paraId="1E7E5890" w14:textId="77777777" w:rsidTr="00893A61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06F274FA" w14:textId="77777777" w:rsidR="0006750C" w:rsidRDefault="0006750C" w:rsidP="0006750C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70185990" w14:textId="77777777" w:rsidR="0006750C" w:rsidRPr="00F76890" w:rsidRDefault="0006750C" w:rsidP="0006750C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137151">
    <w:abstractNumId w:val="16"/>
  </w:num>
  <w:num w:numId="2" w16cid:durableId="771315165">
    <w:abstractNumId w:val="17"/>
  </w:num>
  <w:num w:numId="3" w16cid:durableId="243883610">
    <w:abstractNumId w:val="27"/>
  </w:num>
  <w:num w:numId="4" w16cid:durableId="677925135">
    <w:abstractNumId w:val="4"/>
  </w:num>
  <w:num w:numId="5" w16cid:durableId="576672642">
    <w:abstractNumId w:val="25"/>
  </w:num>
  <w:num w:numId="6" w16cid:durableId="883904212">
    <w:abstractNumId w:val="2"/>
  </w:num>
  <w:num w:numId="7" w16cid:durableId="1699160238">
    <w:abstractNumId w:val="1"/>
  </w:num>
  <w:num w:numId="8" w16cid:durableId="1433739338">
    <w:abstractNumId w:val="18"/>
  </w:num>
  <w:num w:numId="9" w16cid:durableId="19014369">
    <w:abstractNumId w:val="0"/>
  </w:num>
  <w:num w:numId="10" w16cid:durableId="1505197452">
    <w:abstractNumId w:val="22"/>
  </w:num>
  <w:num w:numId="11" w16cid:durableId="16004964">
    <w:abstractNumId w:val="11"/>
  </w:num>
  <w:num w:numId="12" w16cid:durableId="977490360">
    <w:abstractNumId w:val="21"/>
  </w:num>
  <w:num w:numId="13" w16cid:durableId="1228109937">
    <w:abstractNumId w:val="26"/>
  </w:num>
  <w:num w:numId="14" w16cid:durableId="1078550780">
    <w:abstractNumId w:val="6"/>
  </w:num>
  <w:num w:numId="15" w16cid:durableId="1305508058">
    <w:abstractNumId w:val="5"/>
  </w:num>
  <w:num w:numId="16" w16cid:durableId="1037463168">
    <w:abstractNumId w:val="13"/>
  </w:num>
  <w:num w:numId="17" w16cid:durableId="1725906277">
    <w:abstractNumId w:val="7"/>
  </w:num>
  <w:num w:numId="18" w16cid:durableId="163790779">
    <w:abstractNumId w:val="20"/>
  </w:num>
  <w:num w:numId="19" w16cid:durableId="1161501506">
    <w:abstractNumId w:val="12"/>
  </w:num>
  <w:num w:numId="20" w16cid:durableId="1776485182">
    <w:abstractNumId w:val="28"/>
  </w:num>
  <w:num w:numId="21" w16cid:durableId="858352989">
    <w:abstractNumId w:val="9"/>
  </w:num>
  <w:num w:numId="22" w16cid:durableId="669216159">
    <w:abstractNumId w:val="29"/>
  </w:num>
  <w:num w:numId="23" w16cid:durableId="114838157">
    <w:abstractNumId w:val="24"/>
  </w:num>
  <w:num w:numId="24" w16cid:durableId="65496874">
    <w:abstractNumId w:val="23"/>
  </w:num>
  <w:num w:numId="25" w16cid:durableId="216091097">
    <w:abstractNumId w:val="19"/>
  </w:num>
  <w:num w:numId="26" w16cid:durableId="472874854">
    <w:abstractNumId w:val="8"/>
  </w:num>
  <w:num w:numId="27" w16cid:durableId="1589999127">
    <w:abstractNumId w:val="14"/>
  </w:num>
  <w:num w:numId="28" w16cid:durableId="657923620">
    <w:abstractNumId w:val="10"/>
  </w:num>
  <w:num w:numId="29" w16cid:durableId="933396364">
    <w:abstractNumId w:val="3"/>
  </w:num>
  <w:num w:numId="30" w16cid:durableId="88785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04D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52D7"/>
    <w:rsid w:val="000471B2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6750C"/>
    <w:rsid w:val="0007043E"/>
    <w:rsid w:val="000719D4"/>
    <w:rsid w:val="00073277"/>
    <w:rsid w:val="00074E35"/>
    <w:rsid w:val="00075DFE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180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0628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683"/>
    <w:rsid w:val="0032482E"/>
    <w:rsid w:val="00324845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964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5B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0521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3F5A"/>
    <w:rsid w:val="00575703"/>
    <w:rsid w:val="00575B09"/>
    <w:rsid w:val="0058022B"/>
    <w:rsid w:val="00580FEE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50A8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939"/>
    <w:rsid w:val="00721A4D"/>
    <w:rsid w:val="00721FCD"/>
    <w:rsid w:val="00722E4C"/>
    <w:rsid w:val="00723614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82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860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1FF3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682D"/>
    <w:rsid w:val="00A46AA2"/>
    <w:rsid w:val="00A529D9"/>
    <w:rsid w:val="00A5470D"/>
    <w:rsid w:val="00A560F2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0F2E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434C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1844"/>
    <w:rsid w:val="00BA2DF1"/>
    <w:rsid w:val="00BA2E49"/>
    <w:rsid w:val="00BA3600"/>
    <w:rsid w:val="00BA3860"/>
    <w:rsid w:val="00BA408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083B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1C87"/>
    <w:rsid w:val="00CC2C01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A5D"/>
    <w:rsid w:val="00E74B32"/>
    <w:rsid w:val="00E75150"/>
    <w:rsid w:val="00E759CD"/>
    <w:rsid w:val="00E76636"/>
    <w:rsid w:val="00E76791"/>
    <w:rsid w:val="00E77E80"/>
    <w:rsid w:val="00E77EE7"/>
    <w:rsid w:val="00E81C6A"/>
    <w:rsid w:val="00E81CA7"/>
    <w:rsid w:val="00E8250D"/>
    <w:rsid w:val="00E830DD"/>
    <w:rsid w:val="00E84654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FE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675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06750C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06750C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675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06750C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Západočeská univerzita v Plzni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2.4 Chemical engineering</c:v>
                </c:pt>
                <c:pt idx="10">
                  <c:v>2.5 Materials engineering</c:v>
                </c:pt>
                <c:pt idx="11">
                  <c:v>2.7 Environmental engineering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5.1 Psychology and cognitive sciences</c:v>
                </c:pt>
                <c:pt idx="15">
                  <c:v>5.2 Economics and Business</c:v>
                </c:pt>
                <c:pt idx="16">
                  <c:v>5.3 Education</c:v>
                </c:pt>
                <c:pt idx="17">
                  <c:v>5.4 Sociology</c:v>
                </c:pt>
                <c:pt idx="18">
                  <c:v>5.5 Law</c:v>
                </c:pt>
                <c:pt idx="19">
                  <c:v>5.6 Political science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2</c:v>
                </c:pt>
                <c:pt idx="1">
                  <c:v>1</c:v>
                </c:pt>
                <c:pt idx="2">
                  <c:v>6</c:v>
                </c:pt>
                <c:pt idx="4">
                  <c:v>1</c:v>
                </c:pt>
                <c:pt idx="7">
                  <c:v>3</c:v>
                </c:pt>
                <c:pt idx="16">
                  <c:v>1</c:v>
                </c:pt>
                <c:pt idx="22">
                  <c:v>2</c:v>
                </c:pt>
                <c:pt idx="2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27-454E-84E6-16FF25DC6C1F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2.4 Chemical engineering</c:v>
                </c:pt>
                <c:pt idx="10">
                  <c:v>2.5 Materials engineering</c:v>
                </c:pt>
                <c:pt idx="11">
                  <c:v>2.7 Environmental engineering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5.1 Psychology and cognitive sciences</c:v>
                </c:pt>
                <c:pt idx="15">
                  <c:v>5.2 Economics and Business</c:v>
                </c:pt>
                <c:pt idx="16">
                  <c:v>5.3 Education</c:v>
                </c:pt>
                <c:pt idx="17">
                  <c:v>5.4 Sociology</c:v>
                </c:pt>
                <c:pt idx="18">
                  <c:v>5.5 Law</c:v>
                </c:pt>
                <c:pt idx="19">
                  <c:v>5.6 Political science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11</c:v>
                </c:pt>
                <c:pt idx="1">
                  <c:v>7</c:v>
                </c:pt>
                <c:pt idx="2">
                  <c:v>8</c:v>
                </c:pt>
                <c:pt idx="3">
                  <c:v>3</c:v>
                </c:pt>
                <c:pt idx="4">
                  <c:v>4</c:v>
                </c:pt>
                <c:pt idx="5">
                  <c:v>2</c:v>
                </c:pt>
                <c:pt idx="6">
                  <c:v>1</c:v>
                </c:pt>
                <c:pt idx="7">
                  <c:v>23</c:v>
                </c:pt>
                <c:pt idx="8">
                  <c:v>5</c:v>
                </c:pt>
                <c:pt idx="9">
                  <c:v>1</c:v>
                </c:pt>
                <c:pt idx="10">
                  <c:v>3</c:v>
                </c:pt>
                <c:pt idx="15">
                  <c:v>2</c:v>
                </c:pt>
                <c:pt idx="16">
                  <c:v>2</c:v>
                </c:pt>
                <c:pt idx="17">
                  <c:v>3</c:v>
                </c:pt>
                <c:pt idx="18">
                  <c:v>5</c:v>
                </c:pt>
                <c:pt idx="19">
                  <c:v>2</c:v>
                </c:pt>
                <c:pt idx="21">
                  <c:v>1</c:v>
                </c:pt>
                <c:pt idx="22">
                  <c:v>9</c:v>
                </c:pt>
                <c:pt idx="24">
                  <c:v>8</c:v>
                </c:pt>
                <c:pt idx="2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27-454E-84E6-16FF25DC6C1F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2.4 Chemical engineering</c:v>
                </c:pt>
                <c:pt idx="10">
                  <c:v>2.5 Materials engineering</c:v>
                </c:pt>
                <c:pt idx="11">
                  <c:v>2.7 Environmental engineering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5.1 Psychology and cognitive sciences</c:v>
                </c:pt>
                <c:pt idx="15">
                  <c:v>5.2 Economics and Business</c:v>
                </c:pt>
                <c:pt idx="16">
                  <c:v>5.3 Education</c:v>
                </c:pt>
                <c:pt idx="17">
                  <c:v>5.4 Sociology</c:v>
                </c:pt>
                <c:pt idx="18">
                  <c:v>5.5 Law</c:v>
                </c:pt>
                <c:pt idx="19">
                  <c:v>5.6 Political science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5</c:v>
                </c:pt>
                <c:pt idx="1">
                  <c:v>8</c:v>
                </c:pt>
                <c:pt idx="2">
                  <c:v>5</c:v>
                </c:pt>
                <c:pt idx="3">
                  <c:v>1</c:v>
                </c:pt>
                <c:pt idx="4">
                  <c:v>2</c:v>
                </c:pt>
                <c:pt idx="6">
                  <c:v>1</c:v>
                </c:pt>
                <c:pt idx="7">
                  <c:v>35</c:v>
                </c:pt>
                <c:pt idx="8">
                  <c:v>5</c:v>
                </c:pt>
                <c:pt idx="9">
                  <c:v>2</c:v>
                </c:pt>
                <c:pt idx="10">
                  <c:v>10</c:v>
                </c:pt>
                <c:pt idx="13">
                  <c:v>4</c:v>
                </c:pt>
                <c:pt idx="14">
                  <c:v>3</c:v>
                </c:pt>
                <c:pt idx="15">
                  <c:v>3</c:v>
                </c:pt>
                <c:pt idx="16">
                  <c:v>7</c:v>
                </c:pt>
                <c:pt idx="17">
                  <c:v>5</c:v>
                </c:pt>
                <c:pt idx="18">
                  <c:v>14</c:v>
                </c:pt>
                <c:pt idx="19">
                  <c:v>3</c:v>
                </c:pt>
                <c:pt idx="21">
                  <c:v>1</c:v>
                </c:pt>
                <c:pt idx="22">
                  <c:v>7</c:v>
                </c:pt>
                <c:pt idx="23">
                  <c:v>5</c:v>
                </c:pt>
                <c:pt idx="24">
                  <c:v>5</c:v>
                </c:pt>
                <c:pt idx="2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27-454E-84E6-16FF25DC6C1F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2.4 Chemical engineering</c:v>
                </c:pt>
                <c:pt idx="10">
                  <c:v>2.5 Materials engineering</c:v>
                </c:pt>
                <c:pt idx="11">
                  <c:v>2.7 Environmental engineering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5.1 Psychology and cognitive sciences</c:v>
                </c:pt>
                <c:pt idx="15">
                  <c:v>5.2 Economics and Business</c:v>
                </c:pt>
                <c:pt idx="16">
                  <c:v>5.3 Education</c:v>
                </c:pt>
                <c:pt idx="17">
                  <c:v>5.4 Sociology</c:v>
                </c:pt>
                <c:pt idx="18">
                  <c:v>5.5 Law</c:v>
                </c:pt>
                <c:pt idx="19">
                  <c:v>5.6 Political science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  <c:pt idx="7">
                  <c:v>19</c:v>
                </c:pt>
                <c:pt idx="8">
                  <c:v>10</c:v>
                </c:pt>
                <c:pt idx="10">
                  <c:v>3</c:v>
                </c:pt>
                <c:pt idx="11">
                  <c:v>1</c:v>
                </c:pt>
                <c:pt idx="12">
                  <c:v>1</c:v>
                </c:pt>
                <c:pt idx="13">
                  <c:v>2</c:v>
                </c:pt>
                <c:pt idx="15">
                  <c:v>2</c:v>
                </c:pt>
                <c:pt idx="16">
                  <c:v>13</c:v>
                </c:pt>
                <c:pt idx="18">
                  <c:v>7</c:v>
                </c:pt>
                <c:pt idx="19">
                  <c:v>2</c:v>
                </c:pt>
                <c:pt idx="20">
                  <c:v>2</c:v>
                </c:pt>
                <c:pt idx="22">
                  <c:v>2</c:v>
                </c:pt>
                <c:pt idx="23">
                  <c:v>3</c:v>
                </c:pt>
                <c:pt idx="24">
                  <c:v>1</c:v>
                </c:pt>
                <c:pt idx="2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727-454E-84E6-16FF25DC6C1F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2.4 Chemical engineering</c:v>
                </c:pt>
                <c:pt idx="10">
                  <c:v>2.5 Materials engineering</c:v>
                </c:pt>
                <c:pt idx="11">
                  <c:v>2.7 Environmental engineering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5.1 Psychology and cognitive sciences</c:v>
                </c:pt>
                <c:pt idx="15">
                  <c:v>5.2 Economics and Business</c:v>
                </c:pt>
                <c:pt idx="16">
                  <c:v>5.3 Education</c:v>
                </c:pt>
                <c:pt idx="17">
                  <c:v>5.4 Sociology</c:v>
                </c:pt>
                <c:pt idx="18">
                  <c:v>5.5 Law</c:v>
                </c:pt>
                <c:pt idx="19">
                  <c:v>5.6 Political science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27"/>
                <c:pt idx="1">
                  <c:v>2</c:v>
                </c:pt>
                <c:pt idx="7">
                  <c:v>9</c:v>
                </c:pt>
                <c:pt idx="8">
                  <c:v>5</c:v>
                </c:pt>
                <c:pt idx="9">
                  <c:v>1</c:v>
                </c:pt>
                <c:pt idx="10">
                  <c:v>2</c:v>
                </c:pt>
                <c:pt idx="13">
                  <c:v>1</c:v>
                </c:pt>
                <c:pt idx="15">
                  <c:v>1</c:v>
                </c:pt>
                <c:pt idx="16">
                  <c:v>6</c:v>
                </c:pt>
                <c:pt idx="18">
                  <c:v>1</c:v>
                </c:pt>
                <c:pt idx="20">
                  <c:v>1</c:v>
                </c:pt>
                <c:pt idx="2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727-454E-84E6-16FF25DC6C1F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2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2.10 Nano-technology</c:v>
                </c:pt>
                <c:pt idx="7">
                  <c:v>2.2 Electrical engineering, Electronic engineering, Information engineering</c:v>
                </c:pt>
                <c:pt idx="8">
                  <c:v>2.3 Mechanical engineering</c:v>
                </c:pt>
                <c:pt idx="9">
                  <c:v>2.4 Chemical engineering</c:v>
                </c:pt>
                <c:pt idx="10">
                  <c:v>2.5 Materials engineering</c:v>
                </c:pt>
                <c:pt idx="11">
                  <c:v>2.7 Environmental engineering</c:v>
                </c:pt>
                <c:pt idx="12">
                  <c:v>3.2 Clinical medicine</c:v>
                </c:pt>
                <c:pt idx="13">
                  <c:v>3.3 Health sciences</c:v>
                </c:pt>
                <c:pt idx="14">
                  <c:v>5.1 Psychology and cognitive sciences</c:v>
                </c:pt>
                <c:pt idx="15">
                  <c:v>5.2 Economics and Business</c:v>
                </c:pt>
                <c:pt idx="16">
                  <c:v>5.3 Education</c:v>
                </c:pt>
                <c:pt idx="17">
                  <c:v>5.4 Sociology</c:v>
                </c:pt>
                <c:pt idx="18">
                  <c:v>5.5 Law</c:v>
                </c:pt>
                <c:pt idx="19">
                  <c:v>5.6 Political science</c:v>
                </c:pt>
                <c:pt idx="20">
                  <c:v>5.7 Social and economic geography</c:v>
                </c:pt>
                <c:pt idx="21">
                  <c:v>5.9 Other social sciences</c:v>
                </c:pt>
                <c:pt idx="22">
                  <c:v>6.1 History and Archaeology</c:v>
                </c:pt>
                <c:pt idx="23">
                  <c:v>6.2 Languages and Literature</c:v>
                </c:pt>
                <c:pt idx="24">
                  <c:v>6.3 Philosophy, Ethics and Religion</c:v>
                </c:pt>
                <c:pt idx="25">
                  <c:v>6.4 Arts (arts, history of arts, performing arts, music)</c:v>
                </c:pt>
                <c:pt idx="2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27"/>
                <c:pt idx="2" formatCode="#,##0">
                  <c:v>1</c:v>
                </c:pt>
                <c:pt idx="3" formatCode="#,##0">
                  <c:v>1</c:v>
                </c:pt>
                <c:pt idx="16" formatCode="#,##0">
                  <c:v>1</c:v>
                </c:pt>
                <c:pt idx="17" formatCode="#,##0">
                  <c:v>1</c:v>
                </c:pt>
                <c:pt idx="18" formatCode="#,##0">
                  <c:v>3</c:v>
                </c:pt>
                <c:pt idx="22" formatCode="#,##0">
                  <c:v>2</c:v>
                </c:pt>
                <c:pt idx="2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727-454E-84E6-16FF25DC6C1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48341D-8CFD-4D3E-9D8A-DDE4E974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904</Words>
  <Characters>5339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6231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13</cp:revision>
  <cp:lastPrinted>2023-03-02T10:17:00Z</cp:lastPrinted>
  <dcterms:created xsi:type="dcterms:W3CDTF">2024-12-06T07:50:00Z</dcterms:created>
  <dcterms:modified xsi:type="dcterms:W3CDTF">2025-04-09T09:00:00Z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