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70A1A89A" w:rsidR="005241A2" w:rsidRPr="00BF1C46" w:rsidRDefault="000672D8" w:rsidP="005241A2">
            <w:pPr>
              <w:spacing w:before="120" w:after="120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Návrh Stanoviska Rady pro výzkum, vývoj a inovace k v</w:t>
            </w:r>
            <w:r w:rsidR="00770D44">
              <w:rPr>
                <w:b/>
                <w:color w:val="0070C0"/>
                <w:sz w:val="28"/>
                <w:szCs w:val="28"/>
              </w:rPr>
              <w:t>ypořádání připomínek ze Stanoviska Rady</w:t>
            </w:r>
            <w:r>
              <w:rPr>
                <w:b/>
                <w:color w:val="0070C0"/>
                <w:sz w:val="28"/>
                <w:szCs w:val="28"/>
              </w:rPr>
              <w:t xml:space="preserve"> pro výzkum, vývoj a inovace</w:t>
            </w:r>
            <w:r w:rsidR="00770D44">
              <w:rPr>
                <w:b/>
                <w:color w:val="0070C0"/>
                <w:sz w:val="28"/>
                <w:szCs w:val="28"/>
              </w:rPr>
              <w:t xml:space="preserve"> k návrhu programu Akademie budoucnosti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4DD7E4D8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770D44">
              <w:rPr>
                <w:b/>
                <w:color w:val="0070C0"/>
                <w:sz w:val="28"/>
                <w:szCs w:val="28"/>
              </w:rPr>
              <w:t>11</w:t>
            </w:r>
            <w:r>
              <w:rPr>
                <w:b/>
                <w:color w:val="0070C0"/>
                <w:sz w:val="28"/>
                <w:szCs w:val="28"/>
              </w:rPr>
              <w:t>/A</w:t>
            </w:r>
            <w:r w:rsidR="00770D44">
              <w:rPr>
                <w:b/>
                <w:color w:val="0070C0"/>
                <w:sz w:val="28"/>
                <w:szCs w:val="28"/>
              </w:rPr>
              <w:t>1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bottom"/>
          </w:tcPr>
          <w:p w14:paraId="3B1A4FD6" w14:textId="479712C1" w:rsidR="005241A2" w:rsidRPr="002D3C4B" w:rsidRDefault="00770D44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bCs/>
                <w:i/>
              </w:rPr>
              <w:t xml:space="preserve">prof. </w:t>
            </w:r>
            <w:proofErr w:type="spellStart"/>
            <w:r>
              <w:rPr>
                <w:bCs/>
                <w:i/>
              </w:rPr>
              <w:t>Krištoufek</w:t>
            </w:r>
            <w:proofErr w:type="spellEnd"/>
            <w:r>
              <w:rPr>
                <w:bCs/>
                <w:i/>
              </w:rPr>
              <w:t>, prof. Vácha</w:t>
            </w:r>
          </w:p>
        </w:tc>
      </w:tr>
      <w:tr w:rsidR="005241A2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A124EA5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B5FF744" w14:textId="4AEFAF73" w:rsidR="005241A2" w:rsidRPr="002D3C4B" w:rsidRDefault="005241A2" w:rsidP="002D3C4B">
            <w:pPr>
              <w:spacing w:before="120" w:after="120"/>
              <w:jc w:val="left"/>
              <w:rPr>
                <w:bCs/>
                <w:i/>
              </w:rPr>
            </w:pPr>
            <w:r w:rsidRPr="002D3C4B">
              <w:rPr>
                <w:bCs/>
                <w:i/>
                <w:noProof/>
              </w:rPr>
              <w:t>Odbor</w:t>
            </w:r>
            <w:r w:rsidR="00770D44">
              <w:rPr>
                <w:bCs/>
                <w:i/>
                <w:noProof/>
              </w:rPr>
              <w:t xml:space="preserve"> koordinace výzkumu, vývoje a inovací</w:t>
            </w:r>
            <w:r w:rsidRPr="002D3C4B">
              <w:rPr>
                <w:bCs/>
                <w:i/>
                <w:noProof/>
              </w:rPr>
              <w:t xml:space="preserve">, </w:t>
            </w:r>
            <w:r w:rsidR="00C641E1">
              <w:rPr>
                <w:bCs/>
                <w:i/>
                <w:noProof/>
              </w:rPr>
              <w:t>16</w:t>
            </w:r>
            <w:r w:rsidRPr="002D3C4B">
              <w:rPr>
                <w:bCs/>
                <w:i/>
                <w:noProof/>
              </w:rPr>
              <w:t>.</w:t>
            </w:r>
            <w:r w:rsidR="00C635EA">
              <w:rPr>
                <w:bCs/>
                <w:i/>
                <w:noProof/>
              </w:rPr>
              <w:t> dubna </w:t>
            </w:r>
            <w:r w:rsidRPr="002D3C4B">
              <w:rPr>
                <w:bCs/>
                <w:i/>
                <w:noProof/>
              </w:rPr>
              <w:t>202</w:t>
            </w:r>
            <w:r w:rsidR="00770D44">
              <w:rPr>
                <w:bCs/>
                <w:i/>
                <w:noProof/>
              </w:rPr>
              <w:t>5</w:t>
            </w:r>
          </w:p>
        </w:tc>
      </w:tr>
      <w:tr w:rsidR="005241A2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76373A" w14:textId="77777777" w:rsidR="005241A2" w:rsidRPr="00AB734E" w:rsidRDefault="005241A2" w:rsidP="005241A2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189B07ED" w14:textId="7694DE7C" w:rsidR="00D35C60" w:rsidRDefault="005241A2" w:rsidP="005241A2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 xml:space="preserve">Radě pro výzkum, vývoj a inovace (dále jen „Rada“) </w:t>
            </w:r>
            <w:r w:rsidR="00770D44">
              <w:t xml:space="preserve">se předkládá </w:t>
            </w:r>
            <w:r w:rsidR="000672D8">
              <w:t>návrh Stanoviska Rady k</w:t>
            </w:r>
            <w:r w:rsidR="00C0180B">
              <w:t> </w:t>
            </w:r>
            <w:r w:rsidR="00770D44">
              <w:t>vypořádání připomínek ze Stanoviska Rady k návrhu programu Akademie buducnosti</w:t>
            </w:r>
            <w:r w:rsidR="00C0180B">
              <w:t xml:space="preserve"> (viz</w:t>
            </w:r>
            <w:r w:rsidR="00B410C9">
              <w:t> </w:t>
            </w:r>
            <w:r w:rsidR="00C0180B">
              <w:t>příloha 7)</w:t>
            </w:r>
            <w:r w:rsidR="00B410C9">
              <w:t>.</w:t>
            </w:r>
            <w:r w:rsidR="00295657">
              <w:t xml:space="preserve"> </w:t>
            </w:r>
            <w:r w:rsidR="00B410C9">
              <w:t>Vypořádání připomínek</w:t>
            </w:r>
            <w:r w:rsidR="00295657">
              <w:t xml:space="preserve"> zaslala Akademie věd České republiky (dále jen „AV</w:t>
            </w:r>
            <w:r w:rsidR="00B410C9">
              <w:t xml:space="preserve"> </w:t>
            </w:r>
            <w:r w:rsidR="00295657">
              <w:t>ČR“)</w:t>
            </w:r>
            <w:r w:rsidR="00D35C60">
              <w:t xml:space="preserve"> dopisem prof.</w:t>
            </w:r>
            <w:r w:rsidR="00B410C9">
              <w:t> </w:t>
            </w:r>
            <w:proofErr w:type="spellStart"/>
            <w:r w:rsidR="00D35C60">
              <w:t>Baldriana</w:t>
            </w:r>
            <w:proofErr w:type="spellEnd"/>
            <w:r w:rsidR="00D35C60">
              <w:t>, člena Akademické rady AV</w:t>
            </w:r>
            <w:r w:rsidR="00B410C9">
              <w:t xml:space="preserve"> </w:t>
            </w:r>
            <w:r w:rsidR="00D35C60">
              <w:t>ČR odpovědného za koordinaci programu podpory excelence, dne 7.</w:t>
            </w:r>
            <w:r w:rsidR="00C0180B">
              <w:t> </w:t>
            </w:r>
            <w:r w:rsidR="00D35C60">
              <w:t>dubna 2025 (čj.</w:t>
            </w:r>
            <w:r w:rsidR="000136F2">
              <w:t> </w:t>
            </w:r>
            <w:r w:rsidR="00D35C60">
              <w:t>AVCR 3544/2025 OPV).</w:t>
            </w:r>
          </w:p>
          <w:p w14:paraId="56C91166" w14:textId="4B1C907F" w:rsidR="005241A2" w:rsidRPr="009719F6" w:rsidRDefault="00D35C60" w:rsidP="005241A2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 xml:space="preserve">Tento postup je </w:t>
            </w:r>
            <w:r w:rsidR="00295657">
              <w:t>souladu s unesením Rady 409/A3 přijatým k předmětnému Stanovisku Rady na</w:t>
            </w:r>
            <w:r w:rsidR="00B410C9">
              <w:t> </w:t>
            </w:r>
            <w:r w:rsidR="00295657">
              <w:t>409. zasedání Rady dne 28. února 2025. Stanovisko Rady včetně usnesení bylo AV</w:t>
            </w:r>
            <w:r w:rsidR="00B410C9">
              <w:t xml:space="preserve"> </w:t>
            </w:r>
            <w:r w:rsidR="00295657">
              <w:t>ČR zasláno dopisem vrchní ředitelky Mgr. Dany Bilíkové dne 6. března 2025 (</w:t>
            </w:r>
            <w:r>
              <w:t>čj. 10094/2025-UVCR).</w:t>
            </w:r>
          </w:p>
        </w:tc>
      </w:tr>
      <w:tr w:rsidR="005241A2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A55873" w14:textId="77777777" w:rsidR="005241A2" w:rsidRPr="00AB734E" w:rsidRDefault="005241A2" w:rsidP="005241A2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4DE480C2" w14:textId="77777777" w:rsidR="005241A2" w:rsidRDefault="00D35C60" w:rsidP="005241A2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>Stanovisko Rady k bodu 409/A3 ze dne 28. února 2025</w:t>
            </w:r>
          </w:p>
          <w:p w14:paraId="7D94FFA9" w14:textId="77777777" w:rsidR="00D35C60" w:rsidRDefault="00D35C60" w:rsidP="005241A2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>Průvodní dopis VŘ Bilíkové</w:t>
            </w:r>
            <w:r w:rsidR="0066766D">
              <w:t>, čj.10094/2025-UVCR</w:t>
            </w:r>
          </w:p>
          <w:p w14:paraId="52540CB9" w14:textId="73D5630A" w:rsidR="0066766D" w:rsidRDefault="0066766D" w:rsidP="0066766D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 xml:space="preserve">Průvodní dopis prof. </w:t>
            </w:r>
            <w:proofErr w:type="spellStart"/>
            <w:r>
              <w:t>Baldriana</w:t>
            </w:r>
            <w:proofErr w:type="spellEnd"/>
            <w:r>
              <w:t>, čj.  AVCR 3544/2025 OPV</w:t>
            </w:r>
          </w:p>
          <w:p w14:paraId="3BCE628E" w14:textId="5E510C72" w:rsidR="0066766D" w:rsidRDefault="0066766D" w:rsidP="0066766D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 w:rsidRPr="0066766D">
              <w:t>Vysvětlení k připomínkám uvedených ve Stanovisku Rady pro výzkum, vývoj a inovace k</w:t>
            </w:r>
            <w:r>
              <w:t> </w:t>
            </w:r>
            <w:r w:rsidRPr="0066766D">
              <w:t>programu „Akademie budoucnosti“</w:t>
            </w:r>
          </w:p>
          <w:p w14:paraId="551EF7C9" w14:textId="77777777" w:rsidR="004A66A1" w:rsidRDefault="0066766D" w:rsidP="004A66A1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>Aktualizované znění Programu Akademie budoucnosti</w:t>
            </w:r>
          </w:p>
          <w:p w14:paraId="6EF0DE4D" w14:textId="387C0E08" w:rsidR="00C641E1" w:rsidRDefault="00C641E1" w:rsidP="004A66A1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 xml:space="preserve">Aktualizované znění Programu Akademie budoucnosti s vyznačenými </w:t>
            </w:r>
            <w:r w:rsidR="00C0180B">
              <w:t>změnami</w:t>
            </w:r>
          </w:p>
          <w:p w14:paraId="133F1304" w14:textId="0A2F9904" w:rsidR="000672D8" w:rsidRPr="0066766D" w:rsidRDefault="000672D8" w:rsidP="004A66A1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>Návrh Stanoviska Rada k vypořádání připomínek ze Stanoviska Rady k bodu 409/A3 ze dne 28. února 2025.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67A5831D" w14:textId="5E01A271" w:rsidR="00E62942" w:rsidRDefault="00E62942" w:rsidP="00E62942">
      <w:pPr>
        <w:pStyle w:val="Bezmezer"/>
        <w:jc w:val="left"/>
      </w:pPr>
    </w:p>
    <w:sectPr w:rsidR="00E62942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B58FD" w14:textId="77777777" w:rsidR="00EA17A9" w:rsidRDefault="00EA17A9" w:rsidP="00604B45">
      <w:r>
        <w:separator/>
      </w:r>
    </w:p>
  </w:endnote>
  <w:endnote w:type="continuationSeparator" w:id="0">
    <w:p w14:paraId="7B83F75C" w14:textId="77777777" w:rsidR="00EA17A9" w:rsidRDefault="00EA17A9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3E11C2DC" w14:textId="7C6212BE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4**/</w:t>
            </w:r>
            <w:proofErr w:type="spellStart"/>
            <w:r w:rsidR="00144F5B" w:rsidRPr="00144F5B">
              <w:rPr>
                <w:sz w:val="16"/>
                <w:szCs w:val="16"/>
              </w:rPr>
              <w:t>Axx</w:t>
            </w:r>
            <w:proofErr w:type="spellEnd"/>
            <w:r w:rsidR="00144F5B">
              <w:t xml:space="preserve"> </w:t>
            </w:r>
            <w:r w:rsidR="00144F5B" w:rsidRPr="00144F5B">
              <w:rPr>
                <w:sz w:val="16"/>
                <w:szCs w:val="16"/>
              </w:rPr>
              <w:t>Název materiálu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FD9DB" w14:textId="77777777" w:rsidR="00EA17A9" w:rsidRDefault="00EA17A9" w:rsidP="00604B45">
      <w:r>
        <w:separator/>
      </w:r>
    </w:p>
  </w:footnote>
  <w:footnote w:type="continuationSeparator" w:id="0">
    <w:p w14:paraId="38E878CB" w14:textId="77777777" w:rsidR="00EA17A9" w:rsidRDefault="00EA17A9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3"/>
  </w:num>
  <w:num w:numId="2" w16cid:durableId="2081907147">
    <w:abstractNumId w:val="9"/>
  </w:num>
  <w:num w:numId="3" w16cid:durableId="1893038338">
    <w:abstractNumId w:val="4"/>
  </w:num>
  <w:num w:numId="4" w16cid:durableId="1786805665">
    <w:abstractNumId w:val="6"/>
  </w:num>
  <w:num w:numId="5" w16cid:durableId="1264728757">
    <w:abstractNumId w:val="10"/>
  </w:num>
  <w:num w:numId="6" w16cid:durableId="1901821760">
    <w:abstractNumId w:val="7"/>
  </w:num>
  <w:num w:numId="7" w16cid:durableId="124931050">
    <w:abstractNumId w:val="1"/>
  </w:num>
  <w:num w:numId="8" w16cid:durableId="42677174">
    <w:abstractNumId w:val="2"/>
  </w:num>
  <w:num w:numId="9" w16cid:durableId="2051147294">
    <w:abstractNumId w:val="11"/>
  </w:num>
  <w:num w:numId="10" w16cid:durableId="1837643966">
    <w:abstractNumId w:val="8"/>
  </w:num>
  <w:num w:numId="11" w16cid:durableId="796532185">
    <w:abstractNumId w:val="0"/>
  </w:num>
  <w:num w:numId="12" w16cid:durableId="20330646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136F2"/>
    <w:rsid w:val="0002007D"/>
    <w:rsid w:val="00025617"/>
    <w:rsid w:val="00035ED7"/>
    <w:rsid w:val="000467DA"/>
    <w:rsid w:val="000511C2"/>
    <w:rsid w:val="000672D8"/>
    <w:rsid w:val="00075C1E"/>
    <w:rsid w:val="00076BEB"/>
    <w:rsid w:val="0008087D"/>
    <w:rsid w:val="000859E4"/>
    <w:rsid w:val="0009458F"/>
    <w:rsid w:val="000A6385"/>
    <w:rsid w:val="000C609C"/>
    <w:rsid w:val="000C6A0C"/>
    <w:rsid w:val="000D7556"/>
    <w:rsid w:val="000E1B1B"/>
    <w:rsid w:val="000E7A12"/>
    <w:rsid w:val="001044CD"/>
    <w:rsid w:val="00126D7E"/>
    <w:rsid w:val="00133C49"/>
    <w:rsid w:val="00144F5B"/>
    <w:rsid w:val="00163B03"/>
    <w:rsid w:val="00171EF3"/>
    <w:rsid w:val="00191B49"/>
    <w:rsid w:val="001A03D6"/>
    <w:rsid w:val="001A6A82"/>
    <w:rsid w:val="001B63D5"/>
    <w:rsid w:val="001C1526"/>
    <w:rsid w:val="001C2E95"/>
    <w:rsid w:val="001C5AB5"/>
    <w:rsid w:val="001C6179"/>
    <w:rsid w:val="001D5F3B"/>
    <w:rsid w:val="001E1924"/>
    <w:rsid w:val="001F517B"/>
    <w:rsid w:val="002107E9"/>
    <w:rsid w:val="002241CF"/>
    <w:rsid w:val="00235856"/>
    <w:rsid w:val="00242E30"/>
    <w:rsid w:val="00251D54"/>
    <w:rsid w:val="0026594C"/>
    <w:rsid w:val="00282845"/>
    <w:rsid w:val="00293AEA"/>
    <w:rsid w:val="00295657"/>
    <w:rsid w:val="002A2FD0"/>
    <w:rsid w:val="002C0726"/>
    <w:rsid w:val="002C5775"/>
    <w:rsid w:val="002D3C4B"/>
    <w:rsid w:val="002F19C4"/>
    <w:rsid w:val="002F4F5C"/>
    <w:rsid w:val="00342659"/>
    <w:rsid w:val="00352CA6"/>
    <w:rsid w:val="00352DD8"/>
    <w:rsid w:val="00362F82"/>
    <w:rsid w:val="0038141B"/>
    <w:rsid w:val="00383A75"/>
    <w:rsid w:val="003870AA"/>
    <w:rsid w:val="003906D0"/>
    <w:rsid w:val="003976A0"/>
    <w:rsid w:val="003C04E9"/>
    <w:rsid w:val="003C6885"/>
    <w:rsid w:val="003D64A2"/>
    <w:rsid w:val="003E4F9E"/>
    <w:rsid w:val="00420B23"/>
    <w:rsid w:val="00423662"/>
    <w:rsid w:val="00424552"/>
    <w:rsid w:val="0042761D"/>
    <w:rsid w:val="004354D5"/>
    <w:rsid w:val="00441B47"/>
    <w:rsid w:val="00444127"/>
    <w:rsid w:val="00447ABC"/>
    <w:rsid w:val="00456550"/>
    <w:rsid w:val="00486CA7"/>
    <w:rsid w:val="004970B3"/>
    <w:rsid w:val="004A66A1"/>
    <w:rsid w:val="004E4548"/>
    <w:rsid w:val="004E6BE1"/>
    <w:rsid w:val="004F1D48"/>
    <w:rsid w:val="00510EA4"/>
    <w:rsid w:val="00512835"/>
    <w:rsid w:val="00515555"/>
    <w:rsid w:val="005241A2"/>
    <w:rsid w:val="00524CE5"/>
    <w:rsid w:val="00537022"/>
    <w:rsid w:val="005628A2"/>
    <w:rsid w:val="00564B89"/>
    <w:rsid w:val="0057409A"/>
    <w:rsid w:val="005821A3"/>
    <w:rsid w:val="005964E0"/>
    <w:rsid w:val="005A4C59"/>
    <w:rsid w:val="005C4D50"/>
    <w:rsid w:val="005C5B19"/>
    <w:rsid w:val="005D1635"/>
    <w:rsid w:val="005D3434"/>
    <w:rsid w:val="00602F23"/>
    <w:rsid w:val="00604B45"/>
    <w:rsid w:val="006079D1"/>
    <w:rsid w:val="0061165B"/>
    <w:rsid w:val="006255C0"/>
    <w:rsid w:val="00627E3D"/>
    <w:rsid w:val="00635765"/>
    <w:rsid w:val="0066338C"/>
    <w:rsid w:val="0066766D"/>
    <w:rsid w:val="006878F0"/>
    <w:rsid w:val="006A2356"/>
    <w:rsid w:val="006B2B00"/>
    <w:rsid w:val="006C3F7F"/>
    <w:rsid w:val="006F1181"/>
    <w:rsid w:val="007007A8"/>
    <w:rsid w:val="0070637D"/>
    <w:rsid w:val="0071047A"/>
    <w:rsid w:val="00717076"/>
    <w:rsid w:val="00722063"/>
    <w:rsid w:val="0072266C"/>
    <w:rsid w:val="00733976"/>
    <w:rsid w:val="00735DE8"/>
    <w:rsid w:val="00741D89"/>
    <w:rsid w:val="007439F1"/>
    <w:rsid w:val="00766AC5"/>
    <w:rsid w:val="00770D44"/>
    <w:rsid w:val="00795C42"/>
    <w:rsid w:val="007A407A"/>
    <w:rsid w:val="007E2572"/>
    <w:rsid w:val="007E5BD4"/>
    <w:rsid w:val="007E6CA2"/>
    <w:rsid w:val="0080171F"/>
    <w:rsid w:val="008017A4"/>
    <w:rsid w:val="00803160"/>
    <w:rsid w:val="008044E8"/>
    <w:rsid w:val="00811AC9"/>
    <w:rsid w:val="008120CD"/>
    <w:rsid w:val="0081613E"/>
    <w:rsid w:val="00840107"/>
    <w:rsid w:val="0084124B"/>
    <w:rsid w:val="00841C3F"/>
    <w:rsid w:val="008517B5"/>
    <w:rsid w:val="00855B4C"/>
    <w:rsid w:val="00871B74"/>
    <w:rsid w:val="0088447D"/>
    <w:rsid w:val="008863A6"/>
    <w:rsid w:val="00887F71"/>
    <w:rsid w:val="00890204"/>
    <w:rsid w:val="0089638D"/>
    <w:rsid w:val="008A3DC7"/>
    <w:rsid w:val="008A6944"/>
    <w:rsid w:val="008B1728"/>
    <w:rsid w:val="008B60F3"/>
    <w:rsid w:val="008E557D"/>
    <w:rsid w:val="008F0140"/>
    <w:rsid w:val="008F6521"/>
    <w:rsid w:val="0090230E"/>
    <w:rsid w:val="0090323E"/>
    <w:rsid w:val="0090482F"/>
    <w:rsid w:val="0090637C"/>
    <w:rsid w:val="0091473F"/>
    <w:rsid w:val="00915B70"/>
    <w:rsid w:val="009202D9"/>
    <w:rsid w:val="00945CB2"/>
    <w:rsid w:val="0095235B"/>
    <w:rsid w:val="0095565E"/>
    <w:rsid w:val="00956C0B"/>
    <w:rsid w:val="00990B90"/>
    <w:rsid w:val="009922C8"/>
    <w:rsid w:val="009B0370"/>
    <w:rsid w:val="009B4A4C"/>
    <w:rsid w:val="009C3648"/>
    <w:rsid w:val="009E228F"/>
    <w:rsid w:val="009F673B"/>
    <w:rsid w:val="00A640A5"/>
    <w:rsid w:val="00A65C3C"/>
    <w:rsid w:val="00A75A40"/>
    <w:rsid w:val="00A7760C"/>
    <w:rsid w:val="00A822FF"/>
    <w:rsid w:val="00A84F49"/>
    <w:rsid w:val="00AA35D6"/>
    <w:rsid w:val="00AA5C0F"/>
    <w:rsid w:val="00AB5597"/>
    <w:rsid w:val="00AC5DC9"/>
    <w:rsid w:val="00AD451B"/>
    <w:rsid w:val="00AE1069"/>
    <w:rsid w:val="00AE7303"/>
    <w:rsid w:val="00AF01A5"/>
    <w:rsid w:val="00AF502C"/>
    <w:rsid w:val="00AF5DE4"/>
    <w:rsid w:val="00B01CFE"/>
    <w:rsid w:val="00B20ED5"/>
    <w:rsid w:val="00B24765"/>
    <w:rsid w:val="00B33F61"/>
    <w:rsid w:val="00B410C9"/>
    <w:rsid w:val="00B415B3"/>
    <w:rsid w:val="00B445C0"/>
    <w:rsid w:val="00B45E88"/>
    <w:rsid w:val="00B6005B"/>
    <w:rsid w:val="00B67680"/>
    <w:rsid w:val="00B73C81"/>
    <w:rsid w:val="00B80711"/>
    <w:rsid w:val="00BB0E7D"/>
    <w:rsid w:val="00BB2FAC"/>
    <w:rsid w:val="00BC1D89"/>
    <w:rsid w:val="00BC5C1F"/>
    <w:rsid w:val="00BC7F94"/>
    <w:rsid w:val="00BD17A6"/>
    <w:rsid w:val="00BE4E17"/>
    <w:rsid w:val="00C0180B"/>
    <w:rsid w:val="00C05BAF"/>
    <w:rsid w:val="00C27666"/>
    <w:rsid w:val="00C4014E"/>
    <w:rsid w:val="00C54A7F"/>
    <w:rsid w:val="00C635EA"/>
    <w:rsid w:val="00C641E1"/>
    <w:rsid w:val="00C674B4"/>
    <w:rsid w:val="00C71728"/>
    <w:rsid w:val="00C7658A"/>
    <w:rsid w:val="00C77162"/>
    <w:rsid w:val="00C84197"/>
    <w:rsid w:val="00C91565"/>
    <w:rsid w:val="00C92FC9"/>
    <w:rsid w:val="00CC1FD9"/>
    <w:rsid w:val="00CD5D12"/>
    <w:rsid w:val="00CE2C4E"/>
    <w:rsid w:val="00CE70B9"/>
    <w:rsid w:val="00D0212E"/>
    <w:rsid w:val="00D061BA"/>
    <w:rsid w:val="00D266C9"/>
    <w:rsid w:val="00D26EA4"/>
    <w:rsid w:val="00D321D6"/>
    <w:rsid w:val="00D35C60"/>
    <w:rsid w:val="00D36218"/>
    <w:rsid w:val="00D37F9F"/>
    <w:rsid w:val="00D43F7D"/>
    <w:rsid w:val="00D53021"/>
    <w:rsid w:val="00D74354"/>
    <w:rsid w:val="00D85AA0"/>
    <w:rsid w:val="00D86AA3"/>
    <w:rsid w:val="00D94221"/>
    <w:rsid w:val="00D95865"/>
    <w:rsid w:val="00DA045F"/>
    <w:rsid w:val="00DC2129"/>
    <w:rsid w:val="00DC5C64"/>
    <w:rsid w:val="00DD0CB0"/>
    <w:rsid w:val="00DD3E78"/>
    <w:rsid w:val="00DE4F80"/>
    <w:rsid w:val="00E0171D"/>
    <w:rsid w:val="00E06D18"/>
    <w:rsid w:val="00E304A2"/>
    <w:rsid w:val="00E373B9"/>
    <w:rsid w:val="00E43035"/>
    <w:rsid w:val="00E47EBE"/>
    <w:rsid w:val="00E56D04"/>
    <w:rsid w:val="00E62942"/>
    <w:rsid w:val="00E635EE"/>
    <w:rsid w:val="00E7321C"/>
    <w:rsid w:val="00E84580"/>
    <w:rsid w:val="00E8657D"/>
    <w:rsid w:val="00EA17A9"/>
    <w:rsid w:val="00EB05F2"/>
    <w:rsid w:val="00EB0799"/>
    <w:rsid w:val="00EB55AA"/>
    <w:rsid w:val="00EC0198"/>
    <w:rsid w:val="00EC2267"/>
    <w:rsid w:val="00ED0734"/>
    <w:rsid w:val="00ED2ED3"/>
    <w:rsid w:val="00ED7E4C"/>
    <w:rsid w:val="00EE66EE"/>
    <w:rsid w:val="00EE745A"/>
    <w:rsid w:val="00EF4F64"/>
    <w:rsid w:val="00F145AB"/>
    <w:rsid w:val="00F341EF"/>
    <w:rsid w:val="00F3487E"/>
    <w:rsid w:val="00F47E34"/>
    <w:rsid w:val="00F67976"/>
    <w:rsid w:val="00F70093"/>
    <w:rsid w:val="00F84D65"/>
    <w:rsid w:val="00F86F06"/>
    <w:rsid w:val="00FA009E"/>
    <w:rsid w:val="00FB668D"/>
    <w:rsid w:val="00FC3226"/>
    <w:rsid w:val="00FD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66766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3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57</TotalTime>
  <Pages>1</Pages>
  <Words>221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Lysý</dc:creator>
  <cp:keywords/>
  <dc:description/>
  <cp:lastModifiedBy>Lenka Schäfer</cp:lastModifiedBy>
  <cp:revision>21</cp:revision>
  <cp:lastPrinted>2025-02-25T12:21:00Z</cp:lastPrinted>
  <dcterms:created xsi:type="dcterms:W3CDTF">2025-04-11T07:24:00Z</dcterms:created>
  <dcterms:modified xsi:type="dcterms:W3CDTF">2025-04-28T07:12:00Z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