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58B62227" w14:textId="0DE82792" w:rsidR="00394D13" w:rsidRPr="00FD3566" w:rsidRDefault="00034310" w:rsidP="00034310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034310">
        <w:rPr>
          <w:rFonts w:ascii="Arial" w:hAnsi="Arial" w:cs="Arial"/>
          <w:b/>
          <w:color w:val="0070C0"/>
          <w:sz w:val="28"/>
          <w:szCs w:val="28"/>
        </w:rPr>
        <w:t>Národní cena vlády Česká hlava – harmonogram příprav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034310">
        <w:rPr>
          <w:rFonts w:ascii="Arial" w:hAnsi="Arial" w:cs="Arial"/>
          <w:b/>
          <w:color w:val="0070C0"/>
          <w:sz w:val="28"/>
          <w:szCs w:val="28"/>
        </w:rPr>
        <w:t>2025</w:t>
      </w:r>
    </w:p>
    <w:p w14:paraId="45CC837C" w14:textId="3E69833D" w:rsidR="00034310" w:rsidRPr="00034310" w:rsidRDefault="00034310" w:rsidP="00034310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034310">
        <w:rPr>
          <w:rFonts w:ascii="Arial" w:hAnsi="Arial" w:cs="Arial"/>
          <w:sz w:val="22"/>
          <w:szCs w:val="22"/>
        </w:rPr>
        <w:t xml:space="preserve">Národní cena vlády Česká hlava (dále jen „ NCV“) je udělována na základě ustanovení § 3 odst. 3 písm. e) zákona č. 130/2002 Sb., o podpoře výzkumu, experimentálního vývoje </w:t>
      </w:r>
      <w:r w:rsidR="00D421B4">
        <w:rPr>
          <w:rFonts w:ascii="Arial" w:hAnsi="Arial" w:cs="Arial"/>
          <w:sz w:val="22"/>
          <w:szCs w:val="22"/>
        </w:rPr>
        <w:t xml:space="preserve">               </w:t>
      </w:r>
      <w:r w:rsidRPr="00034310">
        <w:rPr>
          <w:rFonts w:ascii="Arial" w:hAnsi="Arial" w:cs="Arial"/>
          <w:sz w:val="22"/>
          <w:szCs w:val="22"/>
        </w:rPr>
        <w:t xml:space="preserve">a inovací z veřejných prostředků a o změně některých souvisejících zákonů (zákon o podpoře výzkumu, experimentálního vývoje a inovací), ve znění pozdějších předpisů a podle nařízení vlády o podmínkách pro ocenění výsledků výzkumu, experimentálního vývoje a inovací </w:t>
      </w:r>
      <w:r w:rsidR="00D421B4">
        <w:rPr>
          <w:rFonts w:ascii="Arial" w:hAnsi="Arial" w:cs="Arial"/>
          <w:sz w:val="22"/>
          <w:szCs w:val="22"/>
        </w:rPr>
        <w:t xml:space="preserve">           </w:t>
      </w:r>
      <w:r w:rsidRPr="00034310">
        <w:rPr>
          <w:rFonts w:ascii="Arial" w:hAnsi="Arial" w:cs="Arial"/>
          <w:sz w:val="22"/>
          <w:szCs w:val="22"/>
        </w:rPr>
        <w:t xml:space="preserve">č. 71/2013 Sb., ve znění pozdějších předpisů. </w:t>
      </w:r>
    </w:p>
    <w:p w14:paraId="27DE5FA3" w14:textId="71EDA7D7" w:rsidR="00034310" w:rsidRPr="00034310" w:rsidRDefault="00034310" w:rsidP="00034310">
      <w:pPr>
        <w:shd w:val="clear" w:color="auto" w:fill="FFFFFF"/>
        <w:spacing w:before="120" w:after="240" w:line="276" w:lineRule="auto"/>
        <w:jc w:val="both"/>
        <w:rPr>
          <w:rFonts w:ascii="Arial" w:hAnsi="Arial" w:cs="Arial"/>
          <w:sz w:val="22"/>
          <w:szCs w:val="22"/>
        </w:rPr>
      </w:pPr>
      <w:r w:rsidRPr="00034310">
        <w:rPr>
          <w:rFonts w:ascii="Arial" w:hAnsi="Arial" w:cs="Arial"/>
          <w:sz w:val="22"/>
          <w:szCs w:val="22"/>
        </w:rPr>
        <w:t xml:space="preserve">O udělení NCV rozhoduje vláda České republiky na návrh Rady pro výzkum, vývoj a inovace (dále jen „Rada“). Finanční ocenění je ve výši 1 milion Kč. Vyhlašovatelem výzvy k podávání návrhů kandidátek/kandidátů na udělení NCV vlády je Rada. Veškerou agendu spojenou </w:t>
      </w:r>
      <w:r w:rsidR="00D421B4">
        <w:rPr>
          <w:rFonts w:ascii="Arial" w:hAnsi="Arial" w:cs="Arial"/>
          <w:sz w:val="22"/>
          <w:szCs w:val="22"/>
        </w:rPr>
        <w:t xml:space="preserve">          </w:t>
      </w:r>
      <w:r w:rsidRPr="00034310">
        <w:rPr>
          <w:rFonts w:ascii="Arial" w:hAnsi="Arial" w:cs="Arial"/>
          <w:sz w:val="22"/>
          <w:szCs w:val="22"/>
        </w:rPr>
        <w:t>s převzetím, archivací a vyhodnocením doručených nominací na udělení NCV zajišťuje Odbor podpory Rady. Rada navrhuje kandidátku/kandidáta a předkládá materiál k výběru laureáta NCV k projednání vládě.</w:t>
      </w:r>
    </w:p>
    <w:p w14:paraId="1907C0C4" w14:textId="77777777" w:rsidR="00034310" w:rsidRPr="00B04B61" w:rsidRDefault="00034310" w:rsidP="00034310">
      <w:pPr>
        <w:shd w:val="clear" w:color="auto" w:fill="FFFFFF"/>
        <w:spacing w:before="120" w:after="120" w:line="336" w:lineRule="auto"/>
        <w:jc w:val="center"/>
        <w:rPr>
          <w:rFonts w:ascii="Arial" w:hAnsi="Arial" w:cs="Arial"/>
          <w:b/>
          <w:color w:val="0070C0"/>
        </w:rPr>
      </w:pPr>
      <w:r w:rsidRPr="00B04B61">
        <w:rPr>
          <w:rFonts w:ascii="Arial" w:hAnsi="Arial" w:cs="Arial"/>
          <w:b/>
          <w:color w:val="0070C0"/>
          <w:szCs w:val="20"/>
        </w:rPr>
        <w:t>Harmonogram</w:t>
      </w:r>
    </w:p>
    <w:p w14:paraId="597ADCCB" w14:textId="0B453A3E" w:rsidR="00034310" w:rsidRPr="00034310" w:rsidRDefault="00023C5B" w:rsidP="00034310">
      <w:pPr>
        <w:numPr>
          <w:ilvl w:val="0"/>
          <w:numId w:val="26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 xml:space="preserve">duben / </w:t>
      </w:r>
      <w:r w:rsidR="00034310" w:rsidRPr="00034310">
        <w:rPr>
          <w:rFonts w:ascii="Arial" w:hAnsi="Arial" w:cs="Arial"/>
          <w:color w:val="0070C0"/>
          <w:sz w:val="22"/>
          <w:szCs w:val="22"/>
        </w:rPr>
        <w:t xml:space="preserve">květen 2025 </w:t>
      </w:r>
      <w:r w:rsidR="00034310" w:rsidRPr="00034310">
        <w:rPr>
          <w:rFonts w:ascii="Arial" w:hAnsi="Arial" w:cs="Arial"/>
          <w:sz w:val="22"/>
          <w:szCs w:val="22"/>
        </w:rPr>
        <w:t xml:space="preserve">– vyhlášení výzvy k nominacím kandidátek/kandidátů na ocenění NCV za rok 2025 na webu </w:t>
      </w:r>
      <w:r w:rsidR="00034310" w:rsidRPr="00034310">
        <w:rPr>
          <w:rFonts w:ascii="Arial" w:hAnsi="Arial" w:cs="Arial"/>
          <w:sz w:val="22"/>
          <w:szCs w:val="22"/>
          <w:u w:val="single"/>
        </w:rPr>
        <w:t>vyzkum.gov.cz</w:t>
      </w:r>
      <w:r w:rsidR="00034310" w:rsidRPr="00034310">
        <w:rPr>
          <w:rFonts w:ascii="Arial" w:hAnsi="Arial" w:cs="Arial"/>
          <w:sz w:val="22"/>
          <w:szCs w:val="22"/>
        </w:rPr>
        <w:t xml:space="preserve"> a </w:t>
      </w:r>
      <w:r w:rsidR="00034310" w:rsidRPr="00034310">
        <w:rPr>
          <w:rFonts w:ascii="Arial" w:hAnsi="Arial" w:cs="Arial"/>
          <w:sz w:val="22"/>
          <w:szCs w:val="22"/>
          <w:u w:val="single"/>
        </w:rPr>
        <w:t>vlada.gov.cz</w:t>
      </w:r>
      <w:r w:rsidR="00034310" w:rsidRPr="00034310">
        <w:rPr>
          <w:rFonts w:ascii="Arial" w:hAnsi="Arial" w:cs="Arial"/>
          <w:sz w:val="22"/>
          <w:szCs w:val="22"/>
        </w:rPr>
        <w:t xml:space="preserve"> a na sociálních sítích </w:t>
      </w:r>
    </w:p>
    <w:p w14:paraId="59753D6C" w14:textId="42B5CE48" w:rsidR="00034310" w:rsidRPr="00034310" w:rsidRDefault="005C108E" w:rsidP="00034310">
      <w:pPr>
        <w:numPr>
          <w:ilvl w:val="0"/>
          <w:numId w:val="26"/>
        </w:numPr>
        <w:spacing w:before="120"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11</w:t>
      </w:r>
      <w:r w:rsidR="00034310" w:rsidRPr="00034310">
        <w:rPr>
          <w:rFonts w:ascii="Arial" w:hAnsi="Arial" w:cs="Arial"/>
          <w:color w:val="0070C0"/>
          <w:sz w:val="22"/>
          <w:szCs w:val="22"/>
        </w:rPr>
        <w:t>. červen</w:t>
      </w:r>
      <w:r>
        <w:rPr>
          <w:rFonts w:ascii="Arial" w:hAnsi="Arial" w:cs="Arial"/>
          <w:color w:val="0070C0"/>
          <w:sz w:val="22"/>
          <w:szCs w:val="22"/>
        </w:rPr>
        <w:t>ec</w:t>
      </w:r>
      <w:r w:rsidR="00034310" w:rsidRPr="00034310">
        <w:rPr>
          <w:rFonts w:ascii="Arial" w:hAnsi="Arial" w:cs="Arial"/>
          <w:color w:val="0070C0"/>
          <w:sz w:val="22"/>
          <w:szCs w:val="22"/>
        </w:rPr>
        <w:t xml:space="preserve"> 2025 </w:t>
      </w:r>
      <w:r w:rsidR="00034310" w:rsidRPr="00034310">
        <w:rPr>
          <w:rFonts w:ascii="Arial" w:hAnsi="Arial" w:cs="Arial"/>
          <w:sz w:val="22"/>
          <w:szCs w:val="22"/>
        </w:rPr>
        <w:t xml:space="preserve">– uzávěrka příjmu nominací </w:t>
      </w:r>
    </w:p>
    <w:p w14:paraId="01C244BC" w14:textId="77777777" w:rsidR="00034310" w:rsidRPr="00034310" w:rsidRDefault="00034310" w:rsidP="00034310">
      <w:pPr>
        <w:numPr>
          <w:ilvl w:val="0"/>
          <w:numId w:val="26"/>
        </w:numPr>
        <w:spacing w:before="120" w:after="120"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034310">
        <w:rPr>
          <w:rFonts w:ascii="Arial" w:hAnsi="Arial" w:cs="Arial"/>
          <w:color w:val="0070C0"/>
          <w:sz w:val="22"/>
          <w:szCs w:val="22"/>
        </w:rPr>
        <w:t>červenec / srpen 2025</w:t>
      </w:r>
      <w:r w:rsidRPr="00034310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Pr="00034310">
        <w:rPr>
          <w:rFonts w:ascii="Arial" w:hAnsi="Arial" w:cs="Arial"/>
          <w:sz w:val="22"/>
          <w:szCs w:val="22"/>
        </w:rPr>
        <w:t>–</w:t>
      </w:r>
      <w:r w:rsidRPr="00034310">
        <w:rPr>
          <w:rFonts w:ascii="Arial" w:hAnsi="Arial" w:cs="Arial"/>
          <w:b/>
          <w:sz w:val="22"/>
          <w:szCs w:val="22"/>
        </w:rPr>
        <w:t xml:space="preserve"> </w:t>
      </w:r>
      <w:r w:rsidRPr="00034310">
        <w:rPr>
          <w:rFonts w:ascii="Arial" w:hAnsi="Arial" w:cs="Arial"/>
          <w:sz w:val="22"/>
          <w:szCs w:val="22"/>
        </w:rPr>
        <w:t>předání nominací pro informaci členům Rady</w:t>
      </w:r>
    </w:p>
    <w:p w14:paraId="14D39460" w14:textId="77777777" w:rsidR="00034310" w:rsidRPr="00034310" w:rsidRDefault="00034310" w:rsidP="00034310">
      <w:pPr>
        <w:numPr>
          <w:ilvl w:val="0"/>
          <w:numId w:val="26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034310">
        <w:rPr>
          <w:rFonts w:ascii="Arial" w:hAnsi="Arial" w:cs="Arial"/>
          <w:color w:val="0070C0"/>
          <w:sz w:val="22"/>
          <w:szCs w:val="22"/>
        </w:rPr>
        <w:t>srpen 2025</w:t>
      </w:r>
      <w:r w:rsidRPr="00034310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Pr="00034310">
        <w:rPr>
          <w:rFonts w:ascii="Arial" w:hAnsi="Arial" w:cs="Arial"/>
          <w:sz w:val="22"/>
          <w:szCs w:val="22"/>
        </w:rPr>
        <w:t xml:space="preserve">– rozeslání kompletních podkladů členům Rady </w:t>
      </w:r>
    </w:p>
    <w:p w14:paraId="13EFE393" w14:textId="77777777" w:rsidR="00034310" w:rsidRPr="00034310" w:rsidRDefault="00034310" w:rsidP="00034310">
      <w:pPr>
        <w:numPr>
          <w:ilvl w:val="0"/>
          <w:numId w:val="26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034310">
        <w:rPr>
          <w:rFonts w:ascii="Arial" w:hAnsi="Arial" w:cs="Arial"/>
          <w:color w:val="0070C0"/>
          <w:sz w:val="22"/>
          <w:szCs w:val="22"/>
        </w:rPr>
        <w:t xml:space="preserve">září 2025 </w:t>
      </w:r>
      <w:r w:rsidRPr="00034310">
        <w:rPr>
          <w:rFonts w:ascii="Arial" w:hAnsi="Arial" w:cs="Arial"/>
          <w:sz w:val="22"/>
          <w:szCs w:val="22"/>
        </w:rPr>
        <w:t xml:space="preserve">– výběr kandidátky/kandidáta na NCV na 414. zasedání Rady dne 19. září 2025, hlasování, schválení materiálu pro jednání vlády </w:t>
      </w:r>
    </w:p>
    <w:p w14:paraId="74FA2776" w14:textId="77777777" w:rsidR="00034310" w:rsidRPr="00034310" w:rsidRDefault="00034310" w:rsidP="00034310">
      <w:pPr>
        <w:numPr>
          <w:ilvl w:val="0"/>
          <w:numId w:val="26"/>
        </w:numPr>
        <w:spacing w:before="120"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34310">
        <w:rPr>
          <w:rFonts w:ascii="Arial" w:hAnsi="Arial" w:cs="Arial"/>
          <w:color w:val="0070C0"/>
          <w:sz w:val="22"/>
          <w:szCs w:val="22"/>
        </w:rPr>
        <w:t>září / říjen 2025</w:t>
      </w:r>
      <w:r w:rsidRPr="00034310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Pr="00034310">
        <w:rPr>
          <w:rFonts w:ascii="Arial" w:hAnsi="Arial" w:cs="Arial"/>
          <w:sz w:val="22"/>
          <w:szCs w:val="22"/>
        </w:rPr>
        <w:t>– meziresortní připomínkové řízení, zapracování připomínek, předložení materiálu na jednání vlády</w:t>
      </w:r>
    </w:p>
    <w:p w14:paraId="3BC8C863" w14:textId="77777777" w:rsidR="00034310" w:rsidRPr="00034310" w:rsidRDefault="00034310" w:rsidP="00034310">
      <w:pPr>
        <w:numPr>
          <w:ilvl w:val="0"/>
          <w:numId w:val="26"/>
        </w:numPr>
        <w:spacing w:before="120"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34310">
        <w:rPr>
          <w:rFonts w:ascii="Arial" w:hAnsi="Arial" w:cs="Arial"/>
          <w:color w:val="0070C0"/>
          <w:sz w:val="22"/>
          <w:szCs w:val="22"/>
        </w:rPr>
        <w:t xml:space="preserve">říjen 2025 </w:t>
      </w:r>
      <w:r w:rsidRPr="00034310">
        <w:rPr>
          <w:rFonts w:ascii="Arial" w:hAnsi="Arial" w:cs="Arial"/>
          <w:sz w:val="22"/>
          <w:szCs w:val="22"/>
        </w:rPr>
        <w:t xml:space="preserve">– schválení materiálu vládou a oznámení jména laureátky/laureáta NCV za rok 2025 organizátoru soutěže Česká hlava, společnosti Česká hlava </w:t>
      </w:r>
      <w:r w:rsidRPr="00034310">
        <w:rPr>
          <w:rFonts w:ascii="Arial" w:hAnsi="Arial" w:cs="Arial"/>
          <w:color w:val="000000"/>
          <w:sz w:val="22"/>
          <w:szCs w:val="22"/>
        </w:rPr>
        <w:t>PROJEKT</w:t>
      </w:r>
      <w:r w:rsidRPr="000343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34310">
        <w:rPr>
          <w:rFonts w:ascii="Arial" w:hAnsi="Arial" w:cs="Arial"/>
          <w:sz w:val="22"/>
          <w:szCs w:val="22"/>
        </w:rPr>
        <w:t>z.ú</w:t>
      </w:r>
      <w:proofErr w:type="spellEnd"/>
      <w:r w:rsidRPr="00034310">
        <w:rPr>
          <w:rFonts w:ascii="Arial" w:hAnsi="Arial" w:cs="Arial"/>
          <w:sz w:val="22"/>
          <w:szCs w:val="22"/>
        </w:rPr>
        <w:t xml:space="preserve">. </w:t>
      </w:r>
    </w:p>
    <w:p w14:paraId="20BC54CF" w14:textId="77777777" w:rsidR="00034310" w:rsidRPr="00034310" w:rsidRDefault="00034310" w:rsidP="00034310">
      <w:pPr>
        <w:numPr>
          <w:ilvl w:val="0"/>
          <w:numId w:val="26"/>
        </w:numPr>
        <w:spacing w:before="120"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34310">
        <w:rPr>
          <w:rFonts w:ascii="Arial" w:hAnsi="Arial" w:cs="Arial"/>
          <w:color w:val="0070C0"/>
          <w:sz w:val="22"/>
          <w:szCs w:val="22"/>
        </w:rPr>
        <w:t xml:space="preserve">2. listopad 2025 </w:t>
      </w:r>
      <w:r w:rsidRPr="00034310">
        <w:rPr>
          <w:rFonts w:ascii="Arial" w:hAnsi="Arial" w:cs="Arial"/>
          <w:sz w:val="22"/>
          <w:szCs w:val="22"/>
        </w:rPr>
        <w:t xml:space="preserve">– slavnostní předání NCV v rámci galavečera České televize v prostorách Národního muzea v Praze (místo a termín konání je v jednání) </w:t>
      </w:r>
    </w:p>
    <w:p w14:paraId="3A9511E5" w14:textId="2B2D593A" w:rsidR="008D4308" w:rsidRPr="00493CD2" w:rsidRDefault="008D4308" w:rsidP="00B13622">
      <w:pPr>
        <w:autoSpaceDE w:val="0"/>
        <w:autoSpaceDN w:val="0"/>
        <w:adjustRightInd w:val="0"/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3DC49F3" w14:textId="77777777" w:rsidR="008D4308" w:rsidRDefault="008D4308" w:rsidP="00B13622">
      <w:pPr>
        <w:spacing w:after="240" w:line="276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350D94E4" w14:textId="77777777"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1AB7E87" w14:textId="77777777" w:rsidR="008D3D31" w:rsidRPr="00493CD2" w:rsidRDefault="008D3D31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DB6B9" w14:textId="77777777" w:rsidR="00174770" w:rsidRDefault="00174770" w:rsidP="008F77F6">
      <w:r>
        <w:separator/>
      </w:r>
    </w:p>
  </w:endnote>
  <w:endnote w:type="continuationSeparator" w:id="0">
    <w:p w14:paraId="04D08885" w14:textId="77777777" w:rsidR="00174770" w:rsidRDefault="0017477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7824A314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8CD96A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7656FD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Název materiálu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7BFF6C72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034BA04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034310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2D47F24C" wp14:editId="3C2728B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06163037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969155A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034310" w:rsidRPr="00034310">
                  <w:rPr>
                    <w:rFonts w:ascii="Arial" w:hAnsi="Arial" w:cs="Arial"/>
                    <w:sz w:val="16"/>
                    <w:szCs w:val="16"/>
                  </w:rPr>
                  <w:t>NCV Česká hlava – harmono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>gram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307D4" w14:textId="77777777" w:rsidR="00174770" w:rsidRDefault="00174770" w:rsidP="008F77F6">
      <w:r>
        <w:separator/>
      </w:r>
    </w:p>
  </w:footnote>
  <w:footnote w:type="continuationSeparator" w:id="0">
    <w:p w14:paraId="34DF7CDA" w14:textId="77777777" w:rsidR="00174770" w:rsidRDefault="0017477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708F9CFF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034310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708F9CFF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034310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7"/>
  </w:num>
  <w:num w:numId="12" w16cid:durableId="778766677">
    <w:abstractNumId w:val="21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8185005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23C5B"/>
    <w:rsid w:val="00033327"/>
    <w:rsid w:val="00034310"/>
    <w:rsid w:val="00035EFD"/>
    <w:rsid w:val="00041AC0"/>
    <w:rsid w:val="00043BB4"/>
    <w:rsid w:val="000472F8"/>
    <w:rsid w:val="000549A1"/>
    <w:rsid w:val="00055263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4770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0B2E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837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3537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08E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16BB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359B3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1B4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96946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Kodetová Vendula</cp:lastModifiedBy>
  <cp:revision>2</cp:revision>
  <cp:lastPrinted>2025-04-07T11:33:00Z</cp:lastPrinted>
  <dcterms:created xsi:type="dcterms:W3CDTF">2025-04-08T07:58:00Z</dcterms:created>
  <dcterms:modified xsi:type="dcterms:W3CDTF">2025-04-08T07:58:00Z</dcterms:modified>
</cp:coreProperties>
</file>