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4736B" w14:textId="4AC6E5E9" w:rsidR="00A9457F" w:rsidRPr="00356F53" w:rsidRDefault="0041471F" w:rsidP="00A9457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  <w:r w:rsidRPr="00356F53">
        <w:rPr>
          <w:rFonts w:asciiTheme="minorHAnsi" w:hAnsiTheme="minorHAnsi" w:cstheme="minorHAnsi"/>
          <w:b/>
          <w:bCs/>
        </w:rPr>
        <w:t>I</w:t>
      </w:r>
      <w:r w:rsidR="00356F53" w:rsidRPr="00356F53">
        <w:rPr>
          <w:rFonts w:asciiTheme="minorHAnsi" w:hAnsiTheme="minorHAnsi" w:cstheme="minorHAnsi"/>
          <w:b/>
          <w:bCs/>
        </w:rPr>
        <w:t>.</w:t>
      </w:r>
    </w:p>
    <w:p w14:paraId="210C9003" w14:textId="7833B005" w:rsidR="00A9457F" w:rsidRPr="00C123A3" w:rsidRDefault="00A9457F" w:rsidP="00A9457F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</w:p>
    <w:p w14:paraId="014CA686" w14:textId="1B45DCD2" w:rsidR="00A9457F" w:rsidRPr="00C123A3" w:rsidRDefault="005236B9" w:rsidP="00E8636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Předkládací zpráva</w:t>
      </w:r>
    </w:p>
    <w:p w14:paraId="0B8A833A" w14:textId="77777777" w:rsidR="0075707A" w:rsidRDefault="0075707A" w:rsidP="0041471F">
      <w:pPr>
        <w:spacing w:line="276" w:lineRule="auto"/>
        <w:rPr>
          <w:rFonts w:asciiTheme="minorHAnsi" w:hAnsiTheme="minorHAnsi" w:cstheme="minorHAnsi"/>
        </w:rPr>
      </w:pPr>
    </w:p>
    <w:p w14:paraId="677DB89E" w14:textId="50160A5E" w:rsidR="0041471F" w:rsidRDefault="00310943" w:rsidP="00356F53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540165">
        <w:rPr>
          <w:rFonts w:asciiTheme="minorHAnsi" w:hAnsiTheme="minorHAnsi" w:cstheme="minorHAnsi"/>
        </w:rPr>
        <w:t>Sekce vysokého školství, vědy a výzkumu</w:t>
      </w:r>
      <w:r>
        <w:rPr>
          <w:rFonts w:asciiTheme="minorHAnsi" w:hAnsiTheme="minorHAnsi" w:cstheme="minorHAnsi"/>
        </w:rPr>
        <w:t xml:space="preserve"> Ministerstva školství, mládeže a tělovýchovy (MŠMT) </w:t>
      </w:r>
      <w:r w:rsidRPr="00540165">
        <w:rPr>
          <w:rFonts w:asciiTheme="minorHAnsi" w:hAnsiTheme="minorHAnsi" w:cstheme="minorHAnsi"/>
        </w:rPr>
        <w:t xml:space="preserve"> předkládá </w:t>
      </w:r>
      <w:r>
        <w:rPr>
          <w:rFonts w:asciiTheme="minorHAnsi" w:hAnsiTheme="minorHAnsi" w:cstheme="minorHAnsi"/>
        </w:rPr>
        <w:t xml:space="preserve">vládě </w:t>
      </w:r>
      <w:r w:rsidR="00E74514">
        <w:rPr>
          <w:rFonts w:asciiTheme="minorHAnsi" w:hAnsiTheme="minorHAnsi" w:cstheme="minorHAnsi"/>
        </w:rPr>
        <w:t xml:space="preserve">ČR </w:t>
      </w:r>
      <w:r>
        <w:rPr>
          <w:rFonts w:asciiTheme="minorHAnsi" w:hAnsiTheme="minorHAnsi" w:cstheme="minorHAnsi"/>
        </w:rPr>
        <w:t>pro informaci</w:t>
      </w:r>
      <w:r w:rsidRPr="00540165">
        <w:rPr>
          <w:rFonts w:asciiTheme="minorHAnsi" w:hAnsiTheme="minorHAnsi" w:cstheme="minorHAnsi"/>
        </w:rPr>
        <w:t xml:space="preserve"> materiál </w:t>
      </w:r>
      <w:r w:rsidR="00B57E5F" w:rsidRPr="00540165">
        <w:rPr>
          <w:rFonts w:asciiTheme="minorHAnsi" w:hAnsiTheme="minorHAnsi" w:cstheme="minorHAnsi"/>
        </w:rPr>
        <w:t>č. j. MSMT-</w:t>
      </w:r>
      <w:r w:rsidR="000A09D6" w:rsidRPr="00540165">
        <w:rPr>
          <w:rFonts w:asciiTheme="minorHAnsi" w:hAnsiTheme="minorHAnsi" w:cstheme="minorHAnsi"/>
        </w:rPr>
        <w:t>60</w:t>
      </w:r>
      <w:r w:rsidR="00B25E25" w:rsidRPr="00540165">
        <w:rPr>
          <w:rFonts w:asciiTheme="minorHAnsi" w:hAnsiTheme="minorHAnsi" w:cstheme="minorHAnsi"/>
        </w:rPr>
        <w:t>44</w:t>
      </w:r>
      <w:r w:rsidR="00B57E5F" w:rsidRPr="00540165">
        <w:rPr>
          <w:rFonts w:asciiTheme="minorHAnsi" w:hAnsiTheme="minorHAnsi" w:cstheme="minorHAnsi"/>
        </w:rPr>
        <w:t xml:space="preserve">/2025 s názvem </w:t>
      </w:r>
      <w:r w:rsidR="00082E54" w:rsidRPr="009B5F35">
        <w:rPr>
          <w:rFonts w:asciiTheme="minorHAnsi" w:hAnsiTheme="minorHAnsi" w:cstheme="minorHAnsi"/>
          <w:i/>
          <w:iCs/>
        </w:rPr>
        <w:t>První evaluační zpráva projektu sdílených činností</w:t>
      </w:r>
      <w:r w:rsidR="00082E54">
        <w:rPr>
          <w:rFonts w:asciiTheme="minorHAnsi" w:hAnsiTheme="minorHAnsi" w:cstheme="minorHAnsi"/>
        </w:rPr>
        <w:t xml:space="preserve"> </w:t>
      </w:r>
      <w:r w:rsidR="00082E54">
        <w:rPr>
          <w:rFonts w:asciiTheme="minorHAnsi" w:hAnsiTheme="minorHAnsi" w:cstheme="minorHAnsi"/>
          <w:i/>
          <w:iCs/>
        </w:rPr>
        <w:t xml:space="preserve">„Prohloubení integrace výzkumného a inovačního ekosystému ČR do Evropského výzkumného prostoru a podpora intenzivní mezinárodní spolupráce výzkumných organizací a podniků ČR ve výzkumu, vývoji a inovacích (CZERA)“ </w:t>
      </w:r>
      <w:r w:rsidR="00082E54" w:rsidRPr="00922D80">
        <w:rPr>
          <w:rStyle w:val="Siln"/>
          <w:rFonts w:ascii="Calibri" w:hAnsi="Calibri"/>
          <w:b w:val="0"/>
          <w:i/>
          <w:iCs/>
          <w:caps w:val="0"/>
          <w:szCs w:val="23"/>
        </w:rPr>
        <w:t>za období 2021–2024</w:t>
      </w:r>
      <w:r w:rsidR="00082E54">
        <w:rPr>
          <w:rStyle w:val="Siln"/>
          <w:rFonts w:ascii="Calibri" w:hAnsi="Calibri"/>
          <w:b w:val="0"/>
          <w:i/>
          <w:iCs/>
          <w:caps w:val="0"/>
          <w:szCs w:val="23"/>
        </w:rPr>
        <w:t xml:space="preserve"> </w:t>
      </w:r>
      <w:r w:rsidR="007B5704" w:rsidRPr="00540165">
        <w:rPr>
          <w:rFonts w:asciiTheme="minorHAnsi" w:hAnsiTheme="minorHAnsi" w:cstheme="minorHAnsi"/>
        </w:rPr>
        <w:t>v rámci realizace projektu sdílených činností</w:t>
      </w:r>
      <w:r w:rsidR="00B57E5F" w:rsidRPr="00540165">
        <w:rPr>
          <w:rFonts w:asciiTheme="minorHAnsi" w:hAnsiTheme="minorHAnsi" w:cstheme="minorHAnsi"/>
        </w:rPr>
        <w:t xml:space="preserve"> s identifikačním kódem MS210</w:t>
      </w:r>
      <w:r w:rsidR="00B532A4" w:rsidRPr="00540165">
        <w:rPr>
          <w:rFonts w:asciiTheme="minorHAnsi" w:hAnsiTheme="minorHAnsi" w:cstheme="minorHAnsi"/>
        </w:rPr>
        <w:t>3</w:t>
      </w:r>
      <w:r w:rsidR="00B57E5F" w:rsidRPr="00540165">
        <w:rPr>
          <w:rFonts w:asciiTheme="minorHAnsi" w:hAnsiTheme="minorHAnsi" w:cstheme="minorHAnsi"/>
        </w:rPr>
        <w:t xml:space="preserve">. </w:t>
      </w:r>
      <w:r w:rsidR="00406FA5" w:rsidRPr="00540165">
        <w:rPr>
          <w:rFonts w:asciiTheme="minorHAnsi" w:hAnsiTheme="minorHAnsi" w:cstheme="minorHAnsi"/>
        </w:rPr>
        <w:t xml:space="preserve">Příjemcem podpory je </w:t>
      </w:r>
      <w:r w:rsidR="00B532A4" w:rsidRPr="00540165">
        <w:rPr>
          <w:rFonts w:asciiTheme="minorHAnsi" w:hAnsiTheme="minorHAnsi" w:cstheme="minorHAnsi"/>
        </w:rPr>
        <w:t>Technologické centrum Praha</w:t>
      </w:r>
      <w:r w:rsidR="0011692D" w:rsidRPr="00540165">
        <w:rPr>
          <w:rFonts w:asciiTheme="minorHAnsi" w:hAnsiTheme="minorHAnsi" w:cstheme="minorHAnsi"/>
        </w:rPr>
        <w:t xml:space="preserve"> </w:t>
      </w:r>
      <w:proofErr w:type="spellStart"/>
      <w:r w:rsidR="0011692D" w:rsidRPr="00540165">
        <w:rPr>
          <w:rFonts w:asciiTheme="minorHAnsi" w:hAnsiTheme="minorHAnsi" w:cstheme="minorHAnsi"/>
        </w:rPr>
        <w:t>z.s.p.o</w:t>
      </w:r>
      <w:proofErr w:type="spellEnd"/>
      <w:r w:rsidR="0011692D" w:rsidRPr="00540165">
        <w:rPr>
          <w:rFonts w:asciiTheme="minorHAnsi" w:hAnsiTheme="minorHAnsi" w:cstheme="minorHAnsi"/>
        </w:rPr>
        <w:t>.</w:t>
      </w:r>
      <w:r w:rsidR="00356F53">
        <w:rPr>
          <w:rFonts w:asciiTheme="minorHAnsi" w:hAnsiTheme="minorHAnsi" w:cstheme="minorHAnsi"/>
        </w:rPr>
        <w:t xml:space="preserve"> (TC Praha)</w:t>
      </w:r>
      <w:r w:rsidR="00B532A4" w:rsidRPr="00540165">
        <w:rPr>
          <w:rFonts w:asciiTheme="minorHAnsi" w:hAnsiTheme="minorHAnsi" w:cstheme="minorHAnsi"/>
        </w:rPr>
        <w:t xml:space="preserve">, dalšími účastníky projektu jsou Sociologický ústav AV ČR, </w:t>
      </w:r>
      <w:proofErr w:type="spellStart"/>
      <w:r w:rsidR="00B532A4" w:rsidRPr="00540165">
        <w:rPr>
          <w:rFonts w:asciiTheme="minorHAnsi" w:hAnsiTheme="minorHAnsi" w:cstheme="minorHAnsi"/>
        </w:rPr>
        <w:t>v.v.i</w:t>
      </w:r>
      <w:proofErr w:type="spellEnd"/>
      <w:r w:rsidR="00B532A4" w:rsidRPr="00540165">
        <w:rPr>
          <w:rFonts w:asciiTheme="minorHAnsi" w:hAnsiTheme="minorHAnsi" w:cstheme="minorHAnsi"/>
        </w:rPr>
        <w:t xml:space="preserve">. a Středisko společných činností AV ČR, </w:t>
      </w:r>
      <w:proofErr w:type="spellStart"/>
      <w:r w:rsidR="00B532A4" w:rsidRPr="00540165">
        <w:rPr>
          <w:rFonts w:asciiTheme="minorHAnsi" w:hAnsiTheme="minorHAnsi" w:cstheme="minorHAnsi"/>
        </w:rPr>
        <w:t>v.v.i</w:t>
      </w:r>
      <w:proofErr w:type="spellEnd"/>
      <w:r w:rsidR="00B532A4" w:rsidRPr="00540165">
        <w:rPr>
          <w:rFonts w:asciiTheme="minorHAnsi" w:hAnsiTheme="minorHAnsi" w:cstheme="minorHAnsi"/>
        </w:rPr>
        <w:t>.</w:t>
      </w:r>
      <w:r w:rsidR="00406FA5" w:rsidRPr="00540165">
        <w:rPr>
          <w:rFonts w:asciiTheme="minorHAnsi" w:hAnsiTheme="minorHAnsi" w:cstheme="minorHAnsi"/>
        </w:rPr>
        <w:t xml:space="preserve"> </w:t>
      </w:r>
      <w:r w:rsidR="00356F53">
        <w:rPr>
          <w:rFonts w:asciiTheme="minorHAnsi" w:hAnsiTheme="minorHAnsi" w:cstheme="minorHAnsi"/>
        </w:rPr>
        <w:t xml:space="preserve">Povinnost předložit poskytovateli první evaluační zprávu do 31. 12. 2024 vyplývá z čl. 7 (6) Smlouvy o poskytnutí účelové podpory na realizaci projektu. </w:t>
      </w:r>
      <w:r w:rsidR="007B5704" w:rsidRPr="00540165">
        <w:rPr>
          <w:rFonts w:asciiTheme="minorHAnsi" w:hAnsiTheme="minorHAnsi" w:cstheme="minorHAnsi"/>
        </w:rPr>
        <w:t xml:space="preserve">Tato evaluační zpráva </w:t>
      </w:r>
      <w:r w:rsidR="00AF2296" w:rsidRPr="00540165">
        <w:rPr>
          <w:rFonts w:asciiTheme="minorHAnsi" w:hAnsiTheme="minorHAnsi" w:cstheme="minorHAnsi"/>
        </w:rPr>
        <w:t>pokrývá období od 1. 1. 20</w:t>
      </w:r>
      <w:r w:rsidR="00B532A4" w:rsidRPr="00540165">
        <w:rPr>
          <w:rFonts w:asciiTheme="minorHAnsi" w:hAnsiTheme="minorHAnsi" w:cstheme="minorHAnsi"/>
        </w:rPr>
        <w:t>21</w:t>
      </w:r>
      <w:r w:rsidR="00AF2296" w:rsidRPr="00540165">
        <w:rPr>
          <w:rFonts w:asciiTheme="minorHAnsi" w:hAnsiTheme="minorHAnsi" w:cstheme="minorHAnsi"/>
        </w:rPr>
        <w:t xml:space="preserve"> do 3</w:t>
      </w:r>
      <w:r w:rsidR="00B532A4" w:rsidRPr="00540165">
        <w:rPr>
          <w:rFonts w:asciiTheme="minorHAnsi" w:hAnsiTheme="minorHAnsi" w:cstheme="minorHAnsi"/>
        </w:rPr>
        <w:t>0</w:t>
      </w:r>
      <w:r w:rsidR="00AF2296" w:rsidRPr="00540165">
        <w:rPr>
          <w:rFonts w:asciiTheme="minorHAnsi" w:hAnsiTheme="minorHAnsi" w:cstheme="minorHAnsi"/>
        </w:rPr>
        <w:t>. 1</w:t>
      </w:r>
      <w:r w:rsidR="00B532A4" w:rsidRPr="00540165">
        <w:rPr>
          <w:rFonts w:asciiTheme="minorHAnsi" w:hAnsiTheme="minorHAnsi" w:cstheme="minorHAnsi"/>
        </w:rPr>
        <w:t>1</w:t>
      </w:r>
      <w:r w:rsidR="00AF2296" w:rsidRPr="00540165">
        <w:rPr>
          <w:rFonts w:asciiTheme="minorHAnsi" w:hAnsiTheme="minorHAnsi" w:cstheme="minorHAnsi"/>
        </w:rPr>
        <w:t>. 2024</w:t>
      </w:r>
      <w:r w:rsidR="00406FA5" w:rsidRPr="00540165">
        <w:rPr>
          <w:rFonts w:asciiTheme="minorHAnsi" w:hAnsiTheme="minorHAnsi" w:cstheme="minorHAnsi"/>
        </w:rPr>
        <w:t xml:space="preserve">. </w:t>
      </w:r>
      <w:r w:rsidR="0011692D" w:rsidRPr="00540165">
        <w:rPr>
          <w:rFonts w:asciiTheme="minorHAnsi" w:hAnsiTheme="minorHAnsi" w:cstheme="minorHAnsi"/>
        </w:rPr>
        <w:t xml:space="preserve">Celkový rozpočet na tento projekt za roky </w:t>
      </w:r>
      <w:r w:rsidR="00356F53" w:rsidRPr="00540165">
        <w:rPr>
          <w:rFonts w:asciiTheme="minorHAnsi" w:hAnsiTheme="minorHAnsi" w:cstheme="minorHAnsi"/>
        </w:rPr>
        <w:t>2021–2027</w:t>
      </w:r>
      <w:r w:rsidR="0011692D" w:rsidRPr="00540165">
        <w:rPr>
          <w:rFonts w:asciiTheme="minorHAnsi" w:hAnsiTheme="minorHAnsi" w:cstheme="minorHAnsi"/>
        </w:rPr>
        <w:t xml:space="preserve"> činí 289 886 056,00 Kč.</w:t>
      </w:r>
      <w:r w:rsidR="00540165" w:rsidRPr="00540165">
        <w:rPr>
          <w:rFonts w:asciiTheme="minorHAnsi" w:hAnsiTheme="minorHAnsi" w:cstheme="minorHAnsi"/>
        </w:rPr>
        <w:t xml:space="preserve"> Prostředky finanční podpory, které </w:t>
      </w:r>
      <w:r w:rsidR="0041471F">
        <w:rPr>
          <w:rFonts w:asciiTheme="minorHAnsi" w:hAnsiTheme="minorHAnsi" w:cstheme="minorHAnsi"/>
        </w:rPr>
        <w:t>jsou poskytovány</w:t>
      </w:r>
      <w:r w:rsidR="00540165" w:rsidRPr="00540165">
        <w:rPr>
          <w:rFonts w:asciiTheme="minorHAnsi" w:hAnsiTheme="minorHAnsi" w:cstheme="minorHAnsi"/>
        </w:rPr>
        <w:t xml:space="preserve"> na realizaci projektu </w:t>
      </w:r>
      <w:r w:rsidR="0041471F">
        <w:rPr>
          <w:rFonts w:asciiTheme="minorHAnsi" w:hAnsiTheme="minorHAnsi" w:cstheme="minorHAnsi"/>
        </w:rPr>
        <w:t>jsou hrazeny</w:t>
      </w:r>
      <w:r w:rsidR="00540165" w:rsidRPr="00540165">
        <w:rPr>
          <w:rFonts w:asciiTheme="minorHAnsi" w:hAnsiTheme="minorHAnsi" w:cstheme="minorHAnsi"/>
        </w:rPr>
        <w:t xml:space="preserve"> MŠMT ze zdrojů účelové podpory v rámci výdajů státního rozpočtu ČR na </w:t>
      </w:r>
      <w:proofErr w:type="spellStart"/>
      <w:r w:rsidR="00540165" w:rsidRPr="00540165">
        <w:rPr>
          <w:rFonts w:asciiTheme="minorHAnsi" w:hAnsiTheme="minorHAnsi" w:cstheme="minorHAnsi"/>
        </w:rPr>
        <w:t>VaVaI</w:t>
      </w:r>
      <w:proofErr w:type="spellEnd"/>
      <w:r w:rsidR="00540165">
        <w:rPr>
          <w:rFonts w:asciiTheme="minorHAnsi" w:hAnsiTheme="minorHAnsi" w:cstheme="minorHAnsi"/>
        </w:rPr>
        <w:t>.</w:t>
      </w:r>
    </w:p>
    <w:p w14:paraId="50BB26FF" w14:textId="59442ABC" w:rsidR="0011692D" w:rsidRPr="00540165" w:rsidRDefault="00E9655C" w:rsidP="00356F53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540165">
        <w:rPr>
          <w:rFonts w:asciiTheme="minorHAnsi" w:hAnsiTheme="minorHAnsi" w:cstheme="minorHAnsi"/>
        </w:rPr>
        <w:t>Projekt CZERA byl schválen vládou ČR dne 25. 1. 2021. V každém roce řešení projektu byla zpracována průběžná (roční) zpráva</w:t>
      </w:r>
      <w:r w:rsidR="005D73E1" w:rsidRPr="00540165">
        <w:rPr>
          <w:rFonts w:asciiTheme="minorHAnsi" w:hAnsiTheme="minorHAnsi" w:cstheme="minorHAnsi"/>
        </w:rPr>
        <w:t xml:space="preserve"> o činnostech v rámci implementace projektu</w:t>
      </w:r>
      <w:r w:rsidRPr="00540165">
        <w:rPr>
          <w:rFonts w:asciiTheme="minorHAnsi" w:hAnsiTheme="minorHAnsi" w:cstheme="minorHAnsi"/>
        </w:rPr>
        <w:t>, finanční zpráva</w:t>
      </w:r>
      <w:r w:rsidR="005D73E1" w:rsidRPr="00540165">
        <w:rPr>
          <w:rFonts w:asciiTheme="minorHAnsi" w:hAnsiTheme="minorHAnsi" w:cstheme="minorHAnsi"/>
        </w:rPr>
        <w:t xml:space="preserve"> o čerpání nákladů za daný rok</w:t>
      </w:r>
      <w:r w:rsidRPr="00540165">
        <w:rPr>
          <w:rFonts w:asciiTheme="minorHAnsi" w:hAnsiTheme="minorHAnsi" w:cstheme="minorHAnsi"/>
        </w:rPr>
        <w:t xml:space="preserve"> a</w:t>
      </w:r>
      <w:r w:rsidR="005D73E1" w:rsidRPr="00540165">
        <w:rPr>
          <w:rFonts w:asciiTheme="minorHAnsi" w:hAnsiTheme="minorHAnsi" w:cstheme="minorHAnsi"/>
        </w:rPr>
        <w:t xml:space="preserve"> uskutečnila se 3 zasedání řídícího výboru. </w:t>
      </w:r>
    </w:p>
    <w:p w14:paraId="6F4A948A" w14:textId="238D0873" w:rsidR="00540165" w:rsidRDefault="005D73E1" w:rsidP="00356F53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540165">
        <w:rPr>
          <w:rFonts w:asciiTheme="minorHAnsi" w:hAnsiTheme="minorHAnsi" w:cstheme="minorHAnsi"/>
        </w:rPr>
        <w:t xml:space="preserve">Právním základem projektu je </w:t>
      </w:r>
      <w:proofErr w:type="spellStart"/>
      <w:r w:rsidRPr="00540165">
        <w:rPr>
          <w:rFonts w:asciiTheme="minorHAnsi" w:hAnsiTheme="minorHAnsi" w:cstheme="minorHAnsi"/>
        </w:rPr>
        <w:t>ust</w:t>
      </w:r>
      <w:proofErr w:type="spellEnd"/>
      <w:r w:rsidRPr="00540165">
        <w:rPr>
          <w:rFonts w:asciiTheme="minorHAnsi" w:hAnsiTheme="minorHAnsi" w:cstheme="minorHAnsi"/>
        </w:rPr>
        <w:t xml:space="preserve">. § 2 odst. 2 písm. e) zákona č. 130/2002 Sb., o podpoře výzkumu, experimentálního vývoje a inovací z veřejných prostředků a o změně některých souvisejících zákonů (zákon o podpoře výzkumu, experimentálního vývoje a inovací), ve znění pozdějších předpisů, </w:t>
      </w:r>
      <w:r w:rsidR="0041471F">
        <w:rPr>
          <w:rFonts w:asciiTheme="minorHAnsi" w:hAnsiTheme="minorHAnsi" w:cstheme="minorHAnsi"/>
        </w:rPr>
        <w:t xml:space="preserve">který </w:t>
      </w:r>
      <w:r w:rsidRPr="00540165">
        <w:rPr>
          <w:rFonts w:asciiTheme="minorHAnsi" w:hAnsiTheme="minorHAnsi" w:cstheme="minorHAnsi"/>
        </w:rPr>
        <w:t>definuje projekt sdílených činností jako „</w:t>
      </w:r>
      <w:r w:rsidRPr="00540165">
        <w:rPr>
          <w:rFonts w:asciiTheme="minorHAnsi" w:hAnsiTheme="minorHAnsi" w:cstheme="minorHAnsi"/>
          <w:i/>
        </w:rPr>
        <w:t>podpůrné činnosti, poskytování služeb nebo podpora využívání služeb na celostátní úrovni schválené vládou, které slouží k organizaci nebo zabezpečení výzkumu, vývoje nebo inovací a jsou přístupné orgánům veřejné správy, výzkumným organizacím a dalším osobám zabývajícím se výzkumem, vývojem nebo inovacemi.</w:t>
      </w:r>
      <w:r w:rsidRPr="00540165">
        <w:rPr>
          <w:rFonts w:asciiTheme="minorHAnsi" w:hAnsiTheme="minorHAnsi" w:cstheme="minorHAnsi"/>
        </w:rPr>
        <w:t xml:space="preserve">“ </w:t>
      </w:r>
    </w:p>
    <w:p w14:paraId="678FC12C" w14:textId="7EA35A49" w:rsidR="00540165" w:rsidRPr="00540165" w:rsidRDefault="00540165" w:rsidP="00356F53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540165">
        <w:rPr>
          <w:rFonts w:asciiTheme="minorHAnsi" w:hAnsiTheme="minorHAnsi" w:cstheme="minorHAnsi"/>
        </w:rPr>
        <w:t xml:space="preserve">Projekt sdílených činností je implementován v souladu se strategickými a koncepčními dokumenty vlády ČR stanovujícími politické směřování, co do rozvoje agendy </w:t>
      </w:r>
      <w:proofErr w:type="spellStart"/>
      <w:r w:rsidRPr="00540165">
        <w:rPr>
          <w:rFonts w:asciiTheme="minorHAnsi" w:hAnsiTheme="minorHAnsi" w:cstheme="minorHAnsi"/>
        </w:rPr>
        <w:t>VaVaI</w:t>
      </w:r>
      <w:proofErr w:type="spellEnd"/>
      <w:r w:rsidRPr="00540165">
        <w:rPr>
          <w:rFonts w:asciiTheme="minorHAnsi" w:hAnsiTheme="minorHAnsi" w:cstheme="minorHAnsi"/>
        </w:rPr>
        <w:t xml:space="preserve"> v ČR. Primárně se jedná o Inovační strategii ČR pro léta 2019 až 2030 a Národní politiku </w:t>
      </w:r>
      <w:proofErr w:type="spellStart"/>
      <w:r w:rsidRPr="00540165">
        <w:rPr>
          <w:rFonts w:asciiTheme="minorHAnsi" w:hAnsiTheme="minorHAnsi" w:cstheme="minorHAnsi"/>
        </w:rPr>
        <w:t>VaVaI</w:t>
      </w:r>
      <w:proofErr w:type="spellEnd"/>
      <w:r w:rsidRPr="00540165">
        <w:rPr>
          <w:rFonts w:asciiTheme="minorHAnsi" w:hAnsiTheme="minorHAnsi" w:cstheme="minorHAnsi"/>
        </w:rPr>
        <w:t xml:space="preserve"> ČR pro léta 2021+. Projekt CZERA je realizován komplementárním způsobem k dalším projektům sdílených činností (tj. STRATIN+</w:t>
      </w:r>
      <w:r w:rsidR="0041471F">
        <w:rPr>
          <w:rFonts w:asciiTheme="minorHAnsi" w:hAnsiTheme="minorHAnsi" w:cstheme="minorHAnsi"/>
        </w:rPr>
        <w:t xml:space="preserve"> a</w:t>
      </w:r>
      <w:r w:rsidRPr="00540165">
        <w:rPr>
          <w:rFonts w:asciiTheme="minorHAnsi" w:hAnsiTheme="minorHAnsi" w:cstheme="minorHAnsi"/>
        </w:rPr>
        <w:t xml:space="preserve"> CZELO). Na aktivity v rámci tohoto projektu dohlíží řídicí výbor tak, aby nedocházelo k překryvům či duplicitám. </w:t>
      </w:r>
    </w:p>
    <w:p w14:paraId="5A97C260" w14:textId="28308A0B" w:rsidR="005D73E1" w:rsidRPr="00540165" w:rsidRDefault="005D73E1" w:rsidP="00356F53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540165">
        <w:rPr>
          <w:rFonts w:asciiTheme="minorHAnsi" w:hAnsiTheme="minorHAnsi" w:cstheme="minorHAnsi"/>
        </w:rPr>
        <w:t xml:space="preserve">Projekt poskytuje orgánům státní správy ČR zodpovědným za výkon agendy </w:t>
      </w:r>
      <w:proofErr w:type="spellStart"/>
      <w:r w:rsidRPr="00540165">
        <w:rPr>
          <w:rFonts w:asciiTheme="minorHAnsi" w:hAnsiTheme="minorHAnsi" w:cstheme="minorHAnsi"/>
        </w:rPr>
        <w:t>VaVaI</w:t>
      </w:r>
      <w:proofErr w:type="spellEnd"/>
      <w:r w:rsidRPr="00540165">
        <w:rPr>
          <w:rFonts w:asciiTheme="minorHAnsi" w:hAnsiTheme="minorHAnsi" w:cstheme="minorHAnsi"/>
        </w:rPr>
        <w:t xml:space="preserve"> a zejména výzkumným organizacím a podnikům ČR expertní podporu, jež </w:t>
      </w:r>
      <w:r w:rsidR="007F525D" w:rsidRPr="00540165">
        <w:rPr>
          <w:rFonts w:asciiTheme="minorHAnsi" w:hAnsiTheme="minorHAnsi" w:cstheme="minorHAnsi"/>
        </w:rPr>
        <w:t>by měla vést k zintenzivnění</w:t>
      </w:r>
      <w:r w:rsidRPr="00540165">
        <w:rPr>
          <w:rFonts w:asciiTheme="minorHAnsi" w:hAnsiTheme="minorHAnsi" w:cstheme="minorHAnsi"/>
        </w:rPr>
        <w:t xml:space="preserve"> účast</w:t>
      </w:r>
      <w:r w:rsidR="007F525D" w:rsidRPr="00540165">
        <w:rPr>
          <w:rFonts w:asciiTheme="minorHAnsi" w:hAnsiTheme="minorHAnsi" w:cstheme="minorHAnsi"/>
        </w:rPr>
        <w:t>i</w:t>
      </w:r>
      <w:r w:rsidRPr="00540165">
        <w:rPr>
          <w:rFonts w:asciiTheme="minorHAnsi" w:hAnsiTheme="minorHAnsi" w:cstheme="minorHAnsi"/>
        </w:rPr>
        <w:t xml:space="preserve"> subjektů ČR v</w:t>
      </w:r>
      <w:r w:rsidR="00101030" w:rsidRPr="00540165">
        <w:rPr>
          <w:rFonts w:asciiTheme="minorHAnsi" w:hAnsiTheme="minorHAnsi" w:cstheme="minorHAnsi"/>
        </w:rPr>
        <w:t> evropském rámcovém programu pro výzkum a inovace</w:t>
      </w:r>
      <w:r w:rsidRPr="00540165">
        <w:rPr>
          <w:rFonts w:asciiTheme="minorHAnsi" w:hAnsiTheme="minorHAnsi" w:cstheme="minorHAnsi"/>
        </w:rPr>
        <w:t xml:space="preserve"> a dalších mezinárodních iniciativách a programech </w:t>
      </w:r>
      <w:proofErr w:type="spellStart"/>
      <w:r w:rsidRPr="00540165">
        <w:rPr>
          <w:rFonts w:asciiTheme="minorHAnsi" w:hAnsiTheme="minorHAnsi" w:cstheme="minorHAnsi"/>
        </w:rPr>
        <w:t>VaVaI</w:t>
      </w:r>
      <w:proofErr w:type="spellEnd"/>
      <w:r w:rsidRPr="00540165">
        <w:rPr>
          <w:rFonts w:asciiTheme="minorHAnsi" w:hAnsiTheme="minorHAnsi" w:cstheme="minorHAnsi"/>
        </w:rPr>
        <w:t>.</w:t>
      </w:r>
    </w:p>
    <w:p w14:paraId="49FC17B4" w14:textId="769FEEF9" w:rsidR="005D73E1" w:rsidRPr="00540165" w:rsidRDefault="007F525D" w:rsidP="00356F53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540165">
        <w:rPr>
          <w:rFonts w:asciiTheme="minorHAnsi" w:hAnsiTheme="minorHAnsi" w:cstheme="minorHAnsi"/>
        </w:rPr>
        <w:lastRenderedPageBreak/>
        <w:t>Evaluační zpráva popisuje plnění cílů projektu za uvedené roky v rámci jednotlivých modulů, tj. aktivity Národního informačního centra pro evropský výzkum při TC Praha – NICER</w:t>
      </w:r>
      <w:r w:rsidR="00E46466" w:rsidRPr="00540165">
        <w:rPr>
          <w:rFonts w:asciiTheme="minorHAnsi" w:hAnsiTheme="minorHAnsi" w:cstheme="minorHAnsi"/>
        </w:rPr>
        <w:t xml:space="preserve"> (pod vedením TC Praha)</w:t>
      </w:r>
      <w:r w:rsidRPr="00540165">
        <w:rPr>
          <w:rFonts w:asciiTheme="minorHAnsi" w:hAnsiTheme="minorHAnsi" w:cstheme="minorHAnsi"/>
        </w:rPr>
        <w:t>, aktivity Národního kontaktního centra (NKC) – gender a věda pro oblast gen</w:t>
      </w:r>
      <w:r w:rsidR="00E46466" w:rsidRPr="00540165">
        <w:rPr>
          <w:rFonts w:asciiTheme="minorHAnsi" w:hAnsiTheme="minorHAnsi" w:cstheme="minorHAnsi"/>
        </w:rPr>
        <w:t>der</w:t>
      </w:r>
      <w:r w:rsidRPr="00540165">
        <w:rPr>
          <w:rFonts w:asciiTheme="minorHAnsi" w:hAnsiTheme="minorHAnsi" w:cstheme="minorHAnsi"/>
        </w:rPr>
        <w:t xml:space="preserve">ové rovnosti a genderového </w:t>
      </w:r>
      <w:proofErr w:type="spellStart"/>
      <w:r w:rsidRPr="00540165">
        <w:rPr>
          <w:rFonts w:asciiTheme="minorHAnsi" w:hAnsiTheme="minorHAnsi" w:cstheme="minorHAnsi"/>
        </w:rPr>
        <w:t>mainstreaming</w:t>
      </w:r>
      <w:r w:rsidR="005D32C7" w:rsidRPr="00540165">
        <w:rPr>
          <w:rFonts w:asciiTheme="minorHAnsi" w:hAnsiTheme="minorHAnsi" w:cstheme="minorHAnsi"/>
        </w:rPr>
        <w:t>u</w:t>
      </w:r>
      <w:proofErr w:type="spellEnd"/>
      <w:r w:rsidRPr="00540165">
        <w:rPr>
          <w:rFonts w:asciiTheme="minorHAnsi" w:hAnsiTheme="minorHAnsi" w:cstheme="minorHAnsi"/>
        </w:rPr>
        <w:t xml:space="preserve"> v Horizontu Evropa</w:t>
      </w:r>
      <w:r w:rsidR="00E46466" w:rsidRPr="00540165">
        <w:rPr>
          <w:rFonts w:asciiTheme="minorHAnsi" w:hAnsiTheme="minorHAnsi" w:cstheme="minorHAnsi"/>
        </w:rPr>
        <w:t xml:space="preserve"> (pod vedením Sociologického ústavu AV ČR)</w:t>
      </w:r>
      <w:r w:rsidR="005D32C7" w:rsidRPr="00540165">
        <w:rPr>
          <w:rFonts w:asciiTheme="minorHAnsi" w:hAnsiTheme="minorHAnsi" w:cstheme="minorHAnsi"/>
        </w:rPr>
        <w:t xml:space="preserve"> a aktivit střediska EURAXESS ČR</w:t>
      </w:r>
      <w:r w:rsidR="00E46466" w:rsidRPr="00540165">
        <w:rPr>
          <w:rFonts w:asciiTheme="minorHAnsi" w:hAnsiTheme="minorHAnsi" w:cstheme="minorHAnsi"/>
        </w:rPr>
        <w:t xml:space="preserve"> (pod vedením Střediska společných činností AV ČR)</w:t>
      </w:r>
      <w:r w:rsidR="005D32C7" w:rsidRPr="00540165">
        <w:rPr>
          <w:rFonts w:asciiTheme="minorHAnsi" w:hAnsiTheme="minorHAnsi" w:cstheme="minorHAnsi"/>
        </w:rPr>
        <w:t xml:space="preserve">, které poskytuje informace související se vstupními podmínkami do ČR pro zahraniční vědce a vědkyně a </w:t>
      </w:r>
      <w:r w:rsidR="0041471F">
        <w:rPr>
          <w:rFonts w:asciiTheme="minorHAnsi" w:hAnsiTheme="minorHAnsi" w:cstheme="minorHAnsi"/>
        </w:rPr>
        <w:t>napomáhá jim se</w:t>
      </w:r>
      <w:r w:rsidR="005D32C7" w:rsidRPr="00540165">
        <w:rPr>
          <w:rFonts w:asciiTheme="minorHAnsi" w:hAnsiTheme="minorHAnsi" w:cstheme="minorHAnsi"/>
        </w:rPr>
        <w:t xml:space="preserve"> všemi praktickými aspekty života v ČR. </w:t>
      </w:r>
    </w:p>
    <w:p w14:paraId="1B3159C3" w14:textId="56337985" w:rsidR="00540165" w:rsidRDefault="005D73E1" w:rsidP="00356F53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540165">
        <w:rPr>
          <w:rFonts w:asciiTheme="minorHAnsi" w:hAnsiTheme="minorHAnsi" w:cstheme="minorHAnsi"/>
        </w:rPr>
        <w:t xml:space="preserve">Veškeré služby a výstupy projektu CZERA </w:t>
      </w:r>
      <w:r w:rsidR="00E46466" w:rsidRPr="00540165">
        <w:rPr>
          <w:rFonts w:asciiTheme="minorHAnsi" w:hAnsiTheme="minorHAnsi" w:cstheme="minorHAnsi"/>
        </w:rPr>
        <w:t>jsou</w:t>
      </w:r>
      <w:r w:rsidRPr="00540165">
        <w:rPr>
          <w:rFonts w:asciiTheme="minorHAnsi" w:hAnsiTheme="minorHAnsi" w:cstheme="minorHAnsi"/>
        </w:rPr>
        <w:t xml:space="preserve"> poskytovány všem skupinám uživatelů bezplatně. Nabídka služeb </w:t>
      </w:r>
      <w:r w:rsidR="00E46466" w:rsidRPr="00540165">
        <w:rPr>
          <w:rFonts w:asciiTheme="minorHAnsi" w:hAnsiTheme="minorHAnsi" w:cstheme="minorHAnsi"/>
        </w:rPr>
        <w:t>je</w:t>
      </w:r>
      <w:r w:rsidRPr="00540165">
        <w:rPr>
          <w:rFonts w:asciiTheme="minorHAnsi" w:hAnsiTheme="minorHAnsi" w:cstheme="minorHAnsi"/>
        </w:rPr>
        <w:t xml:space="preserve"> zveřejněna a šířena prostřednictvím komunikačních nástrojů projektu (tzn., web, sociální sítě, newslettery, elektronické letáky, přímá komunikace e-mailem směrem k relevantním cílovým skupinám). </w:t>
      </w:r>
      <w:r w:rsidR="00540165" w:rsidRPr="00540165">
        <w:rPr>
          <w:rFonts w:asciiTheme="minorHAnsi" w:hAnsiTheme="minorHAnsi" w:cstheme="minorHAnsi"/>
        </w:rPr>
        <w:t>Evaluační zpráva podává informace o</w:t>
      </w:r>
      <w:r w:rsidR="00356F53">
        <w:rPr>
          <w:rFonts w:asciiTheme="minorHAnsi" w:hAnsiTheme="minorHAnsi" w:cstheme="minorHAnsi"/>
        </w:rPr>
        <w:t> </w:t>
      </w:r>
      <w:r w:rsidR="00540165" w:rsidRPr="00540165">
        <w:rPr>
          <w:rFonts w:asciiTheme="minorHAnsi" w:hAnsiTheme="minorHAnsi" w:cstheme="minorHAnsi"/>
        </w:rPr>
        <w:t xml:space="preserve">konkrétních aktivitách v rámci projektu za dané období u všech tří řešitelů projektu. Hlavním cílem projektu je zajistit expertní zázemí pro zvýšení účasti a úspěšnosti ČR v rámcových programech pro výzkum a inovace a posílit míru internacionalizace českého </w:t>
      </w:r>
      <w:proofErr w:type="spellStart"/>
      <w:r w:rsidR="00540165" w:rsidRPr="00540165">
        <w:rPr>
          <w:rFonts w:asciiTheme="minorHAnsi" w:hAnsiTheme="minorHAnsi" w:cstheme="minorHAnsi"/>
        </w:rPr>
        <w:t>VaVaI</w:t>
      </w:r>
      <w:proofErr w:type="spellEnd"/>
      <w:r w:rsidR="00540165" w:rsidRPr="00540165">
        <w:rPr>
          <w:rFonts w:asciiTheme="minorHAnsi" w:hAnsiTheme="minorHAnsi" w:cstheme="minorHAnsi"/>
        </w:rPr>
        <w:t xml:space="preserve">, zlepšit jeho kvalitu a výkonnost. </w:t>
      </w:r>
    </w:p>
    <w:p w14:paraId="43ABA015" w14:textId="5137280C" w:rsidR="00540165" w:rsidRPr="00540165" w:rsidRDefault="00540165" w:rsidP="00356F53">
      <w:pPr>
        <w:spacing w:after="12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Evaluační zpráva byla projednán</w:t>
      </w:r>
      <w:r w:rsidR="00F406E7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řídícím výborem</w:t>
      </w:r>
      <w:r w:rsidR="00EF36F6">
        <w:rPr>
          <w:rFonts w:asciiTheme="minorHAnsi" w:hAnsiTheme="minorHAnsi" w:cstheme="minorHAnsi"/>
        </w:rPr>
        <w:t xml:space="preserve"> CZERA</w:t>
      </w:r>
      <w:r>
        <w:rPr>
          <w:rFonts w:asciiTheme="minorHAnsi" w:hAnsiTheme="minorHAnsi" w:cstheme="minorHAnsi"/>
        </w:rPr>
        <w:t xml:space="preserve"> na základě dvou oponentních posudků</w:t>
      </w:r>
      <w:r w:rsidR="00FD3605">
        <w:rPr>
          <w:rFonts w:asciiTheme="minorHAnsi" w:hAnsiTheme="minorHAnsi" w:cstheme="minorHAnsi"/>
        </w:rPr>
        <w:t xml:space="preserve"> dne 4. 2. 2025, přičemž v jednom případě byl </w:t>
      </w:r>
      <w:r w:rsidR="00EF36F6">
        <w:rPr>
          <w:rFonts w:asciiTheme="minorHAnsi" w:hAnsiTheme="minorHAnsi" w:cstheme="minorHAnsi"/>
        </w:rPr>
        <w:t xml:space="preserve">projekt </w:t>
      </w:r>
      <w:r w:rsidR="00FD3605">
        <w:rPr>
          <w:rFonts w:asciiTheme="minorHAnsi" w:hAnsiTheme="minorHAnsi" w:cstheme="minorHAnsi"/>
        </w:rPr>
        <w:t xml:space="preserve">ohodnocen stupněm V (dosáhl vynikajících výsledků mezinárodního významu) a v jednom případě stupněm U (uspěl podle zadání). Zápis z tohoto jednání tvoří </w:t>
      </w:r>
      <w:r w:rsidR="00EF36F6">
        <w:rPr>
          <w:rFonts w:asciiTheme="minorHAnsi" w:hAnsiTheme="minorHAnsi" w:cstheme="minorHAnsi"/>
        </w:rPr>
        <w:t>součást tohoto</w:t>
      </w:r>
      <w:r w:rsidR="00FD3605">
        <w:rPr>
          <w:rFonts w:asciiTheme="minorHAnsi" w:hAnsiTheme="minorHAnsi" w:cstheme="minorHAnsi"/>
        </w:rPr>
        <w:t xml:space="preserve"> materiálu</w:t>
      </w:r>
      <w:r w:rsidR="007E7AB8">
        <w:rPr>
          <w:rFonts w:asciiTheme="minorHAnsi" w:hAnsiTheme="minorHAnsi" w:cstheme="minorHAnsi"/>
        </w:rPr>
        <w:t>.</w:t>
      </w:r>
    </w:p>
    <w:p w14:paraId="6AD86C64" w14:textId="4F4D4968" w:rsidR="005D73E1" w:rsidRPr="00540165" w:rsidRDefault="005D73E1" w:rsidP="0041471F">
      <w:pPr>
        <w:spacing w:line="276" w:lineRule="auto"/>
        <w:jc w:val="both"/>
        <w:rPr>
          <w:rFonts w:asciiTheme="minorHAnsi" w:hAnsiTheme="minorHAnsi" w:cstheme="minorHAnsi"/>
        </w:rPr>
      </w:pPr>
    </w:p>
    <w:p w14:paraId="37A69107" w14:textId="77777777" w:rsidR="00540165" w:rsidRPr="00540165" w:rsidRDefault="00540165" w:rsidP="0041471F">
      <w:pPr>
        <w:spacing w:line="276" w:lineRule="auto"/>
        <w:jc w:val="both"/>
        <w:rPr>
          <w:rFonts w:asciiTheme="minorHAnsi" w:hAnsiTheme="minorHAnsi" w:cstheme="minorHAnsi"/>
        </w:rPr>
      </w:pPr>
    </w:p>
    <w:p w14:paraId="7DCE22C3" w14:textId="77777777" w:rsidR="00540165" w:rsidRPr="00540165" w:rsidRDefault="00540165" w:rsidP="0041471F">
      <w:pPr>
        <w:spacing w:line="276" w:lineRule="auto"/>
        <w:jc w:val="both"/>
        <w:rPr>
          <w:rFonts w:asciiTheme="minorHAnsi" w:eastAsia="Calibri" w:hAnsiTheme="minorHAnsi" w:cstheme="minorHAnsi"/>
        </w:rPr>
      </w:pPr>
    </w:p>
    <w:sectPr w:rsidR="00540165" w:rsidRPr="005401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73626" w14:textId="77777777" w:rsidR="00EA36DA" w:rsidRDefault="00EA36DA" w:rsidP="00A9457F">
      <w:r>
        <w:separator/>
      </w:r>
    </w:p>
  </w:endnote>
  <w:endnote w:type="continuationSeparator" w:id="0">
    <w:p w14:paraId="0649A65C" w14:textId="77777777" w:rsidR="00EA36DA" w:rsidRDefault="00EA36DA" w:rsidP="00A94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09735" w14:textId="77777777" w:rsidR="00EA36DA" w:rsidRDefault="00EA36DA" w:rsidP="00A9457F">
      <w:r>
        <w:separator/>
      </w:r>
    </w:p>
  </w:footnote>
  <w:footnote w:type="continuationSeparator" w:id="0">
    <w:p w14:paraId="163DD376" w14:textId="77777777" w:rsidR="00EA36DA" w:rsidRDefault="00EA36DA" w:rsidP="00A945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E23CE"/>
    <w:multiLevelType w:val="hybridMultilevel"/>
    <w:tmpl w:val="5882C9A6"/>
    <w:lvl w:ilvl="0" w:tplc="8088A6B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1B04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5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5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5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5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40648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A4E"/>
    <w:rsid w:val="00016781"/>
    <w:rsid w:val="00025728"/>
    <w:rsid w:val="000403D9"/>
    <w:rsid w:val="0007231A"/>
    <w:rsid w:val="00082E54"/>
    <w:rsid w:val="0008503C"/>
    <w:rsid w:val="00097EFF"/>
    <w:rsid w:val="000A09D6"/>
    <w:rsid w:val="000B05FC"/>
    <w:rsid w:val="000B5F57"/>
    <w:rsid w:val="00101030"/>
    <w:rsid w:val="00101A65"/>
    <w:rsid w:val="001075B3"/>
    <w:rsid w:val="0011692D"/>
    <w:rsid w:val="00143390"/>
    <w:rsid w:val="00143A4E"/>
    <w:rsid w:val="00165F09"/>
    <w:rsid w:val="0019510F"/>
    <w:rsid w:val="00196A7C"/>
    <w:rsid w:val="001B5BB5"/>
    <w:rsid w:val="001C152E"/>
    <w:rsid w:val="001E57A0"/>
    <w:rsid w:val="00223889"/>
    <w:rsid w:val="00285B92"/>
    <w:rsid w:val="002B7C09"/>
    <w:rsid w:val="002E348B"/>
    <w:rsid w:val="00310943"/>
    <w:rsid w:val="00335822"/>
    <w:rsid w:val="00351F26"/>
    <w:rsid w:val="00356F53"/>
    <w:rsid w:val="00360B7F"/>
    <w:rsid w:val="003748FD"/>
    <w:rsid w:val="00395C0A"/>
    <w:rsid w:val="003B4D74"/>
    <w:rsid w:val="003D682B"/>
    <w:rsid w:val="00400DDA"/>
    <w:rsid w:val="00406FA5"/>
    <w:rsid w:val="0041471F"/>
    <w:rsid w:val="00422BB4"/>
    <w:rsid w:val="00443292"/>
    <w:rsid w:val="0044484E"/>
    <w:rsid w:val="00455DEF"/>
    <w:rsid w:val="0045796A"/>
    <w:rsid w:val="004B1E0B"/>
    <w:rsid w:val="004B6C69"/>
    <w:rsid w:val="004D225B"/>
    <w:rsid w:val="004D2429"/>
    <w:rsid w:val="004E026C"/>
    <w:rsid w:val="00512EC9"/>
    <w:rsid w:val="005134C6"/>
    <w:rsid w:val="005236B9"/>
    <w:rsid w:val="0053502A"/>
    <w:rsid w:val="00540165"/>
    <w:rsid w:val="00541ADB"/>
    <w:rsid w:val="00543C8D"/>
    <w:rsid w:val="00583631"/>
    <w:rsid w:val="005B2F6A"/>
    <w:rsid w:val="005C2F12"/>
    <w:rsid w:val="005D32C7"/>
    <w:rsid w:val="005D73E1"/>
    <w:rsid w:val="0060033A"/>
    <w:rsid w:val="00626D81"/>
    <w:rsid w:val="00633320"/>
    <w:rsid w:val="0064283A"/>
    <w:rsid w:val="00643524"/>
    <w:rsid w:val="00660A97"/>
    <w:rsid w:val="00667990"/>
    <w:rsid w:val="006968B2"/>
    <w:rsid w:val="006C7BCF"/>
    <w:rsid w:val="00707B09"/>
    <w:rsid w:val="00726675"/>
    <w:rsid w:val="00744FE7"/>
    <w:rsid w:val="0075707A"/>
    <w:rsid w:val="00794D4F"/>
    <w:rsid w:val="00796848"/>
    <w:rsid w:val="007A5C5A"/>
    <w:rsid w:val="007B5704"/>
    <w:rsid w:val="007D4147"/>
    <w:rsid w:val="007E7AB8"/>
    <w:rsid w:val="007F3D9C"/>
    <w:rsid w:val="007F525D"/>
    <w:rsid w:val="007F5CE3"/>
    <w:rsid w:val="0080585F"/>
    <w:rsid w:val="00860399"/>
    <w:rsid w:val="0087680D"/>
    <w:rsid w:val="00885D19"/>
    <w:rsid w:val="00896B4D"/>
    <w:rsid w:val="008A3BC0"/>
    <w:rsid w:val="008A77A2"/>
    <w:rsid w:val="008B6E84"/>
    <w:rsid w:val="008D2496"/>
    <w:rsid w:val="008D47BC"/>
    <w:rsid w:val="0090548C"/>
    <w:rsid w:val="0091717F"/>
    <w:rsid w:val="0093036D"/>
    <w:rsid w:val="00941338"/>
    <w:rsid w:val="009416C6"/>
    <w:rsid w:val="00947ADC"/>
    <w:rsid w:val="009625E9"/>
    <w:rsid w:val="009B06EA"/>
    <w:rsid w:val="009D42F3"/>
    <w:rsid w:val="00A10698"/>
    <w:rsid w:val="00A33D6D"/>
    <w:rsid w:val="00A45ED9"/>
    <w:rsid w:val="00A547D0"/>
    <w:rsid w:val="00A9457F"/>
    <w:rsid w:val="00AC2CC8"/>
    <w:rsid w:val="00AD0C6D"/>
    <w:rsid w:val="00AF2296"/>
    <w:rsid w:val="00B13CB1"/>
    <w:rsid w:val="00B17530"/>
    <w:rsid w:val="00B2202A"/>
    <w:rsid w:val="00B25E25"/>
    <w:rsid w:val="00B532A4"/>
    <w:rsid w:val="00B57E5F"/>
    <w:rsid w:val="00B61A5D"/>
    <w:rsid w:val="00B629E7"/>
    <w:rsid w:val="00B803F1"/>
    <w:rsid w:val="00C07598"/>
    <w:rsid w:val="00C123A3"/>
    <w:rsid w:val="00C27BA3"/>
    <w:rsid w:val="00C6657E"/>
    <w:rsid w:val="00C75961"/>
    <w:rsid w:val="00C8435D"/>
    <w:rsid w:val="00CD56FC"/>
    <w:rsid w:val="00D43D9C"/>
    <w:rsid w:val="00D57457"/>
    <w:rsid w:val="00D64E6A"/>
    <w:rsid w:val="00DA5C54"/>
    <w:rsid w:val="00DC084B"/>
    <w:rsid w:val="00DC354D"/>
    <w:rsid w:val="00DC51F7"/>
    <w:rsid w:val="00DE10F4"/>
    <w:rsid w:val="00E11913"/>
    <w:rsid w:val="00E46466"/>
    <w:rsid w:val="00E74514"/>
    <w:rsid w:val="00E77483"/>
    <w:rsid w:val="00E8636C"/>
    <w:rsid w:val="00E924C3"/>
    <w:rsid w:val="00E9655C"/>
    <w:rsid w:val="00EA2C89"/>
    <w:rsid w:val="00EA36DA"/>
    <w:rsid w:val="00EC042A"/>
    <w:rsid w:val="00EC1E13"/>
    <w:rsid w:val="00EC3EB1"/>
    <w:rsid w:val="00EC7A5E"/>
    <w:rsid w:val="00EE316D"/>
    <w:rsid w:val="00EF36F6"/>
    <w:rsid w:val="00F101D4"/>
    <w:rsid w:val="00F369EB"/>
    <w:rsid w:val="00F406E7"/>
    <w:rsid w:val="00F4274F"/>
    <w:rsid w:val="00F720C8"/>
    <w:rsid w:val="00FA0C5B"/>
    <w:rsid w:val="00FB1648"/>
    <w:rsid w:val="00FD3605"/>
    <w:rsid w:val="00FF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D3BD66"/>
  <w15:chartTrackingRefBased/>
  <w15:docId w15:val="{C10156DC-3415-4D88-8BB3-9620DE133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3A4E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395C0A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uiPriority w:val="99"/>
    <w:unhideWhenUsed/>
    <w:rsid w:val="00A9457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9457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9457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457F"/>
    <w:rPr>
      <w:rFonts w:ascii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96B4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C7BC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7BCF"/>
    <w:rPr>
      <w:rFonts w:ascii="Segoe UI" w:hAnsi="Segoe UI" w:cs="Segoe UI"/>
      <w:sz w:val="18"/>
      <w:szCs w:val="18"/>
      <w:lang w:eastAsia="cs-CZ"/>
    </w:rPr>
  </w:style>
  <w:style w:type="character" w:styleId="Siln">
    <w:name w:val="Strong"/>
    <w:uiPriority w:val="22"/>
    <w:qFormat/>
    <w:rsid w:val="00082E54"/>
    <w:rPr>
      <w:rFonts w:asciiTheme="minorHAnsi" w:hAnsiTheme="minorHAnsi" w:cstheme="minorHAnsi"/>
      <w:b/>
      <w:caps/>
      <w:smallCaps w:val="0"/>
      <w:strike w:val="0"/>
      <w:dstrike w:val="0"/>
      <w:vanish w:val="0"/>
      <w:sz w:val="23"/>
      <w:szCs w:val="22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0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650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Beránková Zuzana</dc:creator>
  <cp:keywords/>
  <dc:description/>
  <cp:lastModifiedBy>Núňez Tayupanta Lucie</cp:lastModifiedBy>
  <cp:revision>10</cp:revision>
  <dcterms:created xsi:type="dcterms:W3CDTF">2025-03-11T12:24:00Z</dcterms:created>
  <dcterms:modified xsi:type="dcterms:W3CDTF">2025-04-07T11:53:00Z</dcterms:modified>
</cp:coreProperties>
</file>