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337"/>
      </w:tblGrid>
      <w:tr w:rsidR="005241A2" w:rsidRPr="00DE2BC0" w14:paraId="4804DF3D" w14:textId="77777777" w:rsidTr="005241A2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60E08D09" w:rsidR="005241A2" w:rsidRPr="00BF1C46" w:rsidRDefault="00D80393" w:rsidP="00B05EAF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 w:rsidRPr="00D80393">
              <w:rPr>
                <w:b/>
                <w:bCs/>
                <w:color w:val="0070C0"/>
                <w:sz w:val="28"/>
                <w:szCs w:val="28"/>
              </w:rPr>
              <w:t>Souhrnná informace o hodnocení v</w:t>
            </w:r>
            <w:r w:rsidR="008949EB">
              <w:rPr>
                <w:b/>
                <w:bCs/>
                <w:color w:val="0070C0"/>
                <w:sz w:val="28"/>
                <w:szCs w:val="28"/>
              </w:rPr>
              <w:t> </w:t>
            </w:r>
            <w:r w:rsidRPr="00D80393">
              <w:rPr>
                <w:b/>
                <w:bCs/>
                <w:color w:val="0070C0"/>
                <w:sz w:val="28"/>
                <w:szCs w:val="28"/>
              </w:rPr>
              <w:t>Modulu 1 a 2 v roce 2025</w:t>
            </w:r>
          </w:p>
        </w:tc>
        <w:tc>
          <w:tcPr>
            <w:tcW w:w="33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44BF2FAD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B05EAF">
              <w:rPr>
                <w:b/>
                <w:color w:val="0070C0"/>
                <w:sz w:val="28"/>
                <w:szCs w:val="28"/>
              </w:rPr>
              <w:t>1</w:t>
            </w:r>
            <w:r w:rsidR="00D80393">
              <w:rPr>
                <w:b/>
                <w:color w:val="0070C0"/>
                <w:sz w:val="28"/>
                <w:szCs w:val="28"/>
              </w:rPr>
              <w:t>3</w:t>
            </w:r>
            <w:r>
              <w:rPr>
                <w:b/>
                <w:color w:val="0070C0"/>
                <w:sz w:val="28"/>
                <w:szCs w:val="28"/>
              </w:rPr>
              <w:t>/A</w:t>
            </w:r>
            <w:r w:rsidR="00D80393">
              <w:rPr>
                <w:b/>
                <w:color w:val="0070C0"/>
                <w:sz w:val="28"/>
                <w:szCs w:val="28"/>
              </w:rPr>
              <w:t>7</w:t>
            </w:r>
          </w:p>
        </w:tc>
      </w:tr>
      <w:tr w:rsidR="005241A2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bottom"/>
          </w:tcPr>
          <w:p w14:paraId="3B1A4FD6" w14:textId="683F05A3" w:rsidR="005241A2" w:rsidRPr="002D3C4B" w:rsidRDefault="00B05EAF" w:rsidP="002D3C4B">
            <w:pPr>
              <w:spacing w:before="120" w:after="120"/>
              <w:jc w:val="left"/>
              <w:rPr>
                <w:bCs/>
                <w:i/>
              </w:rPr>
            </w:pPr>
            <w:r w:rsidRPr="005B4BF6">
              <w:rPr>
                <w:i/>
              </w:rPr>
              <w:t>prof. Polívka</w:t>
            </w:r>
          </w:p>
        </w:tc>
      </w:tr>
      <w:tr w:rsidR="005241A2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124EA5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5FF744" w14:textId="5AA740C4" w:rsidR="005241A2" w:rsidRPr="002D3C4B" w:rsidRDefault="00B05EAF" w:rsidP="002D3C4B">
            <w:pPr>
              <w:spacing w:before="120" w:after="120"/>
              <w:jc w:val="left"/>
              <w:rPr>
                <w:bCs/>
                <w:i/>
              </w:rPr>
            </w:pPr>
            <w:r w:rsidRPr="00D14ABA">
              <w:rPr>
                <w:i/>
              </w:rPr>
              <w:t xml:space="preserve">dr. Miholová, Odbor podpory RVVI, </w:t>
            </w:r>
            <w:r w:rsidR="00D80393">
              <w:rPr>
                <w:i/>
              </w:rPr>
              <w:t>10</w:t>
            </w:r>
            <w:r w:rsidRPr="00D14ABA">
              <w:rPr>
                <w:i/>
              </w:rPr>
              <w:t xml:space="preserve">. </w:t>
            </w:r>
            <w:r w:rsidR="00D80393">
              <w:rPr>
                <w:i/>
              </w:rPr>
              <w:t>červn</w:t>
            </w:r>
            <w:r>
              <w:rPr>
                <w:i/>
              </w:rPr>
              <w:t>a</w:t>
            </w:r>
            <w:r w:rsidRPr="00D14ABA">
              <w:rPr>
                <w:i/>
              </w:rPr>
              <w:t xml:space="preserve"> 202</w:t>
            </w:r>
            <w:r>
              <w:rPr>
                <w:i/>
              </w:rPr>
              <w:t>5</w:t>
            </w:r>
          </w:p>
        </w:tc>
      </w:tr>
      <w:tr w:rsidR="00B05EAF" w:rsidRPr="00DE2BC0" w14:paraId="7AAD4E64" w14:textId="77777777" w:rsidTr="005241A2">
        <w:trPr>
          <w:trHeight w:val="1982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72476F5" w14:textId="225EBBD6" w:rsidR="006A6312" w:rsidRPr="00487E24" w:rsidRDefault="006A6312" w:rsidP="00487E24">
            <w:pPr>
              <w:spacing w:before="120" w:after="120"/>
              <w:rPr>
                <w:b/>
                <w:bCs/>
                <w:i/>
              </w:rPr>
            </w:pPr>
            <w:r w:rsidRPr="00487E24">
              <w:rPr>
                <w:b/>
                <w:bCs/>
                <w:i/>
              </w:rPr>
              <w:t>Souhrn</w:t>
            </w:r>
          </w:p>
          <w:p w14:paraId="5B444F02" w14:textId="46E136F5" w:rsidR="00E928B5" w:rsidRDefault="00E928B5" w:rsidP="00E928B5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Cs/>
              </w:rPr>
            </w:pPr>
            <w:r>
              <w:rPr>
                <w:bCs/>
              </w:rPr>
              <w:t>Ústní souhrnnou informaci</w:t>
            </w:r>
            <w:r w:rsidRPr="00AC6870">
              <w:rPr>
                <w:bCs/>
              </w:rPr>
              <w:t xml:space="preserve"> o</w:t>
            </w:r>
            <w:r>
              <w:rPr>
                <w:bCs/>
              </w:rPr>
              <w:t xml:space="preserve"> hodnocení v Modulu 1 a Modulu 2 v roce 2025 </w:t>
            </w:r>
            <w:r w:rsidRPr="002D44B5">
              <w:rPr>
                <w:bCs/>
              </w:rPr>
              <w:t xml:space="preserve">podá předseda </w:t>
            </w:r>
            <w:r>
              <w:rPr>
                <w:bCs/>
              </w:rPr>
              <w:t>Komise pro hodnocení výzkumných organizací a ukončených programů (dále jen „KHV“) a 1. místopředseda</w:t>
            </w:r>
            <w:r w:rsidRPr="002D44B5">
              <w:rPr>
                <w:bCs/>
              </w:rPr>
              <w:t xml:space="preserve"> Rady prof. </w:t>
            </w:r>
            <w:r>
              <w:rPr>
                <w:bCs/>
              </w:rPr>
              <w:t>Polívk</w:t>
            </w:r>
            <w:r w:rsidRPr="002D44B5">
              <w:rPr>
                <w:bCs/>
              </w:rPr>
              <w:t>a.</w:t>
            </w:r>
          </w:p>
          <w:p w14:paraId="6697ED92" w14:textId="11E85D5F" w:rsidR="00E928B5" w:rsidRDefault="00E928B5" w:rsidP="00E928B5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Cs/>
              </w:rPr>
            </w:pPr>
            <w:r w:rsidRPr="00E03745">
              <w:rPr>
                <w:bCs/>
              </w:rPr>
              <w:t>Hodnocení výzkumných organizací se od roku 2017 provádí podle Metodiky hodnocení</w:t>
            </w:r>
            <w:r>
              <w:rPr>
                <w:bCs/>
              </w:rPr>
              <w:t xml:space="preserve"> </w:t>
            </w:r>
            <w:r w:rsidRPr="00E03745">
              <w:rPr>
                <w:bCs/>
              </w:rPr>
              <w:t>výzkumných organizací, schválené usnesením vlády ze dne 8. února 2017 č. 107 (dále jen</w:t>
            </w:r>
            <w:r>
              <w:rPr>
                <w:bCs/>
              </w:rPr>
              <w:t xml:space="preserve"> </w:t>
            </w:r>
            <w:r w:rsidRPr="00E03745">
              <w:rPr>
                <w:bCs/>
              </w:rPr>
              <w:t xml:space="preserve">„Metodika 2017+“). Hodnocení v Modulech 1 a 2 probíhá na </w:t>
            </w:r>
            <w:r>
              <w:rPr>
                <w:bCs/>
              </w:rPr>
              <w:t xml:space="preserve">národní úrovni a jeho realizaci </w:t>
            </w:r>
            <w:r w:rsidRPr="00E03745">
              <w:rPr>
                <w:bCs/>
              </w:rPr>
              <w:t xml:space="preserve">zajišťuje Oddělení hodnocení výzkumných organizací </w:t>
            </w:r>
            <w:r>
              <w:rPr>
                <w:bCs/>
              </w:rPr>
              <w:t xml:space="preserve">Odboru podpory Rady pro výzkum, </w:t>
            </w:r>
            <w:r w:rsidRPr="00E03745">
              <w:rPr>
                <w:bCs/>
              </w:rPr>
              <w:t>vývoj a</w:t>
            </w:r>
            <w:r>
              <w:rPr>
                <w:bCs/>
              </w:rPr>
              <w:t> </w:t>
            </w:r>
            <w:r w:rsidRPr="00E03745">
              <w:rPr>
                <w:bCs/>
              </w:rPr>
              <w:t>inovace při Úřadu vlády ČR. Hodnocení na národ</w:t>
            </w:r>
            <w:r>
              <w:rPr>
                <w:bCs/>
              </w:rPr>
              <w:t xml:space="preserve">ní úrovni je dále specifikováno </w:t>
            </w:r>
            <w:r w:rsidRPr="00E03745">
              <w:rPr>
                <w:bCs/>
              </w:rPr>
              <w:t>v</w:t>
            </w:r>
            <w:r>
              <w:rPr>
                <w:bCs/>
              </w:rPr>
              <w:t> </w:t>
            </w:r>
            <w:r w:rsidRPr="00E03745">
              <w:rPr>
                <w:bCs/>
              </w:rPr>
              <w:t>dokumentu „M17+ Uživatelská příručka pro výzkumné orga</w:t>
            </w:r>
            <w:r>
              <w:rPr>
                <w:bCs/>
              </w:rPr>
              <w:t xml:space="preserve">nizace, členy Odborných panelů, </w:t>
            </w:r>
            <w:r w:rsidRPr="00E03745">
              <w:rPr>
                <w:bCs/>
              </w:rPr>
              <w:t>externí hodnotitele a poskytovatele institucionální podpory VaVaI. Postup hodnocení výsledků</w:t>
            </w:r>
            <w:r>
              <w:rPr>
                <w:bCs/>
              </w:rPr>
              <w:t xml:space="preserve"> </w:t>
            </w:r>
            <w:r w:rsidRPr="00E03745">
              <w:rPr>
                <w:bCs/>
              </w:rPr>
              <w:t>dl</w:t>
            </w:r>
            <w:r>
              <w:rPr>
                <w:bCs/>
              </w:rPr>
              <w:t>e Metodiky 2017+“ schváleném na 367. </w:t>
            </w:r>
            <w:r w:rsidRPr="00E03745">
              <w:rPr>
                <w:bCs/>
              </w:rPr>
              <w:t>zasedání dne 30. dubna</w:t>
            </w:r>
            <w:r>
              <w:rPr>
                <w:bCs/>
              </w:rPr>
              <w:t xml:space="preserve"> </w:t>
            </w:r>
            <w:r w:rsidRPr="00E03745">
              <w:rPr>
                <w:bCs/>
              </w:rPr>
              <w:t>2021. Realizace hodnocení v</w:t>
            </w:r>
            <w:r>
              <w:rPr>
                <w:bCs/>
              </w:rPr>
              <w:t> </w:t>
            </w:r>
            <w:r w:rsidRPr="00E03745">
              <w:rPr>
                <w:bCs/>
              </w:rPr>
              <w:t xml:space="preserve">Modulech 3-5 je v gesci poskytovatelů. </w:t>
            </w:r>
          </w:p>
          <w:p w14:paraId="6D81DED1" w14:textId="614DAC7C" w:rsidR="00E928B5" w:rsidRPr="00E03745" w:rsidRDefault="00E928B5" w:rsidP="00E928B5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Cs/>
              </w:rPr>
            </w:pPr>
            <w:r>
              <w:rPr>
                <w:bCs/>
              </w:rPr>
              <w:t xml:space="preserve">Hodnocení </w:t>
            </w:r>
            <w:r w:rsidRPr="00E03745">
              <w:rPr>
                <w:bCs/>
              </w:rPr>
              <w:t>vybraných výsledků nástrojem peer review</w:t>
            </w:r>
            <w:r>
              <w:rPr>
                <w:bCs/>
              </w:rPr>
              <w:t xml:space="preserve"> v </w:t>
            </w:r>
            <w:r w:rsidRPr="00E03745">
              <w:rPr>
                <w:bCs/>
              </w:rPr>
              <w:t>Modul</w:t>
            </w:r>
            <w:r>
              <w:rPr>
                <w:bCs/>
              </w:rPr>
              <w:t>u</w:t>
            </w:r>
            <w:r w:rsidRPr="00E03745">
              <w:rPr>
                <w:bCs/>
              </w:rPr>
              <w:t xml:space="preserve"> 1</w:t>
            </w:r>
            <w:r>
              <w:rPr>
                <w:bCs/>
              </w:rPr>
              <w:t xml:space="preserve"> právě probíhá, resp. bude do</w:t>
            </w:r>
            <w:r w:rsidR="00F42AF9">
              <w:rPr>
                <w:bCs/>
              </w:rPr>
              <w:t> </w:t>
            </w:r>
            <w:r>
              <w:rPr>
                <w:bCs/>
              </w:rPr>
              <w:t>konce měsíce června 2025 uzavřeno.</w:t>
            </w:r>
            <w:r w:rsidRPr="00E03745">
              <w:rPr>
                <w:bCs/>
              </w:rPr>
              <w:t xml:space="preserve"> Aktuálně se na hodnocení v Modulu 1 podílí: 5</w:t>
            </w:r>
            <w:r>
              <w:rPr>
                <w:bCs/>
              </w:rPr>
              <w:t xml:space="preserve">4 panelistů (členů 6 </w:t>
            </w:r>
            <w:r w:rsidRPr="00E03745">
              <w:rPr>
                <w:bCs/>
              </w:rPr>
              <w:t>Odborných panelů</w:t>
            </w:r>
            <w:r>
              <w:rPr>
                <w:bCs/>
              </w:rPr>
              <w:t>), cca 1100 externích hodnotitelů a</w:t>
            </w:r>
            <w:r w:rsidRPr="00E03745">
              <w:rPr>
                <w:bCs/>
              </w:rPr>
              <w:t xml:space="preserve"> hlavní koordinátor.</w:t>
            </w:r>
          </w:p>
          <w:p w14:paraId="71251430" w14:textId="30418131" w:rsidR="00F42AF9" w:rsidRDefault="00E928B5" w:rsidP="00F42AF9">
            <w:pPr>
              <w:keepNext/>
              <w:tabs>
                <w:tab w:val="left" w:pos="-26"/>
                <w:tab w:val="left" w:pos="900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 xml:space="preserve">V rámci </w:t>
            </w:r>
            <w:r w:rsidRPr="00E03745">
              <w:rPr>
                <w:bCs/>
              </w:rPr>
              <w:t>Modul</w:t>
            </w:r>
            <w:r>
              <w:rPr>
                <w:bCs/>
              </w:rPr>
              <w:t>u</w:t>
            </w:r>
            <w:r w:rsidRPr="00E03745">
              <w:rPr>
                <w:bCs/>
              </w:rPr>
              <w:t xml:space="preserve"> 2 byly vypracovány oborové zprávy, které jsou </w:t>
            </w:r>
            <w:r>
              <w:rPr>
                <w:bCs/>
              </w:rPr>
              <w:t xml:space="preserve">aktuálně </w:t>
            </w:r>
            <w:r w:rsidRPr="00E03745">
              <w:rPr>
                <w:bCs/>
              </w:rPr>
              <w:t>komentovány Odbornými panely, dále zprávy pro jednotlivé výzkumné organizace (dále jen „VO“)</w:t>
            </w:r>
            <w:r w:rsidR="00F42AF9">
              <w:rPr>
                <w:bCs/>
              </w:rPr>
              <w:t xml:space="preserve"> a </w:t>
            </w:r>
            <w:r w:rsidRPr="00E03745">
              <w:rPr>
                <w:bCs/>
              </w:rPr>
              <w:t>doplňující analýz</w:t>
            </w:r>
            <w:r w:rsidR="00F42AF9">
              <w:rPr>
                <w:bCs/>
              </w:rPr>
              <w:t>y</w:t>
            </w:r>
            <w:r w:rsidRPr="00E03745">
              <w:rPr>
                <w:bCs/>
              </w:rPr>
              <w:t xml:space="preserve"> na</w:t>
            </w:r>
            <w:r w:rsidR="00F42AF9">
              <w:rPr>
                <w:bCs/>
              </w:rPr>
              <w:t> </w:t>
            </w:r>
            <w:r w:rsidRPr="00E03745">
              <w:rPr>
                <w:bCs/>
              </w:rPr>
              <w:t>úrovni Web of Science Categories</w:t>
            </w:r>
            <w:r>
              <w:rPr>
                <w:bCs/>
              </w:rPr>
              <w:t>.</w:t>
            </w:r>
            <w:r w:rsidRPr="00E03745">
              <w:rPr>
                <w:bCs/>
              </w:rPr>
              <w:t xml:space="preserve"> Součástí Modulu 2 jsou i </w:t>
            </w:r>
            <w:r w:rsidR="00F42AF9">
              <w:rPr>
                <w:bCs/>
              </w:rPr>
              <w:t>části věnované publikační produktivitě (</w:t>
            </w:r>
            <w:r w:rsidRPr="00E03745">
              <w:rPr>
                <w:bCs/>
              </w:rPr>
              <w:t>Počet aktivních autorů a autorek v jednotlivých oborech a VO a Podíl autorů a</w:t>
            </w:r>
            <w:r w:rsidR="00F42AF9">
              <w:rPr>
                <w:bCs/>
              </w:rPr>
              <w:t> </w:t>
            </w:r>
            <w:r w:rsidRPr="00E03745">
              <w:rPr>
                <w:bCs/>
              </w:rPr>
              <w:t>autorek výzkumné organizace na produkci ČR</w:t>
            </w:r>
            <w:r w:rsidR="00F42AF9">
              <w:rPr>
                <w:bCs/>
              </w:rPr>
              <w:t>) a v</w:t>
            </w:r>
            <w:r w:rsidRPr="00E03745">
              <w:rPr>
                <w:bCs/>
              </w:rPr>
              <w:t>ýkonnost</w:t>
            </w:r>
            <w:r w:rsidR="00F42AF9">
              <w:rPr>
                <w:bCs/>
              </w:rPr>
              <w:t>i</w:t>
            </w:r>
            <w:r w:rsidRPr="00E03745">
              <w:rPr>
                <w:bCs/>
              </w:rPr>
              <w:t xml:space="preserve"> výzkumu dle RIV</w:t>
            </w:r>
            <w:r w:rsidR="00F42AF9">
              <w:rPr>
                <w:bCs/>
              </w:rPr>
              <w:t>, poslední jmenovaná je</w:t>
            </w:r>
            <w:r w:rsidRPr="00E03745">
              <w:rPr>
                <w:bCs/>
              </w:rPr>
              <w:t xml:space="preserve"> zpracovaná formou interaktivní aplikace</w:t>
            </w:r>
            <w:r w:rsidR="00F42AF9">
              <w:rPr>
                <w:bCs/>
              </w:rPr>
              <w:t xml:space="preserve">. </w:t>
            </w:r>
          </w:p>
          <w:p w14:paraId="4AAA566A" w14:textId="431B8B25" w:rsidR="00EC633F" w:rsidRDefault="00EC633F" w:rsidP="00F42AF9">
            <w:pPr>
              <w:keepNext/>
              <w:tabs>
                <w:tab w:val="left" w:pos="-26"/>
                <w:tab w:val="left" w:pos="900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>V letošním roce byly nad rámec každoročních výstupů připraveny</w:t>
            </w:r>
            <w:r>
              <w:t xml:space="preserve"> p</w:t>
            </w:r>
            <w:r w:rsidRPr="00EC633F">
              <w:rPr>
                <w:bCs/>
              </w:rPr>
              <w:t>odklady z hodnocení na</w:t>
            </w:r>
            <w:r>
              <w:rPr>
                <w:bCs/>
              </w:rPr>
              <w:t> </w:t>
            </w:r>
            <w:r w:rsidRPr="00EC633F">
              <w:rPr>
                <w:bCs/>
              </w:rPr>
              <w:t xml:space="preserve">národní úrovni na úroveň fakult </w:t>
            </w:r>
            <w:r>
              <w:rPr>
                <w:bCs/>
              </w:rPr>
              <w:t>vč. jejich</w:t>
            </w:r>
            <w:r w:rsidRPr="00EC633F">
              <w:rPr>
                <w:bCs/>
              </w:rPr>
              <w:t xml:space="preserve"> překlad</w:t>
            </w:r>
            <w:r>
              <w:rPr>
                <w:bCs/>
              </w:rPr>
              <w:t>u</w:t>
            </w:r>
            <w:r w:rsidRPr="00EC633F">
              <w:rPr>
                <w:bCs/>
              </w:rPr>
              <w:t xml:space="preserve"> do angličtiny</w:t>
            </w:r>
            <w:r>
              <w:rPr>
                <w:bCs/>
              </w:rPr>
              <w:t xml:space="preserve">, a jako podklady pro hodnocení </w:t>
            </w:r>
            <w:r w:rsidRPr="00EC633F">
              <w:rPr>
                <w:bCs/>
              </w:rPr>
              <w:t>vysokých škol v Modulech 3-5</w:t>
            </w:r>
            <w:r>
              <w:rPr>
                <w:bCs/>
              </w:rPr>
              <w:t>.</w:t>
            </w:r>
            <w:r w:rsidRPr="00EC633F">
              <w:rPr>
                <w:bCs/>
              </w:rPr>
              <w:t xml:space="preserve"> </w:t>
            </w:r>
          </w:p>
          <w:p w14:paraId="56C91166" w14:textId="27D6A92E" w:rsidR="00F42AF9" w:rsidRPr="00AC7269" w:rsidRDefault="00F42AF9" w:rsidP="00F42AF9">
            <w:pPr>
              <w:keepNext/>
              <w:tabs>
                <w:tab w:val="left" w:pos="-26"/>
                <w:tab w:val="left" w:pos="900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>Dne</w:t>
            </w:r>
            <w:r w:rsidRPr="00F42AF9">
              <w:rPr>
                <w:bCs/>
              </w:rPr>
              <w:t xml:space="preserve"> 4. června 2025 </w:t>
            </w:r>
            <w:r>
              <w:rPr>
                <w:bCs/>
              </w:rPr>
              <w:t xml:space="preserve">proběhl </w:t>
            </w:r>
            <w:r w:rsidRPr="00F42AF9">
              <w:rPr>
                <w:bCs/>
              </w:rPr>
              <w:t xml:space="preserve">v prostorách </w:t>
            </w:r>
            <w:r>
              <w:rPr>
                <w:bCs/>
              </w:rPr>
              <w:t>Vysoké školy chemicko-technologické</w:t>
            </w:r>
            <w:r w:rsidRPr="00F42AF9">
              <w:rPr>
                <w:bCs/>
              </w:rPr>
              <w:t xml:space="preserve"> v Praze Dejvicích workshop k</w:t>
            </w:r>
            <w:r>
              <w:rPr>
                <w:bCs/>
              </w:rPr>
              <w:t> hodnocení v</w:t>
            </w:r>
            <w:r w:rsidRPr="00F42AF9">
              <w:rPr>
                <w:bCs/>
              </w:rPr>
              <w:t xml:space="preserve"> Modulu 1 dle Metodiky hodnocení výzkumných organizací. Klíčovým tématem b</w:t>
            </w:r>
            <w:r>
              <w:rPr>
                <w:bCs/>
              </w:rPr>
              <w:t>yla</w:t>
            </w:r>
            <w:r w:rsidRPr="00F42AF9">
              <w:rPr>
                <w:bCs/>
              </w:rPr>
              <w:t xml:space="preserve"> otázka výběru a přihlašování výsledků do Modulu 1, tj. jak optimálně vybírat výsledky pro peer review hodnocení v Modulu 1, jak je odůvodnit a doložit. Cílem </w:t>
            </w:r>
            <w:r>
              <w:rPr>
                <w:bCs/>
              </w:rPr>
              <w:t>bylo</w:t>
            </w:r>
            <w:r w:rsidRPr="00F42AF9">
              <w:rPr>
                <w:bCs/>
              </w:rPr>
              <w:t xml:space="preserve"> představit změny v hodnocení a zmírnit obavy výzkumných organizací z</w:t>
            </w:r>
            <w:r>
              <w:rPr>
                <w:bCs/>
              </w:rPr>
              <w:t> probíhající aktualizace</w:t>
            </w:r>
            <w:r w:rsidRPr="00F42AF9">
              <w:rPr>
                <w:bCs/>
              </w:rPr>
              <w:t xml:space="preserve"> metodiky hodnocení. </w:t>
            </w:r>
          </w:p>
        </w:tc>
      </w:tr>
    </w:tbl>
    <w:p w14:paraId="7DCA7EA4" w14:textId="5E3A4784" w:rsidR="00144F5B" w:rsidRDefault="00144F5B" w:rsidP="00E62942">
      <w:pPr>
        <w:pStyle w:val="Bezmezer"/>
        <w:jc w:val="left"/>
      </w:pPr>
    </w:p>
    <w:p w14:paraId="67A5831D" w14:textId="5E01A271" w:rsidR="00E62942" w:rsidRDefault="00E62942" w:rsidP="00E62942">
      <w:pPr>
        <w:pStyle w:val="Bezmezer"/>
        <w:jc w:val="left"/>
      </w:pPr>
    </w:p>
    <w:sectPr w:rsidR="00E62942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48A5" w14:textId="77777777" w:rsidR="0075488B" w:rsidRDefault="0075488B" w:rsidP="00604B45">
      <w:r>
        <w:separator/>
      </w:r>
    </w:p>
  </w:endnote>
  <w:endnote w:type="continuationSeparator" w:id="0">
    <w:p w14:paraId="769D1FDD" w14:textId="77777777" w:rsidR="0075488B" w:rsidRDefault="0075488B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7C6212BE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4**/Axx</w:t>
            </w:r>
            <w:r w:rsidR="00144F5B">
              <w:t xml:space="preserve"> </w:t>
            </w:r>
            <w:r w:rsidR="00144F5B" w:rsidRPr="00144F5B">
              <w:rPr>
                <w:sz w:val="16"/>
                <w:szCs w:val="16"/>
              </w:rPr>
              <w:t>Název materiálu</w: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2DE7" w14:textId="77777777" w:rsidR="0075488B" w:rsidRDefault="0075488B" w:rsidP="00604B45">
      <w:r>
        <w:separator/>
      </w:r>
    </w:p>
  </w:footnote>
  <w:footnote w:type="continuationSeparator" w:id="0">
    <w:p w14:paraId="157D5712" w14:textId="77777777" w:rsidR="0075488B" w:rsidRDefault="0075488B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67A0C75"/>
    <w:multiLevelType w:val="hybridMultilevel"/>
    <w:tmpl w:val="0B6E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FC8"/>
    <w:multiLevelType w:val="hybridMultilevel"/>
    <w:tmpl w:val="3C5CF2CA"/>
    <w:lvl w:ilvl="0" w:tplc="EB465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F7C75"/>
    <w:multiLevelType w:val="hybridMultilevel"/>
    <w:tmpl w:val="E2BE2B2E"/>
    <w:lvl w:ilvl="0" w:tplc="EB465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16E26"/>
    <w:multiLevelType w:val="hybridMultilevel"/>
    <w:tmpl w:val="CE52C2DE"/>
    <w:lvl w:ilvl="0" w:tplc="3C4A3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4"/>
  </w:num>
  <w:num w:numId="2" w16cid:durableId="2081907147">
    <w:abstractNumId w:val="12"/>
  </w:num>
  <w:num w:numId="3" w16cid:durableId="1893038338">
    <w:abstractNumId w:val="5"/>
  </w:num>
  <w:num w:numId="4" w16cid:durableId="1786805665">
    <w:abstractNumId w:val="8"/>
  </w:num>
  <w:num w:numId="5" w16cid:durableId="1264728757">
    <w:abstractNumId w:val="14"/>
  </w:num>
  <w:num w:numId="6" w16cid:durableId="1901821760">
    <w:abstractNumId w:val="9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5"/>
  </w:num>
  <w:num w:numId="10" w16cid:durableId="1837643966">
    <w:abstractNumId w:val="10"/>
  </w:num>
  <w:num w:numId="11" w16cid:durableId="796532185">
    <w:abstractNumId w:val="0"/>
  </w:num>
  <w:num w:numId="12" w16cid:durableId="2033064661">
    <w:abstractNumId w:val="7"/>
  </w:num>
  <w:num w:numId="13" w16cid:durableId="241794429">
    <w:abstractNumId w:val="11"/>
  </w:num>
  <w:num w:numId="14" w16cid:durableId="1658412990">
    <w:abstractNumId w:val="6"/>
  </w:num>
  <w:num w:numId="15" w16cid:durableId="2111776972">
    <w:abstractNumId w:val="3"/>
  </w:num>
  <w:num w:numId="16" w16cid:durableId="1035236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3D84"/>
    <w:rsid w:val="00004124"/>
    <w:rsid w:val="00015EC1"/>
    <w:rsid w:val="000173D1"/>
    <w:rsid w:val="0002007D"/>
    <w:rsid w:val="00025617"/>
    <w:rsid w:val="00035ED7"/>
    <w:rsid w:val="000467DA"/>
    <w:rsid w:val="000511C2"/>
    <w:rsid w:val="00075C1E"/>
    <w:rsid w:val="0008087D"/>
    <w:rsid w:val="000859E4"/>
    <w:rsid w:val="0009458F"/>
    <w:rsid w:val="000A6385"/>
    <w:rsid w:val="000B66D6"/>
    <w:rsid w:val="000C609C"/>
    <w:rsid w:val="000C6A0C"/>
    <w:rsid w:val="000D5F8E"/>
    <w:rsid w:val="000D7556"/>
    <w:rsid w:val="000E1B1B"/>
    <w:rsid w:val="000E7A12"/>
    <w:rsid w:val="00101C44"/>
    <w:rsid w:val="001044CD"/>
    <w:rsid w:val="00126D7E"/>
    <w:rsid w:val="00133C49"/>
    <w:rsid w:val="00144F5B"/>
    <w:rsid w:val="00162E19"/>
    <w:rsid w:val="00163B03"/>
    <w:rsid w:val="00171EF3"/>
    <w:rsid w:val="00191B49"/>
    <w:rsid w:val="001A03D6"/>
    <w:rsid w:val="001A6A82"/>
    <w:rsid w:val="001B7A2C"/>
    <w:rsid w:val="001C1526"/>
    <w:rsid w:val="001C2E95"/>
    <w:rsid w:val="001C6179"/>
    <w:rsid w:val="001C6827"/>
    <w:rsid w:val="001D5294"/>
    <w:rsid w:val="001D5F3B"/>
    <w:rsid w:val="001E1924"/>
    <w:rsid w:val="001F517B"/>
    <w:rsid w:val="002107E9"/>
    <w:rsid w:val="002241CF"/>
    <w:rsid w:val="00242E30"/>
    <w:rsid w:val="002633DF"/>
    <w:rsid w:val="0027416C"/>
    <w:rsid w:val="00282845"/>
    <w:rsid w:val="00285A49"/>
    <w:rsid w:val="00293AEA"/>
    <w:rsid w:val="002A2FD0"/>
    <w:rsid w:val="002B145F"/>
    <w:rsid w:val="002C0726"/>
    <w:rsid w:val="002D3C4B"/>
    <w:rsid w:val="002F19C4"/>
    <w:rsid w:val="002F4F5C"/>
    <w:rsid w:val="00333A2E"/>
    <w:rsid w:val="00344591"/>
    <w:rsid w:val="00352CA6"/>
    <w:rsid w:val="00352DD8"/>
    <w:rsid w:val="00361A37"/>
    <w:rsid w:val="00362F82"/>
    <w:rsid w:val="00367E34"/>
    <w:rsid w:val="00383A75"/>
    <w:rsid w:val="003863FF"/>
    <w:rsid w:val="003870AA"/>
    <w:rsid w:val="003906D0"/>
    <w:rsid w:val="003976A0"/>
    <w:rsid w:val="003C04E9"/>
    <w:rsid w:val="003C6885"/>
    <w:rsid w:val="003D64A2"/>
    <w:rsid w:val="00420B23"/>
    <w:rsid w:val="00423662"/>
    <w:rsid w:val="0042761D"/>
    <w:rsid w:val="004354D5"/>
    <w:rsid w:val="00441B47"/>
    <w:rsid w:val="00444127"/>
    <w:rsid w:val="00447ABC"/>
    <w:rsid w:val="00456550"/>
    <w:rsid w:val="00473A79"/>
    <w:rsid w:val="004779EF"/>
    <w:rsid w:val="00486CA7"/>
    <w:rsid w:val="00487E24"/>
    <w:rsid w:val="004970B3"/>
    <w:rsid w:val="004E6BE1"/>
    <w:rsid w:val="00510EA4"/>
    <w:rsid w:val="00511401"/>
    <w:rsid w:val="00512835"/>
    <w:rsid w:val="00515555"/>
    <w:rsid w:val="00515D81"/>
    <w:rsid w:val="00522864"/>
    <w:rsid w:val="005241A2"/>
    <w:rsid w:val="00524CE5"/>
    <w:rsid w:val="00537022"/>
    <w:rsid w:val="005628A2"/>
    <w:rsid w:val="00564B89"/>
    <w:rsid w:val="0057409A"/>
    <w:rsid w:val="00593FAC"/>
    <w:rsid w:val="005964E0"/>
    <w:rsid w:val="005A4C59"/>
    <w:rsid w:val="005C4D50"/>
    <w:rsid w:val="005D1635"/>
    <w:rsid w:val="00602F23"/>
    <w:rsid w:val="00604B45"/>
    <w:rsid w:val="006079D1"/>
    <w:rsid w:val="00624146"/>
    <w:rsid w:val="006255C0"/>
    <w:rsid w:val="00627E3D"/>
    <w:rsid w:val="00635765"/>
    <w:rsid w:val="006424E9"/>
    <w:rsid w:val="006878F0"/>
    <w:rsid w:val="006A6312"/>
    <w:rsid w:val="006B2B00"/>
    <w:rsid w:val="006C3F7F"/>
    <w:rsid w:val="006F1181"/>
    <w:rsid w:val="006F7061"/>
    <w:rsid w:val="007007A8"/>
    <w:rsid w:val="0070637D"/>
    <w:rsid w:val="0071047A"/>
    <w:rsid w:val="00722063"/>
    <w:rsid w:val="0072266C"/>
    <w:rsid w:val="00733976"/>
    <w:rsid w:val="00735DE8"/>
    <w:rsid w:val="00741D89"/>
    <w:rsid w:val="007439F1"/>
    <w:rsid w:val="0075488B"/>
    <w:rsid w:val="00766AC5"/>
    <w:rsid w:val="007A407A"/>
    <w:rsid w:val="007E2572"/>
    <w:rsid w:val="007E5BD4"/>
    <w:rsid w:val="007E6CA2"/>
    <w:rsid w:val="0080171F"/>
    <w:rsid w:val="00803160"/>
    <w:rsid w:val="008044E8"/>
    <w:rsid w:val="00811AC9"/>
    <w:rsid w:val="008120CD"/>
    <w:rsid w:val="0081613E"/>
    <w:rsid w:val="00840107"/>
    <w:rsid w:val="0084124B"/>
    <w:rsid w:val="00841C3F"/>
    <w:rsid w:val="008517B5"/>
    <w:rsid w:val="00855B4C"/>
    <w:rsid w:val="00871B74"/>
    <w:rsid w:val="008863A6"/>
    <w:rsid w:val="00887F71"/>
    <w:rsid w:val="008949EB"/>
    <w:rsid w:val="0089638D"/>
    <w:rsid w:val="008A3DC7"/>
    <w:rsid w:val="008A6944"/>
    <w:rsid w:val="008B60F3"/>
    <w:rsid w:val="008B6CF8"/>
    <w:rsid w:val="008E557D"/>
    <w:rsid w:val="008F49A4"/>
    <w:rsid w:val="008F6521"/>
    <w:rsid w:val="0090230E"/>
    <w:rsid w:val="0090482F"/>
    <w:rsid w:val="0090637C"/>
    <w:rsid w:val="0091473F"/>
    <w:rsid w:val="00915B70"/>
    <w:rsid w:val="009202D9"/>
    <w:rsid w:val="00945CB2"/>
    <w:rsid w:val="0095235B"/>
    <w:rsid w:val="0095565E"/>
    <w:rsid w:val="00990B90"/>
    <w:rsid w:val="009922C8"/>
    <w:rsid w:val="009B0370"/>
    <w:rsid w:val="009E228F"/>
    <w:rsid w:val="00A640A5"/>
    <w:rsid w:val="00A65C3C"/>
    <w:rsid w:val="00A75A40"/>
    <w:rsid w:val="00A822FF"/>
    <w:rsid w:val="00A84F49"/>
    <w:rsid w:val="00AA5C0F"/>
    <w:rsid w:val="00AB5597"/>
    <w:rsid w:val="00AC5DC9"/>
    <w:rsid w:val="00AC7269"/>
    <w:rsid w:val="00AD355D"/>
    <w:rsid w:val="00AD7BE0"/>
    <w:rsid w:val="00AE1069"/>
    <w:rsid w:val="00AE7303"/>
    <w:rsid w:val="00AF01A5"/>
    <w:rsid w:val="00AF1FB9"/>
    <w:rsid w:val="00AF502C"/>
    <w:rsid w:val="00AF5DE4"/>
    <w:rsid w:val="00B01CFE"/>
    <w:rsid w:val="00B05EAF"/>
    <w:rsid w:val="00B20ED5"/>
    <w:rsid w:val="00B24765"/>
    <w:rsid w:val="00B3247E"/>
    <w:rsid w:val="00B33F61"/>
    <w:rsid w:val="00B415B3"/>
    <w:rsid w:val="00B445C0"/>
    <w:rsid w:val="00B45E88"/>
    <w:rsid w:val="00B67680"/>
    <w:rsid w:val="00B73C81"/>
    <w:rsid w:val="00B80711"/>
    <w:rsid w:val="00B96CFE"/>
    <w:rsid w:val="00BB2FAC"/>
    <w:rsid w:val="00BC1D89"/>
    <w:rsid w:val="00BC5C1F"/>
    <w:rsid w:val="00BC7F94"/>
    <w:rsid w:val="00BD17A6"/>
    <w:rsid w:val="00BE3A7E"/>
    <w:rsid w:val="00BE4E17"/>
    <w:rsid w:val="00C05BAF"/>
    <w:rsid w:val="00C27666"/>
    <w:rsid w:val="00C4014E"/>
    <w:rsid w:val="00C417CC"/>
    <w:rsid w:val="00C54A7F"/>
    <w:rsid w:val="00C65C2B"/>
    <w:rsid w:val="00C67029"/>
    <w:rsid w:val="00C674B4"/>
    <w:rsid w:val="00C71728"/>
    <w:rsid w:val="00C7658A"/>
    <w:rsid w:val="00C77162"/>
    <w:rsid w:val="00C84197"/>
    <w:rsid w:val="00C91565"/>
    <w:rsid w:val="00C92FC9"/>
    <w:rsid w:val="00CA4D8B"/>
    <w:rsid w:val="00CC1FD9"/>
    <w:rsid w:val="00CC44F9"/>
    <w:rsid w:val="00CD5D12"/>
    <w:rsid w:val="00CE2C4E"/>
    <w:rsid w:val="00CE70B9"/>
    <w:rsid w:val="00D0212E"/>
    <w:rsid w:val="00D061BA"/>
    <w:rsid w:val="00D266C9"/>
    <w:rsid w:val="00D26EA4"/>
    <w:rsid w:val="00D321D6"/>
    <w:rsid w:val="00D327D8"/>
    <w:rsid w:val="00D36218"/>
    <w:rsid w:val="00D43F7D"/>
    <w:rsid w:val="00D53021"/>
    <w:rsid w:val="00D7016D"/>
    <w:rsid w:val="00D74354"/>
    <w:rsid w:val="00D80393"/>
    <w:rsid w:val="00D85AA0"/>
    <w:rsid w:val="00D86AA3"/>
    <w:rsid w:val="00D94221"/>
    <w:rsid w:val="00D9797E"/>
    <w:rsid w:val="00DA045F"/>
    <w:rsid w:val="00DC2129"/>
    <w:rsid w:val="00DC5C64"/>
    <w:rsid w:val="00DD3E78"/>
    <w:rsid w:val="00DE4F80"/>
    <w:rsid w:val="00DF4F02"/>
    <w:rsid w:val="00E0171D"/>
    <w:rsid w:val="00E06D18"/>
    <w:rsid w:val="00E304A2"/>
    <w:rsid w:val="00E34877"/>
    <w:rsid w:val="00E373B9"/>
    <w:rsid w:val="00E43035"/>
    <w:rsid w:val="00E47EBE"/>
    <w:rsid w:val="00E56D04"/>
    <w:rsid w:val="00E62942"/>
    <w:rsid w:val="00E635EE"/>
    <w:rsid w:val="00E7321C"/>
    <w:rsid w:val="00E8040C"/>
    <w:rsid w:val="00E84580"/>
    <w:rsid w:val="00E8657D"/>
    <w:rsid w:val="00E928B5"/>
    <w:rsid w:val="00EA725E"/>
    <w:rsid w:val="00EB05F2"/>
    <w:rsid w:val="00EB0799"/>
    <w:rsid w:val="00EB55AA"/>
    <w:rsid w:val="00EC0198"/>
    <w:rsid w:val="00EC2267"/>
    <w:rsid w:val="00EC633F"/>
    <w:rsid w:val="00ED2ED3"/>
    <w:rsid w:val="00ED7E4C"/>
    <w:rsid w:val="00EE66EE"/>
    <w:rsid w:val="00EE745A"/>
    <w:rsid w:val="00EF271F"/>
    <w:rsid w:val="00EF4F64"/>
    <w:rsid w:val="00F145AB"/>
    <w:rsid w:val="00F24C29"/>
    <w:rsid w:val="00F3487E"/>
    <w:rsid w:val="00F41075"/>
    <w:rsid w:val="00F42AF9"/>
    <w:rsid w:val="00F47E34"/>
    <w:rsid w:val="00F70093"/>
    <w:rsid w:val="00F84D65"/>
    <w:rsid w:val="00F86F06"/>
    <w:rsid w:val="00F9785A"/>
    <w:rsid w:val="00FA009E"/>
    <w:rsid w:val="00FB668D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CA4D8B"/>
    <w:pPr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Props1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3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Kapucián Aleš</cp:lastModifiedBy>
  <cp:revision>6</cp:revision>
  <cp:lastPrinted>2025-02-25T12:21:00Z</cp:lastPrinted>
  <dcterms:created xsi:type="dcterms:W3CDTF">2025-06-10T11:55:00Z</dcterms:created>
  <dcterms:modified xsi:type="dcterms:W3CDTF">2025-07-03T07:35:00Z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