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585AE7D8" w:rsidR="00B3329D" w:rsidRPr="00BF1C46" w:rsidRDefault="008F05BE" w:rsidP="003B3662">
            <w:pPr>
              <w:spacing w:before="120" w:after="120" w:line="240" w:lineRule="auto"/>
              <w:jc w:val="left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N</w:t>
            </w:r>
            <w:r w:rsidR="004F50EB">
              <w:rPr>
                <w:b/>
                <w:color w:val="0070C0"/>
                <w:sz w:val="28"/>
                <w:szCs w:val="28"/>
              </w:rPr>
              <w:t>árodní priority orientovaného výzkumu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F571009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8F05BE">
              <w:rPr>
                <w:b/>
                <w:color w:val="0070C0"/>
                <w:sz w:val="28"/>
                <w:szCs w:val="28"/>
              </w:rPr>
              <w:t>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F11AA3">
              <w:rPr>
                <w:b/>
                <w:color w:val="0070C0"/>
                <w:sz w:val="28"/>
                <w:szCs w:val="28"/>
              </w:rPr>
              <w:t>1</w:t>
            </w:r>
            <w:r w:rsidR="00745DDB">
              <w:rPr>
                <w:b/>
                <w:color w:val="0070C0"/>
                <w:sz w:val="28"/>
                <w:szCs w:val="28"/>
              </w:rPr>
              <w:t>0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1A4FD6" w14:textId="76C0A2C1" w:rsidR="00B3329D" w:rsidRPr="003B3662" w:rsidRDefault="003B3662" w:rsidP="003C68EC">
            <w:pPr>
              <w:spacing w:before="120"/>
              <w:rPr>
                <w:bCs/>
                <w:i/>
              </w:rPr>
            </w:pPr>
            <w:r w:rsidRPr="003B3662">
              <w:rPr>
                <w:bCs/>
                <w:i/>
              </w:rPr>
              <w:t xml:space="preserve">dr. </w:t>
            </w:r>
            <w:r w:rsidR="00F8079C">
              <w:rPr>
                <w:bCs/>
                <w:i/>
              </w:rPr>
              <w:t>Gjuričová</w:t>
            </w:r>
            <w:r w:rsidR="00EB1A3C">
              <w:rPr>
                <w:bCs/>
                <w:i/>
              </w:rPr>
              <w:t>, prof. Mařík</w:t>
            </w:r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35627198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</w:t>
            </w:r>
            <w:r w:rsidR="00F11AA3">
              <w:rPr>
                <w:i/>
              </w:rPr>
              <w:t xml:space="preserve">ddělení </w:t>
            </w:r>
            <w:r w:rsidR="00663680">
              <w:rPr>
                <w:i/>
              </w:rPr>
              <w:t>koncepcí, strategií a programů podpory výzkumu, vývoje a inovací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E1123C">
              <w:rPr>
                <w:i/>
              </w:rPr>
              <w:t>1</w:t>
            </w:r>
            <w:r w:rsidR="005A20FC">
              <w:rPr>
                <w:i/>
              </w:rPr>
              <w:t>9</w:t>
            </w:r>
            <w:r>
              <w:rPr>
                <w:i/>
              </w:rPr>
              <w:t xml:space="preserve">. </w:t>
            </w:r>
            <w:r w:rsidR="00CB4AB7">
              <w:rPr>
                <w:i/>
              </w:rPr>
              <w:t>června</w:t>
            </w:r>
            <w:r w:rsidRPr="00D22E68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B3329D" w:rsidRPr="00AB734E" w:rsidRDefault="00B3329D" w:rsidP="00B3329D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3AFBF695" w:rsidR="00B3329D" w:rsidRDefault="00B3329D" w:rsidP="00A121D6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t>Radě pro výzkum, vývoj a inovace (dále jen „R</w:t>
            </w:r>
            <w:r w:rsidR="00DF2363">
              <w:t>ada</w:t>
            </w:r>
            <w:r>
              <w:t>“) je předložen m</w:t>
            </w:r>
            <w:r w:rsidRPr="00A121D6">
              <w:rPr>
                <w:color w:val="000000" w:themeColor="text1"/>
              </w:rPr>
              <w:t>ateriál „</w:t>
            </w:r>
            <w:r w:rsidR="00DE7A11">
              <w:rPr>
                <w:color w:val="000000" w:themeColor="text1"/>
              </w:rPr>
              <w:t>Národní priority orientovaného výzkumu</w:t>
            </w:r>
            <w:r w:rsidR="008B146D" w:rsidRPr="008B146D">
              <w:rPr>
                <w:color w:val="000000" w:themeColor="text1"/>
              </w:rPr>
              <w:t>“ (dále jen „</w:t>
            </w:r>
            <w:r w:rsidR="001B37BA">
              <w:rPr>
                <w:color w:val="000000" w:themeColor="text1"/>
              </w:rPr>
              <w:t>NPOV</w:t>
            </w:r>
            <w:r w:rsidR="008B146D" w:rsidRPr="008B146D">
              <w:rPr>
                <w:color w:val="000000" w:themeColor="text1"/>
              </w:rPr>
              <w:t xml:space="preserve">“) </w:t>
            </w:r>
            <w:r w:rsidRPr="00A121D6">
              <w:rPr>
                <w:color w:val="000000" w:themeColor="text1"/>
              </w:rPr>
              <w:t xml:space="preserve">na základě </w:t>
            </w:r>
            <w:r w:rsidR="008B146D" w:rsidRPr="008B146D">
              <w:rPr>
                <w:color w:val="000000" w:themeColor="text1"/>
              </w:rPr>
              <w:t xml:space="preserve">§ 35 odst. 2 písm. </w:t>
            </w:r>
            <w:r w:rsidR="001B37BA">
              <w:rPr>
                <w:color w:val="000000" w:themeColor="text1"/>
              </w:rPr>
              <w:t>f</w:t>
            </w:r>
            <w:r w:rsidR="008B146D" w:rsidRPr="008B146D">
              <w:rPr>
                <w:color w:val="000000" w:themeColor="text1"/>
              </w:rPr>
              <w:t>) zákona č. 130/2002 Sb., o podpoře výzkumu, experimentálního vývoje a</w:t>
            </w:r>
            <w:r w:rsidR="00782BC9">
              <w:rPr>
                <w:color w:val="000000" w:themeColor="text1"/>
              </w:rPr>
              <w:t> </w:t>
            </w:r>
            <w:r w:rsidR="008B146D" w:rsidRPr="008B146D">
              <w:rPr>
                <w:color w:val="000000" w:themeColor="text1"/>
              </w:rPr>
              <w:t>inovací z veřejných prostředků a o změně některých souvisejících zákonů (zákon o podpoře výzkumu, experimentálního vývoje a inovací), ve znění pozdějších předpisů (dále jen „zákon“).</w:t>
            </w:r>
          </w:p>
          <w:p w14:paraId="3F838BA0" w14:textId="6BD2A806" w:rsidR="00DF2363" w:rsidRDefault="00DF2363" w:rsidP="00DF2363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DF2363">
              <w:t>Příprava NPOV navazuje na cíle Národní politiky výzkumu, vývoje a inovací České republiky 2021+ (dále jen“ NP VaVaI 2021+“), schválené usnesením vlády ze dne 20. července 2020 č. 759, za jejíž přípravu a kontrolu její realizace je odpovědná Rada v souladu se zákonem. Jedním z opatření NP VaVaI 2021+ je</w:t>
            </w:r>
            <w:r w:rsidR="00D139E4">
              <w:t> </w:t>
            </w:r>
            <w:r w:rsidRPr="00DF2363">
              <w:t xml:space="preserve">redefinice stávajících </w:t>
            </w:r>
            <w:r>
              <w:t>priorit (pozn.: Národní priority orientovaného výzkumu, experimentálního vývoje a</w:t>
            </w:r>
            <w:r w:rsidR="00E87690">
              <w:t> </w:t>
            </w:r>
            <w:r>
              <w:t>inovací, schválené usn. vl. 552/2012 s platností do roku 2030)</w:t>
            </w:r>
            <w:r w:rsidRPr="00DF2363">
              <w:t xml:space="preserve"> s cílem zvýšení odolnosti české společnosti prostřednictvím podpory specifických výzkumných témat relevantních pro</w:t>
            </w:r>
            <w:r w:rsidR="00D139E4">
              <w:t> </w:t>
            </w:r>
            <w:r w:rsidRPr="00DF2363">
              <w:t xml:space="preserve">oblasti definovaných hrozeb s celospolečenským dopadem. </w:t>
            </w:r>
          </w:p>
          <w:p w14:paraId="69B73391" w14:textId="77777777" w:rsidR="00A344F3" w:rsidRPr="00A344F3" w:rsidRDefault="00A344F3" w:rsidP="00A344F3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A344F3">
              <w:t>RVVI na svém 391. zasedání dne 30. června 2023 stanovila 5 oblastí strategických výzev společenského a hospodářského charakteru, na něž by měly NPOV reagovat:</w:t>
            </w:r>
          </w:p>
          <w:p w14:paraId="3442391D" w14:textId="77777777" w:rsidR="00A344F3" w:rsidRPr="00A344F3" w:rsidRDefault="00A344F3" w:rsidP="00DE7A11">
            <w:pPr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0"/>
            </w:pPr>
            <w:r w:rsidRPr="00A344F3">
              <w:t>Energetická transformace a udržitelná budoucnost</w:t>
            </w:r>
          </w:p>
          <w:p w14:paraId="6B95D58A" w14:textId="77777777" w:rsidR="00A344F3" w:rsidRPr="00A344F3" w:rsidRDefault="00A344F3" w:rsidP="00DE7A11">
            <w:pPr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0"/>
            </w:pPr>
            <w:r w:rsidRPr="00A344F3">
              <w:t>Adaptace na změny klimatu</w:t>
            </w:r>
          </w:p>
          <w:p w14:paraId="6E2DFE53" w14:textId="77777777" w:rsidR="00A344F3" w:rsidRPr="00A344F3" w:rsidRDefault="00A344F3" w:rsidP="00DE7A11">
            <w:pPr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0"/>
            </w:pPr>
            <w:r w:rsidRPr="00A344F3">
              <w:t>Důvěra v demokracii, odolnost společnosti, bezpečnost a obrana</w:t>
            </w:r>
          </w:p>
          <w:p w14:paraId="12699EA5" w14:textId="77777777" w:rsidR="00A344F3" w:rsidRDefault="00A344F3" w:rsidP="00DE7A11">
            <w:pPr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0"/>
            </w:pPr>
            <w:r w:rsidRPr="00A344F3">
              <w:t>Připravenost na demografické změny a stárnutí obyvatel</w:t>
            </w:r>
          </w:p>
          <w:p w14:paraId="05D09FFD" w14:textId="63E76E94" w:rsidR="00E87690" w:rsidRDefault="00A344F3" w:rsidP="00E87690">
            <w:pPr>
              <w:keepNext/>
              <w:numPr>
                <w:ilvl w:val="0"/>
                <w:numId w:val="20"/>
              </w:numPr>
              <w:tabs>
                <w:tab w:val="left" w:pos="-26"/>
                <w:tab w:val="left" w:pos="900"/>
              </w:tabs>
              <w:spacing w:after="120"/>
            </w:pPr>
            <w:r w:rsidRPr="00A344F3">
              <w:t>Technologická a digitální transformace společnosti</w:t>
            </w:r>
          </w:p>
          <w:p w14:paraId="0A3E7424" w14:textId="6E1063C6" w:rsidR="00A344F3" w:rsidRDefault="00A344F3" w:rsidP="00E87690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A344F3">
              <w:t>Tyto strategické výzvy poskytly výchozí rámec pro identifikaci omezeného počtu dlouhodobých strategických cílů VaVaI. Pro každou z výzev byl vytvořen odborný panel složený ze zástupců odborné veřejnosti a zástupců poskytovatelů. Odborným panelům předsedali členové a členky RVVI.</w:t>
            </w:r>
          </w:p>
          <w:p w14:paraId="0FC2F569" w14:textId="274DA7C5" w:rsidR="00CE1E69" w:rsidRPr="00CE1E69" w:rsidRDefault="00CE1E69" w:rsidP="00CE1E69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CE1E69">
              <w:t>S odbornou a organizační podporou Technologického centra Praha</w:t>
            </w:r>
            <w:r>
              <w:t xml:space="preserve"> v rámci realizace veřejné zakázky „Koncepční a analytická podpora RVVI“</w:t>
            </w:r>
            <w:r w:rsidRPr="00CE1E69">
              <w:t xml:space="preserve"> byly v dubnu až květnu 2024 uskutečněny první workshopy oborných panelů, kde byly výše uvedené oblasti strategických výzev strukturovány a návazně identifikovány návrhy dlouhodobých strategických cílů VaVaI. Návazně proběhlo on-line hodnocení navržených strategických cílů VaVaI podle souboru kritérií, zahrnujících přínos pro</w:t>
            </w:r>
            <w:r w:rsidR="00D139E4">
              <w:t> </w:t>
            </w:r>
            <w:r w:rsidRPr="00CE1E69">
              <w:t>řešení strategických výzev a pro rozvoj různých dimenzí kvality života a potenciál pro</w:t>
            </w:r>
            <w:r w:rsidR="00D139E4">
              <w:t> </w:t>
            </w:r>
            <w:r w:rsidRPr="00CE1E69">
              <w:t xml:space="preserve">mezinárodní či mezioborovou spolupráci. Na druhých workshopech odborných panelů </w:t>
            </w:r>
            <w:r w:rsidRPr="00CE1E69">
              <w:lastRenderedPageBreak/>
              <w:t>realizovaných v červnu a říjnu 2024 byly výsledky on-line hlasování vyhodnoceny a strategické cíle VaVaI byly konsolidovány do souhrnného výstupu jednotlivých odborných panelů. Tyto výstupy byly prodiskutovány na společné schůzce předsedajících panelů v prosinci 2024 s cílem eliminovat případné tematické překryvy mezi strategickými cíli VaVaI vymezenými v jednotlivých panelech. Výstupy byly následně diskutovány v rámci RVVI a odborných panelů k přípravě NPOV a v první polovině roku 2025 dopracovány do výsledné</w:t>
            </w:r>
            <w:r w:rsidR="00EE7B90">
              <w:t xml:space="preserve"> podoby</w:t>
            </w:r>
            <w:r w:rsidRPr="00CE1E69">
              <w:t>. V návaznosti na geopolitickou situaci byla oproti původním pěti oblastem velkých společenských výzev dodatečně navržena samostatná šestá oblast zaměřená na bezpečnostní hrozby.</w:t>
            </w:r>
          </w:p>
          <w:p w14:paraId="454D6408" w14:textId="0C880E69" w:rsidR="00CE1E69" w:rsidRPr="00CE1E69" w:rsidRDefault="00CE1E69" w:rsidP="00CE1E69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CE1E69">
              <w:t xml:space="preserve">NPOV obsažené v tomto materiálu </w:t>
            </w:r>
            <w:r w:rsidR="006E3E6E" w:rsidRPr="006E3E6E">
              <w:t xml:space="preserve">představují soubor priorit, strategických cílů VaVaI a klíčových </w:t>
            </w:r>
            <w:r w:rsidR="00181F31">
              <w:t>témat</w:t>
            </w:r>
            <w:r w:rsidR="006E3E6E" w:rsidRPr="006E3E6E">
              <w:t xml:space="preserve"> </w:t>
            </w:r>
            <w:r w:rsidR="00943367">
              <w:t xml:space="preserve">pro </w:t>
            </w:r>
            <w:r w:rsidR="006E3E6E" w:rsidRPr="006E3E6E">
              <w:t>VaVaI, jenž má sloužit aktérům v systému VaVaI, ve sféře strategického politického rozhodování i širší veřejnosti.</w:t>
            </w:r>
            <w:r w:rsidR="006E3E6E">
              <w:t xml:space="preserve"> </w:t>
            </w:r>
            <w:r w:rsidRPr="00CE1E69">
              <w:t>NPOV jsou následující:</w:t>
            </w:r>
          </w:p>
          <w:p w14:paraId="45036B29" w14:textId="77777777" w:rsidR="00CE1E69" w:rsidRPr="00CE1E69" w:rsidRDefault="00CE1E69" w:rsidP="003A6C68">
            <w:pPr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0"/>
            </w:pPr>
            <w:r w:rsidRPr="00CE1E69">
              <w:t>Energetická transformace a udržitelná budoucnost</w:t>
            </w:r>
          </w:p>
          <w:p w14:paraId="2F32DF15" w14:textId="77777777" w:rsidR="00CE1E69" w:rsidRPr="00CE1E69" w:rsidRDefault="00CE1E69" w:rsidP="003A6C68">
            <w:pPr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0"/>
            </w:pPr>
            <w:r w:rsidRPr="00CE1E69">
              <w:t>Adaptace na změny klimatu a zmírnění jejich dopadů na společnost</w:t>
            </w:r>
          </w:p>
          <w:p w14:paraId="4DA504A4" w14:textId="77777777" w:rsidR="00CE1E69" w:rsidRPr="00CE1E69" w:rsidRDefault="00CE1E69" w:rsidP="003A6C68">
            <w:pPr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0"/>
            </w:pPr>
            <w:r w:rsidRPr="00CE1E69">
              <w:t>Důvěra v demokracii a odolnost společnosti v čase polykrize</w:t>
            </w:r>
          </w:p>
          <w:p w14:paraId="4EAFE384" w14:textId="77777777" w:rsidR="00CE1E69" w:rsidRPr="00CE1E69" w:rsidRDefault="00CE1E69" w:rsidP="003A6C68">
            <w:pPr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0"/>
            </w:pPr>
            <w:r w:rsidRPr="00CE1E69">
              <w:t>Připravenost na demografické změny, stárnutí obyvatel a udržitelné zdraví</w:t>
            </w:r>
          </w:p>
          <w:p w14:paraId="1F2C59C3" w14:textId="77777777" w:rsidR="00CE1E69" w:rsidRDefault="00CE1E69" w:rsidP="003A6C68">
            <w:pPr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0"/>
            </w:pPr>
            <w:r w:rsidRPr="00CE1E69">
              <w:t>Technologická a digitální transformace společnosti</w:t>
            </w:r>
          </w:p>
          <w:p w14:paraId="56C91166" w14:textId="3F66E0AD" w:rsidR="00321E81" w:rsidRPr="00DF2363" w:rsidRDefault="00CE1E69" w:rsidP="003A6C68">
            <w:pPr>
              <w:keepNext/>
              <w:numPr>
                <w:ilvl w:val="0"/>
                <w:numId w:val="22"/>
              </w:numPr>
              <w:tabs>
                <w:tab w:val="left" w:pos="-26"/>
                <w:tab w:val="left" w:pos="900"/>
              </w:tabs>
              <w:spacing w:after="0"/>
            </w:pPr>
            <w:r w:rsidRPr="00CE1E69">
              <w:t>Komplexní reakce na vnitřní i vnější bezpečnostní hrozby</w:t>
            </w: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133F1304" w14:textId="75837C97" w:rsidR="00321E81" w:rsidRPr="00826B2F" w:rsidRDefault="00B3329D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Materiál „</w:t>
            </w:r>
            <w:r w:rsidR="00B2563A">
              <w:rPr>
                <w:color w:val="000000" w:themeColor="text1"/>
              </w:rPr>
              <w:t>Národní priorit</w:t>
            </w:r>
            <w:r w:rsidR="00AA70D9">
              <w:rPr>
                <w:color w:val="000000" w:themeColor="text1"/>
              </w:rPr>
              <w:t>y</w:t>
            </w:r>
            <w:r w:rsidR="00B2563A">
              <w:rPr>
                <w:color w:val="000000" w:themeColor="text1"/>
              </w:rPr>
              <w:t xml:space="preserve"> orientovaného výzkumu</w:t>
            </w:r>
            <w:r>
              <w:t>“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D1391" w14:textId="77777777" w:rsidR="00662A59" w:rsidRDefault="00662A59" w:rsidP="00604B45">
      <w:r>
        <w:separator/>
      </w:r>
    </w:p>
  </w:endnote>
  <w:endnote w:type="continuationSeparator" w:id="0">
    <w:p w14:paraId="6FF72D8E" w14:textId="77777777" w:rsidR="00662A59" w:rsidRDefault="00662A5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E11C2DC" w14:textId="5F13A845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513CCA">
              <w:rPr>
                <w:sz w:val="16"/>
                <w:szCs w:val="16"/>
              </w:rPr>
              <w:t>N</w:t>
            </w:r>
            <w:r w:rsidR="008F05BE">
              <w:rPr>
                <w:sz w:val="16"/>
                <w:szCs w:val="16"/>
              </w:rPr>
              <w:t>POV</w:t>
            </w:r>
            <w:r w:rsidR="00144F5B">
              <w:tab/>
            </w:r>
            <w:r w:rsidR="00144F5B">
              <w:tab/>
            </w:r>
            <w:r w:rsidR="00FD1F5D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38A6C" w14:textId="77777777" w:rsidR="00662A59" w:rsidRDefault="00662A59" w:rsidP="00604B45">
      <w:r>
        <w:separator/>
      </w:r>
    </w:p>
  </w:footnote>
  <w:footnote w:type="continuationSeparator" w:id="0">
    <w:p w14:paraId="7EB40424" w14:textId="77777777" w:rsidR="00662A59" w:rsidRDefault="00662A5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5B2339"/>
    <w:multiLevelType w:val="hybridMultilevel"/>
    <w:tmpl w:val="F7204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24DF"/>
    <w:multiLevelType w:val="hybridMultilevel"/>
    <w:tmpl w:val="6CE2A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54449"/>
    <w:multiLevelType w:val="hybridMultilevel"/>
    <w:tmpl w:val="F250AB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8120E2C"/>
    <w:multiLevelType w:val="hybridMultilevel"/>
    <w:tmpl w:val="59707CD6"/>
    <w:lvl w:ilvl="0" w:tplc="3C528B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CF7A09"/>
    <w:multiLevelType w:val="hybridMultilevel"/>
    <w:tmpl w:val="D87CB128"/>
    <w:lvl w:ilvl="0" w:tplc="16A41312">
      <w:numFmt w:val="bullet"/>
      <w:lvlText w:val="•"/>
      <w:lvlJc w:val="left"/>
      <w:pPr>
        <w:ind w:left="1070" w:hanging="710"/>
      </w:pPr>
      <w:rPr>
        <w:rFonts w:ascii="Calibri" w:eastAsia="Apto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5"/>
  </w:num>
  <w:num w:numId="2" w16cid:durableId="2081907147">
    <w:abstractNumId w:val="18"/>
  </w:num>
  <w:num w:numId="3" w16cid:durableId="1893038338">
    <w:abstractNumId w:val="7"/>
  </w:num>
  <w:num w:numId="4" w16cid:durableId="1786805665">
    <w:abstractNumId w:val="13"/>
  </w:num>
  <w:num w:numId="5" w16cid:durableId="1264728757">
    <w:abstractNumId w:val="19"/>
  </w:num>
  <w:num w:numId="6" w16cid:durableId="1901821760">
    <w:abstractNumId w:val="14"/>
  </w:num>
  <w:num w:numId="7" w16cid:durableId="124931050">
    <w:abstractNumId w:val="2"/>
  </w:num>
  <w:num w:numId="8" w16cid:durableId="42677174">
    <w:abstractNumId w:val="4"/>
  </w:num>
  <w:num w:numId="9" w16cid:durableId="2051147294">
    <w:abstractNumId w:val="21"/>
  </w:num>
  <w:num w:numId="10" w16cid:durableId="1837643966">
    <w:abstractNumId w:val="15"/>
  </w:num>
  <w:num w:numId="11" w16cid:durableId="796532185">
    <w:abstractNumId w:val="1"/>
  </w:num>
  <w:num w:numId="12" w16cid:durableId="2033064661">
    <w:abstractNumId w:val="11"/>
  </w:num>
  <w:num w:numId="13" w16cid:durableId="1432774993">
    <w:abstractNumId w:val="6"/>
  </w:num>
  <w:num w:numId="14" w16cid:durableId="1633366920">
    <w:abstractNumId w:val="20"/>
  </w:num>
  <w:num w:numId="15" w16cid:durableId="1652293677">
    <w:abstractNumId w:val="16"/>
  </w:num>
  <w:num w:numId="16" w16cid:durableId="777019457">
    <w:abstractNumId w:val="10"/>
  </w:num>
  <w:num w:numId="17" w16cid:durableId="2143882069">
    <w:abstractNumId w:val="0"/>
  </w:num>
  <w:num w:numId="18" w16cid:durableId="1799492152">
    <w:abstractNumId w:val="9"/>
  </w:num>
  <w:num w:numId="19" w16cid:durableId="1242259243">
    <w:abstractNumId w:val="8"/>
  </w:num>
  <w:num w:numId="20" w16cid:durableId="1467435611">
    <w:abstractNumId w:val="17"/>
  </w:num>
  <w:num w:numId="21" w16cid:durableId="936134122">
    <w:abstractNumId w:val="3"/>
  </w:num>
  <w:num w:numId="22" w16cid:durableId="18197588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07DA8"/>
    <w:rsid w:val="00025617"/>
    <w:rsid w:val="00035ED7"/>
    <w:rsid w:val="000438D5"/>
    <w:rsid w:val="000467DA"/>
    <w:rsid w:val="000511C2"/>
    <w:rsid w:val="0005287F"/>
    <w:rsid w:val="00053204"/>
    <w:rsid w:val="00061D7B"/>
    <w:rsid w:val="00075C1E"/>
    <w:rsid w:val="0008087D"/>
    <w:rsid w:val="0008481E"/>
    <w:rsid w:val="000859E4"/>
    <w:rsid w:val="000910C7"/>
    <w:rsid w:val="0009458F"/>
    <w:rsid w:val="000A6385"/>
    <w:rsid w:val="000B7896"/>
    <w:rsid w:val="000C4BB2"/>
    <w:rsid w:val="000C566E"/>
    <w:rsid w:val="000C609C"/>
    <w:rsid w:val="000C6A0C"/>
    <w:rsid w:val="000C7A2D"/>
    <w:rsid w:val="000D1CFF"/>
    <w:rsid w:val="000D56AB"/>
    <w:rsid w:val="000D7556"/>
    <w:rsid w:val="000E1B1B"/>
    <w:rsid w:val="000E7A12"/>
    <w:rsid w:val="001044CD"/>
    <w:rsid w:val="00106437"/>
    <w:rsid w:val="00126D7E"/>
    <w:rsid w:val="00133C49"/>
    <w:rsid w:val="00134786"/>
    <w:rsid w:val="00136FAA"/>
    <w:rsid w:val="00137803"/>
    <w:rsid w:val="00144A91"/>
    <w:rsid w:val="00144F5B"/>
    <w:rsid w:val="00145558"/>
    <w:rsid w:val="00146FBB"/>
    <w:rsid w:val="00163B03"/>
    <w:rsid w:val="00171EF3"/>
    <w:rsid w:val="00181F31"/>
    <w:rsid w:val="00191B49"/>
    <w:rsid w:val="00194C3F"/>
    <w:rsid w:val="001A03D6"/>
    <w:rsid w:val="001A6A82"/>
    <w:rsid w:val="001B05D1"/>
    <w:rsid w:val="001B0DC7"/>
    <w:rsid w:val="001B37BA"/>
    <w:rsid w:val="001C1526"/>
    <w:rsid w:val="001C2E95"/>
    <w:rsid w:val="001C586A"/>
    <w:rsid w:val="001C6179"/>
    <w:rsid w:val="001D5F3B"/>
    <w:rsid w:val="001D7361"/>
    <w:rsid w:val="001E1924"/>
    <w:rsid w:val="001F517B"/>
    <w:rsid w:val="001F7E57"/>
    <w:rsid w:val="00203F09"/>
    <w:rsid w:val="002107E9"/>
    <w:rsid w:val="0021629B"/>
    <w:rsid w:val="002241CF"/>
    <w:rsid w:val="00230A91"/>
    <w:rsid w:val="002360B7"/>
    <w:rsid w:val="00242E30"/>
    <w:rsid w:val="002459B8"/>
    <w:rsid w:val="00282845"/>
    <w:rsid w:val="00293AEA"/>
    <w:rsid w:val="002953BB"/>
    <w:rsid w:val="0029749C"/>
    <w:rsid w:val="002A2FD0"/>
    <w:rsid w:val="002A40FF"/>
    <w:rsid w:val="002C0726"/>
    <w:rsid w:val="002F19C4"/>
    <w:rsid w:val="002F4F5C"/>
    <w:rsid w:val="00310F08"/>
    <w:rsid w:val="00321E81"/>
    <w:rsid w:val="003268AE"/>
    <w:rsid w:val="00352CA6"/>
    <w:rsid w:val="00352DD8"/>
    <w:rsid w:val="00355920"/>
    <w:rsid w:val="00362F82"/>
    <w:rsid w:val="003644FB"/>
    <w:rsid w:val="00372D46"/>
    <w:rsid w:val="00383A75"/>
    <w:rsid w:val="003870AA"/>
    <w:rsid w:val="003906D0"/>
    <w:rsid w:val="00392F73"/>
    <w:rsid w:val="003976A0"/>
    <w:rsid w:val="003A6C68"/>
    <w:rsid w:val="003B0C7C"/>
    <w:rsid w:val="003B1278"/>
    <w:rsid w:val="003B3662"/>
    <w:rsid w:val="003C04E9"/>
    <w:rsid w:val="003C6885"/>
    <w:rsid w:val="003C68EC"/>
    <w:rsid w:val="003D64A2"/>
    <w:rsid w:val="00420B23"/>
    <w:rsid w:val="00423662"/>
    <w:rsid w:val="0042761D"/>
    <w:rsid w:val="00434EC1"/>
    <w:rsid w:val="004354D5"/>
    <w:rsid w:val="00437518"/>
    <w:rsid w:val="00441B47"/>
    <w:rsid w:val="0044304E"/>
    <w:rsid w:val="00444127"/>
    <w:rsid w:val="004463E6"/>
    <w:rsid w:val="00447ABC"/>
    <w:rsid w:val="00456550"/>
    <w:rsid w:val="00486C2D"/>
    <w:rsid w:val="00486CA7"/>
    <w:rsid w:val="004970B3"/>
    <w:rsid w:val="004D2D3C"/>
    <w:rsid w:val="004D4B04"/>
    <w:rsid w:val="004E6BE1"/>
    <w:rsid w:val="004E7088"/>
    <w:rsid w:val="004F50EB"/>
    <w:rsid w:val="005027F6"/>
    <w:rsid w:val="00510EA4"/>
    <w:rsid w:val="00512835"/>
    <w:rsid w:val="00513CCA"/>
    <w:rsid w:val="00515555"/>
    <w:rsid w:val="005241A2"/>
    <w:rsid w:val="00524CE5"/>
    <w:rsid w:val="00537022"/>
    <w:rsid w:val="00551F35"/>
    <w:rsid w:val="00553E31"/>
    <w:rsid w:val="00556A22"/>
    <w:rsid w:val="0056147C"/>
    <w:rsid w:val="005628A2"/>
    <w:rsid w:val="00564B89"/>
    <w:rsid w:val="0057184A"/>
    <w:rsid w:val="0057409A"/>
    <w:rsid w:val="005857B7"/>
    <w:rsid w:val="00594956"/>
    <w:rsid w:val="005964E0"/>
    <w:rsid w:val="005A20FC"/>
    <w:rsid w:val="005A4C59"/>
    <w:rsid w:val="005B06E8"/>
    <w:rsid w:val="005C4D50"/>
    <w:rsid w:val="005C5A28"/>
    <w:rsid w:val="005D1635"/>
    <w:rsid w:val="005F7668"/>
    <w:rsid w:val="00602F23"/>
    <w:rsid w:val="00604B45"/>
    <w:rsid w:val="006079D1"/>
    <w:rsid w:val="00607B72"/>
    <w:rsid w:val="0061165B"/>
    <w:rsid w:val="00612BC1"/>
    <w:rsid w:val="006255C0"/>
    <w:rsid w:val="00627E3D"/>
    <w:rsid w:val="00635765"/>
    <w:rsid w:val="00640CAE"/>
    <w:rsid w:val="00645858"/>
    <w:rsid w:val="00650924"/>
    <w:rsid w:val="00662A59"/>
    <w:rsid w:val="00663680"/>
    <w:rsid w:val="00667F34"/>
    <w:rsid w:val="00670CBA"/>
    <w:rsid w:val="00673D75"/>
    <w:rsid w:val="006878F0"/>
    <w:rsid w:val="006A2309"/>
    <w:rsid w:val="006B20D9"/>
    <w:rsid w:val="006B2B00"/>
    <w:rsid w:val="006C3F7F"/>
    <w:rsid w:val="006C7111"/>
    <w:rsid w:val="006E3E6E"/>
    <w:rsid w:val="006F1181"/>
    <w:rsid w:val="006F5630"/>
    <w:rsid w:val="007007A8"/>
    <w:rsid w:val="0070637D"/>
    <w:rsid w:val="0071047A"/>
    <w:rsid w:val="00722063"/>
    <w:rsid w:val="0072266C"/>
    <w:rsid w:val="00733976"/>
    <w:rsid w:val="00734089"/>
    <w:rsid w:val="00735DE8"/>
    <w:rsid w:val="00741D89"/>
    <w:rsid w:val="007439F1"/>
    <w:rsid w:val="00745DDB"/>
    <w:rsid w:val="007460C1"/>
    <w:rsid w:val="00765C4B"/>
    <w:rsid w:val="00766AC5"/>
    <w:rsid w:val="00782BC9"/>
    <w:rsid w:val="007A407A"/>
    <w:rsid w:val="007B00FA"/>
    <w:rsid w:val="007B5EF0"/>
    <w:rsid w:val="007C0430"/>
    <w:rsid w:val="007C0D8F"/>
    <w:rsid w:val="007D1B84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2053C"/>
    <w:rsid w:val="00840107"/>
    <w:rsid w:val="00841C3F"/>
    <w:rsid w:val="00846D06"/>
    <w:rsid w:val="008517B5"/>
    <w:rsid w:val="008534B9"/>
    <w:rsid w:val="00855B4C"/>
    <w:rsid w:val="0086314A"/>
    <w:rsid w:val="00871B74"/>
    <w:rsid w:val="00874193"/>
    <w:rsid w:val="0087561B"/>
    <w:rsid w:val="008832E7"/>
    <w:rsid w:val="008863A6"/>
    <w:rsid w:val="00887F71"/>
    <w:rsid w:val="00892306"/>
    <w:rsid w:val="0089638D"/>
    <w:rsid w:val="008A3DC7"/>
    <w:rsid w:val="008A6944"/>
    <w:rsid w:val="008B146D"/>
    <w:rsid w:val="008B60F3"/>
    <w:rsid w:val="008C323B"/>
    <w:rsid w:val="008D0907"/>
    <w:rsid w:val="008D62D5"/>
    <w:rsid w:val="008E2192"/>
    <w:rsid w:val="008E557D"/>
    <w:rsid w:val="008F05BE"/>
    <w:rsid w:val="008F6521"/>
    <w:rsid w:val="0090230E"/>
    <w:rsid w:val="009060C3"/>
    <w:rsid w:val="0090637C"/>
    <w:rsid w:val="0091473F"/>
    <w:rsid w:val="00915B70"/>
    <w:rsid w:val="009202D9"/>
    <w:rsid w:val="00931C6C"/>
    <w:rsid w:val="00943367"/>
    <w:rsid w:val="00945CB2"/>
    <w:rsid w:val="00947954"/>
    <w:rsid w:val="00950D3D"/>
    <w:rsid w:val="0095235B"/>
    <w:rsid w:val="00952A86"/>
    <w:rsid w:val="0095565E"/>
    <w:rsid w:val="00956FCF"/>
    <w:rsid w:val="0096744E"/>
    <w:rsid w:val="00970EC2"/>
    <w:rsid w:val="00977885"/>
    <w:rsid w:val="0098410B"/>
    <w:rsid w:val="00987C91"/>
    <w:rsid w:val="00990B90"/>
    <w:rsid w:val="009922C8"/>
    <w:rsid w:val="009B0370"/>
    <w:rsid w:val="009B3B9B"/>
    <w:rsid w:val="009C6F1F"/>
    <w:rsid w:val="009E228F"/>
    <w:rsid w:val="009E24C5"/>
    <w:rsid w:val="009F6AB3"/>
    <w:rsid w:val="00A00A19"/>
    <w:rsid w:val="00A105D3"/>
    <w:rsid w:val="00A121D6"/>
    <w:rsid w:val="00A344F3"/>
    <w:rsid w:val="00A36A37"/>
    <w:rsid w:val="00A534AA"/>
    <w:rsid w:val="00A63265"/>
    <w:rsid w:val="00A640A5"/>
    <w:rsid w:val="00A65C3C"/>
    <w:rsid w:val="00A73913"/>
    <w:rsid w:val="00A75A40"/>
    <w:rsid w:val="00A822FF"/>
    <w:rsid w:val="00A82EF6"/>
    <w:rsid w:val="00A84B8B"/>
    <w:rsid w:val="00A84F49"/>
    <w:rsid w:val="00A85675"/>
    <w:rsid w:val="00AA49F8"/>
    <w:rsid w:val="00AA5C0F"/>
    <w:rsid w:val="00AA70D9"/>
    <w:rsid w:val="00AB5597"/>
    <w:rsid w:val="00AC5DC9"/>
    <w:rsid w:val="00AE1069"/>
    <w:rsid w:val="00AE7303"/>
    <w:rsid w:val="00AF01A5"/>
    <w:rsid w:val="00AF502C"/>
    <w:rsid w:val="00AF5DE4"/>
    <w:rsid w:val="00AF65C3"/>
    <w:rsid w:val="00B01CFE"/>
    <w:rsid w:val="00B17835"/>
    <w:rsid w:val="00B20ED5"/>
    <w:rsid w:val="00B24765"/>
    <w:rsid w:val="00B2563A"/>
    <w:rsid w:val="00B3329D"/>
    <w:rsid w:val="00B33F61"/>
    <w:rsid w:val="00B415B3"/>
    <w:rsid w:val="00B445C0"/>
    <w:rsid w:val="00B45E88"/>
    <w:rsid w:val="00B56B43"/>
    <w:rsid w:val="00B577A8"/>
    <w:rsid w:val="00B67680"/>
    <w:rsid w:val="00B73C81"/>
    <w:rsid w:val="00B75792"/>
    <w:rsid w:val="00B77F0C"/>
    <w:rsid w:val="00B80711"/>
    <w:rsid w:val="00B97DBF"/>
    <w:rsid w:val="00BB2FAC"/>
    <w:rsid w:val="00BC1D89"/>
    <w:rsid w:val="00BC32E8"/>
    <w:rsid w:val="00BC35C4"/>
    <w:rsid w:val="00BC5C1F"/>
    <w:rsid w:val="00BC7F94"/>
    <w:rsid w:val="00BD17A6"/>
    <w:rsid w:val="00BE4E17"/>
    <w:rsid w:val="00C05163"/>
    <w:rsid w:val="00C05BAF"/>
    <w:rsid w:val="00C11D17"/>
    <w:rsid w:val="00C27666"/>
    <w:rsid w:val="00C27BB1"/>
    <w:rsid w:val="00C4014E"/>
    <w:rsid w:val="00C54A7F"/>
    <w:rsid w:val="00C674B4"/>
    <w:rsid w:val="00C71728"/>
    <w:rsid w:val="00C7658A"/>
    <w:rsid w:val="00C77162"/>
    <w:rsid w:val="00C84197"/>
    <w:rsid w:val="00C867E9"/>
    <w:rsid w:val="00C90924"/>
    <w:rsid w:val="00C91214"/>
    <w:rsid w:val="00C91565"/>
    <w:rsid w:val="00C92FC9"/>
    <w:rsid w:val="00CB4AB7"/>
    <w:rsid w:val="00CC1FD9"/>
    <w:rsid w:val="00CC34EF"/>
    <w:rsid w:val="00CC4D26"/>
    <w:rsid w:val="00CC7E2E"/>
    <w:rsid w:val="00CD5D12"/>
    <w:rsid w:val="00CE1E69"/>
    <w:rsid w:val="00CE2C4E"/>
    <w:rsid w:val="00CE70B9"/>
    <w:rsid w:val="00D0212E"/>
    <w:rsid w:val="00D061BA"/>
    <w:rsid w:val="00D139E4"/>
    <w:rsid w:val="00D266C9"/>
    <w:rsid w:val="00D26EA4"/>
    <w:rsid w:val="00D321D6"/>
    <w:rsid w:val="00D36218"/>
    <w:rsid w:val="00D37BAD"/>
    <w:rsid w:val="00D43F7D"/>
    <w:rsid w:val="00D5206D"/>
    <w:rsid w:val="00D53021"/>
    <w:rsid w:val="00D64640"/>
    <w:rsid w:val="00D74354"/>
    <w:rsid w:val="00D85AA0"/>
    <w:rsid w:val="00D86AA3"/>
    <w:rsid w:val="00D94221"/>
    <w:rsid w:val="00D955D5"/>
    <w:rsid w:val="00DA045F"/>
    <w:rsid w:val="00DA5DB0"/>
    <w:rsid w:val="00DB034A"/>
    <w:rsid w:val="00DB3170"/>
    <w:rsid w:val="00DC2129"/>
    <w:rsid w:val="00DC5C64"/>
    <w:rsid w:val="00DD3E78"/>
    <w:rsid w:val="00DE4F80"/>
    <w:rsid w:val="00DE7A11"/>
    <w:rsid w:val="00DF2363"/>
    <w:rsid w:val="00DF76FE"/>
    <w:rsid w:val="00E0171D"/>
    <w:rsid w:val="00E06D18"/>
    <w:rsid w:val="00E1123C"/>
    <w:rsid w:val="00E13FD3"/>
    <w:rsid w:val="00E237AC"/>
    <w:rsid w:val="00E304A2"/>
    <w:rsid w:val="00E30C81"/>
    <w:rsid w:val="00E355F7"/>
    <w:rsid w:val="00E3751F"/>
    <w:rsid w:val="00E43035"/>
    <w:rsid w:val="00E47EBE"/>
    <w:rsid w:val="00E56D04"/>
    <w:rsid w:val="00E62942"/>
    <w:rsid w:val="00E635EE"/>
    <w:rsid w:val="00E64C63"/>
    <w:rsid w:val="00E7321C"/>
    <w:rsid w:val="00E76232"/>
    <w:rsid w:val="00E77273"/>
    <w:rsid w:val="00E84580"/>
    <w:rsid w:val="00E8657D"/>
    <w:rsid w:val="00E87690"/>
    <w:rsid w:val="00EA18B4"/>
    <w:rsid w:val="00EB05F2"/>
    <w:rsid w:val="00EB0799"/>
    <w:rsid w:val="00EB1A3C"/>
    <w:rsid w:val="00EB55AA"/>
    <w:rsid w:val="00EC0198"/>
    <w:rsid w:val="00EC0733"/>
    <w:rsid w:val="00EC2267"/>
    <w:rsid w:val="00ED2ED3"/>
    <w:rsid w:val="00ED4709"/>
    <w:rsid w:val="00ED7E4C"/>
    <w:rsid w:val="00EE66EE"/>
    <w:rsid w:val="00EE745A"/>
    <w:rsid w:val="00EE79A7"/>
    <w:rsid w:val="00EE7B90"/>
    <w:rsid w:val="00EF4CF4"/>
    <w:rsid w:val="00EF4F64"/>
    <w:rsid w:val="00EF618F"/>
    <w:rsid w:val="00F02FED"/>
    <w:rsid w:val="00F10F82"/>
    <w:rsid w:val="00F11AA3"/>
    <w:rsid w:val="00F145AB"/>
    <w:rsid w:val="00F24655"/>
    <w:rsid w:val="00F3487E"/>
    <w:rsid w:val="00F47E34"/>
    <w:rsid w:val="00F662F5"/>
    <w:rsid w:val="00F70093"/>
    <w:rsid w:val="00F8079C"/>
    <w:rsid w:val="00F8163C"/>
    <w:rsid w:val="00F82BD9"/>
    <w:rsid w:val="00F84D65"/>
    <w:rsid w:val="00F863FB"/>
    <w:rsid w:val="00F86F06"/>
    <w:rsid w:val="00F96223"/>
    <w:rsid w:val="00FA009E"/>
    <w:rsid w:val="00FB668D"/>
    <w:rsid w:val="00FD1F5D"/>
    <w:rsid w:val="00FD6185"/>
    <w:rsid w:val="00FD73BF"/>
    <w:rsid w:val="00FE45E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0D1CFF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0D1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1C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1CFF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C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CFF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3</TotalTime>
  <Pages>2</Pages>
  <Words>577</Words>
  <Characters>3411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Marie</dc:creator>
  <cp:keywords/>
  <dc:description/>
  <cp:lastModifiedBy>Kapucián Aleš</cp:lastModifiedBy>
  <cp:revision>4</cp:revision>
  <cp:lastPrinted>2025-02-25T12:21:00Z</cp:lastPrinted>
  <dcterms:created xsi:type="dcterms:W3CDTF">2025-06-19T12:48:00Z</dcterms:created>
  <dcterms:modified xsi:type="dcterms:W3CDTF">2025-07-03T07:37:00Z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