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509B" w:rsidRDefault="009B5B9D" w:rsidP="009B5B9D">
      <w:pPr>
        <w:pStyle w:val="nadpiszkona"/>
        <w:tabs>
          <w:tab w:val="left" w:pos="2175"/>
        </w:tabs>
        <w:jc w:val="left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8B509B">
        <w:rPr>
          <w:sz w:val="28"/>
        </w:rPr>
        <w:t>Důvodová zpráva</w:t>
      </w:r>
      <w:r>
        <w:rPr>
          <w:sz w:val="28"/>
        </w:rPr>
        <w:t xml:space="preserve">        </w:t>
      </w:r>
      <w:r w:rsidR="00EE5096">
        <w:rPr>
          <w:sz w:val="28"/>
        </w:rPr>
        <w:t xml:space="preserve">                             </w:t>
      </w:r>
    </w:p>
    <w:p w:rsidR="008B509B" w:rsidRDefault="008B509B" w:rsidP="009B5B9D">
      <w:pPr>
        <w:pStyle w:val="nadpiszkona"/>
        <w:ind w:left="708" w:firstLine="708"/>
        <w:jc w:val="left"/>
      </w:pPr>
      <w:r>
        <w:t>k návrhu zákona o státním rozp</w:t>
      </w:r>
      <w:r w:rsidR="00BE1B9D">
        <w:t>očtu České republiky na rok 2026</w:t>
      </w:r>
    </w:p>
    <w:p w:rsidR="008B509B" w:rsidRDefault="008B509B" w:rsidP="008B509B">
      <w:pPr>
        <w:jc w:val="center"/>
      </w:pPr>
    </w:p>
    <w:p w:rsidR="008B509B" w:rsidRPr="002C0096" w:rsidRDefault="008B509B" w:rsidP="008B509B">
      <w:pPr>
        <w:pStyle w:val="Nadpis3"/>
        <w:spacing w:after="240"/>
        <w:rPr>
          <w:rFonts w:ascii="Times New Roman" w:hAnsi="Times New Roman" w:cs="Times New Roman"/>
        </w:rPr>
      </w:pPr>
      <w:r w:rsidRPr="002C0096">
        <w:rPr>
          <w:rFonts w:ascii="Times New Roman" w:hAnsi="Times New Roman" w:cs="Times New Roman"/>
        </w:rPr>
        <w:t>Obecná část</w:t>
      </w:r>
    </w:p>
    <w:p w:rsidR="008B509B" w:rsidRDefault="008B509B" w:rsidP="008B509B">
      <w:pPr>
        <w:pStyle w:val="Zkladntextodsazen"/>
        <w:jc w:val="both"/>
      </w:pPr>
      <w:r>
        <w:t xml:space="preserve">Návrh zákona o státním rozpočtu legislativně zabezpečuje základní dokument finanční a rozpočtové politiky vlády České republiky.   </w:t>
      </w:r>
    </w:p>
    <w:p w:rsidR="008B509B" w:rsidRPr="00464030" w:rsidRDefault="008B509B" w:rsidP="008B509B">
      <w:pPr>
        <w:pStyle w:val="Zkladntext21"/>
        <w:spacing w:after="0"/>
        <w:ind w:firstLine="709"/>
      </w:pPr>
      <w:r w:rsidRPr="00464030">
        <w:t xml:space="preserve">Návrh státního rozpočtu </w:t>
      </w:r>
      <w:r w:rsidR="00763638">
        <w:t>na rok 202</w:t>
      </w:r>
      <w:r w:rsidR="00BE1B9D">
        <w:t>6</w:t>
      </w:r>
      <w:r w:rsidRPr="00464030">
        <w:t xml:space="preserve"> je předkládán jako schodkový v objemu </w:t>
      </w:r>
      <w:r w:rsidR="00A758B7" w:rsidRPr="00464030">
        <w:t>příjmů</w:t>
      </w:r>
      <w:r w:rsidR="00D430CF">
        <w:t xml:space="preserve"> </w:t>
      </w:r>
      <w:r w:rsidR="00BA623C">
        <w:t>2 094,3</w:t>
      </w:r>
      <w:r w:rsidR="00D430CF">
        <w:t xml:space="preserve"> mld.</w:t>
      </w:r>
      <w:r>
        <w:t xml:space="preserve"> Kč a v objemu </w:t>
      </w:r>
      <w:r w:rsidR="00D430CF">
        <w:t xml:space="preserve">výdajů </w:t>
      </w:r>
      <w:r w:rsidR="00BA623C">
        <w:t>2 380,3</w:t>
      </w:r>
      <w:r w:rsidR="00D430CF">
        <w:t xml:space="preserve"> </w:t>
      </w:r>
      <w:r w:rsidR="00834C04">
        <w:t>mld.</w:t>
      </w:r>
      <w:r w:rsidRPr="00464030">
        <w:t xml:space="preserve"> Kč. </w:t>
      </w:r>
    </w:p>
    <w:p w:rsidR="006633D1" w:rsidRDefault="008B509B" w:rsidP="008B509B">
      <w:pPr>
        <w:pStyle w:val="Zkladntext21"/>
        <w:spacing w:after="0"/>
        <w:ind w:firstLine="709"/>
      </w:pPr>
      <w:r>
        <w:t xml:space="preserve">Příjmy státního rozpočtu jsou tvořeny zejména z daní, pojistného na sociální zabezpečení a příspěvku na státní politiku zaměstnanosti a nedaňovými příjmy včetně </w:t>
      </w:r>
      <w:r w:rsidR="006633D1">
        <w:t xml:space="preserve">příjmů </w:t>
      </w:r>
      <w:r>
        <w:t xml:space="preserve">kapitálových. Za nedaňové příjmy se považuje také podíl z výnosu cel, který podle práva Evropské unie zůstává ponechán členským státům na úhradu nákladů spojených s jejich výběrem. Součástí příjmů státního rozpočtu jsou dále peněžní prostředky poskytnuté z rozpočtu Evropské unie na realizaci politik Evropské unie, tj. zejména </w:t>
      </w:r>
      <w:r w:rsidR="0086555C">
        <w:t>na politiku soudržnosti, společnou zemědělskou politiku a Národní plán obnovy</w:t>
      </w:r>
      <w:r w:rsidR="00EE3DD6">
        <w:t xml:space="preserve">. </w:t>
      </w:r>
      <w:r>
        <w:t xml:space="preserve">Dále jsou příjmem státního rozpočtu prostředky z finančních mechanismů EHP/Norsko </w:t>
      </w:r>
      <w:r w:rsidR="0086555C">
        <w:t xml:space="preserve">a Programu švýcarsko-české spolupráce 2 </w:t>
      </w:r>
      <w:r w:rsidR="00EE3DD6">
        <w:t>získané na právním základu mezivládních smluv.</w:t>
      </w:r>
    </w:p>
    <w:p w:rsidR="008B509B" w:rsidRPr="006633D1" w:rsidRDefault="008B509B" w:rsidP="008B509B">
      <w:pPr>
        <w:pStyle w:val="Zkladntext21"/>
        <w:spacing w:after="0"/>
        <w:ind w:firstLine="709"/>
      </w:pPr>
      <w:r>
        <w:t xml:space="preserve">Výdaji státního rozpočtu jsou zejména výdaje organizačních složek státu včetně příspěvků </w:t>
      </w:r>
      <w:r w:rsidR="00752222">
        <w:t xml:space="preserve">státním </w:t>
      </w:r>
      <w:r>
        <w:t>příspěvkovým organizacím, které zabezpečují funkce státu,</w:t>
      </w:r>
      <w:r>
        <w:rPr>
          <w:i/>
          <w:iCs/>
        </w:rPr>
        <w:t xml:space="preserve"> </w:t>
      </w:r>
      <w:r w:rsidR="00AE4A7F">
        <w:t>dotace a </w:t>
      </w:r>
      <w:r>
        <w:t>příspěvky krajům a</w:t>
      </w:r>
      <w:r>
        <w:rPr>
          <w:i/>
          <w:iCs/>
        </w:rPr>
        <w:t xml:space="preserve"> </w:t>
      </w:r>
      <w:r>
        <w:t xml:space="preserve">obcím, státním fondům, dotace podnikatelským subjektům, nestátním neziskovým organizacím a výdaje související s dluhovou službou. Součástí výdajů státního rozpočtu jsou i odvody peněžních prostředků vlastních zdrojů Evropské unie, prostředky na zajištění předfinancování </w:t>
      </w:r>
      <w:r w:rsidR="0018112F">
        <w:t>aktivit v rámci výše uvedených politik EU, Národního plánu obnovy a finančních mechanismů včetně podílu státního rozpočtu na podporu realizace těchto aktivit.</w:t>
      </w:r>
    </w:p>
    <w:p w:rsidR="008B509B" w:rsidRDefault="008B509B" w:rsidP="00493AED">
      <w:pPr>
        <w:pStyle w:val="Zkladntext21"/>
        <w:ind w:firstLine="709"/>
      </w:pPr>
      <w:r>
        <w:t xml:space="preserve">Návrh zákona </w:t>
      </w:r>
      <w:r w:rsidR="00D66DA1">
        <w:t xml:space="preserve">o státním rozpočtu </w:t>
      </w:r>
      <w:r>
        <w:t>je v souladu s vyhlášenými mezinárodními smlouvami podle čl. 10 Ústavy České republiky a je rovněž v souladu s ústavním pořádkem České republiky.</w:t>
      </w:r>
    </w:p>
    <w:p w:rsidR="009B2312" w:rsidRPr="009C0190" w:rsidRDefault="008B509B" w:rsidP="009C0190">
      <w:pPr>
        <w:pStyle w:val="Zkladntext21"/>
        <w:spacing w:after="0"/>
        <w:ind w:firstLine="709"/>
        <w:rPr>
          <w:b/>
          <w:bCs/>
        </w:rPr>
      </w:pPr>
      <w:r w:rsidRPr="00AD2B95">
        <w:t>Návrh zákona o státním rozpočtu je slučitelný s právem Evropské unie. Tvorba rozpočtů členských států EU není právem EU přímo upravena. Primární právo EU však v n</w:t>
      </w:r>
      <w:r w:rsidR="006633D1">
        <w:t>ávaznosti na </w:t>
      </w:r>
      <w:r w:rsidRPr="00AD2B95">
        <w:t>existenci vnitřního trhu EU</w:t>
      </w:r>
      <w:r>
        <w:t xml:space="preserve"> a</w:t>
      </w:r>
      <w:r w:rsidRPr="00AD2B95">
        <w:t xml:space="preserve"> </w:t>
      </w:r>
      <w:r w:rsidR="00464546">
        <w:t>h</w:t>
      </w:r>
      <w:r w:rsidRPr="00AD2B95">
        <w:t>ospodářské a měnové unie a s ohledem na cíle, které EU sleduje (čl. 3 Smlouvy o EU), obsahuje závazky, kte</w:t>
      </w:r>
      <w:r>
        <w:t>ré do oblasti tvorby státního a </w:t>
      </w:r>
      <w:r w:rsidRPr="00AD2B95">
        <w:t xml:space="preserve">veřejných rozpočtů obecně zasahují. </w:t>
      </w:r>
      <w:r w:rsidR="001F0EE0">
        <w:t xml:space="preserve">Primární i sekundární právo </w:t>
      </w:r>
      <w:r w:rsidR="003C214C">
        <w:t xml:space="preserve">obsahuje závazky v oblasti rozpočtové </w:t>
      </w:r>
      <w:r w:rsidR="003C214C">
        <w:lastRenderedPageBreak/>
        <w:t xml:space="preserve">odpovědnosti pro členské státy. </w:t>
      </w:r>
      <w:r w:rsidRPr="00AD2B95">
        <w:t>Jde především o povinnost vyvarovat se nadměrných schodků veřejných f</w:t>
      </w:r>
      <w:r w:rsidR="006633D1">
        <w:t>inancí (čl. 126 SFEU, Protokol č. 12</w:t>
      </w:r>
      <w:r w:rsidRPr="00AD2B95">
        <w:t xml:space="preserve"> o postupu při nadměrném schodku) nebo obecněji povinnost provádět národní hospodářskou politiku se záměrem přispívat k dosažení cílů Unie (čl. </w:t>
      </w:r>
      <w:smartTag w:uri="urn:schemas-microsoft-com:office:smarttags" w:element="metricconverter">
        <w:smartTagPr>
          <w:attr w:name="ProductID" w:val="120 a"/>
        </w:smartTagPr>
        <w:r w:rsidRPr="00AD2B95">
          <w:t>120 a</w:t>
        </w:r>
      </w:smartTag>
      <w:r w:rsidRPr="00AD2B95">
        <w:t xml:space="preserve"> násl. SFEU).</w:t>
      </w:r>
      <w:r w:rsidR="0016220D">
        <w:t xml:space="preserve"> </w:t>
      </w:r>
      <w:r w:rsidRPr="00AD2B95">
        <w:t xml:space="preserve">Závazky z primárního práva EU jsou dále konkretizovány </w:t>
      </w:r>
      <w:r w:rsidR="00B852A7">
        <w:t>především</w:t>
      </w:r>
      <w:r w:rsidR="00B3226A">
        <w:t xml:space="preserve"> </w:t>
      </w:r>
      <w:r w:rsidR="009C0190">
        <w:t>v přímo použitelných nařízeních</w:t>
      </w:r>
      <w:r w:rsidR="009C0190" w:rsidRPr="009C0190">
        <w:rPr>
          <w:b/>
          <w:bCs/>
        </w:rPr>
        <w:t xml:space="preserve"> </w:t>
      </w:r>
      <w:r w:rsidR="009C0190" w:rsidRPr="00203D5F">
        <w:rPr>
          <w:bCs/>
        </w:rPr>
        <w:t>Evropského parlamentu a Rady (EU) 2024/1263 ze dne 29. dubna 2024 o účinné koordinaci hospodářských politik a mnohostranném rozpočtovém dohledu a o zrušení nařízení Rady (ES) č. 1466/97</w:t>
      </w:r>
      <w:r w:rsidRPr="00203D5F">
        <w:rPr>
          <w:bCs/>
        </w:rPr>
        <w:t xml:space="preserve">, </w:t>
      </w:r>
      <w:r w:rsidR="009C0190" w:rsidRPr="00203D5F">
        <w:t>a</w:t>
      </w:r>
      <w:r w:rsidR="009C0190" w:rsidRPr="00203D5F">
        <w:rPr>
          <w:bCs/>
        </w:rPr>
        <w:t xml:space="preserve"> </w:t>
      </w:r>
      <w:r w:rsidR="00203D5F" w:rsidRPr="00203D5F">
        <w:rPr>
          <w:bCs/>
        </w:rPr>
        <w:t xml:space="preserve">nařízení č. </w:t>
      </w:r>
      <w:r w:rsidR="009C0190" w:rsidRPr="00203D5F">
        <w:rPr>
          <w:bCs/>
        </w:rPr>
        <w:t>2024/1264 ze dne 29. dubna 2024, kterým se mění nařízení (ES) č. 1467/97 o urychlení a vyjasnění postupu při nadměrném schodku</w:t>
      </w:r>
      <w:r w:rsidR="00F208BD" w:rsidRPr="00203D5F">
        <w:t xml:space="preserve"> a </w:t>
      </w:r>
      <w:r w:rsidR="00EB7204" w:rsidRPr="00203D5F">
        <w:t xml:space="preserve">ve </w:t>
      </w:r>
      <w:r w:rsidR="009C0190" w:rsidRPr="00203D5F">
        <w:rPr>
          <w:bCs/>
        </w:rPr>
        <w:t>Směrnici Rady (EU) 2024/1265 ze dne 29. dubna 2024, kterou se mění směrnice 2011/85/EU o požadavcích na rozpočtové rámce členských států</w:t>
      </w:r>
      <w:r w:rsidR="00F208BD" w:rsidRPr="00A22CE7">
        <w:t>.</w:t>
      </w:r>
      <w:r w:rsidR="009B2312" w:rsidRPr="009B2312">
        <w:t xml:space="preserve"> </w:t>
      </w:r>
      <w:r w:rsidR="00772816" w:rsidRPr="00772816">
        <w:t>Některé prameny sekundárního práva k rozpočtovému doh</w:t>
      </w:r>
      <w:r w:rsidR="006633D1">
        <w:t>ledu se vztahují pouze na státy E</w:t>
      </w:r>
      <w:r w:rsidR="00772816" w:rsidRPr="00772816">
        <w:t xml:space="preserve">urozóny (např. nařízení </w:t>
      </w:r>
      <w:r w:rsidR="00772816">
        <w:t xml:space="preserve">č. </w:t>
      </w:r>
      <w:r w:rsidR="00772816" w:rsidRPr="00772816">
        <w:t xml:space="preserve">473/2013, </w:t>
      </w:r>
      <w:r w:rsidR="006633D1">
        <w:t xml:space="preserve">č. </w:t>
      </w:r>
      <w:r w:rsidR="00BE1B9D">
        <w:t>472/2013 a č. </w:t>
      </w:r>
      <w:r w:rsidR="00772816" w:rsidRPr="00772816">
        <w:t xml:space="preserve">1173/2011).   </w:t>
      </w:r>
    </w:p>
    <w:p w:rsidR="00002B9F" w:rsidRDefault="007D1E32" w:rsidP="008B509B">
      <w:pPr>
        <w:pStyle w:val="Zkladntext21"/>
        <w:spacing w:after="0"/>
        <w:ind w:firstLine="709"/>
      </w:pPr>
      <w:r>
        <w:t xml:space="preserve">Výše citované sekundární předpisy, konkrétně dvě přímo použitelná nařízení, tvoří spolu s rezolucí Evropské rady přijaté v Amsterodamu v červnu 1997 </w:t>
      </w:r>
      <w:r w:rsidR="00B3226A">
        <w:t xml:space="preserve">jádro </w:t>
      </w:r>
      <w:r>
        <w:t>tzv. Pakt</w:t>
      </w:r>
      <w:r w:rsidR="0048089E">
        <w:t>u</w:t>
      </w:r>
      <w:r>
        <w:t xml:space="preserve"> o stabilitě a </w:t>
      </w:r>
      <w:r w:rsidR="00002B9F">
        <w:t>růstu</w:t>
      </w:r>
      <w:r>
        <w:t>. Ten</w:t>
      </w:r>
      <w:r w:rsidR="00002B9F">
        <w:t xml:space="preserve"> </w:t>
      </w:r>
      <w:r w:rsidR="00002B9F" w:rsidRPr="00002B9F">
        <w:t xml:space="preserve">obsahuje celkem </w:t>
      </w:r>
      <w:r w:rsidR="00002B9F" w:rsidRPr="00AA38A1">
        <w:t>dvě únikové klauzule</w:t>
      </w:r>
      <w:r w:rsidR="00002B9F" w:rsidRPr="00002B9F">
        <w:t xml:space="preserve"> pro případ nenadálých hospodářských šoků mimo kontrolu vlád nebo pro případ silné hospodářské recese postihující celou eurozónu či EU.</w:t>
      </w:r>
      <w:r w:rsidR="00772816" w:rsidRPr="00772816">
        <w:t xml:space="preserve"> Součástí Paktu</w:t>
      </w:r>
      <w:r w:rsidR="00772816">
        <w:t xml:space="preserve"> o stabilitě a růstu</w:t>
      </w:r>
      <w:r w:rsidR="00772816" w:rsidRPr="00772816">
        <w:t xml:space="preserve"> je i nařízení </w:t>
      </w:r>
      <w:r w:rsidR="00772816">
        <w:t xml:space="preserve">č. </w:t>
      </w:r>
      <w:r w:rsidR="00772816" w:rsidRPr="00772816">
        <w:t>1173/2011, o účinném prosazování rozpočtového dohledu v eurozóně.</w:t>
      </w:r>
    </w:p>
    <w:p w:rsidR="003C214C" w:rsidRDefault="003C214C" w:rsidP="008B509B">
      <w:pPr>
        <w:pStyle w:val="Zkladntext21"/>
        <w:spacing w:after="0"/>
        <w:ind w:firstLine="709"/>
      </w:pPr>
      <w:r>
        <w:t xml:space="preserve">V rámci Paktu o stabilitě a růstu </w:t>
      </w:r>
      <w:r w:rsidR="00C718E4">
        <w:t xml:space="preserve">vydává </w:t>
      </w:r>
      <w:r w:rsidR="001E6189">
        <w:t xml:space="preserve">Evropská komise </w:t>
      </w:r>
      <w:r w:rsidR="00C718E4">
        <w:t xml:space="preserve">každoročně dokumenty analyzující stav veřejných financí v jednotlivých členských státech a adresuje jim konkrétní doporučení pro koordinaci národních hospodářských politik. </w:t>
      </w:r>
      <w:r w:rsidR="00B07CEA" w:rsidRPr="007D2A28">
        <w:t>Předkládaný náv</w:t>
      </w:r>
      <w:r w:rsidR="00D00F2E">
        <w:t>rh státního rozpočtu na rok 2026</w:t>
      </w:r>
      <w:r w:rsidR="00B07CEA" w:rsidRPr="007D2A28">
        <w:t xml:space="preserve"> je v </w:t>
      </w:r>
      <w:r w:rsidR="00B07CEA" w:rsidRPr="00203D5F">
        <w:t>souladu s doporučeními Evropské komise vyslovenými České republice, která jsou obsahem Zprávy o Česku 202</w:t>
      </w:r>
      <w:r w:rsidR="00BA118D" w:rsidRPr="00203D5F">
        <w:t>4</w:t>
      </w:r>
      <w:r w:rsidR="00B07CEA" w:rsidRPr="00203D5F">
        <w:t xml:space="preserve"> (SWD(202</w:t>
      </w:r>
      <w:r w:rsidR="001D0877" w:rsidRPr="00203D5F">
        <w:t>5</w:t>
      </w:r>
      <w:r w:rsidR="00B07CEA" w:rsidRPr="00203D5F">
        <w:t xml:space="preserve">) </w:t>
      </w:r>
      <w:r w:rsidR="001D0877" w:rsidRPr="00203D5F">
        <w:t>2</w:t>
      </w:r>
      <w:r w:rsidR="00B07CEA" w:rsidRPr="00203D5F">
        <w:t xml:space="preserve">03 </w:t>
      </w:r>
      <w:proofErr w:type="spellStart"/>
      <w:r w:rsidR="00B07CEA" w:rsidRPr="00203D5F">
        <w:t>final</w:t>
      </w:r>
      <w:proofErr w:type="spellEnd"/>
      <w:r w:rsidR="00B07CEA" w:rsidRPr="00203D5F">
        <w:t>)</w:t>
      </w:r>
      <w:r w:rsidR="00B07CEA" w:rsidRPr="00203D5F">
        <w:rPr>
          <w:rStyle w:val="Znakapoznpodarou"/>
        </w:rPr>
        <w:footnoteReference w:id="1"/>
      </w:r>
      <w:r w:rsidR="00B07CEA" w:rsidRPr="00203D5F">
        <w:t xml:space="preserve"> i přímo Doporučení (EK) pro Doporučení Rady (COM (202</w:t>
      </w:r>
      <w:r w:rsidR="001D0877" w:rsidRPr="00203D5F">
        <w:t>5</w:t>
      </w:r>
      <w:r w:rsidR="00B07CEA" w:rsidRPr="00203D5F">
        <w:t xml:space="preserve">) </w:t>
      </w:r>
      <w:r w:rsidR="001D0877" w:rsidRPr="00203D5F">
        <w:t>2</w:t>
      </w:r>
      <w:r w:rsidR="00B07CEA" w:rsidRPr="00203D5F">
        <w:t xml:space="preserve">03 </w:t>
      </w:r>
      <w:proofErr w:type="spellStart"/>
      <w:r w:rsidR="00B07CEA" w:rsidRPr="00203D5F">
        <w:t>final</w:t>
      </w:r>
      <w:proofErr w:type="spellEnd"/>
      <w:r w:rsidR="00B07CEA" w:rsidRPr="00203D5F">
        <w:t>)</w:t>
      </w:r>
      <w:r w:rsidR="00B07CEA" w:rsidRPr="00203D5F">
        <w:rPr>
          <w:rStyle w:val="Znakapoznpodarou"/>
        </w:rPr>
        <w:footnoteReference w:id="2"/>
      </w:r>
      <w:r w:rsidR="00B07CEA" w:rsidRPr="00203D5F">
        <w:t>.</w:t>
      </w:r>
      <w:r w:rsidR="00B07CEA">
        <w:t xml:space="preserve"> </w:t>
      </w:r>
    </w:p>
    <w:p w:rsidR="008B509B" w:rsidRDefault="008B509B" w:rsidP="00674DCD">
      <w:pPr>
        <w:pStyle w:val="Zkladntextodsazen"/>
        <w:jc w:val="both"/>
      </w:pPr>
      <w:r>
        <w:t xml:space="preserve">Dopady </w:t>
      </w:r>
      <w:r w:rsidR="00427289">
        <w:t xml:space="preserve">návrhu zákona </w:t>
      </w:r>
      <w:r>
        <w:t>na státní rozpočet se neuvádějí, což vyplývá z</w:t>
      </w:r>
      <w:r w:rsidR="00D75CBA">
        <w:t>e </w:t>
      </w:r>
      <w:r w:rsidR="00427289">
        <w:t>samotného</w:t>
      </w:r>
      <w:r>
        <w:t xml:space="preserve"> charakteru zákona. Při aplikaci Obecných zásad pro hodnocení dopadů regulace (RIA) podléhá tento zákon zvláštnímu režimu podle výjimky uvedené v čl. I. 3. 8. písm. b) těchto zásad.  </w:t>
      </w:r>
    </w:p>
    <w:p w:rsidR="00116C80" w:rsidRPr="00116C80" w:rsidRDefault="00116C80" w:rsidP="00674DCD">
      <w:pPr>
        <w:pStyle w:val="Zkladntextodsazen"/>
        <w:jc w:val="both"/>
        <w:rPr>
          <w:rFonts w:ascii="ále" w:hAnsi="ále"/>
        </w:rPr>
      </w:pPr>
      <w:r>
        <w:rPr>
          <w:rFonts w:ascii="ále" w:hAnsi="ále"/>
        </w:rPr>
        <w:lastRenderedPageBreak/>
        <w:t xml:space="preserve">Dále uvádíme, že Ministerstvu financí není z vlastní činnosti známo, že </w:t>
      </w:r>
      <w:r w:rsidRPr="00116C80">
        <w:rPr>
          <w:rFonts w:ascii="ále" w:hAnsi="ále"/>
        </w:rPr>
        <w:t xml:space="preserve">by při přípravě zákona o státním rozpočtu České republiky na rok 2026 </w:t>
      </w:r>
      <w:r>
        <w:rPr>
          <w:rFonts w:ascii="ále" w:hAnsi="ále"/>
        </w:rPr>
        <w:t>došlo k lobbingu</w:t>
      </w:r>
      <w:r w:rsidRPr="00116C80">
        <w:rPr>
          <w:rFonts w:ascii="ále" w:hAnsi="ále"/>
        </w:rPr>
        <w:t>. Žádný případ lobbingu neoznámil Ministerstvu financí ani žádný správce kapitoly státního rozpočtu</w:t>
      </w:r>
      <w:r>
        <w:rPr>
          <w:rFonts w:ascii="ále" w:hAnsi="ále"/>
        </w:rPr>
        <w:t xml:space="preserve">. </w:t>
      </w:r>
    </w:p>
    <w:p w:rsidR="008B509B" w:rsidRPr="002C0096" w:rsidRDefault="008B509B" w:rsidP="008B509B">
      <w:pPr>
        <w:pStyle w:val="Nadpis3"/>
        <w:spacing w:after="240"/>
        <w:rPr>
          <w:rFonts w:ascii="Times New Roman" w:hAnsi="Times New Roman" w:cs="Times New Roman"/>
        </w:rPr>
      </w:pPr>
      <w:r w:rsidRPr="002C0096">
        <w:rPr>
          <w:rFonts w:ascii="Times New Roman" w:hAnsi="Times New Roman" w:cs="Times New Roman"/>
        </w:rPr>
        <w:t>Zvláštní část</w:t>
      </w:r>
    </w:p>
    <w:p w:rsidR="008B509B" w:rsidRPr="00C57184" w:rsidRDefault="008B509B" w:rsidP="008B509B">
      <w:pPr>
        <w:pStyle w:val="Nadpis3"/>
        <w:rPr>
          <w:rFonts w:ascii="Times New Roman" w:hAnsi="Times New Roman" w:cs="Times New Roman"/>
          <w:bCs w:val="0"/>
          <w:u w:val="single"/>
        </w:rPr>
      </w:pPr>
      <w:r w:rsidRPr="00C57184">
        <w:rPr>
          <w:rFonts w:ascii="Times New Roman" w:hAnsi="Times New Roman" w:cs="Times New Roman"/>
          <w:bCs w:val="0"/>
          <w:u w:val="single"/>
        </w:rPr>
        <w:t>K § 1:</w:t>
      </w:r>
    </w:p>
    <w:p w:rsidR="008B509B" w:rsidRDefault="008B509B" w:rsidP="000E3343">
      <w:pPr>
        <w:spacing w:line="360" w:lineRule="auto"/>
        <w:ind w:firstLine="708"/>
        <w:jc w:val="both"/>
      </w:pPr>
      <w:r>
        <w:t xml:space="preserve">Státní rozpočet </w:t>
      </w:r>
      <w:r w:rsidR="00D20DA0">
        <w:t>se navrhuje se schodkem ve výši</w:t>
      </w:r>
      <w:r w:rsidR="003227F4">
        <w:t xml:space="preserve"> </w:t>
      </w:r>
      <w:r w:rsidR="00BA623C">
        <w:t>286</w:t>
      </w:r>
      <w:bookmarkStart w:id="0" w:name="_GoBack"/>
      <w:bookmarkEnd w:id="0"/>
      <w:r w:rsidR="003476B4">
        <w:t xml:space="preserve"> mld.</w:t>
      </w:r>
      <w:r>
        <w:t xml:space="preserve"> Kč. V navrhovaném ustanovení jsou obsaženy základní údaje o příjmech a výdajích státního rozpočtu a jeho finančních vztazích k rozpočtu Evropské unie. Součástí finanč</w:t>
      </w:r>
      <w:r w:rsidR="000E3343">
        <w:t>ního vztahu státního rozpočtu k </w:t>
      </w:r>
      <w:r>
        <w:t>rozpočtu Evropské unie jsou jím přijímané peněžní prostř</w:t>
      </w:r>
      <w:r w:rsidR="000E3343">
        <w:t>edky z rozpočtu Evropské unie a </w:t>
      </w:r>
      <w:r>
        <w:t xml:space="preserve">odvody peněžních prostředků vlastních zdrojů Evropské unie. </w:t>
      </w:r>
    </w:p>
    <w:p w:rsidR="008B509B" w:rsidRPr="009C284F" w:rsidRDefault="008B509B" w:rsidP="008B509B">
      <w:pPr>
        <w:pStyle w:val="Zkladntext21"/>
        <w:rPr>
          <w:b/>
          <w:u w:val="single"/>
        </w:rPr>
      </w:pPr>
      <w:r w:rsidRPr="009C284F">
        <w:rPr>
          <w:b/>
          <w:u w:val="single"/>
        </w:rPr>
        <w:t>K § 2:</w:t>
      </w:r>
    </w:p>
    <w:p w:rsidR="008B509B" w:rsidRPr="003969B9" w:rsidRDefault="008B509B" w:rsidP="008B509B">
      <w:pPr>
        <w:pStyle w:val="Zkladntextodsazen3"/>
        <w:spacing w:line="360" w:lineRule="auto"/>
        <w:ind w:left="0" w:firstLine="708"/>
        <w:jc w:val="both"/>
        <w:rPr>
          <w:sz w:val="24"/>
          <w:szCs w:val="24"/>
        </w:rPr>
      </w:pPr>
      <w:r w:rsidRPr="003969B9">
        <w:rPr>
          <w:sz w:val="24"/>
          <w:szCs w:val="24"/>
        </w:rPr>
        <w:t>Součástí návrhu záko</w:t>
      </w:r>
      <w:r>
        <w:rPr>
          <w:sz w:val="24"/>
          <w:szCs w:val="24"/>
        </w:rPr>
        <w:t>na</w:t>
      </w:r>
      <w:r w:rsidR="00BE1B9D">
        <w:rPr>
          <w:sz w:val="24"/>
          <w:szCs w:val="24"/>
        </w:rPr>
        <w:t xml:space="preserve"> o státním rozpočtu na rok 2026</w:t>
      </w:r>
      <w:r w:rsidRPr="003969B9">
        <w:rPr>
          <w:sz w:val="24"/>
          <w:szCs w:val="24"/>
        </w:rPr>
        <w:t xml:space="preserve"> jsou finanční vztahy státního rozpočtu k rozpočtům krajů, obcí a hl. m. Prahy. </w:t>
      </w:r>
    </w:p>
    <w:p w:rsidR="00002659" w:rsidRPr="00667964" w:rsidRDefault="008B509B" w:rsidP="00667964">
      <w:pPr>
        <w:pStyle w:val="Zkladntext21"/>
        <w:ind w:firstLine="708"/>
      </w:pPr>
      <w:r>
        <w:t xml:space="preserve">Obsahem finančních vztahů státního rozpočtu k rozpočtům krajů, k rozpočtům obcí a k rozpočtu hlavního města Prahy jsou příspěvky na výkon státní správy. </w:t>
      </w:r>
    </w:p>
    <w:p w:rsidR="008B509B" w:rsidRPr="009C284F" w:rsidRDefault="008B509B" w:rsidP="008B509B">
      <w:pPr>
        <w:pStyle w:val="Zkladntext21"/>
        <w:rPr>
          <w:b/>
          <w:u w:val="single"/>
        </w:rPr>
      </w:pPr>
      <w:r w:rsidRPr="009C284F">
        <w:rPr>
          <w:b/>
          <w:u w:val="single"/>
        </w:rPr>
        <w:t>K § 3:</w:t>
      </w:r>
    </w:p>
    <w:p w:rsidR="008B509B" w:rsidRDefault="008B509B" w:rsidP="008B509B">
      <w:pPr>
        <w:pStyle w:val="Zkladntext21"/>
        <w:ind w:firstLine="708"/>
      </w:pPr>
      <w:r>
        <w:t xml:space="preserve">Na základě ustanovení § 4 odst. 5 zákona č. 58/1995 Sb., </w:t>
      </w:r>
      <w:r w:rsidRPr="00CC46D7">
        <w:t>o pojišťování a financování vývozu se státní podporou a o doplnění zákona č. 166/1993 Sb., o Nejvyšším kontrolním úřadu, ve znění</w:t>
      </w:r>
      <w:r>
        <w:t xml:space="preserve"> zákona č. 60/1998 Sb., je pro Exportní garanční a pojišťovací společnost, a. s. stanovena výše pojistné kapacity.</w:t>
      </w:r>
    </w:p>
    <w:p w:rsidR="008B509B" w:rsidRPr="00D32D86" w:rsidRDefault="008B509B" w:rsidP="00D32D86">
      <w:pPr>
        <w:pStyle w:val="Nadpis3"/>
        <w:rPr>
          <w:rFonts w:ascii="Times New Roman" w:hAnsi="Times New Roman" w:cs="Times New Roman"/>
          <w:bCs w:val="0"/>
          <w:u w:val="single"/>
        </w:rPr>
      </w:pPr>
      <w:r>
        <w:rPr>
          <w:rFonts w:ascii="Times New Roman" w:hAnsi="Times New Roman" w:cs="Times New Roman"/>
          <w:bCs w:val="0"/>
          <w:u w:val="single"/>
        </w:rPr>
        <w:t>K § 4</w:t>
      </w:r>
      <w:r w:rsidRPr="00B156F6">
        <w:rPr>
          <w:rFonts w:ascii="Times New Roman" w:hAnsi="Times New Roman" w:cs="Times New Roman"/>
          <w:bCs w:val="0"/>
          <w:u w:val="single"/>
        </w:rPr>
        <w:t>:</w:t>
      </w:r>
    </w:p>
    <w:p w:rsidR="008B509B" w:rsidRDefault="008B509B" w:rsidP="008B509B">
      <w:pPr>
        <w:pStyle w:val="Zkladntext"/>
        <w:keepNext/>
        <w:spacing w:line="360" w:lineRule="auto"/>
        <w:rPr>
          <w:b/>
          <w:i/>
        </w:rPr>
      </w:pPr>
    </w:p>
    <w:p w:rsidR="00D32D86" w:rsidRDefault="008B509B" w:rsidP="008B509B">
      <w:pPr>
        <w:pStyle w:val="Zkladntextodsazen2"/>
        <w:keepNext/>
        <w:spacing w:line="360" w:lineRule="auto"/>
        <w:ind w:left="0" w:firstLine="709"/>
        <w:jc w:val="both"/>
      </w:pPr>
      <w:r>
        <w:t>Tento převod je uložen v § 36 odst. 3 zákona o rozpočtových pravidlech. Vyčíslené prostředky, resp. výše kladného salda důchodového pojištění, budou jako výdaj kapitoly Všeobecná pokladní správa rozpočtově zařazené na po</w:t>
      </w:r>
      <w:r w:rsidR="00876FFE">
        <w:t>ložku rozpočtové skladby 5318 – Neinvestiční </w:t>
      </w:r>
      <w:r>
        <w:t xml:space="preserve">transfery prostředků do státních finančních aktiv a bankovním převodem po projednání státního závěrečného účtu za předchozí rok Poslaneckou sněmovnou Parlamentu České republiky poukázány ve prospěch účtu státních finančních aktiv „Rezervy důchodového pojištění“, rozpočtově zařazené na podseskupení </w:t>
      </w:r>
      <w:r w:rsidR="00876FFE">
        <w:t>položek rozpočtové skladby 411 – Neinvestiční </w:t>
      </w:r>
      <w:r w:rsidR="0044174C">
        <w:t xml:space="preserve">přijaté transfery od </w:t>
      </w:r>
      <w:r>
        <w:t xml:space="preserve">rozpočtů ústřední úrovně. </w:t>
      </w:r>
    </w:p>
    <w:p w:rsidR="00427289" w:rsidRDefault="00427289" w:rsidP="001D4CD1"/>
    <w:p w:rsidR="00667964" w:rsidRDefault="00667964" w:rsidP="001D4CD1"/>
    <w:p w:rsidR="00667964" w:rsidRDefault="00667964" w:rsidP="001D4CD1"/>
    <w:p w:rsidR="00667964" w:rsidRDefault="00667964" w:rsidP="001D4CD1"/>
    <w:p w:rsidR="00667964" w:rsidRDefault="00667964" w:rsidP="001D4CD1"/>
    <w:p w:rsidR="00667964" w:rsidRDefault="00667964" w:rsidP="001D4CD1"/>
    <w:p w:rsidR="00667964" w:rsidRDefault="00667964" w:rsidP="001D4CD1"/>
    <w:p w:rsidR="000A6685" w:rsidRDefault="000A6685" w:rsidP="008B509B">
      <w:pPr>
        <w:jc w:val="center"/>
      </w:pPr>
    </w:p>
    <w:p w:rsidR="000A6685" w:rsidRDefault="000A6685" w:rsidP="008B509B">
      <w:pPr>
        <w:jc w:val="center"/>
      </w:pPr>
    </w:p>
    <w:p w:rsidR="000A6685" w:rsidRDefault="000A6685" w:rsidP="006457E2">
      <w:pPr>
        <w:spacing w:line="276" w:lineRule="auto"/>
        <w:jc w:val="center"/>
      </w:pPr>
    </w:p>
    <w:p w:rsidR="006457E2" w:rsidRDefault="006457E2" w:rsidP="006457E2">
      <w:pPr>
        <w:spacing w:line="276" w:lineRule="auto"/>
        <w:jc w:val="center"/>
      </w:pPr>
      <w:r>
        <w:t xml:space="preserve">V Praze dne </w:t>
      </w:r>
      <w:r w:rsidR="00BE1B9D">
        <w:t xml:space="preserve">                          2025</w:t>
      </w:r>
    </w:p>
    <w:p w:rsidR="006457E2" w:rsidRDefault="006457E2" w:rsidP="006457E2">
      <w:pPr>
        <w:spacing w:line="276" w:lineRule="auto"/>
        <w:jc w:val="center"/>
      </w:pPr>
    </w:p>
    <w:p w:rsidR="00667964" w:rsidRDefault="00667964" w:rsidP="006457E2">
      <w:pPr>
        <w:spacing w:line="276" w:lineRule="auto"/>
        <w:jc w:val="center"/>
      </w:pPr>
    </w:p>
    <w:p w:rsidR="006457E2" w:rsidRDefault="006457E2" w:rsidP="006457E2">
      <w:pPr>
        <w:spacing w:line="276" w:lineRule="auto"/>
        <w:jc w:val="center"/>
      </w:pPr>
      <w:r>
        <w:t>Předseda vlády:</w:t>
      </w:r>
    </w:p>
    <w:p w:rsidR="006457E2" w:rsidRDefault="006457E2" w:rsidP="006457E2">
      <w:pPr>
        <w:spacing w:line="276" w:lineRule="auto"/>
        <w:jc w:val="center"/>
      </w:pPr>
    </w:p>
    <w:p w:rsidR="006457E2" w:rsidRDefault="006457E2" w:rsidP="006457E2">
      <w:pPr>
        <w:spacing w:line="276" w:lineRule="auto"/>
        <w:jc w:val="center"/>
      </w:pPr>
    </w:p>
    <w:p w:rsidR="006457E2" w:rsidRDefault="006457E2" w:rsidP="006457E2">
      <w:pPr>
        <w:spacing w:line="276" w:lineRule="auto"/>
        <w:jc w:val="center"/>
      </w:pPr>
      <w:r>
        <w:t>Ministr financí:</w:t>
      </w:r>
    </w:p>
    <w:p w:rsidR="006457E2" w:rsidRDefault="006457E2" w:rsidP="006457E2">
      <w:pPr>
        <w:spacing w:line="276" w:lineRule="auto"/>
        <w:jc w:val="center"/>
      </w:pPr>
    </w:p>
    <w:p w:rsidR="00BA446B" w:rsidRPr="007B4FB2" w:rsidRDefault="00BA446B" w:rsidP="006457E2">
      <w:pPr>
        <w:spacing w:line="276" w:lineRule="auto"/>
        <w:jc w:val="center"/>
      </w:pPr>
    </w:p>
    <w:p w:rsidR="00BA446B" w:rsidRDefault="00BA446B" w:rsidP="008B509B">
      <w:pPr>
        <w:jc w:val="center"/>
      </w:pPr>
    </w:p>
    <w:p w:rsidR="00BA446B" w:rsidRDefault="00BA446B" w:rsidP="008B509B">
      <w:pPr>
        <w:jc w:val="center"/>
      </w:pPr>
    </w:p>
    <w:sectPr w:rsidR="00BA446B" w:rsidSect="00AC6D7F">
      <w:headerReference w:type="even" r:id="rId7"/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76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C1F" w:rsidRDefault="00201C1F" w:rsidP="008B509B">
      <w:r>
        <w:separator/>
      </w:r>
    </w:p>
  </w:endnote>
  <w:endnote w:type="continuationSeparator" w:id="0">
    <w:p w:rsidR="00201C1F" w:rsidRDefault="00201C1F" w:rsidP="008B5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ál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1DB8" w:rsidRDefault="003E1DB8">
    <w:pPr>
      <w:pStyle w:val="Zpat"/>
      <w:jc w:val="center"/>
    </w:pPr>
  </w:p>
  <w:p w:rsidR="003E1DB8" w:rsidRDefault="003E1D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C1F" w:rsidRDefault="00201C1F" w:rsidP="008B509B">
      <w:r>
        <w:separator/>
      </w:r>
    </w:p>
  </w:footnote>
  <w:footnote w:type="continuationSeparator" w:id="0">
    <w:p w:rsidR="00201C1F" w:rsidRDefault="00201C1F" w:rsidP="008B509B">
      <w:r>
        <w:continuationSeparator/>
      </w:r>
    </w:p>
  </w:footnote>
  <w:footnote w:id="1">
    <w:p w:rsidR="00B07CEA" w:rsidRDefault="00B07CEA" w:rsidP="00B07CEA">
      <w:pPr>
        <w:pStyle w:val="Textpoznpodarou"/>
        <w:ind w:left="0" w:firstLine="0"/>
      </w:pPr>
      <w:r>
        <w:rPr>
          <w:rStyle w:val="Znakapoznpodarou"/>
        </w:rPr>
        <w:footnoteRef/>
      </w:r>
      <w:r>
        <w:t xml:space="preserve"> </w:t>
      </w:r>
      <w:r w:rsidRPr="00203D5F">
        <w:t>Pracovní dokument útvarů Komise, Zpráva o Česku 202</w:t>
      </w:r>
      <w:r w:rsidR="001D0877" w:rsidRPr="00203D5F">
        <w:t>5</w:t>
      </w:r>
      <w:r w:rsidRPr="00203D5F">
        <w:t>, Průvodní dokument k doporučení pro Doporučení Rady k</w:t>
      </w:r>
      <w:r w:rsidR="001D0877" w:rsidRPr="00203D5F">
        <w:t> hospodářské, sociální politice, politice zaměstnanosti, strukturálním a rozpočtovým politikám České republiky</w:t>
      </w:r>
      <w:r w:rsidRPr="00203D5F">
        <w:t>.</w:t>
      </w:r>
    </w:p>
  </w:footnote>
  <w:footnote w:id="2">
    <w:p w:rsidR="00B07CEA" w:rsidRDefault="00B07CEA" w:rsidP="00B07CEA">
      <w:pPr>
        <w:pStyle w:val="Textpoznpodarou"/>
        <w:ind w:left="0" w:firstLine="0"/>
      </w:pPr>
      <w:r>
        <w:rPr>
          <w:rStyle w:val="Znakapoznpodarou"/>
        </w:rPr>
        <w:footnoteRef/>
      </w:r>
      <w:r>
        <w:t xml:space="preserve"> </w:t>
      </w:r>
      <w:r w:rsidR="00203D5F">
        <w:t xml:space="preserve">Plný název dokumentu: </w:t>
      </w:r>
      <w:r w:rsidRPr="007D2A28">
        <w:t>D</w:t>
      </w:r>
      <w:r w:rsidR="009C0190" w:rsidRPr="009C0190">
        <w:t>oporučení pro Doporučení Rady k hospodářské, sociální politice, politice zaměstnanosti, strukturálním a rozpočtovým politikám České republiky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ED" w:rsidRDefault="00493AED" w:rsidP="00002B9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AED" w:rsidRDefault="00493AE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07286807"/>
      <w:docPartObj>
        <w:docPartGallery w:val="Page Numbers (Top of Page)"/>
        <w:docPartUnique/>
      </w:docPartObj>
    </w:sdtPr>
    <w:sdtEndPr/>
    <w:sdtContent>
      <w:p w:rsidR="00E23C1C" w:rsidRDefault="00E23C1C" w:rsidP="00E23C1C">
        <w:pPr>
          <w:pStyle w:val="Zhlav"/>
          <w:framePr w:wrap="around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623C">
          <w:rPr>
            <w:noProof/>
          </w:rPr>
          <w:t>78</w:t>
        </w:r>
        <w:r>
          <w:fldChar w:fldCharType="end"/>
        </w:r>
      </w:p>
    </w:sdtContent>
  </w:sdt>
  <w:p w:rsidR="00493AED" w:rsidRDefault="00493AED" w:rsidP="00002B9F">
    <w:pPr>
      <w:pStyle w:val="Zhlav"/>
      <w:framePr w:wrap="around" w:vAnchor="text" w:hAnchor="margin" w:xAlign="center" w:y="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09B"/>
    <w:rsid w:val="00002659"/>
    <w:rsid w:val="00002B9F"/>
    <w:rsid w:val="00015598"/>
    <w:rsid w:val="0002294C"/>
    <w:rsid w:val="00030183"/>
    <w:rsid w:val="00032C11"/>
    <w:rsid w:val="00035236"/>
    <w:rsid w:val="000421F5"/>
    <w:rsid w:val="00065B43"/>
    <w:rsid w:val="00070658"/>
    <w:rsid w:val="00070BDA"/>
    <w:rsid w:val="000765F1"/>
    <w:rsid w:val="000810E2"/>
    <w:rsid w:val="00090F2C"/>
    <w:rsid w:val="000A0D4A"/>
    <w:rsid w:val="000A253F"/>
    <w:rsid w:val="000A6685"/>
    <w:rsid w:val="000C2A88"/>
    <w:rsid w:val="000D2DA6"/>
    <w:rsid w:val="000D4DAA"/>
    <w:rsid w:val="000E3343"/>
    <w:rsid w:val="000E5B2D"/>
    <w:rsid w:val="000F1355"/>
    <w:rsid w:val="001058DB"/>
    <w:rsid w:val="00115A15"/>
    <w:rsid w:val="00116C80"/>
    <w:rsid w:val="0012479C"/>
    <w:rsid w:val="00125A4B"/>
    <w:rsid w:val="0012644D"/>
    <w:rsid w:val="00130217"/>
    <w:rsid w:val="00140FC9"/>
    <w:rsid w:val="00142BC6"/>
    <w:rsid w:val="00143673"/>
    <w:rsid w:val="00150562"/>
    <w:rsid w:val="00153FA0"/>
    <w:rsid w:val="00154ED4"/>
    <w:rsid w:val="00160305"/>
    <w:rsid w:val="0016220D"/>
    <w:rsid w:val="00162C3F"/>
    <w:rsid w:val="00173FF0"/>
    <w:rsid w:val="0018112F"/>
    <w:rsid w:val="0018540B"/>
    <w:rsid w:val="001902BA"/>
    <w:rsid w:val="00193B42"/>
    <w:rsid w:val="001A0A62"/>
    <w:rsid w:val="001A1C7F"/>
    <w:rsid w:val="001A76AC"/>
    <w:rsid w:val="001B6DD9"/>
    <w:rsid w:val="001C29CC"/>
    <w:rsid w:val="001C3AF4"/>
    <w:rsid w:val="001C4ADF"/>
    <w:rsid w:val="001C5B32"/>
    <w:rsid w:val="001C60AC"/>
    <w:rsid w:val="001D0877"/>
    <w:rsid w:val="001D4CD1"/>
    <w:rsid w:val="001D7E24"/>
    <w:rsid w:val="001E181F"/>
    <w:rsid w:val="001E2029"/>
    <w:rsid w:val="001E3AA4"/>
    <w:rsid w:val="001E4335"/>
    <w:rsid w:val="001E6189"/>
    <w:rsid w:val="001E7578"/>
    <w:rsid w:val="001F0EE0"/>
    <w:rsid w:val="00201C1F"/>
    <w:rsid w:val="00203D5F"/>
    <w:rsid w:val="00205053"/>
    <w:rsid w:val="0020513A"/>
    <w:rsid w:val="002109A4"/>
    <w:rsid w:val="00214AB2"/>
    <w:rsid w:val="00215396"/>
    <w:rsid w:val="00222A85"/>
    <w:rsid w:val="002370AF"/>
    <w:rsid w:val="00240940"/>
    <w:rsid w:val="002439B5"/>
    <w:rsid w:val="00246675"/>
    <w:rsid w:val="00266B5C"/>
    <w:rsid w:val="00267F16"/>
    <w:rsid w:val="00280B8F"/>
    <w:rsid w:val="00297827"/>
    <w:rsid w:val="002A30DE"/>
    <w:rsid w:val="002A3D6C"/>
    <w:rsid w:val="002A477E"/>
    <w:rsid w:val="002B18A1"/>
    <w:rsid w:val="002C1827"/>
    <w:rsid w:val="002C681B"/>
    <w:rsid w:val="002C759D"/>
    <w:rsid w:val="002F165B"/>
    <w:rsid w:val="002F3972"/>
    <w:rsid w:val="002F3E2A"/>
    <w:rsid w:val="002F4B3F"/>
    <w:rsid w:val="003043D8"/>
    <w:rsid w:val="00305E8C"/>
    <w:rsid w:val="00321394"/>
    <w:rsid w:val="003227B6"/>
    <w:rsid w:val="003227F4"/>
    <w:rsid w:val="0032770D"/>
    <w:rsid w:val="003348E0"/>
    <w:rsid w:val="00336E81"/>
    <w:rsid w:val="00341AD5"/>
    <w:rsid w:val="00346DF4"/>
    <w:rsid w:val="003476B4"/>
    <w:rsid w:val="00380CA9"/>
    <w:rsid w:val="003832F5"/>
    <w:rsid w:val="00396937"/>
    <w:rsid w:val="00396D82"/>
    <w:rsid w:val="003A7BFE"/>
    <w:rsid w:val="003B5582"/>
    <w:rsid w:val="003C214C"/>
    <w:rsid w:val="003C599A"/>
    <w:rsid w:val="003D31FB"/>
    <w:rsid w:val="003E160D"/>
    <w:rsid w:val="003E1DB8"/>
    <w:rsid w:val="003E248F"/>
    <w:rsid w:val="003F0391"/>
    <w:rsid w:val="00411A18"/>
    <w:rsid w:val="00427289"/>
    <w:rsid w:val="00427968"/>
    <w:rsid w:val="00436343"/>
    <w:rsid w:val="00436C08"/>
    <w:rsid w:val="0044174C"/>
    <w:rsid w:val="004533B6"/>
    <w:rsid w:val="0046334D"/>
    <w:rsid w:val="00464546"/>
    <w:rsid w:val="004728C7"/>
    <w:rsid w:val="0048089E"/>
    <w:rsid w:val="00493AED"/>
    <w:rsid w:val="004A5FF1"/>
    <w:rsid w:val="004B040A"/>
    <w:rsid w:val="004B565A"/>
    <w:rsid w:val="004C6045"/>
    <w:rsid w:val="004C61A1"/>
    <w:rsid w:val="004E5A46"/>
    <w:rsid w:val="0051568C"/>
    <w:rsid w:val="005171DC"/>
    <w:rsid w:val="00526637"/>
    <w:rsid w:val="005313F4"/>
    <w:rsid w:val="00531B05"/>
    <w:rsid w:val="005419CF"/>
    <w:rsid w:val="005603FD"/>
    <w:rsid w:val="005660B7"/>
    <w:rsid w:val="00576757"/>
    <w:rsid w:val="00580166"/>
    <w:rsid w:val="00580CA6"/>
    <w:rsid w:val="005A7FB3"/>
    <w:rsid w:val="005B3EB4"/>
    <w:rsid w:val="005C1CF1"/>
    <w:rsid w:val="005C23E2"/>
    <w:rsid w:val="005D3B59"/>
    <w:rsid w:val="005D5FC1"/>
    <w:rsid w:val="005D664A"/>
    <w:rsid w:val="005D6748"/>
    <w:rsid w:val="005D7606"/>
    <w:rsid w:val="005F1D58"/>
    <w:rsid w:val="00604FD7"/>
    <w:rsid w:val="006057E9"/>
    <w:rsid w:val="00622260"/>
    <w:rsid w:val="006329E7"/>
    <w:rsid w:val="006337F3"/>
    <w:rsid w:val="006406DB"/>
    <w:rsid w:val="006443DC"/>
    <w:rsid w:val="006457E2"/>
    <w:rsid w:val="006633D1"/>
    <w:rsid w:val="00665C97"/>
    <w:rsid w:val="00667964"/>
    <w:rsid w:val="00674DCD"/>
    <w:rsid w:val="006926B6"/>
    <w:rsid w:val="006A0F34"/>
    <w:rsid w:val="006A346F"/>
    <w:rsid w:val="006A4465"/>
    <w:rsid w:val="006B094E"/>
    <w:rsid w:val="006B3074"/>
    <w:rsid w:val="006C2BF1"/>
    <w:rsid w:val="006C4A4C"/>
    <w:rsid w:val="006C4B15"/>
    <w:rsid w:val="006F14D4"/>
    <w:rsid w:val="006F23CE"/>
    <w:rsid w:val="006F3B0B"/>
    <w:rsid w:val="006F703C"/>
    <w:rsid w:val="00701D02"/>
    <w:rsid w:val="007322DA"/>
    <w:rsid w:val="0073230A"/>
    <w:rsid w:val="00743479"/>
    <w:rsid w:val="00752222"/>
    <w:rsid w:val="00763638"/>
    <w:rsid w:val="00772816"/>
    <w:rsid w:val="007740B1"/>
    <w:rsid w:val="0078113B"/>
    <w:rsid w:val="00786ED7"/>
    <w:rsid w:val="00792079"/>
    <w:rsid w:val="0079661D"/>
    <w:rsid w:val="007B4B6D"/>
    <w:rsid w:val="007B4C84"/>
    <w:rsid w:val="007B4FB2"/>
    <w:rsid w:val="007C7083"/>
    <w:rsid w:val="007D1E32"/>
    <w:rsid w:val="007D2A28"/>
    <w:rsid w:val="007E5DA0"/>
    <w:rsid w:val="007E67D8"/>
    <w:rsid w:val="007E7E75"/>
    <w:rsid w:val="008021D9"/>
    <w:rsid w:val="00807E8A"/>
    <w:rsid w:val="00810A6B"/>
    <w:rsid w:val="00812B2F"/>
    <w:rsid w:val="008131F5"/>
    <w:rsid w:val="0081515E"/>
    <w:rsid w:val="00816D7A"/>
    <w:rsid w:val="008255B8"/>
    <w:rsid w:val="00833484"/>
    <w:rsid w:val="0083366E"/>
    <w:rsid w:val="00833BAD"/>
    <w:rsid w:val="00834C04"/>
    <w:rsid w:val="00846E8D"/>
    <w:rsid w:val="00852E39"/>
    <w:rsid w:val="00853CCA"/>
    <w:rsid w:val="0086555C"/>
    <w:rsid w:val="00876FFE"/>
    <w:rsid w:val="00882576"/>
    <w:rsid w:val="008826AB"/>
    <w:rsid w:val="00886F2E"/>
    <w:rsid w:val="00892D1A"/>
    <w:rsid w:val="008A26F5"/>
    <w:rsid w:val="008B1CD4"/>
    <w:rsid w:val="008B509B"/>
    <w:rsid w:val="008C0A37"/>
    <w:rsid w:val="008C4A59"/>
    <w:rsid w:val="008D2348"/>
    <w:rsid w:val="008E28BE"/>
    <w:rsid w:val="008E6584"/>
    <w:rsid w:val="008F2B8A"/>
    <w:rsid w:val="008F2C21"/>
    <w:rsid w:val="009148F1"/>
    <w:rsid w:val="00915D93"/>
    <w:rsid w:val="00941663"/>
    <w:rsid w:val="00955AAE"/>
    <w:rsid w:val="00985DDB"/>
    <w:rsid w:val="009915E9"/>
    <w:rsid w:val="009A1410"/>
    <w:rsid w:val="009A719F"/>
    <w:rsid w:val="009B1B25"/>
    <w:rsid w:val="009B2312"/>
    <w:rsid w:val="009B403E"/>
    <w:rsid w:val="009B5B9D"/>
    <w:rsid w:val="009B77BB"/>
    <w:rsid w:val="009C0190"/>
    <w:rsid w:val="009C0771"/>
    <w:rsid w:val="009C14DC"/>
    <w:rsid w:val="009C6D5F"/>
    <w:rsid w:val="009D4D5D"/>
    <w:rsid w:val="009D7435"/>
    <w:rsid w:val="009E63FA"/>
    <w:rsid w:val="009F40FE"/>
    <w:rsid w:val="009F6DC7"/>
    <w:rsid w:val="00A06F02"/>
    <w:rsid w:val="00A138AE"/>
    <w:rsid w:val="00A22CE7"/>
    <w:rsid w:val="00A25991"/>
    <w:rsid w:val="00A276AD"/>
    <w:rsid w:val="00A3395A"/>
    <w:rsid w:val="00A343FE"/>
    <w:rsid w:val="00A34CA9"/>
    <w:rsid w:val="00A57CE2"/>
    <w:rsid w:val="00A66407"/>
    <w:rsid w:val="00A67194"/>
    <w:rsid w:val="00A70ABE"/>
    <w:rsid w:val="00A758B7"/>
    <w:rsid w:val="00A92383"/>
    <w:rsid w:val="00A97175"/>
    <w:rsid w:val="00AA2D72"/>
    <w:rsid w:val="00AA38A1"/>
    <w:rsid w:val="00AB00BB"/>
    <w:rsid w:val="00AC6D7F"/>
    <w:rsid w:val="00AC7BFC"/>
    <w:rsid w:val="00AD4E30"/>
    <w:rsid w:val="00AD5BD6"/>
    <w:rsid w:val="00AE0763"/>
    <w:rsid w:val="00AE4A7F"/>
    <w:rsid w:val="00AF19F2"/>
    <w:rsid w:val="00AF3600"/>
    <w:rsid w:val="00B04D3E"/>
    <w:rsid w:val="00B07A38"/>
    <w:rsid w:val="00B07CC5"/>
    <w:rsid w:val="00B07CEA"/>
    <w:rsid w:val="00B27EE7"/>
    <w:rsid w:val="00B3226A"/>
    <w:rsid w:val="00B40564"/>
    <w:rsid w:val="00B41E8D"/>
    <w:rsid w:val="00B43D46"/>
    <w:rsid w:val="00B6060E"/>
    <w:rsid w:val="00B734BF"/>
    <w:rsid w:val="00B836E7"/>
    <w:rsid w:val="00B852A7"/>
    <w:rsid w:val="00B94981"/>
    <w:rsid w:val="00BA06A3"/>
    <w:rsid w:val="00BA118D"/>
    <w:rsid w:val="00BA2F3B"/>
    <w:rsid w:val="00BA446B"/>
    <w:rsid w:val="00BA623C"/>
    <w:rsid w:val="00BC6462"/>
    <w:rsid w:val="00BD4057"/>
    <w:rsid w:val="00BD50C6"/>
    <w:rsid w:val="00BE1B9D"/>
    <w:rsid w:val="00BF1851"/>
    <w:rsid w:val="00C0308E"/>
    <w:rsid w:val="00C05C0D"/>
    <w:rsid w:val="00C0767C"/>
    <w:rsid w:val="00C13F49"/>
    <w:rsid w:val="00C21B9E"/>
    <w:rsid w:val="00C23BAE"/>
    <w:rsid w:val="00C30991"/>
    <w:rsid w:val="00C32F77"/>
    <w:rsid w:val="00C36451"/>
    <w:rsid w:val="00C374FF"/>
    <w:rsid w:val="00C547E3"/>
    <w:rsid w:val="00C5752B"/>
    <w:rsid w:val="00C6467D"/>
    <w:rsid w:val="00C718E4"/>
    <w:rsid w:val="00C82CA8"/>
    <w:rsid w:val="00C83DBD"/>
    <w:rsid w:val="00C83DCE"/>
    <w:rsid w:val="00C92154"/>
    <w:rsid w:val="00C95B43"/>
    <w:rsid w:val="00CC0735"/>
    <w:rsid w:val="00CD04F0"/>
    <w:rsid w:val="00CD2D1B"/>
    <w:rsid w:val="00CD6C18"/>
    <w:rsid w:val="00CD741A"/>
    <w:rsid w:val="00CE0A4B"/>
    <w:rsid w:val="00CF79D0"/>
    <w:rsid w:val="00D00473"/>
    <w:rsid w:val="00D00F2E"/>
    <w:rsid w:val="00D01AA1"/>
    <w:rsid w:val="00D02527"/>
    <w:rsid w:val="00D03AF1"/>
    <w:rsid w:val="00D06EB0"/>
    <w:rsid w:val="00D11CDE"/>
    <w:rsid w:val="00D16978"/>
    <w:rsid w:val="00D20DA0"/>
    <w:rsid w:val="00D220F7"/>
    <w:rsid w:val="00D23343"/>
    <w:rsid w:val="00D306E0"/>
    <w:rsid w:val="00D3191A"/>
    <w:rsid w:val="00D32D86"/>
    <w:rsid w:val="00D4206A"/>
    <w:rsid w:val="00D429DA"/>
    <w:rsid w:val="00D430CF"/>
    <w:rsid w:val="00D63528"/>
    <w:rsid w:val="00D65C7F"/>
    <w:rsid w:val="00D66DA1"/>
    <w:rsid w:val="00D74941"/>
    <w:rsid w:val="00D75CBA"/>
    <w:rsid w:val="00D8248F"/>
    <w:rsid w:val="00D86626"/>
    <w:rsid w:val="00DA3EEF"/>
    <w:rsid w:val="00DB7155"/>
    <w:rsid w:val="00DC4503"/>
    <w:rsid w:val="00DC4E1A"/>
    <w:rsid w:val="00DD7AE0"/>
    <w:rsid w:val="00DE1886"/>
    <w:rsid w:val="00DF5F93"/>
    <w:rsid w:val="00DF72E8"/>
    <w:rsid w:val="00E06607"/>
    <w:rsid w:val="00E07F77"/>
    <w:rsid w:val="00E12580"/>
    <w:rsid w:val="00E155D7"/>
    <w:rsid w:val="00E16E11"/>
    <w:rsid w:val="00E222AD"/>
    <w:rsid w:val="00E23C1C"/>
    <w:rsid w:val="00E257AF"/>
    <w:rsid w:val="00E26E87"/>
    <w:rsid w:val="00E3275D"/>
    <w:rsid w:val="00E37655"/>
    <w:rsid w:val="00E42851"/>
    <w:rsid w:val="00E44610"/>
    <w:rsid w:val="00E46512"/>
    <w:rsid w:val="00E56036"/>
    <w:rsid w:val="00E81C6B"/>
    <w:rsid w:val="00E93E43"/>
    <w:rsid w:val="00E96AA0"/>
    <w:rsid w:val="00EA13BC"/>
    <w:rsid w:val="00EA4600"/>
    <w:rsid w:val="00EB55A5"/>
    <w:rsid w:val="00EB7204"/>
    <w:rsid w:val="00EC2333"/>
    <w:rsid w:val="00EC3EE0"/>
    <w:rsid w:val="00ED1885"/>
    <w:rsid w:val="00ED7802"/>
    <w:rsid w:val="00EE3DD6"/>
    <w:rsid w:val="00EE5096"/>
    <w:rsid w:val="00EE6106"/>
    <w:rsid w:val="00F07817"/>
    <w:rsid w:val="00F10636"/>
    <w:rsid w:val="00F11240"/>
    <w:rsid w:val="00F112F9"/>
    <w:rsid w:val="00F11A27"/>
    <w:rsid w:val="00F137CA"/>
    <w:rsid w:val="00F208BD"/>
    <w:rsid w:val="00F23910"/>
    <w:rsid w:val="00F253AE"/>
    <w:rsid w:val="00F44045"/>
    <w:rsid w:val="00F50B59"/>
    <w:rsid w:val="00F5416D"/>
    <w:rsid w:val="00F564C4"/>
    <w:rsid w:val="00F568DB"/>
    <w:rsid w:val="00F57BD2"/>
    <w:rsid w:val="00F66BC5"/>
    <w:rsid w:val="00F715E6"/>
    <w:rsid w:val="00F842C7"/>
    <w:rsid w:val="00F90490"/>
    <w:rsid w:val="00F908FB"/>
    <w:rsid w:val="00F96C9F"/>
    <w:rsid w:val="00FA27F9"/>
    <w:rsid w:val="00FC2EC8"/>
    <w:rsid w:val="00FD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BBCE8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B50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8B509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8B509B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Zhlav">
    <w:name w:val="header"/>
    <w:basedOn w:val="Normln"/>
    <w:link w:val="ZhlavChar"/>
    <w:uiPriority w:val="99"/>
    <w:rsid w:val="008B509B"/>
    <w:pPr>
      <w:tabs>
        <w:tab w:val="center" w:pos="4536"/>
        <w:tab w:val="right" w:pos="9072"/>
      </w:tabs>
      <w:jc w:val="both"/>
    </w:pPr>
    <w:rPr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8B509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rsid w:val="008B509B"/>
    <w:pPr>
      <w:jc w:val="both"/>
    </w:pPr>
  </w:style>
  <w:style w:type="character" w:customStyle="1" w:styleId="ZkladntextChar">
    <w:name w:val="Základní text Char"/>
    <w:basedOn w:val="Standardnpsmoodstavce"/>
    <w:link w:val="Zkladntext"/>
    <w:rsid w:val="008B509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8B509B"/>
  </w:style>
  <w:style w:type="paragraph" w:styleId="Zkladntextodsazen">
    <w:name w:val="Body Text Indent"/>
    <w:basedOn w:val="Normln"/>
    <w:link w:val="ZkladntextodsazenChar"/>
    <w:rsid w:val="008B509B"/>
    <w:pPr>
      <w:spacing w:line="360" w:lineRule="auto"/>
      <w:ind w:firstLine="708"/>
    </w:pPr>
    <w:rPr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8B509B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2">
    <w:name w:val="Body Text Indent 2"/>
    <w:basedOn w:val="Normln"/>
    <w:link w:val="Zkladntextodsazen2Char"/>
    <w:rsid w:val="008B509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8B509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8B509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8B509B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nadpiszkona">
    <w:name w:val="nadpis zákona"/>
    <w:basedOn w:val="Normln"/>
    <w:next w:val="Normln"/>
    <w:rsid w:val="008B509B"/>
    <w:pPr>
      <w:keepNext/>
      <w:keepLines/>
      <w:spacing w:before="120"/>
      <w:jc w:val="center"/>
      <w:outlineLvl w:val="0"/>
    </w:pPr>
    <w:rPr>
      <w:b/>
      <w:szCs w:val="20"/>
    </w:rPr>
  </w:style>
  <w:style w:type="paragraph" w:customStyle="1" w:styleId="Zkladntext21">
    <w:name w:val="Základní text 21"/>
    <w:basedOn w:val="Normln"/>
    <w:rsid w:val="008B509B"/>
    <w:pPr>
      <w:spacing w:before="120" w:after="120" w:line="360" w:lineRule="auto"/>
      <w:jc w:val="both"/>
    </w:pPr>
    <w:rPr>
      <w:szCs w:val="20"/>
    </w:rPr>
  </w:style>
  <w:style w:type="paragraph" w:styleId="Textpoznpodarou">
    <w:name w:val="footnote text"/>
    <w:aliases w:val="Schriftart: 9 pt,Schriftart: 10 pt,Schriftart: 8 pt,Text poznámky pod čiarou 007,Footnote,Fußnotentextf,Geneva 9,Font: Geneva 9,Boston 10,f,pozn. pod čarou,Char,Text pozn. pod čarou1,Char Char Char1,Char Char1,Footnote Text Char1,o"/>
    <w:basedOn w:val="Normln"/>
    <w:link w:val="TextpoznpodarouChar"/>
    <w:qFormat/>
    <w:rsid w:val="008B509B"/>
    <w:pPr>
      <w:ind w:left="720" w:hanging="720"/>
      <w:jc w:val="both"/>
    </w:pPr>
    <w:rPr>
      <w:snapToGrid w:val="0"/>
      <w:sz w:val="20"/>
      <w:szCs w:val="20"/>
      <w:lang w:eastAsia="en-GB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ootnote Char,Fußnotentextf Char,Geneva 9 Char,Font: Geneva 9 Char,Boston 10 Char,f Char,pozn. pod čarou Char,Char Char,o Char"/>
    <w:basedOn w:val="Standardnpsmoodstavce"/>
    <w:link w:val="Textpoznpodarou"/>
    <w:rsid w:val="008B509B"/>
    <w:rPr>
      <w:rFonts w:ascii="Times New Roman" w:eastAsia="Times New Roman" w:hAnsi="Times New Roman" w:cs="Times New Roman"/>
      <w:snapToGrid w:val="0"/>
      <w:sz w:val="20"/>
      <w:szCs w:val="20"/>
      <w:lang w:eastAsia="en-GB"/>
    </w:rPr>
  </w:style>
  <w:style w:type="character" w:styleId="Znakapoznpodarou">
    <w:name w:val="footnote reference"/>
    <w:aliases w:val="BVI fnr,Footnote symbol,Footnote Reference Superscript,Appel note de bas de p,Appel note de bas de page,Légende,Char Car Car Car Car,Voetnootverwijzing,PGI Fußnote Ziffer,Légende;Char Car Car Car Car,Footnote Reference Number"/>
    <w:rsid w:val="008B509B"/>
    <w:rPr>
      <w:vertAlign w:val="superscript"/>
    </w:rPr>
  </w:style>
  <w:style w:type="paragraph" w:styleId="Zpat">
    <w:name w:val="footer"/>
    <w:basedOn w:val="Normln"/>
    <w:link w:val="ZpatChar"/>
    <w:uiPriority w:val="99"/>
    <w:rsid w:val="008B50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B509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094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094E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E3AA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E3AA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E3AA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E3AA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E3AA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564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88C81-E482-4AF3-BBD5-94C93ED59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967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2025-06-05T09:10:00Z</dcterms:created>
  <dcterms:modified xsi:type="dcterms:W3CDTF">2025-08-29T08:47:00Z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