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6.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1.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2.xml" ContentType="application/vnd.openxmlformats-officedocument.themeOverride+xml"/>
  <Override PartName="/word/charts/chart4.xml" ContentType="application/vnd.openxmlformats-officedocument.drawingml.chart+xml"/>
  <Override PartName="/word/charts/chart5.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3.xml" ContentType="application/vnd.openxmlformats-officedocument.themeOverride+xml"/>
  <Override PartName="/word/charts/chart6.xml" ContentType="application/vnd.openxmlformats-officedocument.drawingml.chart+xml"/>
  <Override PartName="/word/charts/chart7.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8.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9.xml" ContentType="application/vnd.openxmlformats-officedocument.drawingml.chart+xml"/>
  <Override PartName="/word/charts/style7.xml" ContentType="application/vnd.ms-office.chartstyle+xml"/>
  <Override PartName="/word/charts/colors7.xml" ContentType="application/vnd.ms-office.chartcolorstyle+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7.xml" ContentType="application/vnd.openxmlformats-officedocument.wordprocessingml.footer+xml"/>
  <Override PartName="/word/charts/chart10.xml" ContentType="application/vnd.openxmlformats-officedocument.drawingml.chart+xml"/>
  <Override PartName="/word/theme/themeOverride4.xml" ContentType="application/vnd.openxmlformats-officedocument.themeOverride+xml"/>
  <Override PartName="/word/charts/chart11.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5.xml" ContentType="application/vnd.openxmlformats-officedocument.themeOverride+xml"/>
  <Override PartName="/word/header22.xml" ContentType="application/vnd.openxmlformats-officedocument.wordprocessingml.header+xml"/>
  <Override PartName="/word/header23.xml" ContentType="application/vnd.openxmlformats-officedocument.wordprocessingml.header+xml"/>
  <Override PartName="/word/footer8.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oter9.xml" ContentType="application/vnd.openxmlformats-officedocument.wordprocessingml.footer+xml"/>
  <Override PartName="/word/header27.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footer10.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footer11.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footer12.xml" ContentType="application/vnd.openxmlformats-officedocument.wordprocessingml.footer+xml"/>
  <Override PartName="/word/charts/chart12.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6.xml" ContentType="application/vnd.openxmlformats-officedocument.themeOverride+xml"/>
  <Override PartName="/word/charts/chart13.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7.xml" ContentType="application/vnd.openxmlformats-officedocument.themeOverride+xml"/>
  <Override PartName="/word/charts/chart14.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8.xml" ContentType="application/vnd.openxmlformats-officedocument.themeOverride+xml"/>
  <Override PartName="/word/charts/chart15.xml" ContentType="application/vnd.openxmlformats-officedocument.drawingml.chart+xml"/>
  <Override PartName="/word/charts/style12.xml" ContentType="application/vnd.ms-office.chartstyle+xml"/>
  <Override PartName="/word/charts/colors12.xml" ContentType="application/vnd.ms-office.chartcolorstyle+xml"/>
  <Override PartName="/word/theme/themeOverride9.xml" ContentType="application/vnd.openxmlformats-officedocument.themeOverride+xml"/>
  <Override PartName="/word/charts/chart16.xml" ContentType="application/vnd.openxmlformats-officedocument.drawingml.chart+xml"/>
  <Override PartName="/word/charts/style13.xml" ContentType="application/vnd.ms-office.chartstyle+xml"/>
  <Override PartName="/word/charts/colors13.xml" ContentType="application/vnd.ms-office.chartcolorstyle+xml"/>
  <Override PartName="/word/theme/themeOverride10.xml" ContentType="application/vnd.openxmlformats-officedocument.themeOverride+xml"/>
  <Override PartName="/word/charts/chart17.xml" ContentType="application/vnd.openxmlformats-officedocument.drawingml.chart+xml"/>
  <Override PartName="/word/charts/style14.xml" ContentType="application/vnd.ms-office.chartstyle+xml"/>
  <Override PartName="/word/charts/colors14.xml" ContentType="application/vnd.ms-office.chartcolorstyle+xml"/>
  <Override PartName="/word/theme/themeOverride11.xml" ContentType="application/vnd.openxmlformats-officedocument.themeOverride+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charts/chart18.xml" ContentType="application/vnd.openxmlformats-officedocument.drawingml.chart+xml"/>
  <Override PartName="/word/charts/style15.xml" ContentType="application/vnd.ms-office.chartstyle+xml"/>
  <Override PartName="/word/charts/colors15.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871D384" w14:textId="575AE994" w:rsidR="002255A1" w:rsidRDefault="002A793E" w:rsidP="00093F1B">
      <w:pPr>
        <w:pStyle w:val="Nzev"/>
        <w:rPr>
          <w:noProof/>
        </w:rPr>
      </w:pPr>
      <w:r>
        <w:rPr>
          <w:noProof/>
        </w:rPr>
        <w:drawing>
          <wp:anchor distT="0" distB="0" distL="114300" distR="114300" simplePos="0" relativeHeight="251656704" behindDoc="0" locked="0" layoutInCell="1" allowOverlap="1" wp14:anchorId="16DF4D8C" wp14:editId="6B8FB50C">
            <wp:simplePos x="0" y="0"/>
            <wp:positionH relativeFrom="margin">
              <wp:posOffset>-34289</wp:posOffset>
            </wp:positionH>
            <wp:positionV relativeFrom="margin">
              <wp:posOffset>-300990</wp:posOffset>
            </wp:positionV>
            <wp:extent cx="2990850" cy="890157"/>
            <wp:effectExtent l="0" t="0" r="0" b="5715"/>
            <wp:wrapNone/>
            <wp:docPr id="1686699726" name="Obrázek 100" descr="Obsah obrázku text, logo, Písmo, symbol&#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6699726" name="Obrázek 100" descr="Obsah obrázku text, logo, Písmo, symbol&#10;&#10;Obsah vygenerovaný umělou inteligencí může být nesprávný."/>
                    <pic:cNvPicPr/>
                  </pic:nvPicPr>
                  <pic:blipFill>
                    <a:blip r:embed="rId8" cstate="print">
                      <a:extLst>
                        <a:ext uri="{28A0092B-C50C-407E-A947-70E740481C1C}">
                          <a14:useLocalDpi xmlns:a14="http://schemas.microsoft.com/office/drawing/2010/main" val="0"/>
                        </a:ext>
                      </a:extLst>
                    </a:blip>
                    <a:stretch>
                      <a:fillRect/>
                    </a:stretch>
                  </pic:blipFill>
                  <pic:spPr>
                    <a:xfrm>
                      <a:off x="0" y="0"/>
                      <a:ext cx="2990850" cy="890157"/>
                    </a:xfrm>
                    <a:prstGeom prst="rect">
                      <a:avLst/>
                    </a:prstGeom>
                  </pic:spPr>
                </pic:pic>
              </a:graphicData>
            </a:graphic>
            <wp14:sizeRelH relativeFrom="margin">
              <wp14:pctWidth>0</wp14:pctWidth>
            </wp14:sizeRelH>
            <wp14:sizeRelV relativeFrom="margin">
              <wp14:pctHeight>0</wp14:pctHeight>
            </wp14:sizeRelV>
          </wp:anchor>
        </w:drawing>
      </w:r>
    </w:p>
    <w:p w14:paraId="63C3E5AF" w14:textId="5DE89805" w:rsidR="00910D2B" w:rsidRDefault="00910D2B" w:rsidP="00093F1B">
      <w:pPr>
        <w:pStyle w:val="Nzev"/>
      </w:pPr>
    </w:p>
    <w:p w14:paraId="23B68D9B" w14:textId="06FAC5CA" w:rsidR="00523402" w:rsidRPr="00093F1B" w:rsidRDefault="005C4B3F" w:rsidP="00093F1B">
      <w:pPr>
        <w:pStyle w:val="Nzev"/>
      </w:pPr>
      <w:r w:rsidRPr="002A6F85">
        <w:t>Analýz</w:t>
      </w:r>
      <w:r w:rsidR="00361051" w:rsidRPr="002A6F85">
        <w:t>a </w:t>
      </w:r>
      <w:r w:rsidRPr="002A6F85">
        <w:t xml:space="preserve">stavu výzkumu, vývoje </w:t>
      </w:r>
      <w:r w:rsidR="00361051" w:rsidRPr="002A6F85">
        <w:t>a </w:t>
      </w:r>
      <w:r w:rsidRPr="002A6F85">
        <w:t>inovací</w:t>
      </w:r>
      <w:r w:rsidR="00EB0FF6" w:rsidRPr="002A6F85">
        <w:t xml:space="preserve"> </w:t>
      </w:r>
      <w:r w:rsidR="00361051" w:rsidRPr="002A6F85">
        <w:t>v </w:t>
      </w:r>
      <w:r w:rsidRPr="002A6F85">
        <w:t xml:space="preserve">České republice </w:t>
      </w:r>
      <w:r w:rsidR="00361051" w:rsidRPr="002A6F85">
        <w:t>a </w:t>
      </w:r>
      <w:r w:rsidRPr="002A6F85">
        <w:t>jejich srovnání se</w:t>
      </w:r>
      <w:r w:rsidR="009D2E74">
        <w:t> </w:t>
      </w:r>
      <w:r w:rsidRPr="002A6F85">
        <w:t>zahraničím</w:t>
      </w:r>
      <w:r w:rsidR="00EB0FF6" w:rsidRPr="002A6F85">
        <w:t xml:space="preserve"> </w:t>
      </w:r>
      <w:r w:rsidR="00361051" w:rsidRPr="002A6F85">
        <w:t>v </w:t>
      </w:r>
      <w:r w:rsidRPr="002A6F85">
        <w:t xml:space="preserve">roce </w:t>
      </w:r>
      <w:r w:rsidR="00937521">
        <w:t>202</w:t>
      </w:r>
      <w:bookmarkStart w:id="0" w:name="_Hlk189726073"/>
      <w:bookmarkEnd w:id="0"/>
      <w:r w:rsidR="009D3F2C">
        <w:t>4</w:t>
      </w:r>
    </w:p>
    <w:p w14:paraId="2CEF76B5" w14:textId="5C4BBBA8" w:rsidR="00523402" w:rsidRPr="00855319" w:rsidRDefault="00A050D4" w:rsidP="00523402">
      <w:pPr>
        <w:rPr>
          <w:rFonts w:asciiTheme="majorHAnsi" w:hAnsiTheme="majorHAnsi"/>
          <w:sz w:val="36"/>
          <w:szCs w:val="36"/>
          <w:highlight w:val="lightGray"/>
        </w:rPr>
      </w:pPr>
      <w:r w:rsidRPr="00723C3F">
        <w:rPr>
          <w:rFonts w:cs="Arial"/>
          <w:noProof/>
          <w:sz w:val="18"/>
          <w:szCs w:val="18"/>
          <w:highlight w:val="lightGray"/>
        </w:rPr>
        <mc:AlternateContent>
          <mc:Choice Requires="wps">
            <w:drawing>
              <wp:anchor distT="45720" distB="45720" distL="114300" distR="114300" simplePos="0" relativeHeight="251655680" behindDoc="0" locked="0" layoutInCell="1" allowOverlap="1" wp14:anchorId="70D5E359" wp14:editId="7475F046">
                <wp:simplePos x="0" y="0"/>
                <wp:positionH relativeFrom="margin">
                  <wp:posOffset>1504950</wp:posOffset>
                </wp:positionH>
                <wp:positionV relativeFrom="margin">
                  <wp:posOffset>4841875</wp:posOffset>
                </wp:positionV>
                <wp:extent cx="2924175" cy="758190"/>
                <wp:effectExtent l="0" t="0" r="0" b="3810"/>
                <wp:wrapSquare wrapText="bothSides"/>
                <wp:docPr id="1828827360"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4175" cy="758190"/>
                        </a:xfrm>
                        <a:prstGeom prst="rect">
                          <a:avLst/>
                        </a:prstGeom>
                        <a:noFill/>
                        <a:ln w="9525">
                          <a:noFill/>
                          <a:miter lim="800000"/>
                          <a:headEnd/>
                          <a:tailEnd/>
                        </a:ln>
                      </wps:spPr>
                      <wps:txbx>
                        <w:txbxContent>
                          <w:p w14:paraId="1095426A" w14:textId="77777777" w:rsidR="00A050D4" w:rsidRPr="00723C3F" w:rsidRDefault="00A050D4" w:rsidP="00A050D4">
                            <w:pPr>
                              <w:jc w:val="center"/>
                              <w:rPr>
                                <w:b/>
                                <w:bCs/>
                                <w:color w:val="E5B8B7" w:themeColor="accent2" w:themeTint="66"/>
                                <w:sz w:val="48"/>
                                <w:szCs w:val="48"/>
                              </w:rPr>
                            </w:pPr>
                            <w:r w:rsidRPr="00723C3F">
                              <w:rPr>
                                <w:b/>
                                <w:bCs/>
                                <w:color w:val="E5B8B7" w:themeColor="accent2" w:themeTint="66"/>
                                <w:sz w:val="48"/>
                                <w:szCs w:val="48"/>
                              </w:rPr>
                              <w:t>PRACOVNÍ VERZE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0D5E359" id="_x0000_t202" coordsize="21600,21600" o:spt="202" path="m,l,21600r21600,l21600,xe">
                <v:stroke joinstyle="miter"/>
                <v:path gradientshapeok="t" o:connecttype="rect"/>
              </v:shapetype>
              <v:shape id="Textové pole 2" o:spid="_x0000_s1026" type="#_x0000_t202" style="position:absolute;margin-left:118.5pt;margin-top:381.25pt;width:230.25pt;height:59.7pt;z-index:251655680;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" filled="f" stroked="f">
                <v:textbox>
                  <w:txbxContent>
                    <w:p w14:paraId="1095426A" w14:textId="77777777" w:rsidR="00A050D4" w:rsidRPr="00723C3F" w:rsidRDefault="00A050D4" w:rsidP="00A050D4">
                      <w:pPr>
                        <w:jc w:val="center"/>
                        <w:rPr>
                          <w:b/>
                          <w:bCs/>
                          <w:color w:val="E5B8B7" w:themeColor="accent2" w:themeTint="66"/>
                          <w:sz w:val="48"/>
                          <w:szCs w:val="48"/>
                        </w:rPr>
                      </w:pPr>
                      <w:r w:rsidRPr="00723C3F">
                        <w:rPr>
                          <w:b/>
                          <w:bCs/>
                          <w:color w:val="E5B8B7" w:themeColor="accent2" w:themeTint="66"/>
                          <w:sz w:val="48"/>
                          <w:szCs w:val="48"/>
                        </w:rPr>
                        <w:t>PRACOVNÍ VERZE</w:t>
                      </w:r>
                    </w:p>
                  </w:txbxContent>
                </v:textbox>
                <w10:wrap type="square" anchorx="margin" anchory="margin"/>
              </v:shape>
            </w:pict>
          </mc:Fallback>
        </mc:AlternateContent>
      </w:r>
    </w:p>
    <w:p w14:paraId="061518B7" w14:textId="4B3C1DB0" w:rsidR="001D1E68" w:rsidRPr="00855319" w:rsidRDefault="001D1E68" w:rsidP="00523402">
      <w:pPr>
        <w:rPr>
          <w:rFonts w:asciiTheme="majorHAnsi" w:hAnsiTheme="majorHAnsi"/>
          <w:sz w:val="36"/>
          <w:szCs w:val="36"/>
          <w:highlight w:val="lightGray"/>
        </w:rPr>
        <w:sectPr w:rsidR="001D1E68" w:rsidRPr="00855319" w:rsidSect="00B659E0">
          <w:headerReference w:type="even" r:id="rId9"/>
          <w:headerReference w:type="default" r:id="rId10"/>
          <w:footerReference w:type="even" r:id="rId11"/>
          <w:footerReference w:type="default" r:id="rId12"/>
          <w:headerReference w:type="first" r:id="rId13"/>
          <w:footerReference w:type="first" r:id="rId14"/>
          <w:pgSz w:w="11906" w:h="16838"/>
          <w:pgMar w:top="1134" w:right="1418" w:bottom="1134" w:left="1134" w:header="709" w:footer="709" w:gutter="0"/>
          <w:cols w:space="708"/>
          <w:titlePg/>
          <w:docGrid w:linePitch="360"/>
        </w:sectPr>
      </w:pPr>
    </w:p>
    <w:bookmarkStart w:id="1" w:name="_Toc163205822" w:displacedByCustomXml="next"/>
    <w:sdt>
      <w:sdtPr>
        <w:id w:val="450832559"/>
        <w:docPartObj>
          <w:docPartGallery w:val="Table of Contents"/>
          <w:docPartUnique/>
        </w:docPartObj>
      </w:sdtPr>
      <w:sdtEndPr>
        <w:rPr>
          <w:rFonts w:eastAsiaTheme="minorEastAsia"/>
        </w:rPr>
      </w:sdtEndPr>
      <w:sdtContent>
        <w:p w14:paraId="78B3C912" w14:textId="53C0259D" w:rsidR="000F586A" w:rsidRPr="00F23A06" w:rsidRDefault="000F586A" w:rsidP="00F23A06">
          <w:pPr>
            <w:rPr>
              <w:rFonts w:asciiTheme="majorHAnsi" w:eastAsia="Times New Roman" w:hAnsiTheme="majorHAnsi" w:cs="Arial"/>
              <w:b/>
              <w:bCs/>
              <w:smallCaps/>
              <w:color w:val="365F91"/>
              <w:sz w:val="30"/>
              <w:lang w:eastAsia="cs-CZ"/>
            </w:rPr>
          </w:pPr>
          <w:r w:rsidRPr="00F23A06">
            <w:rPr>
              <w:rFonts w:asciiTheme="majorHAnsi" w:eastAsia="Times New Roman" w:hAnsiTheme="majorHAnsi" w:cs="Arial"/>
              <w:b/>
              <w:bCs/>
              <w:smallCaps/>
              <w:color w:val="365F91"/>
              <w:sz w:val="30"/>
              <w:lang w:eastAsia="cs-CZ"/>
            </w:rPr>
            <w:t>Obsah</w:t>
          </w:r>
          <w:bookmarkEnd w:id="1"/>
        </w:p>
        <w:p w14:paraId="35369448" w14:textId="32BEFB41" w:rsidR="002A48ED" w:rsidRDefault="000F586A">
          <w:pPr>
            <w:pStyle w:val="Obsah1"/>
            <w:rPr>
              <w:rFonts w:asciiTheme="minorHAnsi" w:eastAsiaTheme="minorEastAsia" w:hAnsiTheme="minorHAnsi"/>
              <w:kern w:val="2"/>
              <w:sz w:val="24"/>
              <w:szCs w:val="24"/>
              <w:lang w:eastAsia="cs-CZ"/>
              <w14:ligatures w14:val="standardContextual"/>
            </w:rPr>
          </w:pPr>
          <w:r>
            <w:fldChar w:fldCharType="begin"/>
          </w:r>
          <w:r>
            <w:instrText xml:space="preserve"> TOC \o "1-3" \h \z \u </w:instrText>
          </w:r>
          <w:r>
            <w:fldChar w:fldCharType="separate"/>
          </w:r>
          <w:hyperlink w:anchor="_Toc215589291" w:history="1">
            <w:r w:rsidR="002A48ED" w:rsidRPr="003851DE">
              <w:rPr>
                <w:rStyle w:val="Hypertextovodkaz"/>
              </w:rPr>
              <w:t>Úvodní slovo předsedy Rady pro výzkum, vývoj a inovace</w:t>
            </w:r>
            <w:r w:rsidR="002A48ED">
              <w:rPr>
                <w:webHidden/>
              </w:rPr>
              <w:tab/>
            </w:r>
            <w:r w:rsidR="002A48ED">
              <w:rPr>
                <w:webHidden/>
              </w:rPr>
              <w:fldChar w:fldCharType="begin"/>
            </w:r>
            <w:r w:rsidR="002A48ED">
              <w:rPr>
                <w:webHidden/>
              </w:rPr>
              <w:instrText xml:space="preserve"> PAGEREF _Toc215589291 \h </w:instrText>
            </w:r>
            <w:r w:rsidR="002A48ED">
              <w:rPr>
                <w:webHidden/>
              </w:rPr>
            </w:r>
            <w:r w:rsidR="002A48ED">
              <w:rPr>
                <w:webHidden/>
              </w:rPr>
              <w:fldChar w:fldCharType="separate"/>
            </w:r>
            <w:r w:rsidR="002A48ED">
              <w:rPr>
                <w:webHidden/>
              </w:rPr>
              <w:t>3</w:t>
            </w:r>
            <w:r w:rsidR="002A48ED">
              <w:rPr>
                <w:webHidden/>
              </w:rPr>
              <w:fldChar w:fldCharType="end"/>
            </w:r>
          </w:hyperlink>
        </w:p>
        <w:p w14:paraId="09E34BFA" w14:textId="6907C16C" w:rsidR="002A48ED" w:rsidRDefault="002A48ED">
          <w:pPr>
            <w:pStyle w:val="Obsah1"/>
            <w:rPr>
              <w:rFonts w:asciiTheme="minorHAnsi" w:eastAsiaTheme="minorEastAsia" w:hAnsiTheme="minorHAnsi"/>
              <w:kern w:val="2"/>
              <w:sz w:val="24"/>
              <w:szCs w:val="24"/>
              <w:lang w:eastAsia="cs-CZ"/>
              <w14:ligatures w14:val="standardContextual"/>
            </w:rPr>
          </w:pPr>
          <w:hyperlink w:anchor="_Toc215589292" w:history="1">
            <w:r w:rsidRPr="003851DE">
              <w:rPr>
                <w:rStyle w:val="Hypertextovodkaz"/>
              </w:rPr>
              <w:t>A. Systém VaVaI v ČR</w:t>
            </w:r>
            <w:r>
              <w:rPr>
                <w:webHidden/>
              </w:rPr>
              <w:tab/>
            </w:r>
            <w:r>
              <w:rPr>
                <w:webHidden/>
              </w:rPr>
              <w:fldChar w:fldCharType="begin"/>
            </w:r>
            <w:r>
              <w:rPr>
                <w:webHidden/>
              </w:rPr>
              <w:instrText xml:space="preserve"> PAGEREF _Toc215589292 \h </w:instrText>
            </w:r>
            <w:r>
              <w:rPr>
                <w:webHidden/>
              </w:rPr>
            </w:r>
            <w:r>
              <w:rPr>
                <w:webHidden/>
              </w:rPr>
              <w:fldChar w:fldCharType="separate"/>
            </w:r>
            <w:r>
              <w:rPr>
                <w:webHidden/>
              </w:rPr>
              <w:t>5</w:t>
            </w:r>
            <w:r>
              <w:rPr>
                <w:webHidden/>
              </w:rPr>
              <w:fldChar w:fldCharType="end"/>
            </w:r>
          </w:hyperlink>
        </w:p>
        <w:p w14:paraId="6FE663AD" w14:textId="7759AC79" w:rsidR="002A48ED" w:rsidRDefault="002A48ED">
          <w:pPr>
            <w:pStyle w:val="Obsah2"/>
            <w:rPr>
              <w:rFonts w:asciiTheme="minorHAnsi" w:hAnsiTheme="minorHAnsi"/>
              <w:noProof/>
              <w:kern w:val="2"/>
              <w:sz w:val="24"/>
              <w:szCs w:val="24"/>
              <w14:ligatures w14:val="standardContextual"/>
            </w:rPr>
          </w:pPr>
          <w:hyperlink w:anchor="_Toc215589293" w:history="1">
            <w:r w:rsidRPr="003851DE">
              <w:rPr>
                <w:rStyle w:val="Hypertextovodkaz"/>
                <w:rFonts w:eastAsia="Times New Roman"/>
                <w:noProof/>
              </w:rPr>
              <w:t>A.1</w:t>
            </w:r>
            <w:r>
              <w:rPr>
                <w:rFonts w:asciiTheme="minorHAnsi" w:hAnsiTheme="minorHAnsi"/>
                <w:noProof/>
                <w:kern w:val="2"/>
                <w:sz w:val="24"/>
                <w:szCs w:val="24"/>
                <w14:ligatures w14:val="standardContextual"/>
              </w:rPr>
              <w:tab/>
            </w:r>
            <w:r w:rsidRPr="003851DE">
              <w:rPr>
                <w:rStyle w:val="Hypertextovodkaz"/>
                <w:rFonts w:eastAsia="Times New Roman"/>
                <w:noProof/>
              </w:rPr>
              <w:t>Strategické dokumenty a legislativní rámec</w:t>
            </w:r>
            <w:r>
              <w:rPr>
                <w:noProof/>
                <w:webHidden/>
              </w:rPr>
              <w:tab/>
            </w:r>
            <w:r>
              <w:rPr>
                <w:noProof/>
                <w:webHidden/>
              </w:rPr>
              <w:fldChar w:fldCharType="begin"/>
            </w:r>
            <w:r>
              <w:rPr>
                <w:noProof/>
                <w:webHidden/>
              </w:rPr>
              <w:instrText xml:space="preserve"> PAGEREF _Toc215589293 \h </w:instrText>
            </w:r>
            <w:r>
              <w:rPr>
                <w:noProof/>
                <w:webHidden/>
              </w:rPr>
            </w:r>
            <w:r>
              <w:rPr>
                <w:noProof/>
                <w:webHidden/>
              </w:rPr>
              <w:fldChar w:fldCharType="separate"/>
            </w:r>
            <w:r>
              <w:rPr>
                <w:noProof/>
                <w:webHidden/>
              </w:rPr>
              <w:t>5</w:t>
            </w:r>
            <w:r>
              <w:rPr>
                <w:noProof/>
                <w:webHidden/>
              </w:rPr>
              <w:fldChar w:fldCharType="end"/>
            </w:r>
          </w:hyperlink>
        </w:p>
        <w:p w14:paraId="748AC3FA" w14:textId="4E20A744" w:rsidR="002A48ED" w:rsidRDefault="002A48ED">
          <w:pPr>
            <w:pStyle w:val="Obsah2"/>
            <w:rPr>
              <w:rFonts w:asciiTheme="minorHAnsi" w:hAnsiTheme="minorHAnsi"/>
              <w:noProof/>
              <w:kern w:val="2"/>
              <w:sz w:val="24"/>
              <w:szCs w:val="24"/>
              <w14:ligatures w14:val="standardContextual"/>
            </w:rPr>
          </w:pPr>
          <w:hyperlink w:anchor="_Toc215589294" w:history="1">
            <w:r w:rsidRPr="003851DE">
              <w:rPr>
                <w:rStyle w:val="Hypertextovodkaz"/>
                <w:rFonts w:eastAsia="Times New Roman"/>
                <w:noProof/>
              </w:rPr>
              <w:t>A.2</w:t>
            </w:r>
            <w:r>
              <w:rPr>
                <w:rFonts w:asciiTheme="minorHAnsi" w:hAnsiTheme="minorHAnsi"/>
                <w:noProof/>
                <w:kern w:val="2"/>
                <w:sz w:val="24"/>
                <w:szCs w:val="24"/>
                <w14:ligatures w14:val="standardContextual"/>
              </w:rPr>
              <w:tab/>
            </w:r>
            <w:r w:rsidRPr="003851DE">
              <w:rPr>
                <w:rStyle w:val="Hypertextovodkaz"/>
                <w:rFonts w:eastAsia="Times New Roman"/>
                <w:noProof/>
              </w:rPr>
              <w:t>Klíčoví aktéři, poskytovatelé podpory a programy VaVaI</w:t>
            </w:r>
            <w:r>
              <w:rPr>
                <w:noProof/>
                <w:webHidden/>
              </w:rPr>
              <w:tab/>
            </w:r>
            <w:r>
              <w:rPr>
                <w:noProof/>
                <w:webHidden/>
              </w:rPr>
              <w:fldChar w:fldCharType="begin"/>
            </w:r>
            <w:r>
              <w:rPr>
                <w:noProof/>
                <w:webHidden/>
              </w:rPr>
              <w:instrText xml:space="preserve"> PAGEREF _Toc215589294 \h </w:instrText>
            </w:r>
            <w:r>
              <w:rPr>
                <w:noProof/>
                <w:webHidden/>
              </w:rPr>
            </w:r>
            <w:r>
              <w:rPr>
                <w:noProof/>
                <w:webHidden/>
              </w:rPr>
              <w:fldChar w:fldCharType="separate"/>
            </w:r>
            <w:r>
              <w:rPr>
                <w:noProof/>
                <w:webHidden/>
              </w:rPr>
              <w:t>15</w:t>
            </w:r>
            <w:r>
              <w:rPr>
                <w:noProof/>
                <w:webHidden/>
              </w:rPr>
              <w:fldChar w:fldCharType="end"/>
            </w:r>
          </w:hyperlink>
        </w:p>
        <w:p w14:paraId="0A8D4FD3" w14:textId="68271B78" w:rsidR="002A48ED" w:rsidRDefault="002A48ED">
          <w:pPr>
            <w:pStyle w:val="Obsah2"/>
            <w:rPr>
              <w:rFonts w:asciiTheme="minorHAnsi" w:hAnsiTheme="minorHAnsi"/>
              <w:noProof/>
              <w:kern w:val="2"/>
              <w:sz w:val="24"/>
              <w:szCs w:val="24"/>
              <w14:ligatures w14:val="standardContextual"/>
            </w:rPr>
          </w:pPr>
          <w:hyperlink w:anchor="_Toc215589295" w:history="1">
            <w:r w:rsidRPr="003851DE">
              <w:rPr>
                <w:rStyle w:val="Hypertextovodkaz"/>
                <w:rFonts w:eastAsia="Times New Roman"/>
                <w:noProof/>
              </w:rPr>
              <w:t>A.3</w:t>
            </w:r>
            <w:r>
              <w:rPr>
                <w:rFonts w:asciiTheme="minorHAnsi" w:hAnsiTheme="minorHAnsi"/>
                <w:noProof/>
                <w:kern w:val="2"/>
                <w:sz w:val="24"/>
                <w:szCs w:val="24"/>
                <w14:ligatures w14:val="standardContextual"/>
              </w:rPr>
              <w:tab/>
            </w:r>
            <w:r w:rsidRPr="003851DE">
              <w:rPr>
                <w:rStyle w:val="Hypertextovodkaz"/>
                <w:rFonts w:eastAsia="Times New Roman"/>
                <w:noProof/>
              </w:rPr>
              <w:t>Proces přípravy státního rozpočtu na VaVaI</w:t>
            </w:r>
            <w:r>
              <w:rPr>
                <w:noProof/>
                <w:webHidden/>
              </w:rPr>
              <w:tab/>
            </w:r>
            <w:r>
              <w:rPr>
                <w:noProof/>
                <w:webHidden/>
              </w:rPr>
              <w:fldChar w:fldCharType="begin"/>
            </w:r>
            <w:r>
              <w:rPr>
                <w:noProof/>
                <w:webHidden/>
              </w:rPr>
              <w:instrText xml:space="preserve"> PAGEREF _Toc215589295 \h </w:instrText>
            </w:r>
            <w:r>
              <w:rPr>
                <w:noProof/>
                <w:webHidden/>
              </w:rPr>
            </w:r>
            <w:r>
              <w:rPr>
                <w:noProof/>
                <w:webHidden/>
              </w:rPr>
              <w:fldChar w:fldCharType="separate"/>
            </w:r>
            <w:r>
              <w:rPr>
                <w:noProof/>
                <w:webHidden/>
              </w:rPr>
              <w:t>16</w:t>
            </w:r>
            <w:r>
              <w:rPr>
                <w:noProof/>
                <w:webHidden/>
              </w:rPr>
              <w:fldChar w:fldCharType="end"/>
            </w:r>
          </w:hyperlink>
        </w:p>
        <w:p w14:paraId="6A3C0AD2" w14:textId="587A2F7B" w:rsidR="002A48ED" w:rsidRDefault="002A48ED">
          <w:pPr>
            <w:pStyle w:val="Obsah2"/>
            <w:rPr>
              <w:rFonts w:asciiTheme="minorHAnsi" w:hAnsiTheme="minorHAnsi"/>
              <w:noProof/>
              <w:kern w:val="2"/>
              <w:sz w:val="24"/>
              <w:szCs w:val="24"/>
              <w14:ligatures w14:val="standardContextual"/>
            </w:rPr>
          </w:pPr>
          <w:hyperlink w:anchor="_Toc215589296" w:history="1">
            <w:r w:rsidRPr="003851DE">
              <w:rPr>
                <w:rStyle w:val="Hypertextovodkaz"/>
                <w:rFonts w:eastAsia="Times New Roman"/>
                <w:noProof/>
              </w:rPr>
              <w:t>A.4</w:t>
            </w:r>
            <w:r>
              <w:rPr>
                <w:rFonts w:asciiTheme="minorHAnsi" w:hAnsiTheme="minorHAnsi"/>
                <w:noProof/>
                <w:kern w:val="2"/>
                <w:sz w:val="24"/>
                <w:szCs w:val="24"/>
                <w14:ligatures w14:val="standardContextual"/>
              </w:rPr>
              <w:tab/>
            </w:r>
            <w:r w:rsidRPr="003851DE">
              <w:rPr>
                <w:rStyle w:val="Hypertextovodkaz"/>
                <w:rFonts w:eastAsia="Times New Roman"/>
                <w:noProof/>
              </w:rPr>
              <w:t>Projekty sdílených činností</w:t>
            </w:r>
            <w:r>
              <w:rPr>
                <w:noProof/>
                <w:webHidden/>
              </w:rPr>
              <w:tab/>
            </w:r>
            <w:r>
              <w:rPr>
                <w:noProof/>
                <w:webHidden/>
              </w:rPr>
              <w:fldChar w:fldCharType="begin"/>
            </w:r>
            <w:r>
              <w:rPr>
                <w:noProof/>
                <w:webHidden/>
              </w:rPr>
              <w:instrText xml:space="preserve"> PAGEREF _Toc215589296 \h </w:instrText>
            </w:r>
            <w:r>
              <w:rPr>
                <w:noProof/>
                <w:webHidden/>
              </w:rPr>
            </w:r>
            <w:r>
              <w:rPr>
                <w:noProof/>
                <w:webHidden/>
              </w:rPr>
              <w:fldChar w:fldCharType="separate"/>
            </w:r>
            <w:r>
              <w:rPr>
                <w:noProof/>
                <w:webHidden/>
              </w:rPr>
              <w:t>19</w:t>
            </w:r>
            <w:r>
              <w:rPr>
                <w:noProof/>
                <w:webHidden/>
              </w:rPr>
              <w:fldChar w:fldCharType="end"/>
            </w:r>
          </w:hyperlink>
        </w:p>
        <w:p w14:paraId="1C780AD5" w14:textId="58121260" w:rsidR="002A48ED" w:rsidRDefault="002A48ED">
          <w:pPr>
            <w:pStyle w:val="Obsah1"/>
            <w:rPr>
              <w:rFonts w:asciiTheme="minorHAnsi" w:eastAsiaTheme="minorEastAsia" w:hAnsiTheme="minorHAnsi"/>
              <w:kern w:val="2"/>
              <w:sz w:val="24"/>
              <w:szCs w:val="24"/>
              <w:lang w:eastAsia="cs-CZ"/>
              <w14:ligatures w14:val="standardContextual"/>
            </w:rPr>
          </w:pPr>
          <w:hyperlink w:anchor="_Toc215589297" w:history="1">
            <w:r w:rsidRPr="003851DE">
              <w:rPr>
                <w:rStyle w:val="Hypertextovodkaz"/>
              </w:rPr>
              <w:t>B.</w:t>
            </w:r>
            <w:r>
              <w:rPr>
                <w:rFonts w:asciiTheme="minorHAnsi" w:eastAsiaTheme="minorEastAsia" w:hAnsiTheme="minorHAnsi"/>
                <w:kern w:val="2"/>
                <w:sz w:val="24"/>
                <w:szCs w:val="24"/>
                <w:lang w:eastAsia="cs-CZ"/>
                <w14:ligatures w14:val="standardContextual"/>
              </w:rPr>
              <w:tab/>
            </w:r>
            <w:r w:rsidRPr="003851DE">
              <w:rPr>
                <w:rStyle w:val="Hypertextovodkaz"/>
              </w:rPr>
              <w:t>Finance</w:t>
            </w:r>
            <w:r>
              <w:rPr>
                <w:webHidden/>
              </w:rPr>
              <w:tab/>
            </w:r>
            <w:r>
              <w:rPr>
                <w:webHidden/>
              </w:rPr>
              <w:fldChar w:fldCharType="begin"/>
            </w:r>
            <w:r>
              <w:rPr>
                <w:webHidden/>
              </w:rPr>
              <w:instrText xml:space="preserve"> PAGEREF _Toc215589297 \h </w:instrText>
            </w:r>
            <w:r>
              <w:rPr>
                <w:webHidden/>
              </w:rPr>
            </w:r>
            <w:r>
              <w:rPr>
                <w:webHidden/>
              </w:rPr>
              <w:fldChar w:fldCharType="separate"/>
            </w:r>
            <w:r>
              <w:rPr>
                <w:webHidden/>
              </w:rPr>
              <w:t>22</w:t>
            </w:r>
            <w:r>
              <w:rPr>
                <w:webHidden/>
              </w:rPr>
              <w:fldChar w:fldCharType="end"/>
            </w:r>
          </w:hyperlink>
        </w:p>
        <w:p w14:paraId="44446079" w14:textId="6D68E9E1" w:rsidR="002A48ED" w:rsidRDefault="002A48ED">
          <w:pPr>
            <w:pStyle w:val="Obsah2"/>
            <w:rPr>
              <w:rFonts w:asciiTheme="minorHAnsi" w:hAnsiTheme="minorHAnsi"/>
              <w:noProof/>
              <w:kern w:val="2"/>
              <w:sz w:val="24"/>
              <w:szCs w:val="24"/>
              <w14:ligatures w14:val="standardContextual"/>
            </w:rPr>
          </w:pPr>
          <w:hyperlink w:anchor="_Toc215589298" w:history="1">
            <w:r w:rsidRPr="003851DE">
              <w:rPr>
                <w:rStyle w:val="Hypertextovodkaz"/>
                <w:rFonts w:eastAsia="Times New Roman"/>
                <w:noProof/>
              </w:rPr>
              <w:t>B.1</w:t>
            </w:r>
            <w:r>
              <w:rPr>
                <w:rFonts w:asciiTheme="minorHAnsi" w:hAnsiTheme="minorHAnsi"/>
                <w:noProof/>
                <w:kern w:val="2"/>
                <w:sz w:val="24"/>
                <w:szCs w:val="24"/>
                <w14:ligatures w14:val="standardContextual"/>
              </w:rPr>
              <w:tab/>
            </w:r>
            <w:r w:rsidRPr="003851DE">
              <w:rPr>
                <w:rStyle w:val="Hypertextovodkaz"/>
                <w:rFonts w:eastAsia="Times New Roman"/>
                <w:noProof/>
              </w:rPr>
              <w:t>Makroekonomické ukazatele</w:t>
            </w:r>
            <w:r>
              <w:rPr>
                <w:noProof/>
                <w:webHidden/>
              </w:rPr>
              <w:tab/>
            </w:r>
            <w:r>
              <w:rPr>
                <w:noProof/>
                <w:webHidden/>
              </w:rPr>
              <w:fldChar w:fldCharType="begin"/>
            </w:r>
            <w:r>
              <w:rPr>
                <w:noProof/>
                <w:webHidden/>
              </w:rPr>
              <w:instrText xml:space="preserve"> PAGEREF _Toc215589298 \h </w:instrText>
            </w:r>
            <w:r>
              <w:rPr>
                <w:noProof/>
                <w:webHidden/>
              </w:rPr>
            </w:r>
            <w:r>
              <w:rPr>
                <w:noProof/>
                <w:webHidden/>
              </w:rPr>
              <w:fldChar w:fldCharType="separate"/>
            </w:r>
            <w:r>
              <w:rPr>
                <w:noProof/>
                <w:webHidden/>
              </w:rPr>
              <w:t>22</w:t>
            </w:r>
            <w:r>
              <w:rPr>
                <w:noProof/>
                <w:webHidden/>
              </w:rPr>
              <w:fldChar w:fldCharType="end"/>
            </w:r>
          </w:hyperlink>
        </w:p>
        <w:p w14:paraId="0E35ECA9" w14:textId="19F71B0F" w:rsidR="002A48ED" w:rsidRDefault="002A48ED">
          <w:pPr>
            <w:pStyle w:val="Obsah2"/>
            <w:rPr>
              <w:rFonts w:asciiTheme="minorHAnsi" w:hAnsiTheme="minorHAnsi"/>
              <w:noProof/>
              <w:kern w:val="2"/>
              <w:sz w:val="24"/>
              <w:szCs w:val="24"/>
              <w14:ligatures w14:val="standardContextual"/>
            </w:rPr>
          </w:pPr>
          <w:hyperlink w:anchor="_Toc215589299" w:history="1">
            <w:r w:rsidRPr="003851DE">
              <w:rPr>
                <w:rStyle w:val="Hypertextovodkaz"/>
                <w:rFonts w:eastAsia="Times New Roman"/>
                <w:noProof/>
              </w:rPr>
              <w:t>B.2</w:t>
            </w:r>
            <w:r>
              <w:rPr>
                <w:rFonts w:asciiTheme="minorHAnsi" w:hAnsiTheme="minorHAnsi"/>
                <w:noProof/>
                <w:kern w:val="2"/>
                <w:sz w:val="24"/>
                <w:szCs w:val="24"/>
                <w14:ligatures w14:val="standardContextual"/>
              </w:rPr>
              <w:tab/>
            </w:r>
            <w:r w:rsidRPr="003851DE">
              <w:rPr>
                <w:rStyle w:val="Hypertextovodkaz"/>
                <w:rFonts w:eastAsia="Times New Roman"/>
                <w:noProof/>
              </w:rPr>
              <w:t>Finanční toky ve VaV</w:t>
            </w:r>
            <w:r>
              <w:rPr>
                <w:noProof/>
                <w:webHidden/>
              </w:rPr>
              <w:tab/>
            </w:r>
            <w:r>
              <w:rPr>
                <w:noProof/>
                <w:webHidden/>
              </w:rPr>
              <w:fldChar w:fldCharType="begin"/>
            </w:r>
            <w:r>
              <w:rPr>
                <w:noProof/>
                <w:webHidden/>
              </w:rPr>
              <w:instrText xml:space="preserve"> PAGEREF _Toc215589299 \h </w:instrText>
            </w:r>
            <w:r>
              <w:rPr>
                <w:noProof/>
                <w:webHidden/>
              </w:rPr>
            </w:r>
            <w:r>
              <w:rPr>
                <w:noProof/>
                <w:webHidden/>
              </w:rPr>
              <w:fldChar w:fldCharType="separate"/>
            </w:r>
            <w:r>
              <w:rPr>
                <w:noProof/>
                <w:webHidden/>
              </w:rPr>
              <w:t>23</w:t>
            </w:r>
            <w:r>
              <w:rPr>
                <w:noProof/>
                <w:webHidden/>
              </w:rPr>
              <w:fldChar w:fldCharType="end"/>
            </w:r>
          </w:hyperlink>
        </w:p>
        <w:p w14:paraId="45C4B5AF" w14:textId="225A4649" w:rsidR="002A48ED" w:rsidRDefault="002A48ED">
          <w:pPr>
            <w:pStyle w:val="Obsah2"/>
            <w:rPr>
              <w:rFonts w:asciiTheme="minorHAnsi" w:hAnsiTheme="minorHAnsi"/>
              <w:noProof/>
              <w:kern w:val="2"/>
              <w:sz w:val="24"/>
              <w:szCs w:val="24"/>
              <w14:ligatures w14:val="standardContextual"/>
            </w:rPr>
          </w:pPr>
          <w:hyperlink w:anchor="_Toc215589300" w:history="1">
            <w:r w:rsidRPr="003851DE">
              <w:rPr>
                <w:rStyle w:val="Hypertextovodkaz"/>
                <w:rFonts w:eastAsia="Times New Roman"/>
                <w:noProof/>
              </w:rPr>
              <w:t>B.3</w:t>
            </w:r>
            <w:r>
              <w:rPr>
                <w:rFonts w:asciiTheme="minorHAnsi" w:hAnsiTheme="minorHAnsi"/>
                <w:noProof/>
                <w:kern w:val="2"/>
                <w:sz w:val="24"/>
                <w:szCs w:val="24"/>
                <w14:ligatures w14:val="standardContextual"/>
              </w:rPr>
              <w:tab/>
            </w:r>
            <w:r w:rsidRPr="003851DE">
              <w:rPr>
                <w:rStyle w:val="Hypertextovodkaz"/>
                <w:rFonts w:eastAsia="Times New Roman"/>
                <w:noProof/>
              </w:rPr>
              <w:t>Přímá veřejná podpora VaV</w:t>
            </w:r>
            <w:r>
              <w:rPr>
                <w:noProof/>
                <w:webHidden/>
              </w:rPr>
              <w:tab/>
            </w:r>
            <w:r>
              <w:rPr>
                <w:noProof/>
                <w:webHidden/>
              </w:rPr>
              <w:fldChar w:fldCharType="begin"/>
            </w:r>
            <w:r>
              <w:rPr>
                <w:noProof/>
                <w:webHidden/>
              </w:rPr>
              <w:instrText xml:space="preserve"> PAGEREF _Toc215589300 \h </w:instrText>
            </w:r>
            <w:r>
              <w:rPr>
                <w:noProof/>
                <w:webHidden/>
              </w:rPr>
            </w:r>
            <w:r>
              <w:rPr>
                <w:noProof/>
                <w:webHidden/>
              </w:rPr>
              <w:fldChar w:fldCharType="separate"/>
            </w:r>
            <w:r>
              <w:rPr>
                <w:noProof/>
                <w:webHidden/>
              </w:rPr>
              <w:t>28</w:t>
            </w:r>
            <w:r>
              <w:rPr>
                <w:noProof/>
                <w:webHidden/>
              </w:rPr>
              <w:fldChar w:fldCharType="end"/>
            </w:r>
          </w:hyperlink>
        </w:p>
        <w:p w14:paraId="267ACD72" w14:textId="4DBDF2FB" w:rsidR="002A48ED" w:rsidRDefault="002A48ED">
          <w:pPr>
            <w:pStyle w:val="Obsah2"/>
            <w:rPr>
              <w:rFonts w:asciiTheme="minorHAnsi" w:hAnsiTheme="minorHAnsi"/>
              <w:noProof/>
              <w:kern w:val="2"/>
              <w:sz w:val="24"/>
              <w:szCs w:val="24"/>
              <w14:ligatures w14:val="standardContextual"/>
            </w:rPr>
          </w:pPr>
          <w:hyperlink w:anchor="_Toc215589301" w:history="1">
            <w:r w:rsidRPr="003851DE">
              <w:rPr>
                <w:rStyle w:val="Hypertextovodkaz"/>
                <w:rFonts w:eastAsia="Times New Roman"/>
                <w:noProof/>
              </w:rPr>
              <w:t>B.4</w:t>
            </w:r>
            <w:r>
              <w:rPr>
                <w:rFonts w:asciiTheme="minorHAnsi" w:hAnsiTheme="minorHAnsi"/>
                <w:noProof/>
                <w:kern w:val="2"/>
                <w:sz w:val="24"/>
                <w:szCs w:val="24"/>
                <w14:ligatures w14:val="standardContextual"/>
              </w:rPr>
              <w:tab/>
            </w:r>
            <w:r w:rsidRPr="003851DE">
              <w:rPr>
                <w:rStyle w:val="Hypertextovodkaz"/>
                <w:rFonts w:eastAsia="Times New Roman"/>
                <w:noProof/>
              </w:rPr>
              <w:t>Nepřímá veřejná podpora VaV</w:t>
            </w:r>
            <w:r>
              <w:rPr>
                <w:noProof/>
                <w:webHidden/>
              </w:rPr>
              <w:tab/>
            </w:r>
            <w:r>
              <w:rPr>
                <w:noProof/>
                <w:webHidden/>
              </w:rPr>
              <w:fldChar w:fldCharType="begin"/>
            </w:r>
            <w:r>
              <w:rPr>
                <w:noProof/>
                <w:webHidden/>
              </w:rPr>
              <w:instrText xml:space="preserve"> PAGEREF _Toc215589301 \h </w:instrText>
            </w:r>
            <w:r>
              <w:rPr>
                <w:noProof/>
                <w:webHidden/>
              </w:rPr>
            </w:r>
            <w:r>
              <w:rPr>
                <w:noProof/>
                <w:webHidden/>
              </w:rPr>
              <w:fldChar w:fldCharType="separate"/>
            </w:r>
            <w:r>
              <w:rPr>
                <w:noProof/>
                <w:webHidden/>
              </w:rPr>
              <w:t>36</w:t>
            </w:r>
            <w:r>
              <w:rPr>
                <w:noProof/>
                <w:webHidden/>
              </w:rPr>
              <w:fldChar w:fldCharType="end"/>
            </w:r>
          </w:hyperlink>
        </w:p>
        <w:p w14:paraId="50286435" w14:textId="4E2A713B" w:rsidR="002A48ED" w:rsidRDefault="002A48ED">
          <w:pPr>
            <w:pStyle w:val="Obsah1"/>
            <w:rPr>
              <w:rFonts w:asciiTheme="minorHAnsi" w:eastAsiaTheme="minorEastAsia" w:hAnsiTheme="minorHAnsi"/>
              <w:kern w:val="2"/>
              <w:sz w:val="24"/>
              <w:szCs w:val="24"/>
              <w:lang w:eastAsia="cs-CZ"/>
              <w14:ligatures w14:val="standardContextual"/>
            </w:rPr>
          </w:pPr>
          <w:hyperlink w:anchor="_Toc215589302" w:history="1">
            <w:r w:rsidRPr="003851DE">
              <w:rPr>
                <w:rStyle w:val="Hypertextovodkaz"/>
              </w:rPr>
              <w:t>C.</w:t>
            </w:r>
            <w:r>
              <w:rPr>
                <w:rFonts w:asciiTheme="minorHAnsi" w:eastAsiaTheme="minorEastAsia" w:hAnsiTheme="minorHAnsi"/>
                <w:kern w:val="2"/>
                <w:sz w:val="24"/>
                <w:szCs w:val="24"/>
                <w:lang w:eastAsia="cs-CZ"/>
                <w14:ligatures w14:val="standardContextual"/>
              </w:rPr>
              <w:tab/>
            </w:r>
            <w:r w:rsidRPr="003851DE">
              <w:rPr>
                <w:rStyle w:val="Hypertextovodkaz"/>
              </w:rPr>
              <w:t>Lidé ve VaVaI</w:t>
            </w:r>
            <w:r>
              <w:rPr>
                <w:webHidden/>
              </w:rPr>
              <w:tab/>
            </w:r>
            <w:r>
              <w:rPr>
                <w:webHidden/>
              </w:rPr>
              <w:fldChar w:fldCharType="begin"/>
            </w:r>
            <w:r>
              <w:rPr>
                <w:webHidden/>
              </w:rPr>
              <w:instrText xml:space="preserve"> PAGEREF _Toc215589302 \h </w:instrText>
            </w:r>
            <w:r>
              <w:rPr>
                <w:webHidden/>
              </w:rPr>
            </w:r>
            <w:r>
              <w:rPr>
                <w:webHidden/>
              </w:rPr>
              <w:fldChar w:fldCharType="separate"/>
            </w:r>
            <w:r>
              <w:rPr>
                <w:webHidden/>
              </w:rPr>
              <w:t>37</w:t>
            </w:r>
            <w:r>
              <w:rPr>
                <w:webHidden/>
              </w:rPr>
              <w:fldChar w:fldCharType="end"/>
            </w:r>
          </w:hyperlink>
        </w:p>
        <w:p w14:paraId="38991E45" w14:textId="2DE19665" w:rsidR="002A48ED" w:rsidRDefault="002A48ED">
          <w:pPr>
            <w:pStyle w:val="Obsah2"/>
            <w:rPr>
              <w:rFonts w:asciiTheme="minorHAnsi" w:hAnsiTheme="minorHAnsi"/>
              <w:noProof/>
              <w:kern w:val="2"/>
              <w:sz w:val="24"/>
              <w:szCs w:val="24"/>
              <w14:ligatures w14:val="standardContextual"/>
            </w:rPr>
          </w:pPr>
          <w:hyperlink w:anchor="_Toc215589303" w:history="1">
            <w:r w:rsidRPr="003851DE">
              <w:rPr>
                <w:rStyle w:val="Hypertextovodkaz"/>
                <w:rFonts w:eastAsia="Times New Roman"/>
                <w:noProof/>
              </w:rPr>
              <w:t>C.1</w:t>
            </w:r>
            <w:r>
              <w:rPr>
                <w:rFonts w:asciiTheme="minorHAnsi" w:hAnsiTheme="minorHAnsi"/>
                <w:noProof/>
                <w:kern w:val="2"/>
                <w:sz w:val="24"/>
                <w:szCs w:val="24"/>
                <w14:ligatures w14:val="standardContextual"/>
              </w:rPr>
              <w:tab/>
            </w:r>
            <w:r w:rsidRPr="003851DE">
              <w:rPr>
                <w:rStyle w:val="Hypertextovodkaz"/>
                <w:rFonts w:eastAsia="Times New Roman"/>
                <w:noProof/>
              </w:rPr>
              <w:t>Výzkumní pracovníci</w:t>
            </w:r>
            <w:r>
              <w:rPr>
                <w:noProof/>
                <w:webHidden/>
              </w:rPr>
              <w:tab/>
            </w:r>
            <w:r>
              <w:rPr>
                <w:noProof/>
                <w:webHidden/>
              </w:rPr>
              <w:fldChar w:fldCharType="begin"/>
            </w:r>
            <w:r>
              <w:rPr>
                <w:noProof/>
                <w:webHidden/>
              </w:rPr>
              <w:instrText xml:space="preserve"> PAGEREF _Toc215589303 \h </w:instrText>
            </w:r>
            <w:r>
              <w:rPr>
                <w:noProof/>
                <w:webHidden/>
              </w:rPr>
            </w:r>
            <w:r>
              <w:rPr>
                <w:noProof/>
                <w:webHidden/>
              </w:rPr>
              <w:fldChar w:fldCharType="separate"/>
            </w:r>
            <w:r>
              <w:rPr>
                <w:noProof/>
                <w:webHidden/>
              </w:rPr>
              <w:t>37</w:t>
            </w:r>
            <w:r>
              <w:rPr>
                <w:noProof/>
                <w:webHidden/>
              </w:rPr>
              <w:fldChar w:fldCharType="end"/>
            </w:r>
          </w:hyperlink>
        </w:p>
        <w:p w14:paraId="652B0ED0" w14:textId="17EC80F1" w:rsidR="002A48ED" w:rsidRDefault="002A48ED">
          <w:pPr>
            <w:pStyle w:val="Obsah2"/>
            <w:rPr>
              <w:rFonts w:asciiTheme="minorHAnsi" w:hAnsiTheme="minorHAnsi"/>
              <w:noProof/>
              <w:kern w:val="2"/>
              <w:sz w:val="24"/>
              <w:szCs w:val="24"/>
              <w14:ligatures w14:val="standardContextual"/>
            </w:rPr>
          </w:pPr>
          <w:hyperlink w:anchor="_Toc215589304" w:history="1">
            <w:r w:rsidRPr="003851DE">
              <w:rPr>
                <w:rStyle w:val="Hypertextovodkaz"/>
                <w:rFonts w:eastAsia="Times New Roman"/>
                <w:noProof/>
              </w:rPr>
              <w:t>C.2</w:t>
            </w:r>
            <w:r>
              <w:rPr>
                <w:rFonts w:asciiTheme="minorHAnsi" w:hAnsiTheme="minorHAnsi"/>
                <w:noProof/>
                <w:kern w:val="2"/>
                <w:sz w:val="24"/>
                <w:szCs w:val="24"/>
                <w14:ligatures w14:val="standardContextual"/>
              </w:rPr>
              <w:tab/>
            </w:r>
            <w:r w:rsidRPr="003851DE">
              <w:rPr>
                <w:rStyle w:val="Hypertextovodkaz"/>
                <w:rFonts w:eastAsia="Times New Roman"/>
                <w:noProof/>
              </w:rPr>
              <w:t>Genderové hledisko</w:t>
            </w:r>
            <w:r>
              <w:rPr>
                <w:noProof/>
                <w:webHidden/>
              </w:rPr>
              <w:tab/>
            </w:r>
            <w:r>
              <w:rPr>
                <w:noProof/>
                <w:webHidden/>
              </w:rPr>
              <w:fldChar w:fldCharType="begin"/>
            </w:r>
            <w:r>
              <w:rPr>
                <w:noProof/>
                <w:webHidden/>
              </w:rPr>
              <w:instrText xml:space="preserve"> PAGEREF _Toc215589304 \h </w:instrText>
            </w:r>
            <w:r>
              <w:rPr>
                <w:noProof/>
                <w:webHidden/>
              </w:rPr>
            </w:r>
            <w:r>
              <w:rPr>
                <w:noProof/>
                <w:webHidden/>
              </w:rPr>
              <w:fldChar w:fldCharType="separate"/>
            </w:r>
            <w:r>
              <w:rPr>
                <w:noProof/>
                <w:webHidden/>
              </w:rPr>
              <w:t>38</w:t>
            </w:r>
            <w:r>
              <w:rPr>
                <w:noProof/>
                <w:webHidden/>
              </w:rPr>
              <w:fldChar w:fldCharType="end"/>
            </w:r>
          </w:hyperlink>
        </w:p>
        <w:p w14:paraId="3FE421EC" w14:textId="212AE6BF" w:rsidR="002A48ED" w:rsidRDefault="002A48ED">
          <w:pPr>
            <w:pStyle w:val="Obsah2"/>
            <w:rPr>
              <w:rFonts w:asciiTheme="minorHAnsi" w:hAnsiTheme="minorHAnsi"/>
              <w:noProof/>
              <w:kern w:val="2"/>
              <w:sz w:val="24"/>
              <w:szCs w:val="24"/>
              <w14:ligatures w14:val="standardContextual"/>
            </w:rPr>
          </w:pPr>
          <w:hyperlink w:anchor="_Toc215589305" w:history="1">
            <w:r w:rsidRPr="003851DE">
              <w:rPr>
                <w:rStyle w:val="Hypertextovodkaz"/>
                <w:rFonts w:eastAsia="Times New Roman"/>
                <w:noProof/>
              </w:rPr>
              <w:t>C.3</w:t>
            </w:r>
            <w:r>
              <w:rPr>
                <w:rFonts w:asciiTheme="minorHAnsi" w:hAnsiTheme="minorHAnsi"/>
                <w:noProof/>
                <w:kern w:val="2"/>
                <w:sz w:val="24"/>
                <w:szCs w:val="24"/>
                <w14:ligatures w14:val="standardContextual"/>
              </w:rPr>
              <w:tab/>
            </w:r>
            <w:r w:rsidRPr="003851DE">
              <w:rPr>
                <w:rStyle w:val="Hypertextovodkaz"/>
                <w:rFonts w:eastAsia="Times New Roman"/>
                <w:noProof/>
              </w:rPr>
              <w:t>Mladí vědci</w:t>
            </w:r>
            <w:r>
              <w:rPr>
                <w:noProof/>
                <w:webHidden/>
              </w:rPr>
              <w:tab/>
            </w:r>
            <w:r>
              <w:rPr>
                <w:noProof/>
                <w:webHidden/>
              </w:rPr>
              <w:fldChar w:fldCharType="begin"/>
            </w:r>
            <w:r>
              <w:rPr>
                <w:noProof/>
                <w:webHidden/>
              </w:rPr>
              <w:instrText xml:space="preserve"> PAGEREF _Toc215589305 \h </w:instrText>
            </w:r>
            <w:r>
              <w:rPr>
                <w:noProof/>
                <w:webHidden/>
              </w:rPr>
            </w:r>
            <w:r>
              <w:rPr>
                <w:noProof/>
                <w:webHidden/>
              </w:rPr>
              <w:fldChar w:fldCharType="separate"/>
            </w:r>
            <w:r>
              <w:rPr>
                <w:noProof/>
                <w:webHidden/>
              </w:rPr>
              <w:t>39</w:t>
            </w:r>
            <w:r>
              <w:rPr>
                <w:noProof/>
                <w:webHidden/>
              </w:rPr>
              <w:fldChar w:fldCharType="end"/>
            </w:r>
          </w:hyperlink>
        </w:p>
        <w:p w14:paraId="2DF624D7" w14:textId="6FD8A1EA" w:rsidR="002A48ED" w:rsidRDefault="002A48ED">
          <w:pPr>
            <w:pStyle w:val="Obsah2"/>
            <w:rPr>
              <w:rFonts w:asciiTheme="minorHAnsi" w:hAnsiTheme="minorHAnsi"/>
              <w:noProof/>
              <w:kern w:val="2"/>
              <w:sz w:val="24"/>
              <w:szCs w:val="24"/>
              <w14:ligatures w14:val="standardContextual"/>
            </w:rPr>
          </w:pPr>
          <w:hyperlink w:anchor="_Toc215589306" w:history="1">
            <w:r w:rsidRPr="003851DE">
              <w:rPr>
                <w:rStyle w:val="Hypertextovodkaz"/>
                <w:rFonts w:eastAsia="Times New Roman"/>
                <w:noProof/>
              </w:rPr>
              <w:t>C.4</w:t>
            </w:r>
            <w:r>
              <w:rPr>
                <w:rFonts w:asciiTheme="minorHAnsi" w:hAnsiTheme="minorHAnsi"/>
                <w:noProof/>
                <w:kern w:val="2"/>
                <w:sz w:val="24"/>
                <w:szCs w:val="24"/>
                <w14:ligatures w14:val="standardContextual"/>
              </w:rPr>
              <w:tab/>
            </w:r>
            <w:r w:rsidRPr="003851DE">
              <w:rPr>
                <w:rStyle w:val="Hypertextovodkaz"/>
                <w:rFonts w:eastAsia="Times New Roman"/>
                <w:noProof/>
              </w:rPr>
              <w:t>Vědci v zahraničí a zahraniční absolventi v ČR</w:t>
            </w:r>
            <w:r>
              <w:rPr>
                <w:noProof/>
                <w:webHidden/>
              </w:rPr>
              <w:tab/>
            </w:r>
            <w:r>
              <w:rPr>
                <w:noProof/>
                <w:webHidden/>
              </w:rPr>
              <w:fldChar w:fldCharType="begin"/>
            </w:r>
            <w:r>
              <w:rPr>
                <w:noProof/>
                <w:webHidden/>
              </w:rPr>
              <w:instrText xml:space="preserve"> PAGEREF _Toc215589306 \h </w:instrText>
            </w:r>
            <w:r>
              <w:rPr>
                <w:noProof/>
                <w:webHidden/>
              </w:rPr>
            </w:r>
            <w:r>
              <w:rPr>
                <w:noProof/>
                <w:webHidden/>
              </w:rPr>
              <w:fldChar w:fldCharType="separate"/>
            </w:r>
            <w:r>
              <w:rPr>
                <w:noProof/>
                <w:webHidden/>
              </w:rPr>
              <w:t>40</w:t>
            </w:r>
            <w:r>
              <w:rPr>
                <w:noProof/>
                <w:webHidden/>
              </w:rPr>
              <w:fldChar w:fldCharType="end"/>
            </w:r>
          </w:hyperlink>
        </w:p>
        <w:p w14:paraId="56F0183B" w14:textId="7B8ED02C" w:rsidR="002A48ED" w:rsidRDefault="002A48ED">
          <w:pPr>
            <w:pStyle w:val="Obsah1"/>
            <w:rPr>
              <w:rFonts w:asciiTheme="minorHAnsi" w:eastAsiaTheme="minorEastAsia" w:hAnsiTheme="minorHAnsi"/>
              <w:kern w:val="2"/>
              <w:sz w:val="24"/>
              <w:szCs w:val="24"/>
              <w:lang w:eastAsia="cs-CZ"/>
              <w14:ligatures w14:val="standardContextual"/>
            </w:rPr>
          </w:pPr>
          <w:hyperlink w:anchor="_Toc215589307" w:history="1">
            <w:r w:rsidRPr="003851DE">
              <w:rPr>
                <w:rStyle w:val="Hypertextovodkaz"/>
              </w:rPr>
              <w:t>D.</w:t>
            </w:r>
            <w:r>
              <w:rPr>
                <w:rFonts w:asciiTheme="minorHAnsi" w:eastAsiaTheme="minorEastAsia" w:hAnsiTheme="minorHAnsi"/>
                <w:kern w:val="2"/>
                <w:sz w:val="24"/>
                <w:szCs w:val="24"/>
                <w:lang w:eastAsia="cs-CZ"/>
                <w14:ligatures w14:val="standardContextual"/>
              </w:rPr>
              <w:tab/>
            </w:r>
            <w:r w:rsidRPr="003851DE">
              <w:rPr>
                <w:rStyle w:val="Hypertextovodkaz"/>
              </w:rPr>
              <w:t>Výzkumné organizace a velké výzkumné infrastruktury</w:t>
            </w:r>
            <w:r>
              <w:rPr>
                <w:webHidden/>
              </w:rPr>
              <w:tab/>
            </w:r>
            <w:r>
              <w:rPr>
                <w:webHidden/>
              </w:rPr>
              <w:fldChar w:fldCharType="begin"/>
            </w:r>
            <w:r>
              <w:rPr>
                <w:webHidden/>
              </w:rPr>
              <w:instrText xml:space="preserve"> PAGEREF _Toc215589307 \h </w:instrText>
            </w:r>
            <w:r>
              <w:rPr>
                <w:webHidden/>
              </w:rPr>
            </w:r>
            <w:r>
              <w:rPr>
                <w:webHidden/>
              </w:rPr>
              <w:fldChar w:fldCharType="separate"/>
            </w:r>
            <w:r>
              <w:rPr>
                <w:webHidden/>
              </w:rPr>
              <w:t>41</w:t>
            </w:r>
            <w:r>
              <w:rPr>
                <w:webHidden/>
              </w:rPr>
              <w:fldChar w:fldCharType="end"/>
            </w:r>
          </w:hyperlink>
        </w:p>
        <w:p w14:paraId="53DE7E40" w14:textId="7D39E22F" w:rsidR="002A48ED" w:rsidRDefault="002A48ED">
          <w:pPr>
            <w:pStyle w:val="Obsah2"/>
            <w:rPr>
              <w:rFonts w:asciiTheme="minorHAnsi" w:hAnsiTheme="minorHAnsi"/>
              <w:noProof/>
              <w:kern w:val="2"/>
              <w:sz w:val="24"/>
              <w:szCs w:val="24"/>
              <w14:ligatures w14:val="standardContextual"/>
            </w:rPr>
          </w:pPr>
          <w:hyperlink w:anchor="_Toc215589308" w:history="1">
            <w:r w:rsidRPr="003851DE">
              <w:rPr>
                <w:rStyle w:val="Hypertextovodkaz"/>
                <w:rFonts w:eastAsia="Times New Roman"/>
                <w:noProof/>
              </w:rPr>
              <w:t>D.1</w:t>
            </w:r>
            <w:r>
              <w:rPr>
                <w:rFonts w:asciiTheme="minorHAnsi" w:hAnsiTheme="minorHAnsi"/>
                <w:noProof/>
                <w:kern w:val="2"/>
                <w:sz w:val="24"/>
                <w:szCs w:val="24"/>
                <w14:ligatures w14:val="standardContextual"/>
              </w:rPr>
              <w:tab/>
            </w:r>
            <w:r w:rsidRPr="003851DE">
              <w:rPr>
                <w:rStyle w:val="Hypertextovodkaz"/>
                <w:rFonts w:eastAsia="Times New Roman"/>
                <w:noProof/>
              </w:rPr>
              <w:t>Výzkumné organizace v ČR</w:t>
            </w:r>
            <w:r>
              <w:rPr>
                <w:noProof/>
                <w:webHidden/>
              </w:rPr>
              <w:tab/>
            </w:r>
            <w:r>
              <w:rPr>
                <w:noProof/>
                <w:webHidden/>
              </w:rPr>
              <w:fldChar w:fldCharType="begin"/>
            </w:r>
            <w:r>
              <w:rPr>
                <w:noProof/>
                <w:webHidden/>
              </w:rPr>
              <w:instrText xml:space="preserve"> PAGEREF _Toc215589308 \h </w:instrText>
            </w:r>
            <w:r>
              <w:rPr>
                <w:noProof/>
                <w:webHidden/>
              </w:rPr>
            </w:r>
            <w:r>
              <w:rPr>
                <w:noProof/>
                <w:webHidden/>
              </w:rPr>
              <w:fldChar w:fldCharType="separate"/>
            </w:r>
            <w:r>
              <w:rPr>
                <w:noProof/>
                <w:webHidden/>
              </w:rPr>
              <w:t>41</w:t>
            </w:r>
            <w:r>
              <w:rPr>
                <w:noProof/>
                <w:webHidden/>
              </w:rPr>
              <w:fldChar w:fldCharType="end"/>
            </w:r>
          </w:hyperlink>
        </w:p>
        <w:p w14:paraId="199E4FE5" w14:textId="14DE22AE" w:rsidR="002A48ED" w:rsidRDefault="002A48ED">
          <w:pPr>
            <w:pStyle w:val="Obsah2"/>
            <w:rPr>
              <w:rFonts w:asciiTheme="minorHAnsi" w:hAnsiTheme="minorHAnsi"/>
              <w:noProof/>
              <w:kern w:val="2"/>
              <w:sz w:val="24"/>
              <w:szCs w:val="24"/>
              <w14:ligatures w14:val="standardContextual"/>
            </w:rPr>
          </w:pPr>
          <w:hyperlink w:anchor="_Toc215589309" w:history="1">
            <w:r w:rsidRPr="003851DE">
              <w:rPr>
                <w:rStyle w:val="Hypertextovodkaz"/>
                <w:rFonts w:eastAsia="Times New Roman"/>
                <w:noProof/>
              </w:rPr>
              <w:t>D.2 Velké výzkumné infrastruktury</w:t>
            </w:r>
            <w:r>
              <w:rPr>
                <w:noProof/>
                <w:webHidden/>
              </w:rPr>
              <w:tab/>
            </w:r>
            <w:r>
              <w:rPr>
                <w:noProof/>
                <w:webHidden/>
              </w:rPr>
              <w:fldChar w:fldCharType="begin"/>
            </w:r>
            <w:r>
              <w:rPr>
                <w:noProof/>
                <w:webHidden/>
              </w:rPr>
              <w:instrText xml:space="preserve"> PAGEREF _Toc215589309 \h </w:instrText>
            </w:r>
            <w:r>
              <w:rPr>
                <w:noProof/>
                <w:webHidden/>
              </w:rPr>
            </w:r>
            <w:r>
              <w:rPr>
                <w:noProof/>
                <w:webHidden/>
              </w:rPr>
              <w:fldChar w:fldCharType="separate"/>
            </w:r>
            <w:r>
              <w:rPr>
                <w:noProof/>
                <w:webHidden/>
              </w:rPr>
              <w:t>45</w:t>
            </w:r>
            <w:r>
              <w:rPr>
                <w:noProof/>
                <w:webHidden/>
              </w:rPr>
              <w:fldChar w:fldCharType="end"/>
            </w:r>
          </w:hyperlink>
        </w:p>
        <w:p w14:paraId="696BB438" w14:textId="7CF245C4" w:rsidR="002A48ED" w:rsidRDefault="002A48ED">
          <w:pPr>
            <w:pStyle w:val="Obsah1"/>
            <w:rPr>
              <w:rFonts w:asciiTheme="minorHAnsi" w:eastAsiaTheme="minorEastAsia" w:hAnsiTheme="minorHAnsi"/>
              <w:kern w:val="2"/>
              <w:sz w:val="24"/>
              <w:szCs w:val="24"/>
              <w:lang w:eastAsia="cs-CZ"/>
              <w14:ligatures w14:val="standardContextual"/>
            </w:rPr>
          </w:pPr>
          <w:hyperlink w:anchor="_Toc215589310" w:history="1">
            <w:r w:rsidRPr="003851DE">
              <w:rPr>
                <w:rStyle w:val="Hypertextovodkaz"/>
              </w:rPr>
              <w:t>E.</w:t>
            </w:r>
            <w:r>
              <w:rPr>
                <w:rFonts w:asciiTheme="minorHAnsi" w:eastAsiaTheme="minorEastAsia" w:hAnsiTheme="minorHAnsi"/>
                <w:kern w:val="2"/>
                <w:sz w:val="24"/>
                <w:szCs w:val="24"/>
                <w:lang w:eastAsia="cs-CZ"/>
                <w14:ligatures w14:val="standardContextual"/>
              </w:rPr>
              <w:tab/>
            </w:r>
            <w:r w:rsidRPr="003851DE">
              <w:rPr>
                <w:rStyle w:val="Hypertextovodkaz"/>
              </w:rPr>
              <w:t>Výkonnost a efektivita VaVaI</w:t>
            </w:r>
            <w:r>
              <w:rPr>
                <w:webHidden/>
              </w:rPr>
              <w:tab/>
            </w:r>
            <w:r>
              <w:rPr>
                <w:webHidden/>
              </w:rPr>
              <w:fldChar w:fldCharType="begin"/>
            </w:r>
            <w:r>
              <w:rPr>
                <w:webHidden/>
              </w:rPr>
              <w:instrText xml:space="preserve"> PAGEREF _Toc215589310 \h </w:instrText>
            </w:r>
            <w:r>
              <w:rPr>
                <w:webHidden/>
              </w:rPr>
            </w:r>
            <w:r>
              <w:rPr>
                <w:webHidden/>
              </w:rPr>
              <w:fldChar w:fldCharType="separate"/>
            </w:r>
            <w:r>
              <w:rPr>
                <w:webHidden/>
              </w:rPr>
              <w:t>46</w:t>
            </w:r>
            <w:r>
              <w:rPr>
                <w:webHidden/>
              </w:rPr>
              <w:fldChar w:fldCharType="end"/>
            </w:r>
          </w:hyperlink>
        </w:p>
        <w:p w14:paraId="63EDB2BD" w14:textId="334E93C7" w:rsidR="002A48ED" w:rsidRDefault="002A48ED">
          <w:pPr>
            <w:pStyle w:val="Obsah2"/>
            <w:rPr>
              <w:rFonts w:asciiTheme="minorHAnsi" w:hAnsiTheme="minorHAnsi"/>
              <w:noProof/>
              <w:kern w:val="2"/>
              <w:sz w:val="24"/>
              <w:szCs w:val="24"/>
              <w14:ligatures w14:val="standardContextual"/>
            </w:rPr>
          </w:pPr>
          <w:hyperlink w:anchor="_Toc215589311" w:history="1">
            <w:r w:rsidRPr="003851DE">
              <w:rPr>
                <w:rStyle w:val="Hypertextovodkaz"/>
                <w:rFonts w:eastAsia="Times New Roman"/>
                <w:noProof/>
              </w:rPr>
              <w:t>E.1</w:t>
            </w:r>
            <w:r>
              <w:rPr>
                <w:rFonts w:asciiTheme="minorHAnsi" w:hAnsiTheme="minorHAnsi"/>
                <w:noProof/>
                <w:kern w:val="2"/>
                <w:sz w:val="24"/>
                <w:szCs w:val="24"/>
                <w14:ligatures w14:val="standardContextual"/>
              </w:rPr>
              <w:tab/>
            </w:r>
            <w:r w:rsidRPr="003851DE">
              <w:rPr>
                <w:rStyle w:val="Hypertextovodkaz"/>
                <w:rFonts w:eastAsia="Times New Roman"/>
                <w:noProof/>
              </w:rPr>
              <w:t>Výsledky VaV</w:t>
            </w:r>
            <w:r>
              <w:rPr>
                <w:noProof/>
                <w:webHidden/>
              </w:rPr>
              <w:tab/>
            </w:r>
            <w:r>
              <w:rPr>
                <w:noProof/>
                <w:webHidden/>
              </w:rPr>
              <w:fldChar w:fldCharType="begin"/>
            </w:r>
            <w:r>
              <w:rPr>
                <w:noProof/>
                <w:webHidden/>
              </w:rPr>
              <w:instrText xml:space="preserve"> PAGEREF _Toc215589311 \h </w:instrText>
            </w:r>
            <w:r>
              <w:rPr>
                <w:noProof/>
                <w:webHidden/>
              </w:rPr>
            </w:r>
            <w:r>
              <w:rPr>
                <w:noProof/>
                <w:webHidden/>
              </w:rPr>
              <w:fldChar w:fldCharType="separate"/>
            </w:r>
            <w:r>
              <w:rPr>
                <w:noProof/>
                <w:webHidden/>
              </w:rPr>
              <w:t>46</w:t>
            </w:r>
            <w:r>
              <w:rPr>
                <w:noProof/>
                <w:webHidden/>
              </w:rPr>
              <w:fldChar w:fldCharType="end"/>
            </w:r>
          </w:hyperlink>
        </w:p>
        <w:p w14:paraId="30EEFA2B" w14:textId="4489F119" w:rsidR="002A48ED" w:rsidRDefault="002A48ED">
          <w:pPr>
            <w:pStyle w:val="Obsah2"/>
            <w:rPr>
              <w:rFonts w:asciiTheme="minorHAnsi" w:hAnsiTheme="minorHAnsi"/>
              <w:noProof/>
              <w:kern w:val="2"/>
              <w:sz w:val="24"/>
              <w:szCs w:val="24"/>
              <w14:ligatures w14:val="standardContextual"/>
            </w:rPr>
          </w:pPr>
          <w:hyperlink w:anchor="_Toc215589312" w:history="1">
            <w:r w:rsidRPr="003851DE">
              <w:rPr>
                <w:rStyle w:val="Hypertextovodkaz"/>
                <w:rFonts w:eastAsia="Times New Roman"/>
                <w:noProof/>
              </w:rPr>
              <w:t>E.2</w:t>
            </w:r>
            <w:r>
              <w:rPr>
                <w:rFonts w:asciiTheme="minorHAnsi" w:hAnsiTheme="minorHAnsi"/>
                <w:noProof/>
                <w:kern w:val="2"/>
                <w:sz w:val="24"/>
                <w:szCs w:val="24"/>
                <w14:ligatures w14:val="standardContextual"/>
              </w:rPr>
              <w:tab/>
            </w:r>
            <w:r w:rsidRPr="003851DE">
              <w:rPr>
                <w:rStyle w:val="Hypertextovodkaz"/>
                <w:rFonts w:eastAsia="Times New Roman"/>
                <w:noProof/>
              </w:rPr>
              <w:t>Inovační výkonnost</w:t>
            </w:r>
            <w:r>
              <w:rPr>
                <w:noProof/>
                <w:webHidden/>
              </w:rPr>
              <w:tab/>
            </w:r>
            <w:r>
              <w:rPr>
                <w:noProof/>
                <w:webHidden/>
              </w:rPr>
              <w:fldChar w:fldCharType="begin"/>
            </w:r>
            <w:r>
              <w:rPr>
                <w:noProof/>
                <w:webHidden/>
              </w:rPr>
              <w:instrText xml:space="preserve"> PAGEREF _Toc215589312 \h </w:instrText>
            </w:r>
            <w:r>
              <w:rPr>
                <w:noProof/>
                <w:webHidden/>
              </w:rPr>
            </w:r>
            <w:r>
              <w:rPr>
                <w:noProof/>
                <w:webHidden/>
              </w:rPr>
              <w:fldChar w:fldCharType="separate"/>
            </w:r>
            <w:r>
              <w:rPr>
                <w:noProof/>
                <w:webHidden/>
              </w:rPr>
              <w:t>54</w:t>
            </w:r>
            <w:r>
              <w:rPr>
                <w:noProof/>
                <w:webHidden/>
              </w:rPr>
              <w:fldChar w:fldCharType="end"/>
            </w:r>
          </w:hyperlink>
        </w:p>
        <w:p w14:paraId="5B00009D" w14:textId="5AE078FA" w:rsidR="002A48ED" w:rsidRDefault="002A48ED">
          <w:pPr>
            <w:pStyle w:val="Obsah2"/>
            <w:rPr>
              <w:rFonts w:asciiTheme="minorHAnsi" w:hAnsiTheme="minorHAnsi"/>
              <w:noProof/>
              <w:kern w:val="2"/>
              <w:sz w:val="24"/>
              <w:szCs w:val="24"/>
              <w14:ligatures w14:val="standardContextual"/>
            </w:rPr>
          </w:pPr>
          <w:hyperlink w:anchor="_Toc215589313" w:history="1">
            <w:r w:rsidRPr="003851DE">
              <w:rPr>
                <w:rStyle w:val="Hypertextovodkaz"/>
                <w:rFonts w:eastAsia="Times New Roman"/>
                <w:noProof/>
              </w:rPr>
              <w:t>E.3</w:t>
            </w:r>
            <w:r>
              <w:rPr>
                <w:rFonts w:asciiTheme="minorHAnsi" w:hAnsiTheme="minorHAnsi"/>
                <w:noProof/>
                <w:kern w:val="2"/>
                <w:sz w:val="24"/>
                <w:szCs w:val="24"/>
                <w14:ligatures w14:val="standardContextual"/>
              </w:rPr>
              <w:tab/>
            </w:r>
            <w:r w:rsidRPr="003851DE">
              <w:rPr>
                <w:rStyle w:val="Hypertextovodkaz"/>
                <w:rFonts w:eastAsia="Times New Roman"/>
                <w:noProof/>
              </w:rPr>
              <w:t>Spolupráce: Kolaborativní a smluvní výzkum</w:t>
            </w:r>
            <w:r>
              <w:rPr>
                <w:noProof/>
                <w:webHidden/>
              </w:rPr>
              <w:tab/>
            </w:r>
            <w:r>
              <w:rPr>
                <w:noProof/>
                <w:webHidden/>
              </w:rPr>
              <w:fldChar w:fldCharType="begin"/>
            </w:r>
            <w:r>
              <w:rPr>
                <w:noProof/>
                <w:webHidden/>
              </w:rPr>
              <w:instrText xml:space="preserve"> PAGEREF _Toc215589313 \h </w:instrText>
            </w:r>
            <w:r>
              <w:rPr>
                <w:noProof/>
                <w:webHidden/>
              </w:rPr>
            </w:r>
            <w:r>
              <w:rPr>
                <w:noProof/>
                <w:webHidden/>
              </w:rPr>
              <w:fldChar w:fldCharType="separate"/>
            </w:r>
            <w:r>
              <w:rPr>
                <w:noProof/>
                <w:webHidden/>
              </w:rPr>
              <w:t>69</w:t>
            </w:r>
            <w:r>
              <w:rPr>
                <w:noProof/>
                <w:webHidden/>
              </w:rPr>
              <w:fldChar w:fldCharType="end"/>
            </w:r>
          </w:hyperlink>
        </w:p>
        <w:p w14:paraId="2A245B55" w14:textId="116DD2B0" w:rsidR="002A48ED" w:rsidRDefault="002A48ED">
          <w:pPr>
            <w:pStyle w:val="Obsah2"/>
            <w:rPr>
              <w:rFonts w:asciiTheme="minorHAnsi" w:hAnsiTheme="minorHAnsi"/>
              <w:noProof/>
              <w:kern w:val="2"/>
              <w:sz w:val="24"/>
              <w:szCs w:val="24"/>
              <w14:ligatures w14:val="standardContextual"/>
            </w:rPr>
          </w:pPr>
          <w:hyperlink w:anchor="_Toc215589314" w:history="1">
            <w:r w:rsidRPr="003851DE">
              <w:rPr>
                <w:rStyle w:val="Hypertextovodkaz"/>
                <w:rFonts w:eastAsia="Times New Roman"/>
                <w:noProof/>
              </w:rPr>
              <w:t>E.4</w:t>
            </w:r>
            <w:r>
              <w:rPr>
                <w:rFonts w:asciiTheme="minorHAnsi" w:hAnsiTheme="minorHAnsi"/>
                <w:noProof/>
                <w:kern w:val="2"/>
                <w:sz w:val="24"/>
                <w:szCs w:val="24"/>
                <w14:ligatures w14:val="standardContextual"/>
              </w:rPr>
              <w:tab/>
            </w:r>
            <w:r w:rsidRPr="003851DE">
              <w:rPr>
                <w:rStyle w:val="Hypertextovodkaz"/>
                <w:rFonts w:eastAsia="Times New Roman"/>
                <w:noProof/>
              </w:rPr>
              <w:t>Transfer technologií a znalostí</w:t>
            </w:r>
            <w:r>
              <w:rPr>
                <w:noProof/>
                <w:webHidden/>
              </w:rPr>
              <w:tab/>
            </w:r>
            <w:r>
              <w:rPr>
                <w:noProof/>
                <w:webHidden/>
              </w:rPr>
              <w:fldChar w:fldCharType="begin"/>
            </w:r>
            <w:r>
              <w:rPr>
                <w:noProof/>
                <w:webHidden/>
              </w:rPr>
              <w:instrText xml:space="preserve"> PAGEREF _Toc215589314 \h </w:instrText>
            </w:r>
            <w:r>
              <w:rPr>
                <w:noProof/>
                <w:webHidden/>
              </w:rPr>
            </w:r>
            <w:r>
              <w:rPr>
                <w:noProof/>
                <w:webHidden/>
              </w:rPr>
              <w:fldChar w:fldCharType="separate"/>
            </w:r>
            <w:r>
              <w:rPr>
                <w:noProof/>
                <w:webHidden/>
              </w:rPr>
              <w:t>70</w:t>
            </w:r>
            <w:r>
              <w:rPr>
                <w:noProof/>
                <w:webHidden/>
              </w:rPr>
              <w:fldChar w:fldCharType="end"/>
            </w:r>
          </w:hyperlink>
        </w:p>
        <w:p w14:paraId="4FD08C9E" w14:textId="36D77802" w:rsidR="002A48ED" w:rsidRDefault="002A48ED">
          <w:pPr>
            <w:pStyle w:val="Obsah1"/>
            <w:rPr>
              <w:rFonts w:asciiTheme="minorHAnsi" w:eastAsiaTheme="minorEastAsia" w:hAnsiTheme="minorHAnsi"/>
              <w:kern w:val="2"/>
              <w:sz w:val="24"/>
              <w:szCs w:val="24"/>
              <w:lang w:eastAsia="cs-CZ"/>
              <w14:ligatures w14:val="standardContextual"/>
            </w:rPr>
          </w:pPr>
          <w:hyperlink w:anchor="_Toc215589315" w:history="1">
            <w:r w:rsidRPr="003851DE">
              <w:rPr>
                <w:rStyle w:val="Hypertextovodkaz"/>
              </w:rPr>
              <w:t>F.</w:t>
            </w:r>
            <w:r>
              <w:rPr>
                <w:rFonts w:asciiTheme="minorHAnsi" w:eastAsiaTheme="minorEastAsia" w:hAnsiTheme="minorHAnsi"/>
                <w:kern w:val="2"/>
                <w:sz w:val="24"/>
                <w:szCs w:val="24"/>
                <w:lang w:eastAsia="cs-CZ"/>
                <w14:ligatures w14:val="standardContextual"/>
              </w:rPr>
              <w:tab/>
            </w:r>
            <w:r w:rsidRPr="003851DE">
              <w:rPr>
                <w:rStyle w:val="Hypertextovodkaz"/>
              </w:rPr>
              <w:t>Mezinárodní spolupráce</w:t>
            </w:r>
            <w:r>
              <w:rPr>
                <w:webHidden/>
              </w:rPr>
              <w:tab/>
            </w:r>
            <w:r>
              <w:rPr>
                <w:webHidden/>
              </w:rPr>
              <w:fldChar w:fldCharType="begin"/>
            </w:r>
            <w:r>
              <w:rPr>
                <w:webHidden/>
              </w:rPr>
              <w:instrText xml:space="preserve"> PAGEREF _Toc215589315 \h </w:instrText>
            </w:r>
            <w:r>
              <w:rPr>
                <w:webHidden/>
              </w:rPr>
            </w:r>
            <w:r>
              <w:rPr>
                <w:webHidden/>
              </w:rPr>
              <w:fldChar w:fldCharType="separate"/>
            </w:r>
            <w:r>
              <w:rPr>
                <w:webHidden/>
              </w:rPr>
              <w:t>71</w:t>
            </w:r>
            <w:r>
              <w:rPr>
                <w:webHidden/>
              </w:rPr>
              <w:fldChar w:fldCharType="end"/>
            </w:r>
          </w:hyperlink>
        </w:p>
        <w:p w14:paraId="0EAF60D8" w14:textId="0B8C66C9" w:rsidR="002A48ED" w:rsidRDefault="002A48ED">
          <w:pPr>
            <w:pStyle w:val="Obsah2"/>
            <w:rPr>
              <w:rFonts w:asciiTheme="minorHAnsi" w:hAnsiTheme="minorHAnsi"/>
              <w:noProof/>
              <w:kern w:val="2"/>
              <w:sz w:val="24"/>
              <w:szCs w:val="24"/>
              <w14:ligatures w14:val="standardContextual"/>
            </w:rPr>
          </w:pPr>
          <w:hyperlink w:anchor="_Toc215589316" w:history="1">
            <w:r w:rsidRPr="003851DE">
              <w:rPr>
                <w:rStyle w:val="Hypertextovodkaz"/>
                <w:rFonts w:eastAsia="Times New Roman"/>
                <w:noProof/>
              </w:rPr>
              <w:t>F.1</w:t>
            </w:r>
            <w:r>
              <w:rPr>
                <w:rFonts w:asciiTheme="minorHAnsi" w:hAnsiTheme="minorHAnsi"/>
                <w:noProof/>
                <w:kern w:val="2"/>
                <w:sz w:val="24"/>
                <w:szCs w:val="24"/>
                <w14:ligatures w14:val="standardContextual"/>
              </w:rPr>
              <w:tab/>
            </w:r>
            <w:r w:rsidRPr="003851DE">
              <w:rPr>
                <w:rStyle w:val="Hypertextovodkaz"/>
                <w:rFonts w:eastAsia="Times New Roman"/>
                <w:noProof/>
              </w:rPr>
              <w:t>Účast v rámcových programech</w:t>
            </w:r>
            <w:r>
              <w:rPr>
                <w:noProof/>
                <w:webHidden/>
              </w:rPr>
              <w:tab/>
            </w:r>
            <w:r>
              <w:rPr>
                <w:noProof/>
                <w:webHidden/>
              </w:rPr>
              <w:fldChar w:fldCharType="begin"/>
            </w:r>
            <w:r>
              <w:rPr>
                <w:noProof/>
                <w:webHidden/>
              </w:rPr>
              <w:instrText xml:space="preserve"> PAGEREF _Toc215589316 \h </w:instrText>
            </w:r>
            <w:r>
              <w:rPr>
                <w:noProof/>
                <w:webHidden/>
              </w:rPr>
            </w:r>
            <w:r>
              <w:rPr>
                <w:noProof/>
                <w:webHidden/>
              </w:rPr>
              <w:fldChar w:fldCharType="separate"/>
            </w:r>
            <w:r>
              <w:rPr>
                <w:noProof/>
                <w:webHidden/>
              </w:rPr>
              <w:t>72</w:t>
            </w:r>
            <w:r>
              <w:rPr>
                <w:noProof/>
                <w:webHidden/>
              </w:rPr>
              <w:fldChar w:fldCharType="end"/>
            </w:r>
          </w:hyperlink>
        </w:p>
        <w:p w14:paraId="7922F0F8" w14:textId="272AD364" w:rsidR="002A48ED" w:rsidRDefault="002A48ED">
          <w:pPr>
            <w:pStyle w:val="Obsah2"/>
            <w:rPr>
              <w:rFonts w:asciiTheme="minorHAnsi" w:hAnsiTheme="minorHAnsi"/>
              <w:noProof/>
              <w:kern w:val="2"/>
              <w:sz w:val="24"/>
              <w:szCs w:val="24"/>
              <w14:ligatures w14:val="standardContextual"/>
            </w:rPr>
          </w:pPr>
          <w:hyperlink w:anchor="_Toc215589317" w:history="1">
            <w:r w:rsidRPr="003851DE">
              <w:rPr>
                <w:rStyle w:val="Hypertextovodkaz"/>
                <w:rFonts w:eastAsia="Times New Roman"/>
                <w:noProof/>
              </w:rPr>
              <w:t>F.2</w:t>
            </w:r>
            <w:r>
              <w:rPr>
                <w:rFonts w:asciiTheme="minorHAnsi" w:hAnsiTheme="minorHAnsi"/>
                <w:noProof/>
                <w:kern w:val="2"/>
                <w:sz w:val="24"/>
                <w:szCs w:val="24"/>
                <w14:ligatures w14:val="standardContextual"/>
              </w:rPr>
              <w:tab/>
            </w:r>
            <w:r w:rsidRPr="003851DE">
              <w:rPr>
                <w:rStyle w:val="Hypertextovodkaz"/>
                <w:rFonts w:eastAsia="Times New Roman"/>
                <w:noProof/>
              </w:rPr>
              <w:t>Mezinárodní mobility</w:t>
            </w:r>
            <w:r>
              <w:rPr>
                <w:noProof/>
                <w:webHidden/>
              </w:rPr>
              <w:tab/>
            </w:r>
            <w:r>
              <w:rPr>
                <w:noProof/>
                <w:webHidden/>
              </w:rPr>
              <w:fldChar w:fldCharType="begin"/>
            </w:r>
            <w:r>
              <w:rPr>
                <w:noProof/>
                <w:webHidden/>
              </w:rPr>
              <w:instrText xml:space="preserve"> PAGEREF _Toc215589317 \h </w:instrText>
            </w:r>
            <w:r>
              <w:rPr>
                <w:noProof/>
                <w:webHidden/>
              </w:rPr>
            </w:r>
            <w:r>
              <w:rPr>
                <w:noProof/>
                <w:webHidden/>
              </w:rPr>
              <w:fldChar w:fldCharType="separate"/>
            </w:r>
            <w:r>
              <w:rPr>
                <w:noProof/>
                <w:webHidden/>
              </w:rPr>
              <w:t>73</w:t>
            </w:r>
            <w:r>
              <w:rPr>
                <w:noProof/>
                <w:webHidden/>
              </w:rPr>
              <w:fldChar w:fldCharType="end"/>
            </w:r>
          </w:hyperlink>
        </w:p>
        <w:p w14:paraId="4C834444" w14:textId="5E7F1D34" w:rsidR="002A48ED" w:rsidRDefault="002A48ED">
          <w:pPr>
            <w:pStyle w:val="Obsah2"/>
            <w:rPr>
              <w:rFonts w:asciiTheme="minorHAnsi" w:hAnsiTheme="minorHAnsi"/>
              <w:noProof/>
              <w:kern w:val="2"/>
              <w:sz w:val="24"/>
              <w:szCs w:val="24"/>
              <w14:ligatures w14:val="standardContextual"/>
            </w:rPr>
          </w:pPr>
          <w:hyperlink w:anchor="_Toc215589318" w:history="1">
            <w:r w:rsidRPr="003851DE">
              <w:rPr>
                <w:rStyle w:val="Hypertextovodkaz"/>
                <w:rFonts w:eastAsia="Times New Roman"/>
                <w:noProof/>
              </w:rPr>
              <w:t>F.3</w:t>
            </w:r>
            <w:r>
              <w:rPr>
                <w:rFonts w:asciiTheme="minorHAnsi" w:hAnsiTheme="minorHAnsi"/>
                <w:noProof/>
                <w:kern w:val="2"/>
                <w:sz w:val="24"/>
                <w:szCs w:val="24"/>
                <w14:ligatures w14:val="standardContextual"/>
              </w:rPr>
              <w:tab/>
            </w:r>
            <w:r w:rsidRPr="003851DE">
              <w:rPr>
                <w:rStyle w:val="Hypertextovodkaz"/>
                <w:rFonts w:eastAsia="Times New Roman"/>
                <w:noProof/>
              </w:rPr>
              <w:t>Účast v mezinárodních organizacích a konsorciích ERIC</w:t>
            </w:r>
            <w:r>
              <w:rPr>
                <w:noProof/>
                <w:webHidden/>
              </w:rPr>
              <w:tab/>
            </w:r>
            <w:r>
              <w:rPr>
                <w:noProof/>
                <w:webHidden/>
              </w:rPr>
              <w:fldChar w:fldCharType="begin"/>
            </w:r>
            <w:r>
              <w:rPr>
                <w:noProof/>
                <w:webHidden/>
              </w:rPr>
              <w:instrText xml:space="preserve"> PAGEREF _Toc215589318 \h </w:instrText>
            </w:r>
            <w:r>
              <w:rPr>
                <w:noProof/>
                <w:webHidden/>
              </w:rPr>
            </w:r>
            <w:r>
              <w:rPr>
                <w:noProof/>
                <w:webHidden/>
              </w:rPr>
              <w:fldChar w:fldCharType="separate"/>
            </w:r>
            <w:r>
              <w:rPr>
                <w:noProof/>
                <w:webHidden/>
              </w:rPr>
              <w:t>74</w:t>
            </w:r>
            <w:r>
              <w:rPr>
                <w:noProof/>
                <w:webHidden/>
              </w:rPr>
              <w:fldChar w:fldCharType="end"/>
            </w:r>
          </w:hyperlink>
        </w:p>
        <w:p w14:paraId="62DECD60" w14:textId="33F889E0" w:rsidR="002A48ED" w:rsidRDefault="002A48ED">
          <w:pPr>
            <w:pStyle w:val="Obsah2"/>
            <w:rPr>
              <w:rFonts w:asciiTheme="minorHAnsi" w:hAnsiTheme="minorHAnsi"/>
              <w:noProof/>
              <w:kern w:val="2"/>
              <w:sz w:val="24"/>
              <w:szCs w:val="24"/>
              <w14:ligatures w14:val="standardContextual"/>
            </w:rPr>
          </w:pPr>
          <w:hyperlink w:anchor="_Toc215589319" w:history="1">
            <w:r w:rsidRPr="003851DE">
              <w:rPr>
                <w:rStyle w:val="Hypertextovodkaz"/>
                <w:rFonts w:eastAsia="Times New Roman"/>
                <w:noProof/>
              </w:rPr>
              <w:t>F.4</w:t>
            </w:r>
            <w:r>
              <w:rPr>
                <w:rFonts w:asciiTheme="minorHAnsi" w:hAnsiTheme="minorHAnsi"/>
                <w:noProof/>
                <w:kern w:val="2"/>
                <w:sz w:val="24"/>
                <w:szCs w:val="24"/>
                <w14:ligatures w14:val="standardContextual"/>
              </w:rPr>
              <w:tab/>
            </w:r>
            <w:r w:rsidRPr="003851DE">
              <w:rPr>
                <w:rStyle w:val="Hypertextovodkaz"/>
                <w:rFonts w:eastAsia="Times New Roman"/>
                <w:noProof/>
              </w:rPr>
              <w:t>Vybrané programy pro rozvoj mezinárodní spolupráce</w:t>
            </w:r>
            <w:r>
              <w:rPr>
                <w:noProof/>
                <w:webHidden/>
              </w:rPr>
              <w:tab/>
            </w:r>
            <w:r>
              <w:rPr>
                <w:noProof/>
                <w:webHidden/>
              </w:rPr>
              <w:fldChar w:fldCharType="begin"/>
            </w:r>
            <w:r>
              <w:rPr>
                <w:noProof/>
                <w:webHidden/>
              </w:rPr>
              <w:instrText xml:space="preserve"> PAGEREF _Toc215589319 \h </w:instrText>
            </w:r>
            <w:r>
              <w:rPr>
                <w:noProof/>
                <w:webHidden/>
              </w:rPr>
            </w:r>
            <w:r>
              <w:rPr>
                <w:noProof/>
                <w:webHidden/>
              </w:rPr>
              <w:fldChar w:fldCharType="separate"/>
            </w:r>
            <w:r>
              <w:rPr>
                <w:noProof/>
                <w:webHidden/>
              </w:rPr>
              <w:t>75</w:t>
            </w:r>
            <w:r>
              <w:rPr>
                <w:noProof/>
                <w:webHidden/>
              </w:rPr>
              <w:fldChar w:fldCharType="end"/>
            </w:r>
          </w:hyperlink>
        </w:p>
        <w:p w14:paraId="1879D290" w14:textId="5EBB1B11" w:rsidR="002A48ED" w:rsidRDefault="002A48ED">
          <w:pPr>
            <w:pStyle w:val="Obsah1"/>
            <w:rPr>
              <w:rFonts w:asciiTheme="minorHAnsi" w:eastAsiaTheme="minorEastAsia" w:hAnsiTheme="minorHAnsi"/>
              <w:kern w:val="2"/>
              <w:sz w:val="24"/>
              <w:szCs w:val="24"/>
              <w:lang w:eastAsia="cs-CZ"/>
              <w14:ligatures w14:val="standardContextual"/>
            </w:rPr>
          </w:pPr>
          <w:hyperlink w:anchor="_Toc215589320" w:history="1">
            <w:r w:rsidRPr="003851DE">
              <w:rPr>
                <w:rStyle w:val="Hypertextovodkaz"/>
              </w:rPr>
              <w:t>Přílohová část</w:t>
            </w:r>
            <w:r>
              <w:rPr>
                <w:webHidden/>
              </w:rPr>
              <w:tab/>
            </w:r>
            <w:r>
              <w:rPr>
                <w:webHidden/>
              </w:rPr>
              <w:fldChar w:fldCharType="begin"/>
            </w:r>
            <w:r>
              <w:rPr>
                <w:webHidden/>
              </w:rPr>
              <w:instrText xml:space="preserve"> PAGEREF _Toc215589320 \h </w:instrText>
            </w:r>
            <w:r>
              <w:rPr>
                <w:webHidden/>
              </w:rPr>
            </w:r>
            <w:r>
              <w:rPr>
                <w:webHidden/>
              </w:rPr>
              <w:fldChar w:fldCharType="separate"/>
            </w:r>
            <w:r>
              <w:rPr>
                <w:webHidden/>
              </w:rPr>
              <w:t>82</w:t>
            </w:r>
            <w:r>
              <w:rPr>
                <w:webHidden/>
              </w:rPr>
              <w:fldChar w:fldCharType="end"/>
            </w:r>
          </w:hyperlink>
        </w:p>
        <w:p w14:paraId="148FAD5D" w14:textId="6601B9B0" w:rsidR="002A48ED" w:rsidRDefault="002A48ED">
          <w:pPr>
            <w:pStyle w:val="Obsah2"/>
            <w:rPr>
              <w:rFonts w:asciiTheme="minorHAnsi" w:hAnsiTheme="minorHAnsi"/>
              <w:noProof/>
              <w:kern w:val="2"/>
              <w:sz w:val="24"/>
              <w:szCs w:val="24"/>
              <w14:ligatures w14:val="standardContextual"/>
            </w:rPr>
          </w:pPr>
          <w:hyperlink w:anchor="_Toc215589321" w:history="1">
            <w:r w:rsidRPr="003851DE">
              <w:rPr>
                <w:rStyle w:val="Hypertextovodkaz"/>
                <w:noProof/>
              </w:rPr>
              <w:t>P. 1 Monitoring kvantitativních indikátorů plnění cílů Národní politiky výzkumu, vývoje a inovací ČR</w:t>
            </w:r>
            <w:r>
              <w:rPr>
                <w:noProof/>
                <w:webHidden/>
              </w:rPr>
              <w:tab/>
            </w:r>
            <w:r>
              <w:rPr>
                <w:noProof/>
                <w:webHidden/>
              </w:rPr>
              <w:fldChar w:fldCharType="begin"/>
            </w:r>
            <w:r>
              <w:rPr>
                <w:noProof/>
                <w:webHidden/>
              </w:rPr>
              <w:instrText xml:space="preserve"> PAGEREF _Toc215589321 \h </w:instrText>
            </w:r>
            <w:r>
              <w:rPr>
                <w:noProof/>
                <w:webHidden/>
              </w:rPr>
            </w:r>
            <w:r>
              <w:rPr>
                <w:noProof/>
                <w:webHidden/>
              </w:rPr>
              <w:fldChar w:fldCharType="separate"/>
            </w:r>
            <w:r>
              <w:rPr>
                <w:noProof/>
                <w:webHidden/>
              </w:rPr>
              <w:t>82</w:t>
            </w:r>
            <w:r>
              <w:rPr>
                <w:noProof/>
                <w:webHidden/>
              </w:rPr>
              <w:fldChar w:fldCharType="end"/>
            </w:r>
          </w:hyperlink>
        </w:p>
        <w:p w14:paraId="66FA9476" w14:textId="2F5993C2" w:rsidR="002A48ED" w:rsidRDefault="002A48ED">
          <w:pPr>
            <w:pStyle w:val="Obsah2"/>
            <w:rPr>
              <w:rFonts w:asciiTheme="minorHAnsi" w:hAnsiTheme="minorHAnsi"/>
              <w:noProof/>
              <w:kern w:val="2"/>
              <w:sz w:val="24"/>
              <w:szCs w:val="24"/>
              <w14:ligatures w14:val="standardContextual"/>
            </w:rPr>
          </w:pPr>
          <w:hyperlink w:anchor="_Toc215589322" w:history="1">
            <w:r w:rsidRPr="003851DE">
              <w:rPr>
                <w:rStyle w:val="Hypertextovodkaz"/>
                <w:noProof/>
              </w:rPr>
              <w:t>P. 2 Vybrané datové zdroje ve VaVaI</w:t>
            </w:r>
            <w:r>
              <w:rPr>
                <w:noProof/>
                <w:webHidden/>
              </w:rPr>
              <w:tab/>
            </w:r>
            <w:r>
              <w:rPr>
                <w:noProof/>
                <w:webHidden/>
              </w:rPr>
              <w:fldChar w:fldCharType="begin"/>
            </w:r>
            <w:r>
              <w:rPr>
                <w:noProof/>
                <w:webHidden/>
              </w:rPr>
              <w:instrText xml:space="preserve"> PAGEREF _Toc215589322 \h </w:instrText>
            </w:r>
            <w:r>
              <w:rPr>
                <w:noProof/>
                <w:webHidden/>
              </w:rPr>
            </w:r>
            <w:r>
              <w:rPr>
                <w:noProof/>
                <w:webHidden/>
              </w:rPr>
              <w:fldChar w:fldCharType="separate"/>
            </w:r>
            <w:r>
              <w:rPr>
                <w:noProof/>
                <w:webHidden/>
              </w:rPr>
              <w:t>85</w:t>
            </w:r>
            <w:r>
              <w:rPr>
                <w:noProof/>
                <w:webHidden/>
              </w:rPr>
              <w:fldChar w:fldCharType="end"/>
            </w:r>
          </w:hyperlink>
        </w:p>
        <w:p w14:paraId="361E5E3E" w14:textId="2D45A6F6" w:rsidR="002A48ED" w:rsidRDefault="002A48ED">
          <w:pPr>
            <w:pStyle w:val="Obsah2"/>
            <w:rPr>
              <w:rFonts w:asciiTheme="minorHAnsi" w:hAnsiTheme="minorHAnsi"/>
              <w:noProof/>
              <w:kern w:val="2"/>
              <w:sz w:val="24"/>
              <w:szCs w:val="24"/>
              <w14:ligatures w14:val="standardContextual"/>
            </w:rPr>
          </w:pPr>
          <w:hyperlink w:anchor="_Toc215589323" w:history="1">
            <w:r w:rsidRPr="003851DE">
              <w:rPr>
                <w:rStyle w:val="Hypertextovodkaz"/>
                <w:noProof/>
              </w:rPr>
              <w:t>P. 3 Přehled programů a jejich cílů realizovaných v roce 2024</w:t>
            </w:r>
            <w:r>
              <w:rPr>
                <w:noProof/>
                <w:webHidden/>
              </w:rPr>
              <w:tab/>
            </w:r>
            <w:r>
              <w:rPr>
                <w:noProof/>
                <w:webHidden/>
              </w:rPr>
              <w:fldChar w:fldCharType="begin"/>
            </w:r>
            <w:r>
              <w:rPr>
                <w:noProof/>
                <w:webHidden/>
              </w:rPr>
              <w:instrText xml:space="preserve"> PAGEREF _Toc215589323 \h </w:instrText>
            </w:r>
            <w:r>
              <w:rPr>
                <w:noProof/>
                <w:webHidden/>
              </w:rPr>
            </w:r>
            <w:r>
              <w:rPr>
                <w:noProof/>
                <w:webHidden/>
              </w:rPr>
              <w:fldChar w:fldCharType="separate"/>
            </w:r>
            <w:r>
              <w:rPr>
                <w:noProof/>
                <w:webHidden/>
              </w:rPr>
              <w:t>87</w:t>
            </w:r>
            <w:r>
              <w:rPr>
                <w:noProof/>
                <w:webHidden/>
              </w:rPr>
              <w:fldChar w:fldCharType="end"/>
            </w:r>
          </w:hyperlink>
        </w:p>
        <w:p w14:paraId="46122F2A" w14:textId="2E9CD327" w:rsidR="002A48ED" w:rsidRDefault="002A48ED">
          <w:pPr>
            <w:pStyle w:val="Obsah2"/>
            <w:rPr>
              <w:rFonts w:asciiTheme="minorHAnsi" w:hAnsiTheme="minorHAnsi"/>
              <w:noProof/>
              <w:kern w:val="2"/>
              <w:sz w:val="24"/>
              <w:szCs w:val="24"/>
              <w14:ligatures w14:val="standardContextual"/>
            </w:rPr>
          </w:pPr>
          <w:hyperlink w:anchor="_Toc215589324" w:history="1">
            <w:r w:rsidRPr="003851DE">
              <w:rPr>
                <w:rStyle w:val="Hypertextovodkaz"/>
                <w:noProof/>
              </w:rPr>
              <w:t>P. 4 Přehled resortních koncepcí VaVaI</w:t>
            </w:r>
            <w:r>
              <w:rPr>
                <w:noProof/>
                <w:webHidden/>
              </w:rPr>
              <w:tab/>
            </w:r>
            <w:r>
              <w:rPr>
                <w:noProof/>
                <w:webHidden/>
              </w:rPr>
              <w:fldChar w:fldCharType="begin"/>
            </w:r>
            <w:r>
              <w:rPr>
                <w:noProof/>
                <w:webHidden/>
              </w:rPr>
              <w:instrText xml:space="preserve"> PAGEREF _Toc215589324 \h </w:instrText>
            </w:r>
            <w:r>
              <w:rPr>
                <w:noProof/>
                <w:webHidden/>
              </w:rPr>
            </w:r>
            <w:r>
              <w:rPr>
                <w:noProof/>
                <w:webHidden/>
              </w:rPr>
              <w:fldChar w:fldCharType="separate"/>
            </w:r>
            <w:r>
              <w:rPr>
                <w:noProof/>
                <w:webHidden/>
              </w:rPr>
              <w:t>94</w:t>
            </w:r>
            <w:r>
              <w:rPr>
                <w:noProof/>
                <w:webHidden/>
              </w:rPr>
              <w:fldChar w:fldCharType="end"/>
            </w:r>
          </w:hyperlink>
        </w:p>
        <w:p w14:paraId="42A83267" w14:textId="01669EDB" w:rsidR="002A48ED" w:rsidRDefault="002A48ED">
          <w:pPr>
            <w:pStyle w:val="Obsah2"/>
            <w:rPr>
              <w:rFonts w:asciiTheme="minorHAnsi" w:hAnsiTheme="minorHAnsi"/>
              <w:noProof/>
              <w:kern w:val="2"/>
              <w:sz w:val="24"/>
              <w:szCs w:val="24"/>
              <w14:ligatures w14:val="standardContextual"/>
            </w:rPr>
          </w:pPr>
          <w:hyperlink w:anchor="_Toc215589325" w:history="1">
            <w:r w:rsidRPr="003851DE">
              <w:rPr>
                <w:rStyle w:val="Hypertextovodkaz"/>
                <w:noProof/>
              </w:rPr>
              <w:t>P. B.3 Přímá veřejná podpora</w:t>
            </w:r>
            <w:r>
              <w:rPr>
                <w:noProof/>
                <w:webHidden/>
              </w:rPr>
              <w:tab/>
            </w:r>
            <w:r>
              <w:rPr>
                <w:noProof/>
                <w:webHidden/>
              </w:rPr>
              <w:fldChar w:fldCharType="begin"/>
            </w:r>
            <w:r>
              <w:rPr>
                <w:noProof/>
                <w:webHidden/>
              </w:rPr>
              <w:instrText xml:space="preserve"> PAGEREF _Toc215589325 \h </w:instrText>
            </w:r>
            <w:r>
              <w:rPr>
                <w:noProof/>
                <w:webHidden/>
              </w:rPr>
            </w:r>
            <w:r>
              <w:rPr>
                <w:noProof/>
                <w:webHidden/>
              </w:rPr>
              <w:fldChar w:fldCharType="separate"/>
            </w:r>
            <w:r>
              <w:rPr>
                <w:noProof/>
                <w:webHidden/>
              </w:rPr>
              <w:t>97</w:t>
            </w:r>
            <w:r>
              <w:rPr>
                <w:noProof/>
                <w:webHidden/>
              </w:rPr>
              <w:fldChar w:fldCharType="end"/>
            </w:r>
          </w:hyperlink>
        </w:p>
        <w:p w14:paraId="49A27295" w14:textId="7B064482" w:rsidR="002A48ED" w:rsidRDefault="002A48ED">
          <w:pPr>
            <w:pStyle w:val="Obsah2"/>
            <w:rPr>
              <w:rFonts w:asciiTheme="minorHAnsi" w:hAnsiTheme="minorHAnsi"/>
              <w:noProof/>
              <w:kern w:val="2"/>
              <w:sz w:val="24"/>
              <w:szCs w:val="24"/>
              <w14:ligatures w14:val="standardContextual"/>
            </w:rPr>
          </w:pPr>
          <w:hyperlink w:anchor="_Toc215589326" w:history="1">
            <w:r w:rsidRPr="003851DE">
              <w:rPr>
                <w:rStyle w:val="Hypertextovodkaz"/>
                <w:noProof/>
              </w:rPr>
              <w:t>P. B.4 Nepřímá veřejná podpora</w:t>
            </w:r>
            <w:r>
              <w:rPr>
                <w:noProof/>
                <w:webHidden/>
              </w:rPr>
              <w:tab/>
            </w:r>
            <w:r>
              <w:rPr>
                <w:noProof/>
                <w:webHidden/>
              </w:rPr>
              <w:fldChar w:fldCharType="begin"/>
            </w:r>
            <w:r>
              <w:rPr>
                <w:noProof/>
                <w:webHidden/>
              </w:rPr>
              <w:instrText xml:space="preserve"> PAGEREF _Toc215589326 \h </w:instrText>
            </w:r>
            <w:r>
              <w:rPr>
                <w:noProof/>
                <w:webHidden/>
              </w:rPr>
            </w:r>
            <w:r>
              <w:rPr>
                <w:noProof/>
                <w:webHidden/>
              </w:rPr>
              <w:fldChar w:fldCharType="separate"/>
            </w:r>
            <w:r>
              <w:rPr>
                <w:noProof/>
                <w:webHidden/>
              </w:rPr>
              <w:t>99</w:t>
            </w:r>
            <w:r>
              <w:rPr>
                <w:noProof/>
                <w:webHidden/>
              </w:rPr>
              <w:fldChar w:fldCharType="end"/>
            </w:r>
          </w:hyperlink>
        </w:p>
        <w:p w14:paraId="78129DCF" w14:textId="3B00CF82" w:rsidR="002A48ED" w:rsidRDefault="002A48ED">
          <w:pPr>
            <w:pStyle w:val="Obsah2"/>
            <w:rPr>
              <w:rFonts w:asciiTheme="minorHAnsi" w:hAnsiTheme="minorHAnsi"/>
              <w:noProof/>
              <w:kern w:val="2"/>
              <w:sz w:val="24"/>
              <w:szCs w:val="24"/>
              <w14:ligatures w14:val="standardContextual"/>
            </w:rPr>
          </w:pPr>
          <w:hyperlink w:anchor="_Toc215589327" w:history="1">
            <w:r w:rsidRPr="003851DE">
              <w:rPr>
                <w:rStyle w:val="Hypertextovodkaz"/>
                <w:noProof/>
              </w:rPr>
              <w:t>P. D.2 Výzkumné infrastruktury</w:t>
            </w:r>
            <w:r>
              <w:rPr>
                <w:noProof/>
                <w:webHidden/>
              </w:rPr>
              <w:tab/>
            </w:r>
            <w:r>
              <w:rPr>
                <w:noProof/>
                <w:webHidden/>
              </w:rPr>
              <w:fldChar w:fldCharType="begin"/>
            </w:r>
            <w:r>
              <w:rPr>
                <w:noProof/>
                <w:webHidden/>
              </w:rPr>
              <w:instrText xml:space="preserve"> PAGEREF _Toc215589327 \h </w:instrText>
            </w:r>
            <w:r>
              <w:rPr>
                <w:noProof/>
                <w:webHidden/>
              </w:rPr>
            </w:r>
            <w:r>
              <w:rPr>
                <w:noProof/>
                <w:webHidden/>
              </w:rPr>
              <w:fldChar w:fldCharType="separate"/>
            </w:r>
            <w:r>
              <w:rPr>
                <w:noProof/>
                <w:webHidden/>
              </w:rPr>
              <w:t>100</w:t>
            </w:r>
            <w:r>
              <w:rPr>
                <w:noProof/>
                <w:webHidden/>
              </w:rPr>
              <w:fldChar w:fldCharType="end"/>
            </w:r>
          </w:hyperlink>
        </w:p>
        <w:p w14:paraId="7D3D0CAD" w14:textId="1C19116F" w:rsidR="002A48ED" w:rsidRDefault="002A48ED">
          <w:pPr>
            <w:pStyle w:val="Obsah2"/>
            <w:rPr>
              <w:rFonts w:asciiTheme="minorHAnsi" w:hAnsiTheme="minorHAnsi"/>
              <w:noProof/>
              <w:kern w:val="2"/>
              <w:sz w:val="24"/>
              <w:szCs w:val="24"/>
              <w14:ligatures w14:val="standardContextual"/>
            </w:rPr>
          </w:pPr>
          <w:hyperlink w:anchor="_Toc215589328" w:history="1">
            <w:r w:rsidRPr="003851DE">
              <w:rPr>
                <w:rStyle w:val="Hypertextovodkaz"/>
                <w:noProof/>
              </w:rPr>
              <w:t>P. E.1 Výsledky výzkumu a vývoje</w:t>
            </w:r>
            <w:r>
              <w:rPr>
                <w:noProof/>
                <w:webHidden/>
              </w:rPr>
              <w:tab/>
            </w:r>
            <w:r>
              <w:rPr>
                <w:noProof/>
                <w:webHidden/>
              </w:rPr>
              <w:fldChar w:fldCharType="begin"/>
            </w:r>
            <w:r>
              <w:rPr>
                <w:noProof/>
                <w:webHidden/>
              </w:rPr>
              <w:instrText xml:space="preserve"> PAGEREF _Toc215589328 \h </w:instrText>
            </w:r>
            <w:r>
              <w:rPr>
                <w:noProof/>
                <w:webHidden/>
              </w:rPr>
            </w:r>
            <w:r>
              <w:rPr>
                <w:noProof/>
                <w:webHidden/>
              </w:rPr>
              <w:fldChar w:fldCharType="separate"/>
            </w:r>
            <w:r>
              <w:rPr>
                <w:noProof/>
                <w:webHidden/>
              </w:rPr>
              <w:t>102</w:t>
            </w:r>
            <w:r>
              <w:rPr>
                <w:noProof/>
                <w:webHidden/>
              </w:rPr>
              <w:fldChar w:fldCharType="end"/>
            </w:r>
          </w:hyperlink>
        </w:p>
        <w:p w14:paraId="2A1C3A11" w14:textId="10C3979A" w:rsidR="002A48ED" w:rsidRDefault="002A48ED">
          <w:pPr>
            <w:pStyle w:val="Obsah2"/>
            <w:rPr>
              <w:rFonts w:asciiTheme="minorHAnsi" w:hAnsiTheme="minorHAnsi"/>
              <w:noProof/>
              <w:kern w:val="2"/>
              <w:sz w:val="24"/>
              <w:szCs w:val="24"/>
              <w14:ligatures w14:val="standardContextual"/>
            </w:rPr>
          </w:pPr>
          <w:hyperlink w:anchor="_Toc215589329" w:history="1">
            <w:r w:rsidRPr="003851DE">
              <w:rPr>
                <w:rStyle w:val="Hypertextovodkaz"/>
                <w:noProof/>
              </w:rPr>
              <w:t>P. E.4 Transfer technologií a znalostí</w:t>
            </w:r>
            <w:r>
              <w:rPr>
                <w:noProof/>
                <w:webHidden/>
              </w:rPr>
              <w:tab/>
            </w:r>
            <w:r>
              <w:rPr>
                <w:noProof/>
                <w:webHidden/>
              </w:rPr>
              <w:fldChar w:fldCharType="begin"/>
            </w:r>
            <w:r>
              <w:rPr>
                <w:noProof/>
                <w:webHidden/>
              </w:rPr>
              <w:instrText xml:space="preserve"> PAGEREF _Toc215589329 \h </w:instrText>
            </w:r>
            <w:r>
              <w:rPr>
                <w:noProof/>
                <w:webHidden/>
              </w:rPr>
            </w:r>
            <w:r>
              <w:rPr>
                <w:noProof/>
                <w:webHidden/>
              </w:rPr>
              <w:fldChar w:fldCharType="separate"/>
            </w:r>
            <w:r>
              <w:rPr>
                <w:noProof/>
                <w:webHidden/>
              </w:rPr>
              <w:t>111</w:t>
            </w:r>
            <w:r>
              <w:rPr>
                <w:noProof/>
                <w:webHidden/>
              </w:rPr>
              <w:fldChar w:fldCharType="end"/>
            </w:r>
          </w:hyperlink>
        </w:p>
        <w:p w14:paraId="2435A6A9" w14:textId="17EC6356" w:rsidR="000F586A" w:rsidRDefault="000F586A">
          <w:r>
            <w:rPr>
              <w:b/>
              <w:bCs/>
            </w:rPr>
            <w:fldChar w:fldCharType="end"/>
          </w:r>
        </w:p>
      </w:sdtContent>
    </w:sdt>
    <w:p w14:paraId="2F004AF9" w14:textId="2C23859F" w:rsidR="00937521" w:rsidRPr="009E59BB" w:rsidRDefault="00937521">
      <w:pPr>
        <w:rPr>
          <w:highlight w:val="yellow"/>
        </w:rPr>
      </w:pPr>
    </w:p>
    <w:p w14:paraId="30256BA9" w14:textId="178EDC49" w:rsidR="00BF13E7" w:rsidRPr="009E59BB" w:rsidRDefault="00BF13E7" w:rsidP="00873F8F">
      <w:pPr>
        <w:spacing w:after="0" w:line="360" w:lineRule="auto"/>
        <w:ind w:right="-2"/>
        <w:jc w:val="both"/>
        <w:rPr>
          <w:rFonts w:asciiTheme="majorHAnsi" w:hAnsiTheme="majorHAnsi"/>
          <w:color w:val="365F91" w:themeColor="accent1" w:themeShade="BF"/>
          <w:sz w:val="36"/>
          <w:szCs w:val="36"/>
          <w:highlight w:val="yellow"/>
        </w:rPr>
        <w:sectPr w:rsidR="00BF13E7" w:rsidRPr="009E59BB" w:rsidSect="00B659E0">
          <w:headerReference w:type="even" r:id="rId15"/>
          <w:headerReference w:type="default" r:id="rId16"/>
          <w:footerReference w:type="default" r:id="rId17"/>
          <w:headerReference w:type="first" r:id="rId18"/>
          <w:pgSz w:w="11906" w:h="16838"/>
          <w:pgMar w:top="1134" w:right="1418" w:bottom="1134" w:left="1134" w:header="709" w:footer="709" w:gutter="0"/>
          <w:cols w:space="708"/>
          <w:docGrid w:linePitch="299"/>
        </w:sectPr>
      </w:pPr>
    </w:p>
    <w:p w14:paraId="0065EFF2" w14:textId="4657A5D4" w:rsidR="0021475A" w:rsidRPr="006E7A0F" w:rsidRDefault="00FE062B" w:rsidP="006E7A0F">
      <w:pPr>
        <w:pStyle w:val="Souhrn"/>
        <w:spacing w:line="360" w:lineRule="auto"/>
      </w:pPr>
      <w:bookmarkStart w:id="2" w:name="_Toc427676893"/>
      <w:bookmarkStart w:id="3" w:name="_Toc215589291"/>
      <w:r>
        <w:lastRenderedPageBreak/>
        <w:t xml:space="preserve">Úvodní slovo </w:t>
      </w:r>
      <w:r w:rsidR="009D3F2C">
        <w:t xml:space="preserve">předsedy </w:t>
      </w:r>
      <w:r w:rsidR="0028130F">
        <w:t>R</w:t>
      </w:r>
      <w:r w:rsidR="009D3F2C">
        <w:t>ady</w:t>
      </w:r>
      <w:r w:rsidR="00D85738">
        <w:t xml:space="preserve"> </w:t>
      </w:r>
      <w:r w:rsidRPr="00FE062B">
        <w:t>pro</w:t>
      </w:r>
      <w:r w:rsidR="009D3F2C">
        <w:t xml:space="preserve"> </w:t>
      </w:r>
      <w:r w:rsidRPr="00FE062B">
        <w:t>výzkum</w:t>
      </w:r>
      <w:r w:rsidR="009D3F2C">
        <w:t>, vývoj</w:t>
      </w:r>
      <w:r w:rsidRPr="00FE062B">
        <w:t xml:space="preserve"> a inovace</w:t>
      </w:r>
      <w:bookmarkEnd w:id="3"/>
    </w:p>
    <w:p w14:paraId="5C297D41" w14:textId="4CE0C209" w:rsidR="00847ACE" w:rsidRPr="00A364A4" w:rsidRDefault="00A364A4" w:rsidP="00A364A4">
      <w:pPr>
        <w:spacing w:after="0" w:line="360" w:lineRule="auto"/>
        <w:contextualSpacing/>
        <w:rPr>
          <w:rFonts w:eastAsia="Times New Roman" w:cs="Arial"/>
          <w:highlight w:val="yellow"/>
          <w:lang w:eastAsia="cs-CZ"/>
        </w:rPr>
        <w:sectPr w:rsidR="00847ACE" w:rsidRPr="00A364A4" w:rsidSect="00B659E0">
          <w:headerReference w:type="even" r:id="rId19"/>
          <w:headerReference w:type="default" r:id="rId20"/>
          <w:footerReference w:type="default" r:id="rId21"/>
          <w:headerReference w:type="first" r:id="rId22"/>
          <w:pgSz w:w="11906" w:h="16838"/>
          <w:pgMar w:top="1134" w:right="1418" w:bottom="1134" w:left="1134" w:header="709" w:footer="709" w:gutter="0"/>
          <w:cols w:space="708"/>
        </w:sectPr>
      </w:pPr>
      <w:r w:rsidRPr="00A364A4">
        <w:rPr>
          <w:rFonts w:cs="Arial"/>
          <w:sz w:val="21"/>
          <w:szCs w:val="21"/>
          <w:highlight w:val="yellow"/>
        </w:rPr>
        <w:t>Bude dop</w:t>
      </w:r>
      <w:r w:rsidR="00940C78">
        <w:rPr>
          <w:rFonts w:cs="Arial"/>
          <w:sz w:val="21"/>
          <w:szCs w:val="21"/>
          <w:highlight w:val="yellow"/>
        </w:rPr>
        <w:t>racováno</w:t>
      </w:r>
      <w:r w:rsidRPr="00A364A4">
        <w:rPr>
          <w:rFonts w:cs="Arial"/>
          <w:sz w:val="21"/>
          <w:szCs w:val="21"/>
          <w:highlight w:val="yellow"/>
        </w:rPr>
        <w:t>.</w:t>
      </w:r>
    </w:p>
    <w:p w14:paraId="479E230C" w14:textId="1ABCEAA4" w:rsidR="00CF30FB" w:rsidRPr="00F23A06" w:rsidRDefault="005D07A4" w:rsidP="00F23A06">
      <w:pPr>
        <w:rPr>
          <w:rFonts w:asciiTheme="majorHAnsi" w:eastAsia="Times New Roman" w:hAnsiTheme="majorHAnsi" w:cs="Arial"/>
          <w:b/>
          <w:bCs/>
          <w:smallCaps/>
          <w:color w:val="365F91"/>
          <w:sz w:val="30"/>
          <w:lang w:eastAsia="cs-CZ"/>
        </w:rPr>
      </w:pPr>
      <w:bookmarkStart w:id="4" w:name="_Toc163205824"/>
      <w:r w:rsidRPr="00F23A06">
        <w:rPr>
          <w:rFonts w:asciiTheme="majorHAnsi" w:eastAsia="Times New Roman" w:hAnsiTheme="majorHAnsi" w:cs="Arial"/>
          <w:b/>
          <w:bCs/>
          <w:smallCaps/>
          <w:color w:val="365F91"/>
          <w:sz w:val="30"/>
          <w:lang w:eastAsia="cs-CZ"/>
        </w:rPr>
        <w:lastRenderedPageBreak/>
        <w:t>Základní struktura dokumentu</w:t>
      </w:r>
      <w:r w:rsidR="00CF30FB" w:rsidRPr="00F23A06">
        <w:rPr>
          <w:rFonts w:asciiTheme="majorHAnsi" w:eastAsia="Times New Roman" w:hAnsiTheme="majorHAnsi" w:cs="Arial"/>
          <w:b/>
          <w:bCs/>
          <w:smallCaps/>
          <w:color w:val="365F91"/>
          <w:sz w:val="30"/>
          <w:lang w:eastAsia="cs-CZ"/>
        </w:rPr>
        <w:t>:</w:t>
      </w:r>
      <w:bookmarkEnd w:id="4"/>
    </w:p>
    <w:p w14:paraId="18B37135" w14:textId="56AA5D2F" w:rsidR="00CF30FB" w:rsidRPr="009D2E74" w:rsidRDefault="00CF30FB" w:rsidP="00A050D4">
      <w:pPr>
        <w:pStyle w:val="Odstavecseseznamem"/>
        <w:numPr>
          <w:ilvl w:val="0"/>
          <w:numId w:val="20"/>
        </w:numPr>
        <w:spacing w:after="0"/>
        <w:ind w:hanging="357"/>
        <w:jc w:val="both"/>
        <w:rPr>
          <w:rFonts w:eastAsia="Times New Roman" w:cs="Arial"/>
          <w:lang w:eastAsia="cs-CZ"/>
        </w:rPr>
      </w:pPr>
      <w:r w:rsidRPr="009D2E74">
        <w:rPr>
          <w:rFonts w:eastAsia="Times New Roman" w:cs="Arial"/>
          <w:lang w:eastAsia="cs-CZ"/>
        </w:rPr>
        <w:t xml:space="preserve">indikátory vypovídající o stavu </w:t>
      </w:r>
      <w:r w:rsidR="00C05763">
        <w:rPr>
          <w:rFonts w:eastAsia="Times New Roman" w:cs="Arial"/>
          <w:lang w:eastAsia="cs-CZ"/>
        </w:rPr>
        <w:t>výzkumu, vývoje a inovací (</w:t>
      </w:r>
      <w:proofErr w:type="spellStart"/>
      <w:r w:rsidR="0018277D">
        <w:rPr>
          <w:rFonts w:eastAsia="Times New Roman" w:cs="Arial"/>
          <w:lang w:eastAsia="cs-CZ"/>
        </w:rPr>
        <w:t>VaVaI</w:t>
      </w:r>
      <w:proofErr w:type="spellEnd"/>
      <w:r w:rsidR="00C05763">
        <w:rPr>
          <w:rFonts w:eastAsia="Times New Roman" w:cs="Arial"/>
          <w:lang w:eastAsia="cs-CZ"/>
        </w:rPr>
        <w:t>)</w:t>
      </w:r>
      <w:r w:rsidR="0018277D">
        <w:rPr>
          <w:rFonts w:eastAsia="Times New Roman" w:cs="Arial"/>
          <w:lang w:eastAsia="cs-CZ"/>
        </w:rPr>
        <w:t xml:space="preserve"> </w:t>
      </w:r>
      <w:r w:rsidRPr="009D2E74">
        <w:rPr>
          <w:rFonts w:eastAsia="Times New Roman" w:cs="Arial"/>
          <w:lang w:eastAsia="cs-CZ"/>
        </w:rPr>
        <w:t>v</w:t>
      </w:r>
      <w:r w:rsidR="00FE0DFE">
        <w:rPr>
          <w:rFonts w:eastAsia="Times New Roman" w:cs="Arial"/>
          <w:lang w:eastAsia="cs-CZ"/>
        </w:rPr>
        <w:t> </w:t>
      </w:r>
      <w:r w:rsidR="007A59AE" w:rsidRPr="009D2E74">
        <w:rPr>
          <w:rFonts w:eastAsia="Times New Roman" w:cs="Arial"/>
          <w:lang w:eastAsia="cs-CZ"/>
        </w:rPr>
        <w:t>Č</w:t>
      </w:r>
      <w:r w:rsidR="00FE0DFE">
        <w:rPr>
          <w:rFonts w:eastAsia="Times New Roman" w:cs="Arial"/>
          <w:lang w:eastAsia="cs-CZ"/>
        </w:rPr>
        <w:t>eské republice (Č</w:t>
      </w:r>
      <w:r w:rsidR="006E2F79">
        <w:rPr>
          <w:rFonts w:eastAsia="Times New Roman" w:cs="Arial"/>
          <w:lang w:eastAsia="cs-CZ"/>
        </w:rPr>
        <w:t>R</w:t>
      </w:r>
      <w:r w:rsidR="00FE0DFE">
        <w:rPr>
          <w:rFonts w:eastAsia="Times New Roman" w:cs="Arial"/>
          <w:lang w:eastAsia="cs-CZ"/>
        </w:rPr>
        <w:t xml:space="preserve">) </w:t>
      </w:r>
      <w:r w:rsidRPr="009D2E74">
        <w:rPr>
          <w:rFonts w:eastAsia="Times New Roman" w:cs="Arial"/>
          <w:lang w:eastAsia="cs-CZ"/>
        </w:rPr>
        <w:t>a jejich mezinárodní srovnání,</w:t>
      </w:r>
    </w:p>
    <w:p w14:paraId="370ABCAC" w14:textId="3B8281BA" w:rsidR="00CF30FB" w:rsidRPr="009D2E74" w:rsidRDefault="00CF30FB" w:rsidP="00A050D4">
      <w:pPr>
        <w:pStyle w:val="Odstavecseseznamem"/>
        <w:numPr>
          <w:ilvl w:val="0"/>
          <w:numId w:val="20"/>
        </w:numPr>
        <w:spacing w:after="0"/>
        <w:ind w:hanging="357"/>
        <w:jc w:val="both"/>
        <w:rPr>
          <w:rFonts w:eastAsia="Times New Roman" w:cs="Arial"/>
          <w:lang w:eastAsia="cs-CZ"/>
        </w:rPr>
      </w:pPr>
      <w:r w:rsidRPr="009D2E74">
        <w:rPr>
          <w:rFonts w:eastAsia="Times New Roman" w:cs="Arial"/>
          <w:lang w:eastAsia="cs-CZ"/>
        </w:rPr>
        <w:t>indikátory stanoven</w:t>
      </w:r>
      <w:r w:rsidR="00816498" w:rsidRPr="009D2E74">
        <w:rPr>
          <w:rFonts w:eastAsia="Times New Roman" w:cs="Arial"/>
          <w:lang w:eastAsia="cs-CZ"/>
        </w:rPr>
        <w:t>é</w:t>
      </w:r>
      <w:r w:rsidRPr="009D2E74">
        <w:rPr>
          <w:rFonts w:eastAsia="Times New Roman" w:cs="Arial"/>
          <w:lang w:eastAsia="cs-CZ"/>
        </w:rPr>
        <w:t xml:space="preserve"> ve strategickém dokumentu Národní politika výzkumu, vývoje a inovací České republiky </w:t>
      </w:r>
      <w:r w:rsidR="00B456F4" w:rsidRPr="009D2E74">
        <w:rPr>
          <w:rFonts w:eastAsia="Times New Roman" w:cs="Arial"/>
          <w:lang w:eastAsia="cs-CZ"/>
        </w:rPr>
        <w:t>2021+</w:t>
      </w:r>
      <w:r w:rsidR="007A59AE" w:rsidRPr="009D2E74">
        <w:rPr>
          <w:rFonts w:eastAsia="Times New Roman" w:cs="Arial"/>
          <w:lang w:eastAsia="cs-CZ"/>
        </w:rPr>
        <w:t xml:space="preserve"> (NP </w:t>
      </w:r>
      <w:proofErr w:type="spellStart"/>
      <w:r w:rsidR="007A59AE" w:rsidRPr="009D2E74">
        <w:rPr>
          <w:rFonts w:eastAsia="Times New Roman" w:cs="Arial"/>
          <w:lang w:eastAsia="cs-CZ"/>
        </w:rPr>
        <w:t>VaVaI</w:t>
      </w:r>
      <w:proofErr w:type="spellEnd"/>
      <w:r w:rsidR="007A59AE" w:rsidRPr="009D2E74">
        <w:rPr>
          <w:rFonts w:eastAsia="Times New Roman" w:cs="Arial"/>
          <w:lang w:eastAsia="cs-CZ"/>
        </w:rPr>
        <w:t xml:space="preserve"> 2021+)</w:t>
      </w:r>
      <w:r w:rsidR="007074D3" w:rsidRPr="009D2E74">
        <w:rPr>
          <w:rFonts w:eastAsia="Times New Roman" w:cs="Arial"/>
          <w:lang w:eastAsia="cs-CZ"/>
        </w:rPr>
        <w:t>,</w:t>
      </w:r>
    </w:p>
    <w:p w14:paraId="31F4D1BA" w14:textId="262ADBF5" w:rsidR="00CF30FB" w:rsidRPr="009D2E74" w:rsidRDefault="00CF30FB" w:rsidP="00A050D4">
      <w:pPr>
        <w:pStyle w:val="Odstavecseseznamem"/>
        <w:numPr>
          <w:ilvl w:val="0"/>
          <w:numId w:val="20"/>
        </w:numPr>
        <w:spacing w:after="0"/>
        <w:ind w:hanging="357"/>
        <w:jc w:val="both"/>
        <w:rPr>
          <w:rFonts w:eastAsia="Times New Roman" w:cs="Arial"/>
          <w:lang w:eastAsia="cs-CZ"/>
        </w:rPr>
      </w:pPr>
      <w:r w:rsidRPr="009D2E74">
        <w:rPr>
          <w:rFonts w:eastAsia="Times New Roman" w:cs="Arial"/>
          <w:lang w:eastAsia="cs-CZ"/>
        </w:rPr>
        <w:t xml:space="preserve">hodnocení </w:t>
      </w:r>
      <w:r w:rsidR="00655ECD">
        <w:rPr>
          <w:rFonts w:eastAsia="Times New Roman" w:cs="Arial"/>
          <w:lang w:eastAsia="cs-CZ"/>
        </w:rPr>
        <w:t>uvedených</w:t>
      </w:r>
      <w:r w:rsidRPr="009D2E74">
        <w:rPr>
          <w:rFonts w:eastAsia="Times New Roman" w:cs="Arial"/>
          <w:lang w:eastAsia="cs-CZ"/>
        </w:rPr>
        <w:t xml:space="preserve"> oblastí a témat:</w:t>
      </w:r>
    </w:p>
    <w:p w14:paraId="4BAC45CE" w14:textId="1D4C8D1E" w:rsidR="009D3F2C" w:rsidRPr="00490927" w:rsidRDefault="009D3F2C" w:rsidP="009D3F2C">
      <w:pPr>
        <w:spacing w:before="240" w:after="120" w:line="360" w:lineRule="auto"/>
        <w:ind w:left="994" w:firstLine="565"/>
        <w:jc w:val="both"/>
        <w:rPr>
          <w:rFonts w:cs="Arial"/>
          <w:b/>
          <w:bCs/>
        </w:rPr>
      </w:pPr>
      <w:r w:rsidRPr="00426979">
        <w:rPr>
          <w:rFonts w:cs="Arial"/>
          <w:b/>
          <w:bCs/>
          <w:noProof/>
          <w:color w:val="1F2046"/>
        </w:rPr>
        <w:drawing>
          <wp:anchor distT="0" distB="0" distL="114300" distR="114300" simplePos="0" relativeHeight="251609600" behindDoc="0" locked="0" layoutInCell="1" allowOverlap="1" wp14:anchorId="5950E9FD" wp14:editId="769463A4">
            <wp:simplePos x="0" y="0"/>
            <wp:positionH relativeFrom="margin">
              <wp:posOffset>5080</wp:posOffset>
            </wp:positionH>
            <wp:positionV relativeFrom="margin">
              <wp:posOffset>1910080</wp:posOffset>
            </wp:positionV>
            <wp:extent cx="619125" cy="619125"/>
            <wp:effectExtent l="0" t="0" r="0" b="0"/>
            <wp:wrapNone/>
            <wp:docPr id="776797270" name="Grafický objekt 10" descr="Síťový diagram se souvislou výpln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6797270" name="Grafický objekt 776797270" descr="Síťový diagram se souvislou výplní"/>
                    <pic:cNvPicPr/>
                  </pic:nvPicPr>
                  <pic:blipFill>
                    <a:blip r:embed="rId23">
                      <a:extLst>
                        <a:ext uri="{96DAC541-7B7A-43D3-8B79-37D633B846F1}">
                          <asvg:svgBlip xmlns:asvg="http://schemas.microsoft.com/office/drawing/2016/SVG/main" r:embed="rId24"/>
                        </a:ext>
                      </a:extLst>
                    </a:blip>
                    <a:stretch>
                      <a:fillRect/>
                    </a:stretch>
                  </pic:blipFill>
                  <pic:spPr>
                    <a:xfrm>
                      <a:off x="0" y="0"/>
                      <a:ext cx="619125" cy="619125"/>
                    </a:xfrm>
                    <a:prstGeom prst="rect">
                      <a:avLst/>
                    </a:prstGeom>
                  </pic:spPr>
                </pic:pic>
              </a:graphicData>
            </a:graphic>
            <wp14:sizeRelH relativeFrom="margin">
              <wp14:pctWidth>0</wp14:pctWidth>
            </wp14:sizeRelH>
            <wp14:sizeRelV relativeFrom="margin">
              <wp14:pctHeight>0</wp14:pctHeight>
            </wp14:sizeRelV>
          </wp:anchor>
        </w:drawing>
      </w:r>
      <w:r w:rsidRPr="00490927">
        <w:rPr>
          <w:rFonts w:cs="Arial"/>
          <w:b/>
          <w:bCs/>
        </w:rPr>
        <w:t xml:space="preserve">SYSTÉM </w:t>
      </w:r>
      <w:proofErr w:type="spellStart"/>
      <w:r w:rsidRPr="00490927">
        <w:rPr>
          <w:rFonts w:cs="Arial"/>
          <w:b/>
          <w:bCs/>
        </w:rPr>
        <w:t>VaVaI</w:t>
      </w:r>
      <w:proofErr w:type="spellEnd"/>
      <w:r w:rsidRPr="00490927">
        <w:rPr>
          <w:rFonts w:cs="Arial"/>
          <w:b/>
          <w:bCs/>
        </w:rPr>
        <w:t xml:space="preserve"> V ČR</w:t>
      </w:r>
    </w:p>
    <w:p w14:paraId="2AFED152" w14:textId="31F69CA6" w:rsidR="009D3F2C" w:rsidRPr="00490927" w:rsidRDefault="009D3F2C" w:rsidP="009D3F2C">
      <w:pPr>
        <w:pStyle w:val="Odstavecseseznamem"/>
        <w:numPr>
          <w:ilvl w:val="3"/>
          <w:numId w:val="19"/>
        </w:numPr>
        <w:spacing w:after="60" w:line="240" w:lineRule="auto"/>
        <w:ind w:left="2268" w:hanging="357"/>
        <w:jc w:val="both"/>
        <w:rPr>
          <w:rFonts w:cs="Arial"/>
        </w:rPr>
      </w:pPr>
      <w:r w:rsidRPr="00490927">
        <w:rPr>
          <w:rFonts w:cs="Arial"/>
        </w:rPr>
        <w:t>Strategické dokumenty a legislativní rámec</w:t>
      </w:r>
    </w:p>
    <w:p w14:paraId="0CB0F655" w14:textId="649AD955" w:rsidR="009D3F2C" w:rsidRPr="00490927" w:rsidRDefault="009D3F2C" w:rsidP="009D3F2C">
      <w:pPr>
        <w:pStyle w:val="Odstavecseseznamem"/>
        <w:numPr>
          <w:ilvl w:val="3"/>
          <w:numId w:val="19"/>
        </w:numPr>
        <w:spacing w:after="60" w:line="240" w:lineRule="auto"/>
        <w:ind w:left="2268" w:hanging="357"/>
        <w:jc w:val="both"/>
        <w:rPr>
          <w:rFonts w:cs="Arial"/>
        </w:rPr>
      </w:pPr>
      <w:r w:rsidRPr="00490927">
        <w:rPr>
          <w:rFonts w:cs="Arial"/>
        </w:rPr>
        <w:t xml:space="preserve">Klíčoví aktéři, poskytovatelé podpory a programy </w:t>
      </w:r>
      <w:proofErr w:type="spellStart"/>
      <w:r w:rsidRPr="00490927">
        <w:rPr>
          <w:rFonts w:cs="Arial"/>
        </w:rPr>
        <w:t>VaVaI</w:t>
      </w:r>
      <w:proofErr w:type="spellEnd"/>
    </w:p>
    <w:p w14:paraId="7BE6CF8D" w14:textId="22C17134" w:rsidR="009D3F2C" w:rsidRPr="00490927" w:rsidRDefault="009D3F2C" w:rsidP="009D3F2C">
      <w:pPr>
        <w:pStyle w:val="Odstavecseseznamem"/>
        <w:numPr>
          <w:ilvl w:val="3"/>
          <w:numId w:val="19"/>
        </w:numPr>
        <w:spacing w:after="60" w:line="240" w:lineRule="auto"/>
        <w:ind w:left="2268" w:hanging="357"/>
        <w:jc w:val="both"/>
        <w:rPr>
          <w:rFonts w:cs="Arial"/>
        </w:rPr>
      </w:pPr>
      <w:r w:rsidRPr="00490927">
        <w:rPr>
          <w:rFonts w:cs="Arial"/>
        </w:rPr>
        <w:t xml:space="preserve">Proces přípravy státního rozpočtu na </w:t>
      </w:r>
      <w:proofErr w:type="spellStart"/>
      <w:r w:rsidRPr="00490927">
        <w:rPr>
          <w:rFonts w:cs="Arial"/>
        </w:rPr>
        <w:t>VaVaI</w:t>
      </w:r>
      <w:proofErr w:type="spellEnd"/>
    </w:p>
    <w:p w14:paraId="60B548A9" w14:textId="27C56C4C" w:rsidR="009D3F2C" w:rsidRPr="00490927" w:rsidRDefault="009D3F2C" w:rsidP="009D3F2C">
      <w:pPr>
        <w:pStyle w:val="Odstavecseseznamem"/>
        <w:numPr>
          <w:ilvl w:val="3"/>
          <w:numId w:val="19"/>
        </w:numPr>
        <w:spacing w:after="60" w:line="240" w:lineRule="auto"/>
        <w:ind w:left="2268"/>
        <w:contextualSpacing w:val="0"/>
        <w:jc w:val="both"/>
        <w:rPr>
          <w:rFonts w:cs="Arial"/>
        </w:rPr>
      </w:pPr>
      <w:r w:rsidRPr="00490927">
        <w:rPr>
          <w:rFonts w:cs="Arial"/>
        </w:rPr>
        <w:t>Projekty sdílených činností</w:t>
      </w:r>
    </w:p>
    <w:p w14:paraId="25B15FBA" w14:textId="5F0D2328" w:rsidR="009D3F2C" w:rsidRPr="00490927" w:rsidRDefault="009D3F2C" w:rsidP="009D3F2C">
      <w:pPr>
        <w:spacing w:before="240" w:after="120" w:line="360" w:lineRule="auto"/>
        <w:ind w:firstLine="1559"/>
        <w:jc w:val="both"/>
        <w:rPr>
          <w:rFonts w:cs="Arial"/>
          <w:b/>
          <w:bCs/>
        </w:rPr>
      </w:pPr>
      <w:r w:rsidRPr="00426979">
        <w:rPr>
          <w:rFonts w:cs="Arial"/>
          <w:b/>
          <w:bCs/>
          <w:noProof/>
          <w:color w:val="1F2046"/>
        </w:rPr>
        <w:drawing>
          <wp:anchor distT="0" distB="0" distL="114300" distR="114300" simplePos="0" relativeHeight="251607552" behindDoc="0" locked="0" layoutInCell="1" allowOverlap="1" wp14:anchorId="3B2C277F" wp14:editId="4078D51C">
            <wp:simplePos x="0" y="0"/>
            <wp:positionH relativeFrom="margin">
              <wp:posOffset>-104775</wp:posOffset>
            </wp:positionH>
            <wp:positionV relativeFrom="margin">
              <wp:posOffset>3032760</wp:posOffset>
            </wp:positionV>
            <wp:extent cx="647700" cy="647700"/>
            <wp:effectExtent l="0" t="0" r="0" b="0"/>
            <wp:wrapNone/>
            <wp:docPr id="640683136" name="Grafický objekt 12" descr="Euro se souvislou výpln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683136" name="Grafický objekt 640683136" descr="Euro se souvislou výplní"/>
                    <pic:cNvPicPr/>
                  </pic:nvPicPr>
                  <pic:blipFill>
                    <a:blip r:embed="rId25">
                      <a:extLst>
                        <a:ext uri="{96DAC541-7B7A-43D3-8B79-37D633B846F1}">
                          <asvg:svgBlip xmlns:asvg="http://schemas.microsoft.com/office/drawing/2016/SVG/main" r:embed="rId26"/>
                        </a:ext>
                      </a:extLst>
                    </a:blip>
                    <a:stretch>
                      <a:fillRect/>
                    </a:stretch>
                  </pic:blipFill>
                  <pic:spPr>
                    <a:xfrm>
                      <a:off x="0" y="0"/>
                      <a:ext cx="647700" cy="647700"/>
                    </a:xfrm>
                    <a:prstGeom prst="rect">
                      <a:avLst/>
                    </a:prstGeom>
                  </pic:spPr>
                </pic:pic>
              </a:graphicData>
            </a:graphic>
            <wp14:sizeRelH relativeFrom="margin">
              <wp14:pctWidth>0</wp14:pctWidth>
            </wp14:sizeRelH>
            <wp14:sizeRelV relativeFrom="margin">
              <wp14:pctHeight>0</wp14:pctHeight>
            </wp14:sizeRelV>
          </wp:anchor>
        </w:drawing>
      </w:r>
      <w:r w:rsidRPr="00490927">
        <w:rPr>
          <w:rFonts w:cs="Arial"/>
          <w:b/>
          <w:bCs/>
        </w:rPr>
        <w:t>FINANCE</w:t>
      </w:r>
    </w:p>
    <w:p w14:paraId="20B21E5E" w14:textId="61E7A17E" w:rsidR="009D3F2C" w:rsidRPr="00490927" w:rsidRDefault="009D3F2C" w:rsidP="009D3F2C">
      <w:pPr>
        <w:pStyle w:val="Odstavecseseznamem"/>
        <w:numPr>
          <w:ilvl w:val="3"/>
          <w:numId w:val="19"/>
        </w:numPr>
        <w:spacing w:after="60" w:line="240" w:lineRule="auto"/>
        <w:ind w:left="2268" w:hanging="357"/>
        <w:jc w:val="both"/>
        <w:rPr>
          <w:rFonts w:cs="Arial"/>
        </w:rPr>
      </w:pPr>
      <w:r w:rsidRPr="00490927">
        <w:rPr>
          <w:rFonts w:cs="Arial"/>
        </w:rPr>
        <w:t>Makroekonomické ukazatele</w:t>
      </w:r>
    </w:p>
    <w:p w14:paraId="6C43ADAC" w14:textId="55DC7611" w:rsidR="009D3F2C" w:rsidRPr="00490927" w:rsidRDefault="009D3F2C" w:rsidP="009D3F2C">
      <w:pPr>
        <w:pStyle w:val="Odstavecseseznamem"/>
        <w:numPr>
          <w:ilvl w:val="3"/>
          <w:numId w:val="19"/>
        </w:numPr>
        <w:spacing w:after="60" w:line="240" w:lineRule="auto"/>
        <w:ind w:left="2268" w:hanging="357"/>
        <w:jc w:val="both"/>
        <w:rPr>
          <w:rFonts w:cs="Arial"/>
        </w:rPr>
      </w:pPr>
      <w:r w:rsidRPr="00490927">
        <w:rPr>
          <w:rFonts w:cs="Arial"/>
        </w:rPr>
        <w:t>Finanční toky ve výzkumu a vývoji (</w:t>
      </w:r>
      <w:proofErr w:type="spellStart"/>
      <w:r w:rsidRPr="00490927">
        <w:rPr>
          <w:rFonts w:cs="Arial"/>
        </w:rPr>
        <w:t>VaV</w:t>
      </w:r>
      <w:proofErr w:type="spellEnd"/>
      <w:r w:rsidRPr="00490927">
        <w:rPr>
          <w:rFonts w:cs="Arial"/>
        </w:rPr>
        <w:t>)</w:t>
      </w:r>
    </w:p>
    <w:p w14:paraId="7B6AA228" w14:textId="4A681ABA" w:rsidR="009D3F2C" w:rsidRPr="00490927" w:rsidRDefault="009D3F2C" w:rsidP="009D3F2C">
      <w:pPr>
        <w:pStyle w:val="Odstavecseseznamem"/>
        <w:numPr>
          <w:ilvl w:val="3"/>
          <w:numId w:val="19"/>
        </w:numPr>
        <w:spacing w:after="60" w:line="240" w:lineRule="auto"/>
        <w:ind w:left="2268" w:hanging="357"/>
        <w:jc w:val="both"/>
        <w:rPr>
          <w:rFonts w:cs="Arial"/>
        </w:rPr>
      </w:pPr>
      <w:r w:rsidRPr="00490927">
        <w:rPr>
          <w:rFonts w:cs="Arial"/>
        </w:rPr>
        <w:t xml:space="preserve">Přímá veřejná podpora </w:t>
      </w:r>
      <w:proofErr w:type="spellStart"/>
      <w:r w:rsidRPr="00490927">
        <w:rPr>
          <w:rFonts w:cs="Arial"/>
        </w:rPr>
        <w:t>VaV</w:t>
      </w:r>
      <w:proofErr w:type="spellEnd"/>
      <w:r w:rsidRPr="00490927">
        <w:rPr>
          <w:rFonts w:cs="Arial"/>
        </w:rPr>
        <w:t xml:space="preserve"> </w:t>
      </w:r>
      <w:r w:rsidR="002847DC">
        <w:rPr>
          <w:rFonts w:cs="Arial"/>
        </w:rPr>
        <w:t>(</w:t>
      </w:r>
      <w:r w:rsidRPr="00490927">
        <w:rPr>
          <w:rFonts w:cs="Arial"/>
        </w:rPr>
        <w:t>zaměřeno na státní rozpočet a fondy Evropské unie</w:t>
      </w:r>
      <w:r w:rsidR="002847DC">
        <w:rPr>
          <w:rFonts w:cs="Arial"/>
        </w:rPr>
        <w:t>)</w:t>
      </w:r>
    </w:p>
    <w:p w14:paraId="44DBD057" w14:textId="5B544B99" w:rsidR="009D3F2C" w:rsidRPr="00490927" w:rsidRDefault="009D3F2C" w:rsidP="009D3F2C">
      <w:pPr>
        <w:pStyle w:val="Odstavecseseznamem"/>
        <w:numPr>
          <w:ilvl w:val="3"/>
          <w:numId w:val="19"/>
        </w:numPr>
        <w:spacing w:after="60" w:line="240" w:lineRule="auto"/>
        <w:ind w:left="2268"/>
        <w:contextualSpacing w:val="0"/>
        <w:jc w:val="both"/>
        <w:rPr>
          <w:rFonts w:cs="Arial"/>
        </w:rPr>
      </w:pPr>
      <w:r w:rsidRPr="00490927">
        <w:rPr>
          <w:rFonts w:cs="Arial"/>
        </w:rPr>
        <w:t xml:space="preserve">Nepřímá veřejná podpora </w:t>
      </w:r>
      <w:proofErr w:type="spellStart"/>
      <w:r w:rsidRPr="00490927">
        <w:rPr>
          <w:rFonts w:cs="Arial"/>
        </w:rPr>
        <w:t>VaV</w:t>
      </w:r>
      <w:proofErr w:type="spellEnd"/>
    </w:p>
    <w:p w14:paraId="3FD48487" w14:textId="4CBE2BA5" w:rsidR="009D3F2C" w:rsidRPr="00490927" w:rsidRDefault="009D3F2C" w:rsidP="009D3F2C">
      <w:pPr>
        <w:spacing w:before="240" w:after="120" w:line="360" w:lineRule="auto"/>
        <w:ind w:firstLine="1559"/>
        <w:jc w:val="both"/>
        <w:rPr>
          <w:rFonts w:cs="Arial"/>
          <w:b/>
          <w:bCs/>
        </w:rPr>
      </w:pPr>
      <w:r w:rsidRPr="00426979">
        <w:rPr>
          <w:rFonts w:cs="Arial"/>
          <w:b/>
          <w:bCs/>
          <w:noProof/>
          <w:color w:val="1F2046"/>
        </w:rPr>
        <w:drawing>
          <wp:anchor distT="0" distB="0" distL="114300" distR="114300" simplePos="0" relativeHeight="251613696" behindDoc="0" locked="0" layoutInCell="1" allowOverlap="1" wp14:anchorId="594C3CDC" wp14:editId="10B4A6F9">
            <wp:simplePos x="0" y="0"/>
            <wp:positionH relativeFrom="margin">
              <wp:posOffset>5080</wp:posOffset>
            </wp:positionH>
            <wp:positionV relativeFrom="margin">
              <wp:posOffset>4310380</wp:posOffset>
            </wp:positionV>
            <wp:extent cx="676275" cy="676275"/>
            <wp:effectExtent l="0" t="0" r="0" b="9525"/>
            <wp:wrapNone/>
            <wp:docPr id="1925429331" name="Grafický objekt 7" descr="Vědecký žena se souvislou výpln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5429331" name="Grafický objekt 1925429331" descr="Vědecký žena se souvislou výplní"/>
                    <pic:cNvPicPr/>
                  </pic:nvPicPr>
                  <pic:blipFill>
                    <a:blip r:embed="rId27">
                      <a:extLst>
                        <a:ext uri="{96DAC541-7B7A-43D3-8B79-37D633B846F1}">
                          <asvg:svgBlip xmlns:asvg="http://schemas.microsoft.com/office/drawing/2016/SVG/main" r:embed="rId28"/>
                        </a:ext>
                      </a:extLst>
                    </a:blip>
                    <a:stretch>
                      <a:fillRect/>
                    </a:stretch>
                  </pic:blipFill>
                  <pic:spPr>
                    <a:xfrm>
                      <a:off x="0" y="0"/>
                      <a:ext cx="676275" cy="676275"/>
                    </a:xfrm>
                    <a:prstGeom prst="rect">
                      <a:avLst/>
                    </a:prstGeom>
                  </pic:spPr>
                </pic:pic>
              </a:graphicData>
            </a:graphic>
          </wp:anchor>
        </w:drawing>
      </w:r>
      <w:r w:rsidRPr="00490927">
        <w:rPr>
          <w:rFonts w:cs="Arial"/>
          <w:b/>
          <w:bCs/>
        </w:rPr>
        <w:t xml:space="preserve">LIDÉ VE </w:t>
      </w:r>
      <w:proofErr w:type="spellStart"/>
      <w:r w:rsidRPr="00490927">
        <w:rPr>
          <w:rFonts w:cs="Arial"/>
          <w:b/>
          <w:bCs/>
        </w:rPr>
        <w:t>VaVaI</w:t>
      </w:r>
      <w:proofErr w:type="spellEnd"/>
    </w:p>
    <w:p w14:paraId="56ED1099" w14:textId="023C9EBC" w:rsidR="009D3F2C" w:rsidRPr="00490927" w:rsidRDefault="009D3F2C" w:rsidP="009D3F2C">
      <w:pPr>
        <w:pStyle w:val="Odstavecseseznamem"/>
        <w:numPr>
          <w:ilvl w:val="3"/>
          <w:numId w:val="19"/>
        </w:numPr>
        <w:spacing w:after="60" w:line="240" w:lineRule="auto"/>
        <w:ind w:left="2268" w:hanging="357"/>
        <w:jc w:val="both"/>
        <w:rPr>
          <w:rFonts w:cs="Arial"/>
        </w:rPr>
      </w:pPr>
      <w:r w:rsidRPr="00490927">
        <w:rPr>
          <w:rFonts w:cs="Arial"/>
        </w:rPr>
        <w:t>Výzkumní pracovníci</w:t>
      </w:r>
    </w:p>
    <w:p w14:paraId="5FA2AA74" w14:textId="2A2924CE" w:rsidR="009D3F2C" w:rsidRPr="00490927" w:rsidRDefault="009D3F2C" w:rsidP="009D3F2C">
      <w:pPr>
        <w:pStyle w:val="Odstavecseseznamem"/>
        <w:numPr>
          <w:ilvl w:val="3"/>
          <w:numId w:val="19"/>
        </w:numPr>
        <w:spacing w:after="60" w:line="240" w:lineRule="auto"/>
        <w:ind w:left="2268" w:hanging="357"/>
        <w:jc w:val="both"/>
        <w:rPr>
          <w:rFonts w:cs="Arial"/>
        </w:rPr>
      </w:pPr>
      <w:r w:rsidRPr="00490927">
        <w:rPr>
          <w:rFonts w:cs="Arial"/>
        </w:rPr>
        <w:t>Genderové hledisko</w:t>
      </w:r>
    </w:p>
    <w:p w14:paraId="7E71FB0E" w14:textId="2A2B7D1F" w:rsidR="009D3F2C" w:rsidRPr="00490927" w:rsidRDefault="009D3F2C" w:rsidP="009D3F2C">
      <w:pPr>
        <w:pStyle w:val="Odstavecseseznamem"/>
        <w:numPr>
          <w:ilvl w:val="3"/>
          <w:numId w:val="19"/>
        </w:numPr>
        <w:spacing w:after="60" w:line="240" w:lineRule="auto"/>
        <w:ind w:left="2268" w:hanging="357"/>
        <w:jc w:val="both"/>
        <w:rPr>
          <w:rFonts w:cs="Arial"/>
        </w:rPr>
      </w:pPr>
      <w:r w:rsidRPr="00490927">
        <w:rPr>
          <w:rFonts w:cs="Arial"/>
        </w:rPr>
        <w:t>Mladí vědci</w:t>
      </w:r>
    </w:p>
    <w:p w14:paraId="75B93CE5" w14:textId="0E0F80B5" w:rsidR="009D3F2C" w:rsidRPr="00490927" w:rsidRDefault="009D3F2C" w:rsidP="009D3F2C">
      <w:pPr>
        <w:pStyle w:val="Odstavecseseznamem"/>
        <w:numPr>
          <w:ilvl w:val="3"/>
          <w:numId w:val="19"/>
        </w:numPr>
        <w:spacing w:after="60" w:line="240" w:lineRule="auto"/>
        <w:ind w:left="2268" w:hanging="357"/>
        <w:jc w:val="both"/>
        <w:rPr>
          <w:rFonts w:cs="Arial"/>
        </w:rPr>
      </w:pPr>
      <w:r w:rsidRPr="00490927">
        <w:rPr>
          <w:rFonts w:cs="Arial"/>
        </w:rPr>
        <w:t>Vědci v zahraničí a zahraniční absolventi v ČR</w:t>
      </w:r>
    </w:p>
    <w:p w14:paraId="5E622449" w14:textId="42A2A95D" w:rsidR="009D3F2C" w:rsidRPr="00490927" w:rsidRDefault="00EE4587" w:rsidP="009D3F2C">
      <w:pPr>
        <w:spacing w:before="240" w:after="120" w:line="360" w:lineRule="auto"/>
        <w:ind w:left="1559"/>
        <w:jc w:val="both"/>
        <w:rPr>
          <w:rFonts w:cs="Arial"/>
          <w:b/>
          <w:bCs/>
        </w:rPr>
      </w:pPr>
      <w:r w:rsidRPr="00426979">
        <w:rPr>
          <w:rFonts w:cs="Arial"/>
          <w:b/>
          <w:bCs/>
          <w:noProof/>
          <w:color w:val="1F2046"/>
        </w:rPr>
        <w:drawing>
          <wp:anchor distT="0" distB="0" distL="114300" distR="114300" simplePos="0" relativeHeight="251615744" behindDoc="0" locked="0" layoutInCell="1" allowOverlap="1" wp14:anchorId="74B94871" wp14:editId="7D766B2E">
            <wp:simplePos x="0" y="0"/>
            <wp:positionH relativeFrom="margin">
              <wp:posOffset>0</wp:posOffset>
            </wp:positionH>
            <wp:positionV relativeFrom="margin">
              <wp:posOffset>5201285</wp:posOffset>
            </wp:positionV>
            <wp:extent cx="619125" cy="619125"/>
            <wp:effectExtent l="0" t="0" r="0" b="0"/>
            <wp:wrapNone/>
            <wp:docPr id="62118952" name="Grafický objekt 11" descr="Kód QR se souvislou výpln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118952" name="Grafický objekt 62118952" descr="Kód QR se souvislou výplní"/>
                    <pic:cNvPicPr/>
                  </pic:nvPicPr>
                  <pic:blipFill>
                    <a:blip r:embed="rId29">
                      <a:extLst>
                        <a:ext uri="{96DAC541-7B7A-43D3-8B79-37D633B846F1}">
                          <asvg:svgBlip xmlns:asvg="http://schemas.microsoft.com/office/drawing/2016/SVG/main" r:embed="rId30"/>
                        </a:ext>
                      </a:extLst>
                    </a:blip>
                    <a:stretch>
                      <a:fillRect/>
                    </a:stretch>
                  </pic:blipFill>
                  <pic:spPr>
                    <a:xfrm>
                      <a:off x="0" y="0"/>
                      <a:ext cx="619125" cy="619125"/>
                    </a:xfrm>
                    <a:prstGeom prst="rect">
                      <a:avLst/>
                    </a:prstGeom>
                  </pic:spPr>
                </pic:pic>
              </a:graphicData>
            </a:graphic>
            <wp14:sizeRelH relativeFrom="margin">
              <wp14:pctWidth>0</wp14:pctWidth>
            </wp14:sizeRelH>
            <wp14:sizeRelV relativeFrom="margin">
              <wp14:pctHeight>0</wp14:pctHeight>
            </wp14:sizeRelV>
          </wp:anchor>
        </w:drawing>
      </w:r>
      <w:r w:rsidR="009D3F2C" w:rsidRPr="00490927">
        <w:rPr>
          <w:rFonts w:cs="Arial"/>
          <w:b/>
          <w:bCs/>
        </w:rPr>
        <w:t>VÝZKUMNÉ ORGANIZACE A VELKÉ VÝZKUMNÉ INFRASTRUKTURY</w:t>
      </w:r>
    </w:p>
    <w:p w14:paraId="7616F18A" w14:textId="535A19F5" w:rsidR="009D3F2C" w:rsidRPr="00490927" w:rsidRDefault="009D3F2C" w:rsidP="009D3F2C">
      <w:pPr>
        <w:pStyle w:val="Odstavecseseznamem"/>
        <w:numPr>
          <w:ilvl w:val="3"/>
          <w:numId w:val="19"/>
        </w:numPr>
        <w:spacing w:after="60" w:line="240" w:lineRule="auto"/>
        <w:ind w:left="2268" w:hanging="357"/>
        <w:jc w:val="both"/>
        <w:rPr>
          <w:rFonts w:cs="Arial"/>
        </w:rPr>
      </w:pPr>
      <w:r w:rsidRPr="00490927">
        <w:rPr>
          <w:rFonts w:cs="Arial"/>
        </w:rPr>
        <w:t>Výzkumné organizace v ČR</w:t>
      </w:r>
    </w:p>
    <w:p w14:paraId="693D1FFC" w14:textId="3CBDA1D6" w:rsidR="009D3F2C" w:rsidRPr="00490927" w:rsidRDefault="009D3F2C" w:rsidP="009D3F2C">
      <w:pPr>
        <w:pStyle w:val="Odstavecseseznamem"/>
        <w:numPr>
          <w:ilvl w:val="3"/>
          <w:numId w:val="19"/>
        </w:numPr>
        <w:spacing w:after="60" w:line="240" w:lineRule="auto"/>
        <w:ind w:left="2268" w:hanging="357"/>
        <w:jc w:val="both"/>
        <w:rPr>
          <w:rFonts w:cs="Arial"/>
        </w:rPr>
      </w:pPr>
      <w:r w:rsidRPr="00490927">
        <w:rPr>
          <w:rFonts w:cs="Arial"/>
        </w:rPr>
        <w:t>Velké výzkumné infrastruktury</w:t>
      </w:r>
    </w:p>
    <w:p w14:paraId="6900F344" w14:textId="0BA47751" w:rsidR="009D3F2C" w:rsidRPr="00490927" w:rsidRDefault="009D3F2C" w:rsidP="009D3F2C">
      <w:pPr>
        <w:spacing w:before="240" w:after="120" w:line="360" w:lineRule="auto"/>
        <w:ind w:firstLine="1559"/>
        <w:jc w:val="both"/>
        <w:rPr>
          <w:rFonts w:cs="Arial"/>
          <w:b/>
          <w:bCs/>
        </w:rPr>
      </w:pPr>
      <w:r w:rsidRPr="00426979">
        <w:rPr>
          <w:rFonts w:cs="Arial"/>
          <w:b/>
          <w:bCs/>
          <w:noProof/>
          <w:color w:val="1F2046"/>
        </w:rPr>
        <w:drawing>
          <wp:anchor distT="0" distB="0" distL="114300" distR="114300" simplePos="0" relativeHeight="251617792" behindDoc="0" locked="0" layoutInCell="1" allowOverlap="1" wp14:anchorId="0F50FC15" wp14:editId="42FAC3EA">
            <wp:simplePos x="0" y="0"/>
            <wp:positionH relativeFrom="margin">
              <wp:posOffset>0</wp:posOffset>
            </wp:positionH>
            <wp:positionV relativeFrom="margin">
              <wp:posOffset>6223635</wp:posOffset>
            </wp:positionV>
            <wp:extent cx="666750" cy="666750"/>
            <wp:effectExtent l="0" t="0" r="0" b="0"/>
            <wp:wrapNone/>
            <wp:docPr id="570828666" name="Grafický objekt 9" descr="Pruhový graf se vzestupným trendem se souvislou výpln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828666" name="Grafický objekt 570828666" descr="Pruhový graf se vzestupným trendem se souvislou výplní"/>
                    <pic:cNvPicPr/>
                  </pic:nvPicPr>
                  <pic:blipFill>
                    <a:blip r:embed="rId31">
                      <a:extLst>
                        <a:ext uri="{96DAC541-7B7A-43D3-8B79-37D633B846F1}">
                          <asvg:svgBlip xmlns:asvg="http://schemas.microsoft.com/office/drawing/2016/SVG/main" r:embed="rId32"/>
                        </a:ext>
                      </a:extLst>
                    </a:blip>
                    <a:stretch>
                      <a:fillRect/>
                    </a:stretch>
                  </pic:blipFill>
                  <pic:spPr>
                    <a:xfrm>
                      <a:off x="0" y="0"/>
                      <a:ext cx="666750" cy="666750"/>
                    </a:xfrm>
                    <a:prstGeom prst="rect">
                      <a:avLst/>
                    </a:prstGeom>
                  </pic:spPr>
                </pic:pic>
              </a:graphicData>
            </a:graphic>
            <wp14:sizeRelH relativeFrom="margin">
              <wp14:pctWidth>0</wp14:pctWidth>
            </wp14:sizeRelH>
            <wp14:sizeRelV relativeFrom="margin">
              <wp14:pctHeight>0</wp14:pctHeight>
            </wp14:sizeRelV>
          </wp:anchor>
        </w:drawing>
      </w:r>
      <w:r w:rsidRPr="00490927">
        <w:rPr>
          <w:rFonts w:cs="Arial"/>
          <w:b/>
          <w:bCs/>
        </w:rPr>
        <w:t xml:space="preserve">VÝKONNOST A EFEKTIVITA </w:t>
      </w:r>
      <w:proofErr w:type="spellStart"/>
      <w:r w:rsidRPr="00490927">
        <w:rPr>
          <w:rFonts w:cs="Arial"/>
          <w:b/>
          <w:bCs/>
        </w:rPr>
        <w:t>VaVaI</w:t>
      </w:r>
      <w:proofErr w:type="spellEnd"/>
    </w:p>
    <w:p w14:paraId="6481670B" w14:textId="2C44AC14" w:rsidR="009D3F2C" w:rsidRPr="00490927" w:rsidRDefault="009D3F2C" w:rsidP="009D3F2C">
      <w:pPr>
        <w:pStyle w:val="Odstavecseseznamem"/>
        <w:numPr>
          <w:ilvl w:val="3"/>
          <w:numId w:val="19"/>
        </w:numPr>
        <w:spacing w:after="60" w:line="240" w:lineRule="auto"/>
        <w:ind w:left="2268" w:hanging="357"/>
        <w:jc w:val="both"/>
        <w:rPr>
          <w:rFonts w:cs="Arial"/>
        </w:rPr>
      </w:pPr>
      <w:r w:rsidRPr="00490927">
        <w:rPr>
          <w:rFonts w:cs="Arial"/>
        </w:rPr>
        <w:t xml:space="preserve">Výsledky </w:t>
      </w:r>
      <w:proofErr w:type="spellStart"/>
      <w:r w:rsidRPr="00490927">
        <w:rPr>
          <w:rFonts w:cs="Arial"/>
        </w:rPr>
        <w:t>VaV</w:t>
      </w:r>
      <w:proofErr w:type="spellEnd"/>
    </w:p>
    <w:p w14:paraId="535B0E0D" w14:textId="05B993E6" w:rsidR="009D3F2C" w:rsidRPr="00490927" w:rsidRDefault="009D3F2C" w:rsidP="009D3F2C">
      <w:pPr>
        <w:pStyle w:val="Odstavecseseznamem"/>
        <w:numPr>
          <w:ilvl w:val="3"/>
          <w:numId w:val="19"/>
        </w:numPr>
        <w:spacing w:after="60" w:line="240" w:lineRule="auto"/>
        <w:ind w:left="2268" w:hanging="357"/>
        <w:jc w:val="both"/>
        <w:rPr>
          <w:rFonts w:cs="Arial"/>
        </w:rPr>
      </w:pPr>
      <w:r w:rsidRPr="00490927">
        <w:rPr>
          <w:rFonts w:cs="Arial"/>
        </w:rPr>
        <w:t>Inovační výkonnost</w:t>
      </w:r>
    </w:p>
    <w:p w14:paraId="6736E8A1" w14:textId="77423E44" w:rsidR="009D3F2C" w:rsidRPr="00490927" w:rsidRDefault="009D3F2C" w:rsidP="009D3F2C">
      <w:pPr>
        <w:pStyle w:val="Odstavecseseznamem"/>
        <w:numPr>
          <w:ilvl w:val="3"/>
          <w:numId w:val="19"/>
        </w:numPr>
        <w:spacing w:after="60" w:line="240" w:lineRule="auto"/>
        <w:ind w:left="2268" w:hanging="357"/>
        <w:jc w:val="both"/>
        <w:rPr>
          <w:rFonts w:cs="Arial"/>
        </w:rPr>
      </w:pPr>
      <w:r w:rsidRPr="00490927">
        <w:rPr>
          <w:rFonts w:cs="Arial"/>
        </w:rPr>
        <w:t>Spolupráce: Kolaborativní a smluvní výzkum</w:t>
      </w:r>
    </w:p>
    <w:p w14:paraId="40875582" w14:textId="58F03459" w:rsidR="009D3F2C" w:rsidRPr="00490927" w:rsidRDefault="009D3F2C" w:rsidP="009D3F2C">
      <w:pPr>
        <w:pStyle w:val="Odstavecseseznamem"/>
        <w:numPr>
          <w:ilvl w:val="3"/>
          <w:numId w:val="19"/>
        </w:numPr>
        <w:spacing w:after="60" w:line="240" w:lineRule="auto"/>
        <w:ind w:left="2268" w:hanging="357"/>
        <w:jc w:val="both"/>
        <w:rPr>
          <w:rFonts w:cs="Arial"/>
        </w:rPr>
      </w:pPr>
      <w:r w:rsidRPr="00490927">
        <w:rPr>
          <w:rFonts w:cs="Arial"/>
        </w:rPr>
        <w:t>Transfer technologií a znalostí</w:t>
      </w:r>
    </w:p>
    <w:p w14:paraId="22E84115" w14:textId="369D37A7" w:rsidR="009D3F2C" w:rsidRPr="00490927" w:rsidRDefault="009D3F2C" w:rsidP="009D3F2C">
      <w:pPr>
        <w:spacing w:before="240" w:after="120" w:line="360" w:lineRule="auto"/>
        <w:ind w:firstLine="1559"/>
        <w:jc w:val="both"/>
        <w:rPr>
          <w:rFonts w:cs="Arial"/>
          <w:b/>
          <w:bCs/>
        </w:rPr>
      </w:pPr>
      <w:r w:rsidRPr="00426979">
        <w:rPr>
          <w:rFonts w:cs="Arial"/>
          <w:b/>
          <w:bCs/>
          <w:noProof/>
          <w:color w:val="1F2046"/>
        </w:rPr>
        <w:drawing>
          <wp:anchor distT="0" distB="0" distL="114300" distR="114300" simplePos="0" relativeHeight="251619840" behindDoc="0" locked="0" layoutInCell="1" allowOverlap="1" wp14:anchorId="2120292A" wp14:editId="293AB9C2">
            <wp:simplePos x="0" y="0"/>
            <wp:positionH relativeFrom="margin">
              <wp:posOffset>0</wp:posOffset>
            </wp:positionH>
            <wp:positionV relativeFrom="margin">
              <wp:posOffset>7343140</wp:posOffset>
            </wp:positionV>
            <wp:extent cx="685800" cy="685800"/>
            <wp:effectExtent l="0" t="0" r="0" b="0"/>
            <wp:wrapNone/>
            <wp:docPr id="993145257" name="Grafický objekt 6" descr="Glóbus: Afrika a Evropa se souvislou výpln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3145257" name="Grafický objekt 993145257" descr="Glóbus: Afrika a Evropa se souvislou výplní"/>
                    <pic:cNvPicPr/>
                  </pic:nvPicPr>
                  <pic:blipFill>
                    <a:blip r:embed="rId33">
                      <a:extLst>
                        <a:ext uri="{96DAC541-7B7A-43D3-8B79-37D633B846F1}">
                          <asvg:svgBlip xmlns:asvg="http://schemas.microsoft.com/office/drawing/2016/SVG/main" r:embed="rId34"/>
                        </a:ext>
                      </a:extLst>
                    </a:blip>
                    <a:stretch>
                      <a:fillRect/>
                    </a:stretch>
                  </pic:blipFill>
                  <pic:spPr>
                    <a:xfrm>
                      <a:off x="0" y="0"/>
                      <a:ext cx="685800" cy="685800"/>
                    </a:xfrm>
                    <a:prstGeom prst="rect">
                      <a:avLst/>
                    </a:prstGeom>
                  </pic:spPr>
                </pic:pic>
              </a:graphicData>
            </a:graphic>
            <wp14:sizeRelH relativeFrom="margin">
              <wp14:pctWidth>0</wp14:pctWidth>
            </wp14:sizeRelH>
            <wp14:sizeRelV relativeFrom="margin">
              <wp14:pctHeight>0</wp14:pctHeight>
            </wp14:sizeRelV>
          </wp:anchor>
        </w:drawing>
      </w:r>
      <w:r w:rsidRPr="00490927">
        <w:rPr>
          <w:rFonts w:cs="Arial"/>
          <w:b/>
          <w:bCs/>
        </w:rPr>
        <w:t>MEZINÁRODNÍ SPOLUPRÁCE</w:t>
      </w:r>
    </w:p>
    <w:p w14:paraId="431588D6" w14:textId="77777777" w:rsidR="009D3F2C" w:rsidRPr="00490927" w:rsidRDefault="009D3F2C" w:rsidP="009D3F2C">
      <w:pPr>
        <w:pStyle w:val="Odstavecseseznamem"/>
        <w:numPr>
          <w:ilvl w:val="3"/>
          <w:numId w:val="19"/>
        </w:numPr>
        <w:spacing w:after="60" w:line="240" w:lineRule="auto"/>
        <w:ind w:left="2268" w:hanging="357"/>
        <w:jc w:val="both"/>
        <w:rPr>
          <w:rFonts w:cs="Arial"/>
        </w:rPr>
      </w:pPr>
      <w:r w:rsidRPr="00490927">
        <w:rPr>
          <w:rFonts w:cs="Arial"/>
        </w:rPr>
        <w:t>Účast v rámcových programech</w:t>
      </w:r>
    </w:p>
    <w:p w14:paraId="2C2F5B27" w14:textId="77777777" w:rsidR="009D3F2C" w:rsidRPr="00490927" w:rsidRDefault="009D3F2C" w:rsidP="009D3F2C">
      <w:pPr>
        <w:pStyle w:val="Odstavecseseznamem"/>
        <w:numPr>
          <w:ilvl w:val="3"/>
          <w:numId w:val="19"/>
        </w:numPr>
        <w:spacing w:after="60" w:line="240" w:lineRule="auto"/>
        <w:ind w:left="2268" w:hanging="357"/>
        <w:jc w:val="both"/>
        <w:rPr>
          <w:rFonts w:cs="Arial"/>
        </w:rPr>
      </w:pPr>
      <w:r w:rsidRPr="00490927">
        <w:rPr>
          <w:rFonts w:cs="Arial"/>
        </w:rPr>
        <w:t xml:space="preserve">Mezinárodní mobility </w:t>
      </w:r>
    </w:p>
    <w:p w14:paraId="2FC89FBD" w14:textId="77777777" w:rsidR="009D3F2C" w:rsidRPr="00490927" w:rsidRDefault="009D3F2C" w:rsidP="009D3F2C">
      <w:pPr>
        <w:pStyle w:val="Odstavecseseznamem"/>
        <w:numPr>
          <w:ilvl w:val="3"/>
          <w:numId w:val="19"/>
        </w:numPr>
        <w:spacing w:after="60" w:line="240" w:lineRule="auto"/>
        <w:ind w:left="2268" w:hanging="357"/>
        <w:jc w:val="both"/>
        <w:rPr>
          <w:rFonts w:cs="Arial"/>
        </w:rPr>
      </w:pPr>
      <w:r w:rsidRPr="00490927">
        <w:rPr>
          <w:rFonts w:cs="Arial"/>
        </w:rPr>
        <w:t>Účast v mezinárodních organizacích a konsorciích ERIC</w:t>
      </w:r>
    </w:p>
    <w:p w14:paraId="3EA4F4D2" w14:textId="77777777" w:rsidR="009D3F2C" w:rsidRPr="00E44E2F" w:rsidRDefault="009D3F2C" w:rsidP="009D3F2C">
      <w:pPr>
        <w:pStyle w:val="Odstavecseseznamem"/>
        <w:numPr>
          <w:ilvl w:val="3"/>
          <w:numId w:val="19"/>
        </w:numPr>
        <w:spacing w:after="60" w:line="240" w:lineRule="auto"/>
        <w:ind w:left="2268" w:hanging="357"/>
        <w:jc w:val="both"/>
        <w:rPr>
          <w:rFonts w:cs="Arial"/>
        </w:rPr>
      </w:pPr>
      <w:r w:rsidRPr="00490927">
        <w:rPr>
          <w:rFonts w:cs="Arial"/>
        </w:rPr>
        <w:t>Vybrané programy pro rozvoj mezinárodní spolupráce</w:t>
      </w:r>
    </w:p>
    <w:p w14:paraId="223EFDC8" w14:textId="4A63BABF" w:rsidR="00CF30FB" w:rsidRDefault="00CF30FB" w:rsidP="00D14A06">
      <w:pPr>
        <w:spacing w:after="0" w:line="360" w:lineRule="auto"/>
        <w:ind w:firstLine="709"/>
        <w:jc w:val="both"/>
        <w:rPr>
          <w:rFonts w:eastAsia="Times New Roman" w:cs="Arial"/>
          <w:highlight w:val="yellow"/>
          <w:lang w:eastAsia="cs-CZ"/>
        </w:rPr>
      </w:pPr>
    </w:p>
    <w:p w14:paraId="716CE299" w14:textId="77777777" w:rsidR="00A050D4" w:rsidRDefault="00A050D4" w:rsidP="00D14A06">
      <w:pPr>
        <w:spacing w:after="0" w:line="360" w:lineRule="auto"/>
        <w:ind w:firstLine="709"/>
        <w:jc w:val="both"/>
        <w:rPr>
          <w:rFonts w:eastAsia="Times New Roman" w:cs="Arial"/>
          <w:highlight w:val="yellow"/>
          <w:lang w:eastAsia="cs-CZ"/>
        </w:rPr>
      </w:pPr>
    </w:p>
    <w:p w14:paraId="6F000767" w14:textId="675DF7CB" w:rsidR="007D6E67" w:rsidRDefault="007D6E67" w:rsidP="00D14A06">
      <w:pPr>
        <w:spacing w:after="0" w:line="360" w:lineRule="auto"/>
        <w:ind w:firstLine="709"/>
        <w:jc w:val="both"/>
        <w:rPr>
          <w:rFonts w:eastAsia="Times New Roman" w:cs="Arial"/>
          <w:highlight w:val="yellow"/>
          <w:lang w:eastAsia="cs-CZ"/>
        </w:rPr>
      </w:pPr>
    </w:p>
    <w:p w14:paraId="1AF806E2" w14:textId="77777777" w:rsidR="00391EBB" w:rsidRPr="009E59BB" w:rsidRDefault="00391EBB" w:rsidP="009D3F2C">
      <w:pPr>
        <w:pStyle w:val="Odstavecseseznamem"/>
        <w:numPr>
          <w:ilvl w:val="3"/>
          <w:numId w:val="19"/>
        </w:numPr>
        <w:spacing w:after="60" w:line="240" w:lineRule="auto"/>
        <w:ind w:left="2268" w:hanging="357"/>
        <w:jc w:val="both"/>
        <w:rPr>
          <w:rFonts w:eastAsia="Times New Roman" w:cs="Arial"/>
          <w:highlight w:val="yellow"/>
          <w:lang w:eastAsia="cs-CZ"/>
        </w:rPr>
        <w:sectPr w:rsidR="00391EBB" w:rsidRPr="009E59BB" w:rsidSect="00B659E0">
          <w:pgSz w:w="11906" w:h="16838"/>
          <w:pgMar w:top="1134" w:right="1418" w:bottom="1134" w:left="1134" w:header="709" w:footer="709" w:gutter="0"/>
          <w:cols w:space="708"/>
          <w:docGrid w:linePitch="299"/>
        </w:sectPr>
      </w:pPr>
    </w:p>
    <w:p w14:paraId="72BDD773" w14:textId="63B86776" w:rsidR="00AD12A9" w:rsidRDefault="00A364A4" w:rsidP="00A364A4">
      <w:pPr>
        <w:pStyle w:val="Nadpis1"/>
        <w:numPr>
          <w:ilvl w:val="0"/>
          <w:numId w:val="0"/>
        </w:numPr>
      </w:pPr>
      <w:bookmarkStart w:id="5" w:name="_Hlk212025885"/>
      <w:bookmarkStart w:id="6" w:name="_Toc215589292"/>
      <w:bookmarkEnd w:id="2"/>
      <w:r>
        <w:lastRenderedPageBreak/>
        <w:t>A</w:t>
      </w:r>
      <w:r w:rsidR="00484D6A">
        <w:t>.</w:t>
      </w:r>
      <w:r>
        <w:t xml:space="preserve"> </w:t>
      </w:r>
      <w:r w:rsidR="00AD12A9">
        <w:t xml:space="preserve">Systém </w:t>
      </w:r>
      <w:proofErr w:type="spellStart"/>
      <w:r w:rsidR="00AD12A9">
        <w:t>VaVaI</w:t>
      </w:r>
      <w:proofErr w:type="spellEnd"/>
      <w:r w:rsidR="00D805C0">
        <w:t xml:space="preserve"> v ČR</w:t>
      </w:r>
      <w:bookmarkEnd w:id="6"/>
    </w:p>
    <w:p w14:paraId="4ED7E11A" w14:textId="77777777" w:rsidR="00A364A4" w:rsidRPr="00987A35" w:rsidRDefault="00A364A4" w:rsidP="00A364A4">
      <w:pPr>
        <w:spacing w:before="360" w:after="120"/>
        <w:ind w:left="992" w:firstLine="567"/>
        <w:jc w:val="both"/>
        <w:rPr>
          <w:rFonts w:cs="Arial"/>
          <w:b/>
          <w:bCs/>
        </w:rPr>
      </w:pPr>
      <w:r w:rsidRPr="00100E6A">
        <w:rPr>
          <w:rFonts w:cs="Arial"/>
          <w:b/>
          <w:bCs/>
        </w:rPr>
        <w:t xml:space="preserve">SYSTÉM </w:t>
      </w:r>
      <w:proofErr w:type="spellStart"/>
      <w:r w:rsidRPr="00100E6A">
        <w:rPr>
          <w:rFonts w:cs="Arial"/>
          <w:b/>
          <w:bCs/>
        </w:rPr>
        <w:t>V</w:t>
      </w:r>
      <w:r>
        <w:rPr>
          <w:rFonts w:cs="Arial"/>
          <w:b/>
          <w:bCs/>
        </w:rPr>
        <w:t>a</w:t>
      </w:r>
      <w:r w:rsidRPr="00100E6A">
        <w:rPr>
          <w:rFonts w:cs="Arial"/>
          <w:b/>
          <w:bCs/>
        </w:rPr>
        <w:t>V</w:t>
      </w:r>
      <w:r>
        <w:rPr>
          <w:rFonts w:cs="Arial"/>
          <w:b/>
          <w:bCs/>
        </w:rPr>
        <w:t>a</w:t>
      </w:r>
      <w:r w:rsidRPr="00100E6A">
        <w:rPr>
          <w:rFonts w:cs="Arial"/>
          <w:b/>
          <w:bCs/>
        </w:rPr>
        <w:t>I</w:t>
      </w:r>
      <w:proofErr w:type="spellEnd"/>
      <w:r w:rsidRPr="00100E6A">
        <w:rPr>
          <w:rFonts w:cs="Arial"/>
          <w:b/>
          <w:bCs/>
        </w:rPr>
        <w:t xml:space="preserve"> V ČR</w:t>
      </w:r>
    </w:p>
    <w:p w14:paraId="4AE390E4" w14:textId="77777777" w:rsidR="00A364A4" w:rsidRDefault="00A364A4" w:rsidP="00A364A4">
      <w:pPr>
        <w:pStyle w:val="Odstavecseseznamem"/>
        <w:numPr>
          <w:ilvl w:val="3"/>
          <w:numId w:val="19"/>
        </w:numPr>
        <w:spacing w:after="60" w:line="240" w:lineRule="auto"/>
        <w:ind w:left="2268"/>
        <w:contextualSpacing w:val="0"/>
        <w:jc w:val="both"/>
        <w:rPr>
          <w:rFonts w:cs="Arial"/>
        </w:rPr>
      </w:pPr>
      <w:r w:rsidRPr="00426979">
        <w:rPr>
          <w:rFonts w:cs="Arial"/>
          <w:b/>
          <w:bCs/>
          <w:noProof/>
          <w:color w:val="1F2046"/>
        </w:rPr>
        <w:drawing>
          <wp:anchor distT="0" distB="0" distL="114300" distR="114300" simplePos="0" relativeHeight="251611648" behindDoc="0" locked="0" layoutInCell="1" allowOverlap="1" wp14:anchorId="6F757FC4" wp14:editId="35BF8DEE">
            <wp:simplePos x="0" y="0"/>
            <wp:positionH relativeFrom="margin">
              <wp:posOffset>295275</wp:posOffset>
            </wp:positionH>
            <wp:positionV relativeFrom="margin">
              <wp:posOffset>835660</wp:posOffset>
            </wp:positionV>
            <wp:extent cx="619125" cy="619125"/>
            <wp:effectExtent l="0" t="0" r="0" b="0"/>
            <wp:wrapNone/>
            <wp:docPr id="1745786540" name="Grafický objekt 10" descr="Síťový diagram se souvislou výpln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6797270" name="Grafický objekt 776797270" descr="Síťový diagram se souvislou výplní"/>
                    <pic:cNvPicPr/>
                  </pic:nvPicPr>
                  <pic:blipFill>
                    <a:blip r:embed="rId23">
                      <a:extLst>
                        <a:ext uri="{96DAC541-7B7A-43D3-8B79-37D633B846F1}">
                          <asvg:svgBlip xmlns:asvg="http://schemas.microsoft.com/office/drawing/2016/SVG/main" r:embed="rId24"/>
                        </a:ext>
                      </a:extLst>
                    </a:blip>
                    <a:stretch>
                      <a:fillRect/>
                    </a:stretch>
                  </pic:blipFill>
                  <pic:spPr>
                    <a:xfrm>
                      <a:off x="0" y="0"/>
                      <a:ext cx="619125" cy="619125"/>
                    </a:xfrm>
                    <a:prstGeom prst="rect">
                      <a:avLst/>
                    </a:prstGeom>
                  </pic:spPr>
                </pic:pic>
              </a:graphicData>
            </a:graphic>
            <wp14:sizeRelH relativeFrom="margin">
              <wp14:pctWidth>0</wp14:pctWidth>
            </wp14:sizeRelH>
            <wp14:sizeRelV relativeFrom="margin">
              <wp14:pctHeight>0</wp14:pctHeight>
            </wp14:sizeRelV>
          </wp:anchor>
        </w:drawing>
      </w:r>
      <w:r w:rsidRPr="00987A35">
        <w:rPr>
          <w:rFonts w:cs="Arial"/>
        </w:rPr>
        <w:t>Strategické dokumenty a legislativní rámec</w:t>
      </w:r>
    </w:p>
    <w:p w14:paraId="173A4AA1" w14:textId="77777777" w:rsidR="00A364A4" w:rsidRPr="00987A35" w:rsidRDefault="00A364A4" w:rsidP="00A364A4">
      <w:pPr>
        <w:pStyle w:val="Odstavecseseznamem"/>
        <w:numPr>
          <w:ilvl w:val="3"/>
          <w:numId w:val="19"/>
        </w:numPr>
        <w:spacing w:after="60" w:line="240" w:lineRule="auto"/>
        <w:ind w:left="2268"/>
        <w:contextualSpacing w:val="0"/>
        <w:jc w:val="both"/>
        <w:rPr>
          <w:rFonts w:cs="Arial"/>
        </w:rPr>
      </w:pPr>
      <w:r>
        <w:rPr>
          <w:rFonts w:cs="Arial"/>
        </w:rPr>
        <w:t xml:space="preserve">Klíčoví aktéři, poskytovatelé podpory a programy </w:t>
      </w:r>
      <w:proofErr w:type="spellStart"/>
      <w:r>
        <w:rPr>
          <w:rFonts w:cs="Arial"/>
        </w:rPr>
        <w:t>VaVaI</w:t>
      </w:r>
      <w:proofErr w:type="spellEnd"/>
    </w:p>
    <w:p w14:paraId="324DC720" w14:textId="77777777" w:rsidR="00A364A4" w:rsidRPr="00987A35" w:rsidRDefault="00A364A4" w:rsidP="00A364A4">
      <w:pPr>
        <w:pStyle w:val="Odstavecseseznamem"/>
        <w:numPr>
          <w:ilvl w:val="3"/>
          <w:numId w:val="19"/>
        </w:numPr>
        <w:spacing w:after="60" w:line="240" w:lineRule="auto"/>
        <w:ind w:left="2268"/>
        <w:contextualSpacing w:val="0"/>
        <w:jc w:val="both"/>
        <w:rPr>
          <w:rFonts w:cs="Arial"/>
        </w:rPr>
      </w:pPr>
      <w:r w:rsidRPr="00987A35">
        <w:rPr>
          <w:rFonts w:cs="Arial"/>
        </w:rPr>
        <w:t xml:space="preserve">Proces přípravy státního rozpočtu na </w:t>
      </w:r>
      <w:proofErr w:type="spellStart"/>
      <w:r w:rsidRPr="00987A35">
        <w:rPr>
          <w:rFonts w:cs="Arial"/>
        </w:rPr>
        <w:t>VaVaI</w:t>
      </w:r>
      <w:proofErr w:type="spellEnd"/>
    </w:p>
    <w:p w14:paraId="6CDCD8C9" w14:textId="77777777" w:rsidR="00A364A4" w:rsidRPr="00987A35" w:rsidRDefault="00A364A4" w:rsidP="00A364A4">
      <w:pPr>
        <w:pStyle w:val="Odstavecseseznamem"/>
        <w:numPr>
          <w:ilvl w:val="3"/>
          <w:numId w:val="19"/>
        </w:numPr>
        <w:spacing w:after="480" w:line="240" w:lineRule="auto"/>
        <w:ind w:left="2268" w:hanging="357"/>
        <w:contextualSpacing w:val="0"/>
        <w:jc w:val="both"/>
        <w:rPr>
          <w:rFonts w:cs="Arial"/>
        </w:rPr>
      </w:pPr>
      <w:r w:rsidRPr="00987A35">
        <w:rPr>
          <w:rFonts w:cs="Arial"/>
        </w:rPr>
        <w:t>Projekty sdílených činností</w:t>
      </w:r>
    </w:p>
    <w:p w14:paraId="2676A9AF" w14:textId="5E0C51AE" w:rsidR="00AD12A9" w:rsidRPr="00F465BD" w:rsidRDefault="006621DF" w:rsidP="00E23DA8">
      <w:pPr>
        <w:pStyle w:val="Nadpis2"/>
        <w:ind w:left="578" w:hanging="578"/>
        <w:rPr>
          <w:rFonts w:eastAsia="Times New Roman"/>
        </w:rPr>
      </w:pPr>
      <w:bookmarkStart w:id="7" w:name="_Toc215589293"/>
      <w:r>
        <w:rPr>
          <w:rFonts w:eastAsia="Times New Roman"/>
        </w:rPr>
        <w:t>S</w:t>
      </w:r>
      <w:r w:rsidR="00AD12A9">
        <w:rPr>
          <w:rFonts w:eastAsia="Times New Roman"/>
        </w:rPr>
        <w:t>trategi</w:t>
      </w:r>
      <w:r w:rsidR="00AD12A9" w:rsidRPr="00F23A06">
        <w:rPr>
          <w:rFonts w:eastAsia="Times New Roman"/>
        </w:rPr>
        <w:t xml:space="preserve">cké </w:t>
      </w:r>
      <w:r w:rsidR="00AD12A9">
        <w:rPr>
          <w:rFonts w:eastAsia="Times New Roman"/>
        </w:rPr>
        <w:t>dokumenty a legislativní rámec</w:t>
      </w:r>
      <w:bookmarkEnd w:id="7"/>
    </w:p>
    <w:p w14:paraId="683FCC7A" w14:textId="097D7398" w:rsidR="002C33B5" w:rsidRPr="00F23A06" w:rsidRDefault="002C33B5" w:rsidP="00F23A06">
      <w:pPr>
        <w:rPr>
          <w:rFonts w:asciiTheme="majorHAnsi" w:eastAsia="Times New Roman" w:hAnsiTheme="majorHAnsi" w:cs="Arial"/>
          <w:b/>
          <w:bCs/>
          <w:smallCaps/>
          <w:color w:val="365F91"/>
          <w:sz w:val="30"/>
          <w:lang w:eastAsia="cs-CZ"/>
        </w:rPr>
      </w:pPr>
      <w:bookmarkStart w:id="8" w:name="_Toc163205827"/>
      <w:r w:rsidRPr="00F23A06">
        <w:rPr>
          <w:rFonts w:asciiTheme="majorHAnsi" w:eastAsia="Times New Roman" w:hAnsiTheme="majorHAnsi" w:cs="Arial"/>
          <w:b/>
          <w:bCs/>
          <w:smallCaps/>
          <w:color w:val="365F91"/>
          <w:sz w:val="30"/>
          <w:lang w:eastAsia="cs-CZ"/>
        </w:rPr>
        <w:t>Mezinárodní kontext</w:t>
      </w:r>
      <w:bookmarkEnd w:id="8"/>
      <w:r w:rsidRPr="00F23A06">
        <w:rPr>
          <w:rFonts w:asciiTheme="majorHAnsi" w:eastAsia="Times New Roman" w:hAnsiTheme="majorHAnsi" w:cs="Arial"/>
          <w:b/>
          <w:bCs/>
          <w:smallCaps/>
          <w:color w:val="365F91"/>
          <w:sz w:val="30"/>
          <w:lang w:eastAsia="cs-CZ"/>
        </w:rPr>
        <w:t xml:space="preserve"> </w:t>
      </w:r>
    </w:p>
    <w:p w14:paraId="248C1448" w14:textId="77777777" w:rsidR="00A364A4" w:rsidRDefault="00A364A4" w:rsidP="00A364A4">
      <w:pPr>
        <w:spacing w:after="60" w:line="360" w:lineRule="auto"/>
        <w:ind w:firstLine="709"/>
        <w:jc w:val="both"/>
        <w:rPr>
          <w:rFonts w:eastAsia="Times New Roman" w:cs="Arial"/>
          <w:bCs/>
          <w:lang w:eastAsia="cs-CZ"/>
        </w:rPr>
      </w:pPr>
      <w:bookmarkStart w:id="9" w:name="_Toc163205828"/>
      <w:r w:rsidRPr="008677B2">
        <w:rPr>
          <w:rFonts w:eastAsia="Times New Roman" w:cs="Arial"/>
          <w:b/>
          <w:lang w:eastAsia="cs-CZ"/>
        </w:rPr>
        <w:t>Primární právo</w:t>
      </w:r>
      <w:r w:rsidRPr="00B622E6">
        <w:rPr>
          <w:rFonts w:eastAsia="Times New Roman" w:cs="Arial"/>
          <w:bCs/>
          <w:lang w:eastAsia="cs-CZ"/>
        </w:rPr>
        <w:t>, tedy smlouvy EU, j</w:t>
      </w:r>
      <w:r>
        <w:rPr>
          <w:rFonts w:eastAsia="Times New Roman" w:cs="Arial"/>
          <w:bCs/>
          <w:lang w:eastAsia="cs-CZ"/>
        </w:rPr>
        <w:t>e</w:t>
      </w:r>
      <w:r w:rsidRPr="00B622E6">
        <w:rPr>
          <w:rFonts w:eastAsia="Times New Roman" w:cs="Arial"/>
          <w:bCs/>
          <w:lang w:eastAsia="cs-CZ"/>
        </w:rPr>
        <w:t xml:space="preserve"> nadřazen</w:t>
      </w:r>
      <w:r>
        <w:rPr>
          <w:rFonts w:eastAsia="Times New Roman" w:cs="Arial"/>
          <w:bCs/>
          <w:lang w:eastAsia="cs-CZ"/>
        </w:rPr>
        <w:t>o</w:t>
      </w:r>
      <w:r w:rsidRPr="00B622E6">
        <w:rPr>
          <w:rFonts w:eastAsia="Times New Roman" w:cs="Arial"/>
          <w:bCs/>
          <w:lang w:eastAsia="cs-CZ"/>
        </w:rPr>
        <w:t xml:space="preserve"> národní legislativě. </w:t>
      </w:r>
      <w:r>
        <w:rPr>
          <w:rFonts w:eastAsia="Times New Roman" w:cs="Arial"/>
          <w:bCs/>
          <w:lang w:eastAsia="cs-CZ"/>
        </w:rPr>
        <w:t>O</w:t>
      </w:r>
      <w:r w:rsidRPr="00B622E6">
        <w:rPr>
          <w:rFonts w:eastAsia="Times New Roman" w:cs="Arial"/>
          <w:bCs/>
          <w:lang w:eastAsia="cs-CZ"/>
        </w:rPr>
        <w:t>blast</w:t>
      </w:r>
      <w:r>
        <w:rPr>
          <w:rFonts w:eastAsia="Times New Roman" w:cs="Arial"/>
          <w:bCs/>
          <w:lang w:eastAsia="cs-CZ"/>
        </w:rPr>
        <w:t>i</w:t>
      </w:r>
      <w:r w:rsidRPr="00B622E6">
        <w:rPr>
          <w:rFonts w:eastAsia="Times New Roman" w:cs="Arial"/>
          <w:bCs/>
          <w:lang w:eastAsia="cs-CZ"/>
        </w:rPr>
        <w:t xml:space="preserve"> </w:t>
      </w:r>
      <w:proofErr w:type="spellStart"/>
      <w:r w:rsidRPr="00B622E6">
        <w:rPr>
          <w:rFonts w:eastAsia="Times New Roman" w:cs="Arial"/>
          <w:bCs/>
          <w:lang w:eastAsia="cs-CZ"/>
        </w:rPr>
        <w:t>VaV</w:t>
      </w:r>
      <w:r>
        <w:rPr>
          <w:rFonts w:eastAsia="Times New Roman" w:cs="Arial"/>
          <w:bCs/>
          <w:lang w:eastAsia="cs-CZ"/>
        </w:rPr>
        <w:t>aI</w:t>
      </w:r>
      <w:proofErr w:type="spellEnd"/>
      <w:r>
        <w:rPr>
          <w:rFonts w:eastAsia="Times New Roman" w:cs="Arial"/>
          <w:bCs/>
          <w:lang w:eastAsia="cs-CZ"/>
        </w:rPr>
        <w:t xml:space="preserve"> se </w:t>
      </w:r>
      <w:r w:rsidRPr="00B622E6">
        <w:rPr>
          <w:rFonts w:eastAsia="Times New Roman" w:cs="Arial"/>
          <w:bCs/>
          <w:lang w:eastAsia="cs-CZ"/>
        </w:rPr>
        <w:t>z</w:t>
      </w:r>
      <w:r>
        <w:rPr>
          <w:rFonts w:eastAsia="Times New Roman" w:cs="Arial"/>
          <w:bCs/>
          <w:lang w:eastAsia="cs-CZ"/>
        </w:rPr>
        <w:t> </w:t>
      </w:r>
      <w:r w:rsidRPr="00B622E6">
        <w:rPr>
          <w:rFonts w:eastAsia="Times New Roman" w:cs="Arial"/>
          <w:bCs/>
          <w:lang w:eastAsia="cs-CZ"/>
        </w:rPr>
        <w:t>primárního</w:t>
      </w:r>
      <w:r>
        <w:rPr>
          <w:rFonts w:eastAsia="Times New Roman" w:cs="Arial"/>
          <w:bCs/>
          <w:lang w:eastAsia="cs-CZ"/>
        </w:rPr>
        <w:t xml:space="preserve"> </w:t>
      </w:r>
      <w:r w:rsidRPr="00B622E6">
        <w:rPr>
          <w:rFonts w:eastAsia="Times New Roman" w:cs="Arial"/>
          <w:bCs/>
          <w:lang w:eastAsia="cs-CZ"/>
        </w:rPr>
        <w:t xml:space="preserve">práva </w:t>
      </w:r>
      <w:r>
        <w:rPr>
          <w:rFonts w:eastAsia="Times New Roman" w:cs="Arial"/>
          <w:bCs/>
          <w:lang w:eastAsia="cs-CZ"/>
        </w:rPr>
        <w:t xml:space="preserve">týká </w:t>
      </w:r>
      <w:r w:rsidRPr="00B622E6">
        <w:rPr>
          <w:rFonts w:eastAsia="Times New Roman" w:cs="Arial"/>
          <w:bCs/>
          <w:lang w:eastAsia="cs-CZ"/>
        </w:rPr>
        <w:t>Smlouva o založení Evropského společenství pro atomovou energii (1957) a také</w:t>
      </w:r>
      <w:r>
        <w:rPr>
          <w:rFonts w:eastAsia="Times New Roman" w:cs="Arial"/>
          <w:bCs/>
          <w:lang w:eastAsia="cs-CZ"/>
        </w:rPr>
        <w:t xml:space="preserve"> </w:t>
      </w:r>
      <w:r w:rsidRPr="00B622E6">
        <w:rPr>
          <w:rFonts w:eastAsia="Times New Roman" w:cs="Arial"/>
          <w:bCs/>
          <w:lang w:eastAsia="cs-CZ"/>
        </w:rPr>
        <w:t xml:space="preserve">Lisabonská smlouva (2008) pozměňující Smlouvu o Evropské unii </w:t>
      </w:r>
      <w:r>
        <w:rPr>
          <w:rFonts w:eastAsia="Times New Roman" w:cs="Arial"/>
          <w:bCs/>
          <w:lang w:eastAsia="cs-CZ"/>
        </w:rPr>
        <w:t xml:space="preserve">(SEU) </w:t>
      </w:r>
      <w:r w:rsidRPr="00B622E6">
        <w:rPr>
          <w:rFonts w:eastAsia="Times New Roman" w:cs="Arial"/>
          <w:bCs/>
          <w:lang w:eastAsia="cs-CZ"/>
        </w:rPr>
        <w:t>a</w:t>
      </w:r>
      <w:r>
        <w:rPr>
          <w:rFonts w:eastAsia="Times New Roman" w:cs="Arial"/>
          <w:bCs/>
          <w:lang w:eastAsia="cs-CZ"/>
        </w:rPr>
        <w:t> </w:t>
      </w:r>
      <w:r w:rsidRPr="00B622E6">
        <w:rPr>
          <w:rFonts w:eastAsia="Times New Roman" w:cs="Arial"/>
          <w:bCs/>
          <w:lang w:eastAsia="cs-CZ"/>
        </w:rPr>
        <w:t>Smlouvu o</w:t>
      </w:r>
      <w:r>
        <w:rPr>
          <w:rFonts w:eastAsia="Times New Roman" w:cs="Arial"/>
          <w:bCs/>
          <w:lang w:eastAsia="cs-CZ"/>
        </w:rPr>
        <w:t> </w:t>
      </w:r>
      <w:r w:rsidRPr="00B622E6">
        <w:rPr>
          <w:rFonts w:eastAsia="Times New Roman" w:cs="Arial"/>
          <w:bCs/>
          <w:lang w:eastAsia="cs-CZ"/>
        </w:rPr>
        <w:t>založení Evropského</w:t>
      </w:r>
      <w:r>
        <w:rPr>
          <w:rFonts w:eastAsia="Times New Roman" w:cs="Arial"/>
          <w:bCs/>
          <w:lang w:eastAsia="cs-CZ"/>
        </w:rPr>
        <w:t xml:space="preserve"> </w:t>
      </w:r>
      <w:r w:rsidRPr="00B622E6">
        <w:rPr>
          <w:rFonts w:eastAsia="Times New Roman" w:cs="Arial"/>
          <w:bCs/>
          <w:lang w:eastAsia="cs-CZ"/>
        </w:rPr>
        <w:t>společenství, nyní nazvanou Smlouva o fungování EU (SFEU). Hlava XIX SFEU s názvem Výzkum</w:t>
      </w:r>
      <w:r>
        <w:rPr>
          <w:rFonts w:eastAsia="Times New Roman" w:cs="Arial"/>
          <w:bCs/>
          <w:lang w:eastAsia="cs-CZ"/>
        </w:rPr>
        <w:t xml:space="preserve"> </w:t>
      </w:r>
      <w:r w:rsidRPr="00B622E6">
        <w:rPr>
          <w:rFonts w:eastAsia="Times New Roman" w:cs="Arial"/>
          <w:bCs/>
          <w:lang w:eastAsia="cs-CZ"/>
        </w:rPr>
        <w:t>a technologický rozvoj a vesmír uvádí jako cíl vytvoření Evropského výzkumného</w:t>
      </w:r>
      <w:r>
        <w:rPr>
          <w:rFonts w:eastAsia="Times New Roman" w:cs="Arial"/>
          <w:bCs/>
          <w:lang w:eastAsia="cs-CZ"/>
        </w:rPr>
        <w:t xml:space="preserve"> </w:t>
      </w:r>
      <w:r w:rsidRPr="00B622E6">
        <w:rPr>
          <w:rFonts w:eastAsia="Times New Roman" w:cs="Arial"/>
          <w:bCs/>
          <w:lang w:eastAsia="cs-CZ"/>
        </w:rPr>
        <w:t>prostoru</w:t>
      </w:r>
      <w:r>
        <w:rPr>
          <w:rFonts w:eastAsia="Times New Roman" w:cs="Arial"/>
          <w:bCs/>
          <w:lang w:eastAsia="cs-CZ"/>
        </w:rPr>
        <w:t xml:space="preserve"> (</w:t>
      </w:r>
      <w:proofErr w:type="spellStart"/>
      <w:r>
        <w:rPr>
          <w:rFonts w:eastAsia="Times New Roman" w:cs="Arial"/>
          <w:bCs/>
          <w:lang w:eastAsia="cs-CZ"/>
        </w:rPr>
        <w:t>European</w:t>
      </w:r>
      <w:proofErr w:type="spellEnd"/>
      <w:r>
        <w:rPr>
          <w:rFonts w:eastAsia="Times New Roman" w:cs="Arial"/>
          <w:bCs/>
          <w:lang w:eastAsia="cs-CZ"/>
        </w:rPr>
        <w:t xml:space="preserve"> </w:t>
      </w:r>
      <w:proofErr w:type="spellStart"/>
      <w:r>
        <w:rPr>
          <w:rFonts w:eastAsia="Times New Roman" w:cs="Arial"/>
          <w:bCs/>
          <w:lang w:eastAsia="cs-CZ"/>
        </w:rPr>
        <w:t>Research</w:t>
      </w:r>
      <w:proofErr w:type="spellEnd"/>
      <w:r>
        <w:rPr>
          <w:rFonts w:eastAsia="Times New Roman" w:cs="Arial"/>
          <w:bCs/>
          <w:lang w:eastAsia="cs-CZ"/>
        </w:rPr>
        <w:t xml:space="preserve"> Area, ERA)</w:t>
      </w:r>
      <w:r w:rsidRPr="00B622E6">
        <w:rPr>
          <w:rFonts w:eastAsia="Times New Roman" w:cs="Arial"/>
          <w:bCs/>
          <w:lang w:eastAsia="cs-CZ"/>
        </w:rPr>
        <w:t>, ve kterém se</w:t>
      </w:r>
      <w:r>
        <w:rPr>
          <w:rFonts w:eastAsia="Times New Roman" w:cs="Arial"/>
          <w:bCs/>
          <w:lang w:eastAsia="cs-CZ"/>
        </w:rPr>
        <w:t> </w:t>
      </w:r>
      <w:r w:rsidRPr="00B622E6">
        <w:rPr>
          <w:rFonts w:eastAsia="Times New Roman" w:cs="Arial"/>
          <w:bCs/>
          <w:lang w:eastAsia="cs-CZ"/>
        </w:rPr>
        <w:t>vědci, vědecké poznatky a</w:t>
      </w:r>
      <w:r>
        <w:rPr>
          <w:rFonts w:eastAsia="Times New Roman" w:cs="Arial"/>
          <w:bCs/>
          <w:lang w:eastAsia="cs-CZ"/>
        </w:rPr>
        <w:t> </w:t>
      </w:r>
      <w:r w:rsidRPr="00B622E6">
        <w:rPr>
          <w:rFonts w:eastAsia="Times New Roman" w:cs="Arial"/>
          <w:bCs/>
          <w:lang w:eastAsia="cs-CZ"/>
        </w:rPr>
        <w:t>technologie volně pohybují.</w:t>
      </w:r>
    </w:p>
    <w:p w14:paraId="029D54E8" w14:textId="77777777" w:rsidR="00A364A4" w:rsidRDefault="00A364A4" w:rsidP="00A364A4">
      <w:pPr>
        <w:spacing w:after="60" w:line="360" w:lineRule="auto"/>
        <w:ind w:firstLine="709"/>
        <w:jc w:val="both"/>
        <w:rPr>
          <w:rFonts w:eastAsia="Times New Roman" w:cs="Arial"/>
          <w:bCs/>
          <w:lang w:eastAsia="cs-CZ"/>
        </w:rPr>
      </w:pPr>
      <w:r w:rsidRPr="008677B2">
        <w:rPr>
          <w:rFonts w:eastAsia="Times New Roman" w:cs="Arial"/>
          <w:b/>
          <w:lang w:eastAsia="cs-CZ"/>
        </w:rPr>
        <w:t>Sekundární právo</w:t>
      </w:r>
      <w:r w:rsidRPr="002E6E37">
        <w:rPr>
          <w:rFonts w:eastAsia="Times New Roman" w:cs="Arial"/>
          <w:lang w:eastAsia="cs-CZ"/>
        </w:rPr>
        <w:t>,</w:t>
      </w:r>
      <w:r w:rsidRPr="00B622E6">
        <w:rPr>
          <w:rFonts w:eastAsia="Times New Roman" w:cs="Arial"/>
          <w:bCs/>
          <w:lang w:eastAsia="cs-CZ"/>
        </w:rPr>
        <w:t xml:space="preserve"> nazývané také jako </w:t>
      </w:r>
      <w:r>
        <w:rPr>
          <w:rFonts w:eastAsia="Times New Roman" w:cs="Arial"/>
          <w:bCs/>
          <w:lang w:eastAsia="cs-CZ"/>
        </w:rPr>
        <w:t>p</w:t>
      </w:r>
      <w:r w:rsidRPr="00B622E6">
        <w:rPr>
          <w:rFonts w:eastAsia="Times New Roman" w:cs="Arial"/>
          <w:bCs/>
          <w:lang w:eastAsia="cs-CZ"/>
        </w:rPr>
        <w:t>rávní akty EU, které vychází z primárního práva, je</w:t>
      </w:r>
      <w:r>
        <w:rPr>
          <w:rFonts w:eastAsia="Times New Roman" w:cs="Arial"/>
          <w:bCs/>
          <w:lang w:eastAsia="cs-CZ"/>
        </w:rPr>
        <w:t> </w:t>
      </w:r>
      <w:r w:rsidRPr="00B622E6">
        <w:rPr>
          <w:rFonts w:eastAsia="Times New Roman" w:cs="Arial"/>
          <w:bCs/>
          <w:lang w:eastAsia="cs-CZ"/>
        </w:rPr>
        <w:t>nadřazené</w:t>
      </w:r>
      <w:r>
        <w:rPr>
          <w:rFonts w:eastAsia="Times New Roman" w:cs="Arial"/>
          <w:bCs/>
          <w:lang w:eastAsia="cs-CZ"/>
        </w:rPr>
        <w:t xml:space="preserve"> </w:t>
      </w:r>
      <w:r w:rsidRPr="00B622E6">
        <w:rPr>
          <w:rFonts w:eastAsia="Times New Roman" w:cs="Arial"/>
          <w:bCs/>
          <w:lang w:eastAsia="cs-CZ"/>
        </w:rPr>
        <w:t>národní legislativě dle typu materiálu</w:t>
      </w:r>
      <w:r>
        <w:rPr>
          <w:rFonts w:eastAsia="Times New Roman" w:cs="Arial"/>
          <w:bCs/>
          <w:lang w:eastAsia="cs-CZ"/>
        </w:rPr>
        <w:t xml:space="preserve"> (nařízení, směrnice, rozhodnutí, soft </w:t>
      </w:r>
      <w:proofErr w:type="spellStart"/>
      <w:r>
        <w:rPr>
          <w:rFonts w:eastAsia="Times New Roman" w:cs="Arial"/>
          <w:bCs/>
          <w:lang w:eastAsia="cs-CZ"/>
        </w:rPr>
        <w:t>law</w:t>
      </w:r>
      <w:proofErr w:type="spellEnd"/>
      <w:r>
        <w:rPr>
          <w:rFonts w:eastAsia="Times New Roman" w:cs="Arial"/>
          <w:bCs/>
          <w:lang w:eastAsia="cs-CZ"/>
        </w:rPr>
        <w:t xml:space="preserve"> atd.). Pro oblast </w:t>
      </w:r>
      <w:proofErr w:type="spellStart"/>
      <w:r>
        <w:rPr>
          <w:rFonts w:eastAsia="Times New Roman" w:cs="Arial"/>
          <w:bCs/>
          <w:lang w:eastAsia="cs-CZ"/>
        </w:rPr>
        <w:t>VaVaI</w:t>
      </w:r>
      <w:proofErr w:type="spellEnd"/>
      <w:r>
        <w:rPr>
          <w:rFonts w:eastAsia="Times New Roman" w:cs="Arial"/>
          <w:bCs/>
          <w:lang w:eastAsia="cs-CZ"/>
        </w:rPr>
        <w:t xml:space="preserve"> jsou podstatné např.:</w:t>
      </w:r>
    </w:p>
    <w:p w14:paraId="68CF0845" w14:textId="77777777" w:rsidR="00A364A4" w:rsidRDefault="00A364A4" w:rsidP="00A364A4">
      <w:pPr>
        <w:widowControl w:val="0"/>
        <w:spacing w:after="120" w:line="360" w:lineRule="auto"/>
        <w:ind w:left="567"/>
        <w:jc w:val="both"/>
        <w:rPr>
          <w:rFonts w:eastAsia="Times New Roman" w:cs="Arial"/>
          <w:bCs/>
          <w:lang w:eastAsia="cs-CZ"/>
        </w:rPr>
      </w:pPr>
      <w:r w:rsidRPr="000B7785">
        <w:rPr>
          <w:rFonts w:eastAsia="Times New Roman" w:cs="Arial"/>
          <w:bCs/>
          <w:lang w:eastAsia="cs-CZ"/>
        </w:rPr>
        <w:t xml:space="preserve">→ </w:t>
      </w:r>
      <w:r>
        <w:rPr>
          <w:rFonts w:eastAsia="Times New Roman" w:cs="Arial"/>
          <w:bCs/>
          <w:lang w:eastAsia="cs-CZ"/>
        </w:rPr>
        <w:t>n</w:t>
      </w:r>
      <w:r w:rsidRPr="000B7785">
        <w:rPr>
          <w:rFonts w:eastAsia="Times New Roman" w:cs="Arial"/>
          <w:bCs/>
          <w:lang w:eastAsia="cs-CZ"/>
        </w:rPr>
        <w:t>ařízení Komise (EU) č. 651/2014 ze dne 17. června 2014, kterým se v souladu s</w:t>
      </w:r>
      <w:r>
        <w:rPr>
          <w:rFonts w:eastAsia="Times New Roman" w:cs="Arial"/>
          <w:bCs/>
          <w:lang w:eastAsia="cs-CZ"/>
        </w:rPr>
        <w:t> </w:t>
      </w:r>
      <w:r w:rsidRPr="000B7785">
        <w:rPr>
          <w:rFonts w:eastAsia="Times New Roman" w:cs="Arial"/>
          <w:bCs/>
          <w:lang w:eastAsia="cs-CZ"/>
        </w:rPr>
        <w:t>články 107 a 108 Smlouvy prohlašují určité kategorie podpory za slučitelné s vnitřním trhem (GBER)</w:t>
      </w:r>
      <w:r>
        <w:rPr>
          <w:rFonts w:eastAsia="Times New Roman" w:cs="Arial"/>
          <w:bCs/>
          <w:lang w:eastAsia="cs-CZ"/>
        </w:rPr>
        <w:t>, v platném znění,</w:t>
      </w:r>
    </w:p>
    <w:p w14:paraId="697D1D8D" w14:textId="77777777" w:rsidR="00A364A4" w:rsidRPr="000B7785" w:rsidRDefault="00A364A4" w:rsidP="00A364A4">
      <w:pPr>
        <w:widowControl w:val="0"/>
        <w:spacing w:after="120" w:line="360" w:lineRule="auto"/>
        <w:ind w:left="567"/>
        <w:jc w:val="both"/>
        <w:rPr>
          <w:rFonts w:eastAsia="Times New Roman" w:cs="Arial"/>
          <w:bCs/>
          <w:lang w:eastAsia="cs-CZ"/>
        </w:rPr>
      </w:pPr>
      <w:r w:rsidRPr="000B7785">
        <w:rPr>
          <w:rFonts w:eastAsia="Times New Roman" w:cs="Arial"/>
          <w:bCs/>
          <w:lang w:eastAsia="cs-CZ"/>
        </w:rPr>
        <w:t>→</w:t>
      </w:r>
      <w:r>
        <w:rPr>
          <w:rFonts w:eastAsia="Times New Roman" w:cs="Arial"/>
          <w:bCs/>
          <w:lang w:eastAsia="cs-CZ"/>
        </w:rPr>
        <w:t xml:space="preserve"> nařízení Komise (EU) č. 717/2014 ze dne 27. června 2014 o použití článků 107 a 108 Smlouvy o fungování Evropské unie na podporu de minimis v odvětví rybolovu a akvakultury,</w:t>
      </w:r>
    </w:p>
    <w:p w14:paraId="7FE39CEF" w14:textId="77777777" w:rsidR="00A364A4" w:rsidRDefault="00A364A4" w:rsidP="00A364A4">
      <w:pPr>
        <w:spacing w:after="120" w:line="360" w:lineRule="auto"/>
        <w:ind w:left="567"/>
        <w:jc w:val="both"/>
        <w:rPr>
          <w:rFonts w:eastAsia="Times New Roman" w:cs="Arial"/>
          <w:bCs/>
          <w:lang w:eastAsia="cs-CZ"/>
        </w:rPr>
      </w:pPr>
      <w:r w:rsidRPr="000B7785">
        <w:rPr>
          <w:rFonts w:eastAsia="Times New Roman" w:cs="Arial"/>
          <w:bCs/>
          <w:lang w:eastAsia="cs-CZ"/>
        </w:rPr>
        <w:t xml:space="preserve">→ </w:t>
      </w:r>
      <w:r>
        <w:rPr>
          <w:rFonts w:eastAsia="Times New Roman" w:cs="Arial"/>
          <w:bCs/>
          <w:lang w:eastAsia="cs-CZ"/>
        </w:rPr>
        <w:t>n</w:t>
      </w:r>
      <w:r w:rsidRPr="000B7785">
        <w:rPr>
          <w:rFonts w:eastAsia="Times New Roman" w:cs="Arial"/>
          <w:bCs/>
          <w:lang w:eastAsia="cs-CZ"/>
        </w:rPr>
        <w:t xml:space="preserve">ařízení Komise (EU) </w:t>
      </w:r>
      <w:r>
        <w:rPr>
          <w:rFonts w:eastAsia="Times New Roman" w:cs="Arial"/>
          <w:bCs/>
          <w:lang w:eastAsia="cs-CZ"/>
        </w:rPr>
        <w:t>2022/2472</w:t>
      </w:r>
      <w:r w:rsidRPr="000B7785">
        <w:rPr>
          <w:rFonts w:eastAsia="Times New Roman" w:cs="Arial"/>
          <w:bCs/>
          <w:lang w:eastAsia="cs-CZ"/>
        </w:rPr>
        <w:t xml:space="preserve"> ze dne </w:t>
      </w:r>
      <w:r>
        <w:rPr>
          <w:rFonts w:eastAsia="Times New Roman" w:cs="Arial"/>
          <w:bCs/>
          <w:lang w:eastAsia="cs-CZ"/>
        </w:rPr>
        <w:t>14</w:t>
      </w:r>
      <w:r w:rsidRPr="000B7785">
        <w:rPr>
          <w:rFonts w:eastAsia="Times New Roman" w:cs="Arial"/>
          <w:bCs/>
          <w:lang w:eastAsia="cs-CZ"/>
        </w:rPr>
        <w:t xml:space="preserve">. </w:t>
      </w:r>
      <w:r>
        <w:rPr>
          <w:rFonts w:eastAsia="Times New Roman" w:cs="Arial"/>
          <w:bCs/>
          <w:lang w:eastAsia="cs-CZ"/>
        </w:rPr>
        <w:t>prosince 2022</w:t>
      </w:r>
      <w:r w:rsidRPr="000B7785">
        <w:rPr>
          <w:rFonts w:eastAsia="Times New Roman" w:cs="Arial"/>
          <w:bCs/>
          <w:lang w:eastAsia="cs-CZ"/>
        </w:rPr>
        <w:t>, kterým se v souladu s</w:t>
      </w:r>
      <w:r>
        <w:rPr>
          <w:rFonts w:eastAsia="Times New Roman" w:cs="Arial"/>
          <w:bCs/>
          <w:lang w:eastAsia="cs-CZ"/>
        </w:rPr>
        <w:t> </w:t>
      </w:r>
      <w:r w:rsidRPr="000B7785">
        <w:rPr>
          <w:rFonts w:eastAsia="Times New Roman" w:cs="Arial"/>
          <w:bCs/>
          <w:lang w:eastAsia="cs-CZ"/>
        </w:rPr>
        <w:t>články 107 a 108 Smlouvy o fungování Evropské unie prohlašují určité kategorie podpory v odvětvích zemědělství a lesnictví a ve venkovských oblastech za slučitelné s</w:t>
      </w:r>
      <w:r>
        <w:rPr>
          <w:rFonts w:eastAsia="Times New Roman" w:cs="Arial"/>
          <w:bCs/>
          <w:lang w:eastAsia="cs-CZ"/>
        </w:rPr>
        <w:t> </w:t>
      </w:r>
      <w:r w:rsidRPr="000B7785">
        <w:rPr>
          <w:rFonts w:eastAsia="Times New Roman" w:cs="Arial"/>
          <w:bCs/>
          <w:lang w:eastAsia="cs-CZ"/>
        </w:rPr>
        <w:t>vnitřním trhem (ABER)</w:t>
      </w:r>
      <w:r>
        <w:rPr>
          <w:rFonts w:eastAsia="Times New Roman" w:cs="Arial"/>
          <w:bCs/>
          <w:lang w:eastAsia="cs-CZ"/>
        </w:rPr>
        <w:t>, v platném znění,</w:t>
      </w:r>
    </w:p>
    <w:p w14:paraId="5A08808C" w14:textId="77777777" w:rsidR="00A364A4" w:rsidRDefault="00A364A4" w:rsidP="00A364A4">
      <w:pPr>
        <w:spacing w:after="120" w:line="360" w:lineRule="auto"/>
        <w:ind w:left="567"/>
        <w:jc w:val="both"/>
        <w:rPr>
          <w:rFonts w:eastAsia="Times New Roman" w:cs="Arial"/>
          <w:bCs/>
          <w:lang w:eastAsia="cs-CZ"/>
        </w:rPr>
      </w:pPr>
      <w:r w:rsidRPr="000B7785">
        <w:rPr>
          <w:rFonts w:eastAsia="Times New Roman" w:cs="Arial"/>
          <w:bCs/>
          <w:lang w:eastAsia="cs-CZ"/>
        </w:rPr>
        <w:t>→</w:t>
      </w:r>
      <w:r>
        <w:rPr>
          <w:rFonts w:eastAsia="Times New Roman" w:cs="Arial"/>
          <w:bCs/>
          <w:lang w:eastAsia="cs-CZ"/>
        </w:rPr>
        <w:t xml:space="preserve"> nařízení Komise (EU) 2022/2473 ze dne 14. prosince 2022, kterým se určité kategorie podpory pro podniky působící v oblasti produkce, zpracování a uvádění produktů rybolovu a akvakultury na trh prohlašují za slučitelné s vnitřním trhem podle článků 107 a 108 </w:t>
      </w:r>
      <w:r w:rsidRPr="000B7785">
        <w:rPr>
          <w:rFonts w:eastAsia="Times New Roman" w:cs="Arial"/>
          <w:bCs/>
          <w:lang w:eastAsia="cs-CZ"/>
        </w:rPr>
        <w:t>Smlouvy o fungování Evropské unie</w:t>
      </w:r>
      <w:r>
        <w:rPr>
          <w:rFonts w:eastAsia="Times New Roman" w:cs="Arial"/>
          <w:bCs/>
          <w:lang w:eastAsia="cs-CZ"/>
        </w:rPr>
        <w:t>, v platném znění,</w:t>
      </w:r>
    </w:p>
    <w:p w14:paraId="1338614A" w14:textId="77777777" w:rsidR="00A364A4" w:rsidRDefault="00A364A4" w:rsidP="00A364A4">
      <w:pPr>
        <w:spacing w:after="120" w:line="360" w:lineRule="auto"/>
        <w:ind w:left="567"/>
        <w:jc w:val="both"/>
        <w:rPr>
          <w:rFonts w:eastAsia="Times New Roman" w:cs="Arial"/>
          <w:bCs/>
          <w:lang w:eastAsia="cs-CZ"/>
        </w:rPr>
      </w:pPr>
      <w:r w:rsidRPr="000B7785">
        <w:rPr>
          <w:rFonts w:eastAsia="Times New Roman" w:cs="Arial"/>
          <w:bCs/>
          <w:lang w:eastAsia="cs-CZ"/>
        </w:rPr>
        <w:t>→</w:t>
      </w:r>
      <w:r>
        <w:rPr>
          <w:rFonts w:eastAsia="Times New Roman" w:cs="Arial"/>
          <w:bCs/>
          <w:lang w:eastAsia="cs-CZ"/>
        </w:rPr>
        <w:t xml:space="preserve"> nařízení Komise (EU) 2023/2831 ze dne 13. prosince 2023 o použití článků 107 a 108 Smlouvy o fungování Evropské unie na podporu de minimis,</w:t>
      </w:r>
    </w:p>
    <w:p w14:paraId="74F912F8" w14:textId="77777777" w:rsidR="00A364A4" w:rsidRDefault="00A364A4" w:rsidP="00A364A4">
      <w:pPr>
        <w:spacing w:after="120" w:line="360" w:lineRule="auto"/>
        <w:ind w:left="567"/>
        <w:jc w:val="both"/>
        <w:rPr>
          <w:rFonts w:eastAsia="Times New Roman" w:cs="Arial"/>
          <w:bCs/>
          <w:lang w:eastAsia="cs-CZ"/>
        </w:rPr>
      </w:pPr>
      <w:r w:rsidRPr="000B7785">
        <w:rPr>
          <w:rFonts w:eastAsia="Times New Roman" w:cs="Arial"/>
          <w:bCs/>
          <w:lang w:eastAsia="cs-CZ"/>
        </w:rPr>
        <w:lastRenderedPageBreak/>
        <w:t>→</w:t>
      </w:r>
      <w:r>
        <w:rPr>
          <w:rFonts w:eastAsia="Times New Roman" w:cs="Arial"/>
          <w:bCs/>
          <w:lang w:eastAsia="cs-CZ"/>
        </w:rPr>
        <w:t xml:space="preserve"> nařízení Komise (EU) 2023/2832 ze dne 13. prosince 2023 o použití článků 107 a 108 Smlouvy o fungování Evropské unie na podporu de minimis udílenou podnikům poskytujícím služby obecného hospodářského zájmu,</w:t>
      </w:r>
    </w:p>
    <w:p w14:paraId="1259B20D" w14:textId="77777777" w:rsidR="00A364A4" w:rsidRDefault="00A364A4" w:rsidP="00A364A4">
      <w:pPr>
        <w:spacing w:after="120" w:line="360" w:lineRule="auto"/>
        <w:ind w:left="567"/>
        <w:jc w:val="both"/>
        <w:rPr>
          <w:rFonts w:eastAsia="Times New Roman" w:cs="Arial"/>
          <w:bCs/>
          <w:lang w:eastAsia="cs-CZ"/>
        </w:rPr>
      </w:pPr>
      <w:r w:rsidRPr="000B7785">
        <w:rPr>
          <w:rFonts w:eastAsia="Times New Roman" w:cs="Arial"/>
          <w:bCs/>
          <w:lang w:eastAsia="cs-CZ"/>
        </w:rPr>
        <w:t xml:space="preserve">→ </w:t>
      </w:r>
      <w:r>
        <w:rPr>
          <w:rFonts w:eastAsia="Times New Roman" w:cs="Arial"/>
          <w:bCs/>
          <w:lang w:eastAsia="cs-CZ"/>
        </w:rPr>
        <w:t>n</w:t>
      </w:r>
      <w:r w:rsidRPr="00B417C0">
        <w:rPr>
          <w:rFonts w:eastAsia="Times New Roman" w:cs="Arial"/>
          <w:bCs/>
          <w:lang w:eastAsia="cs-CZ"/>
        </w:rPr>
        <w:t>ařízení Rady (ES) č. 723/2009 ze dne 25. června 2009 o právním rámci Společenství pro konsorcium evropské výzkumné infrastruktury (ERIC)</w:t>
      </w:r>
      <w:r>
        <w:rPr>
          <w:rFonts w:eastAsia="Times New Roman" w:cs="Arial"/>
          <w:bCs/>
          <w:lang w:eastAsia="cs-CZ"/>
        </w:rPr>
        <w:t>, v platném znění,</w:t>
      </w:r>
    </w:p>
    <w:p w14:paraId="16105D3D" w14:textId="77777777" w:rsidR="00A364A4" w:rsidRDefault="00A364A4" w:rsidP="00A364A4">
      <w:pPr>
        <w:spacing w:after="120" w:line="360" w:lineRule="auto"/>
        <w:ind w:left="567"/>
        <w:jc w:val="both"/>
        <w:rPr>
          <w:rFonts w:eastAsia="Times New Roman" w:cs="Arial"/>
          <w:bCs/>
          <w:lang w:eastAsia="cs-CZ"/>
        </w:rPr>
      </w:pPr>
      <w:r w:rsidRPr="000B7785">
        <w:rPr>
          <w:rFonts w:eastAsia="Times New Roman" w:cs="Arial"/>
          <w:bCs/>
          <w:lang w:eastAsia="cs-CZ"/>
        </w:rPr>
        <w:t>→</w:t>
      </w:r>
      <w:r>
        <w:rPr>
          <w:rFonts w:eastAsia="Times New Roman" w:cs="Arial"/>
          <w:bCs/>
          <w:lang w:eastAsia="cs-CZ"/>
        </w:rPr>
        <w:t xml:space="preserve"> nařízení Evropského parlamentu a Rady (EU) č. 1301/2013 ze dne 17. prosince 2013 o Evropském fondu pro regionální rozvoj, o zvláštních ustanoveních týkajících se cíle Investice pro růst a zaměstnanost a o zrušení nařízení (ES) č. 1080/2006,</w:t>
      </w:r>
    </w:p>
    <w:p w14:paraId="0CD5AFB3" w14:textId="77777777" w:rsidR="00A364A4" w:rsidRDefault="00A364A4" w:rsidP="00A364A4">
      <w:pPr>
        <w:spacing w:after="120" w:line="360" w:lineRule="auto"/>
        <w:ind w:left="567"/>
        <w:jc w:val="both"/>
        <w:rPr>
          <w:rFonts w:eastAsia="Times New Roman" w:cs="Arial"/>
          <w:bCs/>
          <w:lang w:eastAsia="cs-CZ"/>
        </w:rPr>
      </w:pPr>
      <w:r w:rsidRPr="000B7785">
        <w:rPr>
          <w:rFonts w:eastAsia="Times New Roman" w:cs="Arial"/>
          <w:bCs/>
          <w:lang w:eastAsia="cs-CZ"/>
        </w:rPr>
        <w:t>→</w:t>
      </w:r>
      <w:r>
        <w:rPr>
          <w:rFonts w:eastAsia="Times New Roman" w:cs="Arial"/>
          <w:bCs/>
          <w:lang w:eastAsia="cs-CZ"/>
        </w:rPr>
        <w:t xml:space="preserve"> nařízení Evropského parlamentu a Rady (EU) č. 1303/2013 ze dne 17. prosince 2013 o společných ustanoveních o Evropském fondu pro regionální rozvoj, Evropském sociálním fondu, Fondu soudržnosti, Evropském zemědělském fondu pro rozvoj venkova a Evropském námořním a rybářském fondu, o obecných ustanoveních o Evropském fondu pro regionální rozvoj, Evropském sociálním fondu, Fondu soudržnosti a Evropském námořním a rybářském fondu a o zrušení nařízení Rady (ES) č. 1083/2006,</w:t>
      </w:r>
    </w:p>
    <w:p w14:paraId="7CC224E4" w14:textId="7FFCDB80" w:rsidR="00A364A4" w:rsidRDefault="00A364A4" w:rsidP="00A364A4">
      <w:pPr>
        <w:spacing w:after="120" w:line="360" w:lineRule="auto"/>
        <w:ind w:left="567"/>
        <w:jc w:val="both"/>
        <w:rPr>
          <w:rFonts w:eastAsia="Times New Roman" w:cs="Arial"/>
          <w:bCs/>
          <w:lang w:eastAsia="cs-CZ"/>
        </w:rPr>
      </w:pPr>
      <w:r w:rsidRPr="000B7785">
        <w:rPr>
          <w:rFonts w:eastAsia="Times New Roman" w:cs="Arial"/>
          <w:bCs/>
          <w:lang w:eastAsia="cs-CZ"/>
        </w:rPr>
        <w:t>→</w:t>
      </w:r>
      <w:r>
        <w:rPr>
          <w:rFonts w:eastAsia="Times New Roman" w:cs="Arial"/>
          <w:bCs/>
          <w:lang w:eastAsia="cs-CZ"/>
        </w:rPr>
        <w:t xml:space="preserve"> nařízení Evropského parlamentu a Rady (EU) č. 1304/2013 ze dne 17. prosince 2013 o Evropském sociálním fondu a o zrušení nařízení Rady (ES) č. 1081/2006,</w:t>
      </w:r>
    </w:p>
    <w:p w14:paraId="3F0E27E1" w14:textId="4C6D9984" w:rsidR="00A364A4" w:rsidRDefault="00A364A4" w:rsidP="00A364A4">
      <w:pPr>
        <w:spacing w:after="120" w:line="360" w:lineRule="auto"/>
        <w:ind w:left="567"/>
        <w:jc w:val="both"/>
        <w:rPr>
          <w:rFonts w:eastAsia="Times New Roman" w:cs="Arial"/>
          <w:bCs/>
          <w:lang w:eastAsia="cs-CZ"/>
        </w:rPr>
      </w:pPr>
      <w:r w:rsidRPr="000B7785">
        <w:rPr>
          <w:rFonts w:eastAsia="Times New Roman" w:cs="Arial"/>
          <w:bCs/>
          <w:lang w:eastAsia="cs-CZ"/>
        </w:rPr>
        <w:t>→</w:t>
      </w:r>
      <w:r>
        <w:rPr>
          <w:rFonts w:eastAsia="Times New Roman" w:cs="Arial"/>
          <w:bCs/>
          <w:lang w:eastAsia="cs-CZ"/>
        </w:rPr>
        <w:t xml:space="preserve"> nařízení Evropského parlamentu a Rady (EU) č. 679/2016 ze dne 27. dubna 2016 o ochraně fyzických osob v souvislosti se zpracováním osobních údajů a o volném pohybu těchto údajů a o zrušení směrnice 95/46/ES (obecné nařízení o ochraně osobních údajů),</w:t>
      </w:r>
    </w:p>
    <w:p w14:paraId="1D1CAFB1" w14:textId="5F868B95" w:rsidR="00A364A4" w:rsidRDefault="00A364A4" w:rsidP="00A364A4">
      <w:pPr>
        <w:spacing w:after="120" w:line="360" w:lineRule="auto"/>
        <w:ind w:left="567"/>
        <w:jc w:val="both"/>
        <w:rPr>
          <w:rFonts w:eastAsia="Times New Roman" w:cs="Arial"/>
          <w:bCs/>
          <w:lang w:eastAsia="cs-CZ"/>
        </w:rPr>
      </w:pPr>
      <w:r w:rsidRPr="000B7785">
        <w:rPr>
          <w:rFonts w:eastAsia="Times New Roman" w:cs="Arial"/>
          <w:bCs/>
          <w:lang w:eastAsia="cs-CZ"/>
        </w:rPr>
        <w:t>→</w:t>
      </w:r>
      <w:r>
        <w:rPr>
          <w:rFonts w:eastAsia="Times New Roman" w:cs="Arial"/>
          <w:bCs/>
          <w:lang w:eastAsia="cs-CZ"/>
        </w:rPr>
        <w:t xml:space="preserve"> nařízení Evropského parlamentu a Rady (EU, Euratom) č. 1046/2018 ze dne 18. července 2018, kterým se stanoví finanční pravidla pro souhrnný rozpočet Unie, mění nařízení (EU) č. </w:t>
      </w:r>
      <w:r w:rsidRPr="006E6F03">
        <w:rPr>
          <w:rFonts w:eastAsia="Times New Roman" w:cs="Arial"/>
          <w:bCs/>
          <w:lang w:eastAsia="cs-CZ"/>
        </w:rPr>
        <w:t>1296/2013, (EU) č. 1301/2013, (EU) č. 1303/2013, (EU) č. 1304/2013, (EU) č. 1309/2013, (EU) č. 1316/2013, (EU) č. 223/2014 a (EU) č. 283/2014 a rozhodnutí č. 541/2014/EU a zrušuje nařízení (EU, Euratom) č. 966/2012</w:t>
      </w:r>
      <w:r>
        <w:rPr>
          <w:rFonts w:eastAsia="Times New Roman" w:cs="Arial"/>
          <w:bCs/>
          <w:lang w:eastAsia="cs-CZ"/>
        </w:rPr>
        <w:t xml:space="preserve">,  </w:t>
      </w:r>
    </w:p>
    <w:p w14:paraId="708CE1AE" w14:textId="3C4DBC38" w:rsidR="00A364A4" w:rsidRDefault="00A364A4" w:rsidP="00A364A4">
      <w:pPr>
        <w:spacing w:after="120" w:line="360" w:lineRule="auto"/>
        <w:ind w:left="567"/>
        <w:jc w:val="both"/>
        <w:rPr>
          <w:rFonts w:eastAsia="Times New Roman" w:cs="Arial"/>
          <w:bCs/>
          <w:lang w:eastAsia="cs-CZ"/>
        </w:rPr>
      </w:pPr>
      <w:r w:rsidRPr="000B7785">
        <w:rPr>
          <w:rFonts w:eastAsia="Times New Roman" w:cs="Arial"/>
          <w:bCs/>
          <w:lang w:eastAsia="cs-CZ"/>
        </w:rPr>
        <w:t>→</w:t>
      </w:r>
      <w:r>
        <w:rPr>
          <w:rFonts w:eastAsia="Times New Roman" w:cs="Arial"/>
          <w:bCs/>
          <w:lang w:eastAsia="cs-CZ"/>
        </w:rPr>
        <w:t xml:space="preserve"> směrnice Evropského parlamentu a Rady 2014/24/EU ze dne 26. února 2014 o zadávání veřejných zakázek a o zrušení směrnice 2004/18/ES,</w:t>
      </w:r>
    </w:p>
    <w:p w14:paraId="67BABBE1" w14:textId="77777777" w:rsidR="00A364A4" w:rsidRDefault="00A364A4" w:rsidP="00A364A4">
      <w:pPr>
        <w:spacing w:after="120" w:line="360" w:lineRule="auto"/>
        <w:ind w:left="567"/>
        <w:jc w:val="both"/>
        <w:rPr>
          <w:rFonts w:eastAsia="Times New Roman" w:cs="Arial"/>
          <w:bCs/>
          <w:lang w:eastAsia="cs-CZ"/>
        </w:rPr>
      </w:pPr>
      <w:r w:rsidRPr="000B7785">
        <w:rPr>
          <w:rFonts w:eastAsia="Times New Roman" w:cs="Arial"/>
          <w:bCs/>
          <w:lang w:eastAsia="cs-CZ"/>
        </w:rPr>
        <w:t xml:space="preserve">→ </w:t>
      </w:r>
      <w:r>
        <w:rPr>
          <w:rFonts w:eastAsia="Times New Roman" w:cs="Arial"/>
          <w:bCs/>
          <w:lang w:eastAsia="cs-CZ"/>
        </w:rPr>
        <w:t>s</w:t>
      </w:r>
      <w:r w:rsidRPr="00910E12">
        <w:rPr>
          <w:rFonts w:eastAsia="Times New Roman" w:cs="Arial"/>
          <w:bCs/>
          <w:lang w:eastAsia="cs-CZ"/>
        </w:rPr>
        <w:t>měrnice Evropského parlamentu a Rady (EU) 2016/801 ze dne 11. května 2016 o podmínkách vstupu a pobytu státních příslušníků třetích zemí za účelem výzkumu, studia, stáže, dobrovolnické služby, programů výměnných pobytů žáků či vzdělávacích projektů a</w:t>
      </w:r>
      <w:r>
        <w:rPr>
          <w:rFonts w:eastAsia="Times New Roman" w:cs="Arial"/>
          <w:bCs/>
          <w:lang w:eastAsia="cs-CZ"/>
        </w:rPr>
        <w:t> </w:t>
      </w:r>
      <w:r w:rsidRPr="00910E12">
        <w:rPr>
          <w:rFonts w:eastAsia="Times New Roman" w:cs="Arial"/>
          <w:bCs/>
          <w:lang w:eastAsia="cs-CZ"/>
        </w:rPr>
        <w:t>činnosti au-pair (přepracované znění)</w:t>
      </w:r>
      <w:r>
        <w:rPr>
          <w:rFonts w:eastAsia="Times New Roman" w:cs="Arial"/>
          <w:bCs/>
          <w:lang w:eastAsia="cs-CZ"/>
        </w:rPr>
        <w:t>,</w:t>
      </w:r>
    </w:p>
    <w:p w14:paraId="01C6A7B2" w14:textId="77777777" w:rsidR="00A364A4" w:rsidRDefault="00A364A4" w:rsidP="00A364A4">
      <w:pPr>
        <w:spacing w:after="120" w:line="360" w:lineRule="auto"/>
        <w:ind w:left="567"/>
        <w:jc w:val="both"/>
        <w:rPr>
          <w:rFonts w:eastAsia="Times New Roman" w:cs="Arial"/>
          <w:bCs/>
          <w:lang w:eastAsia="cs-CZ"/>
        </w:rPr>
      </w:pPr>
      <w:r w:rsidRPr="00910E12">
        <w:rPr>
          <w:rFonts w:eastAsia="Times New Roman" w:cs="Arial"/>
          <w:bCs/>
          <w:lang w:eastAsia="cs-CZ"/>
        </w:rPr>
        <w:t>→</w:t>
      </w:r>
      <w:r>
        <w:rPr>
          <w:rFonts w:eastAsia="Times New Roman" w:cs="Arial"/>
          <w:bCs/>
          <w:lang w:eastAsia="cs-CZ"/>
        </w:rPr>
        <w:t xml:space="preserve"> </w:t>
      </w:r>
      <w:r w:rsidRPr="00013865">
        <w:rPr>
          <w:rFonts w:eastAsia="Times New Roman" w:cs="Arial"/>
          <w:bCs/>
          <w:lang w:eastAsia="cs-CZ"/>
        </w:rPr>
        <w:t>směrnice Evropského parlamentu a Rady (EU) 2019/1024 ze dne 20. června 2019 o otevřených datech a opakovaném použití informací veřejného sektoru (přepracované znění),</w:t>
      </w:r>
    </w:p>
    <w:p w14:paraId="3D1BFBEE" w14:textId="77777777" w:rsidR="00A364A4" w:rsidRDefault="00A364A4" w:rsidP="00A364A4">
      <w:pPr>
        <w:spacing w:after="120" w:line="360" w:lineRule="auto"/>
        <w:ind w:left="567"/>
        <w:jc w:val="both"/>
        <w:rPr>
          <w:rFonts w:eastAsia="Times New Roman" w:cs="Arial"/>
          <w:bCs/>
          <w:lang w:eastAsia="cs-CZ"/>
        </w:rPr>
      </w:pPr>
      <w:r w:rsidRPr="000B7785">
        <w:rPr>
          <w:rFonts w:eastAsia="Times New Roman" w:cs="Arial"/>
          <w:bCs/>
          <w:lang w:eastAsia="cs-CZ"/>
        </w:rPr>
        <w:lastRenderedPageBreak/>
        <w:t xml:space="preserve">→ </w:t>
      </w:r>
      <w:r>
        <w:rPr>
          <w:rFonts w:eastAsia="Times New Roman" w:cs="Arial"/>
          <w:bCs/>
          <w:lang w:eastAsia="cs-CZ"/>
        </w:rPr>
        <w:t>r</w:t>
      </w:r>
      <w:r w:rsidRPr="00910E12">
        <w:rPr>
          <w:rFonts w:eastAsia="Times New Roman" w:cs="Arial"/>
          <w:bCs/>
          <w:lang w:eastAsia="cs-CZ"/>
        </w:rPr>
        <w:t>ozhodnutí Evropského parlamentu a Rady č. 555/2014/EU ze dne 15. května 2014 o</w:t>
      </w:r>
      <w:r>
        <w:rPr>
          <w:rFonts w:eastAsia="Times New Roman" w:cs="Arial"/>
          <w:bCs/>
          <w:lang w:eastAsia="cs-CZ"/>
        </w:rPr>
        <w:t> </w:t>
      </w:r>
      <w:r w:rsidRPr="00910E12">
        <w:rPr>
          <w:rFonts w:eastAsia="Times New Roman" w:cs="Arial"/>
          <w:bCs/>
          <w:lang w:eastAsia="cs-CZ"/>
        </w:rPr>
        <w:t>účasti Unie na evropském metrologickém programu pro inovace a výzkum (EMPIR) prováděném společně několika členskými státy</w:t>
      </w:r>
      <w:r>
        <w:rPr>
          <w:rFonts w:eastAsia="Times New Roman" w:cs="Arial"/>
          <w:bCs/>
          <w:lang w:eastAsia="cs-CZ"/>
        </w:rPr>
        <w:t>,</w:t>
      </w:r>
    </w:p>
    <w:p w14:paraId="759CB001" w14:textId="77777777" w:rsidR="00A364A4" w:rsidRDefault="00A364A4" w:rsidP="00A364A4">
      <w:pPr>
        <w:spacing w:after="120" w:line="360" w:lineRule="auto"/>
        <w:ind w:left="567"/>
        <w:jc w:val="both"/>
        <w:rPr>
          <w:rFonts w:eastAsia="Times New Roman" w:cs="Arial"/>
          <w:bCs/>
          <w:lang w:eastAsia="cs-CZ"/>
        </w:rPr>
      </w:pPr>
      <w:r w:rsidRPr="000B7785">
        <w:rPr>
          <w:rFonts w:eastAsia="Times New Roman" w:cs="Arial"/>
          <w:bCs/>
          <w:lang w:eastAsia="cs-CZ"/>
        </w:rPr>
        <w:t xml:space="preserve">→ </w:t>
      </w:r>
      <w:r>
        <w:rPr>
          <w:rFonts w:eastAsia="Times New Roman" w:cs="Arial"/>
          <w:bCs/>
          <w:lang w:eastAsia="cs-CZ"/>
        </w:rPr>
        <w:t xml:space="preserve">sdělení Komise </w:t>
      </w:r>
      <w:r w:rsidRPr="00A3473E">
        <w:rPr>
          <w:rFonts w:eastAsia="Times New Roman" w:cs="Arial"/>
          <w:bCs/>
          <w:lang w:eastAsia="cs-CZ"/>
        </w:rPr>
        <w:t>Rámec pro státní podporu výzkumu, vývoje a inovací 2022/C 414/01</w:t>
      </w:r>
      <w:r>
        <w:rPr>
          <w:rFonts w:eastAsia="Times New Roman" w:cs="Arial"/>
          <w:bCs/>
          <w:lang w:eastAsia="cs-CZ"/>
        </w:rPr>
        <w:t>, přičemž toto Sdělení K</w:t>
      </w:r>
      <w:r w:rsidRPr="000B7785">
        <w:rPr>
          <w:rFonts w:eastAsia="Times New Roman" w:cs="Arial"/>
          <w:bCs/>
          <w:lang w:eastAsia="cs-CZ"/>
        </w:rPr>
        <w:t>omise uvádí, jak bude Evropská komise postupovat při notifikaci národních programů, zda splňují podmínky Nařízení Komise (EU) č. 651/2014 ze dne 17.</w:t>
      </w:r>
      <w:r>
        <w:rPr>
          <w:rFonts w:eastAsia="Times New Roman" w:cs="Arial"/>
          <w:bCs/>
          <w:lang w:eastAsia="cs-CZ"/>
        </w:rPr>
        <w:t> </w:t>
      </w:r>
      <w:r w:rsidRPr="000B7785">
        <w:rPr>
          <w:rFonts w:eastAsia="Times New Roman" w:cs="Arial"/>
          <w:bCs/>
          <w:lang w:eastAsia="cs-CZ"/>
        </w:rPr>
        <w:t>června</w:t>
      </w:r>
      <w:r>
        <w:rPr>
          <w:rFonts w:eastAsia="Times New Roman" w:cs="Arial"/>
          <w:bCs/>
          <w:lang w:eastAsia="cs-CZ"/>
        </w:rPr>
        <w:t> </w:t>
      </w:r>
      <w:r w:rsidRPr="000B7785">
        <w:rPr>
          <w:rFonts w:eastAsia="Times New Roman" w:cs="Arial"/>
          <w:bCs/>
          <w:lang w:eastAsia="cs-CZ"/>
        </w:rPr>
        <w:t>2014</w:t>
      </w:r>
      <w:r>
        <w:rPr>
          <w:rFonts w:eastAsia="Times New Roman" w:cs="Arial"/>
          <w:bCs/>
          <w:lang w:eastAsia="cs-CZ"/>
        </w:rPr>
        <w:t>, v platném znění,</w:t>
      </w:r>
    </w:p>
    <w:p w14:paraId="1718FF57" w14:textId="1A7217A3" w:rsidR="00A364A4" w:rsidRDefault="00A364A4" w:rsidP="00A364A4">
      <w:pPr>
        <w:spacing w:after="120" w:line="360" w:lineRule="auto"/>
        <w:ind w:left="567"/>
        <w:jc w:val="both"/>
        <w:rPr>
          <w:rFonts w:eastAsia="Times New Roman" w:cs="Arial"/>
          <w:bCs/>
          <w:lang w:eastAsia="cs-CZ"/>
        </w:rPr>
      </w:pPr>
      <w:r w:rsidRPr="000B7785">
        <w:rPr>
          <w:rFonts w:eastAsia="Times New Roman" w:cs="Arial"/>
          <w:bCs/>
          <w:lang w:eastAsia="cs-CZ"/>
        </w:rPr>
        <w:t>→</w:t>
      </w:r>
      <w:r>
        <w:rPr>
          <w:rFonts w:eastAsia="Times New Roman" w:cs="Arial"/>
          <w:bCs/>
          <w:lang w:eastAsia="cs-CZ"/>
        </w:rPr>
        <w:t xml:space="preserve"> sdělení Komise o globálním přístupu k výzkumu a inovacím – evropská strategie pro mezinárodní spolupráci v měnícím se světě</w:t>
      </w:r>
    </w:p>
    <w:p w14:paraId="35087284" w14:textId="77777777" w:rsidR="00A364A4" w:rsidRDefault="00A364A4" w:rsidP="00A364A4">
      <w:pPr>
        <w:spacing w:after="120" w:line="360" w:lineRule="auto"/>
        <w:ind w:left="567"/>
        <w:jc w:val="both"/>
        <w:rPr>
          <w:rFonts w:eastAsia="Times New Roman" w:cs="Arial"/>
          <w:bCs/>
          <w:lang w:eastAsia="cs-CZ"/>
        </w:rPr>
      </w:pPr>
      <w:r w:rsidRPr="000B7785">
        <w:rPr>
          <w:rFonts w:eastAsia="Times New Roman" w:cs="Arial"/>
          <w:bCs/>
          <w:lang w:eastAsia="cs-CZ"/>
        </w:rPr>
        <w:t xml:space="preserve">→ </w:t>
      </w:r>
      <w:r>
        <w:rPr>
          <w:rFonts w:eastAsia="Times New Roman" w:cs="Arial"/>
          <w:bCs/>
          <w:lang w:eastAsia="cs-CZ"/>
        </w:rPr>
        <w:t>d</w:t>
      </w:r>
      <w:r w:rsidRPr="006509C7">
        <w:rPr>
          <w:rFonts w:eastAsia="Times New Roman" w:cs="Arial"/>
          <w:bCs/>
          <w:lang w:eastAsia="cs-CZ"/>
        </w:rPr>
        <w:t>oporučení Komise (EU) 2023/498 ze dne 1. března 2023 o kodexu správné praxe pro</w:t>
      </w:r>
      <w:r>
        <w:rPr>
          <w:rFonts w:eastAsia="Times New Roman" w:cs="Arial"/>
          <w:bCs/>
          <w:lang w:eastAsia="cs-CZ"/>
        </w:rPr>
        <w:t> </w:t>
      </w:r>
      <w:r w:rsidRPr="006509C7">
        <w:rPr>
          <w:rFonts w:eastAsia="Times New Roman" w:cs="Arial"/>
          <w:bCs/>
          <w:lang w:eastAsia="cs-CZ"/>
        </w:rPr>
        <w:t>normalizaci v Evropském výzkumném prostoru</w:t>
      </w:r>
      <w:r>
        <w:rPr>
          <w:rFonts w:eastAsia="Times New Roman" w:cs="Arial"/>
          <w:bCs/>
          <w:lang w:eastAsia="cs-CZ"/>
        </w:rPr>
        <w:t>.</w:t>
      </w:r>
    </w:p>
    <w:p w14:paraId="201DF77D" w14:textId="77777777" w:rsidR="00A364A4" w:rsidRDefault="00A364A4" w:rsidP="00A364A4">
      <w:pPr>
        <w:spacing w:after="60" w:line="360" w:lineRule="auto"/>
        <w:ind w:firstLine="567"/>
        <w:jc w:val="both"/>
        <w:rPr>
          <w:rFonts w:eastAsia="Times New Roman" w:cs="Arial"/>
          <w:bCs/>
          <w:lang w:eastAsia="cs-CZ"/>
        </w:rPr>
      </w:pPr>
      <w:r>
        <w:rPr>
          <w:rFonts w:eastAsia="Times New Roman" w:cs="Arial"/>
          <w:bCs/>
          <w:lang w:eastAsia="cs-CZ"/>
        </w:rPr>
        <w:t xml:space="preserve">Aktuální seznam mezinárodních smluv je uveden na webu Ministerstva školství, mládeže a tělovýchovy (MŠMT, </w:t>
      </w:r>
      <w:r w:rsidRPr="00270E9B">
        <w:rPr>
          <w:lang w:eastAsia="cs-CZ"/>
        </w:rPr>
        <w:t>https://www.msmt.cz/mezinarodni-vztahy/seznam-mezinarodnich-smluv</w:t>
      </w:r>
      <w:r>
        <w:t>)</w:t>
      </w:r>
      <w:r>
        <w:rPr>
          <w:rFonts w:eastAsia="Times New Roman" w:cs="Arial"/>
          <w:bCs/>
          <w:lang w:eastAsia="cs-CZ"/>
        </w:rPr>
        <w:t xml:space="preserve">. </w:t>
      </w:r>
    </w:p>
    <w:p w14:paraId="0AC7E5BC" w14:textId="299B17EE" w:rsidR="003D15B4" w:rsidRPr="00F23A06" w:rsidRDefault="003D15B4" w:rsidP="00F23A06">
      <w:pPr>
        <w:rPr>
          <w:rFonts w:asciiTheme="majorHAnsi" w:eastAsia="Times New Roman" w:hAnsiTheme="majorHAnsi" w:cs="Arial"/>
          <w:b/>
          <w:bCs/>
          <w:smallCaps/>
          <w:color w:val="365F91"/>
          <w:sz w:val="30"/>
          <w:lang w:eastAsia="cs-CZ"/>
        </w:rPr>
      </w:pPr>
      <w:r w:rsidRPr="00F23A06">
        <w:rPr>
          <w:rFonts w:asciiTheme="majorHAnsi" w:eastAsia="Times New Roman" w:hAnsiTheme="majorHAnsi" w:cs="Arial"/>
          <w:b/>
          <w:bCs/>
          <w:smallCaps/>
          <w:color w:val="365F91"/>
          <w:sz w:val="30"/>
          <w:lang w:eastAsia="cs-CZ"/>
        </w:rPr>
        <w:t xml:space="preserve">Vybrané mezinárodní strategické dokumenty a nástroje v oblasti </w:t>
      </w:r>
      <w:proofErr w:type="spellStart"/>
      <w:r w:rsidRPr="00F23A06">
        <w:rPr>
          <w:rFonts w:asciiTheme="majorHAnsi" w:eastAsia="Times New Roman" w:hAnsiTheme="majorHAnsi" w:cs="Arial"/>
          <w:b/>
          <w:bCs/>
          <w:smallCaps/>
          <w:color w:val="365F91"/>
          <w:sz w:val="30"/>
          <w:lang w:eastAsia="cs-CZ"/>
        </w:rPr>
        <w:t>V</w:t>
      </w:r>
      <w:r w:rsidR="000C24F8" w:rsidRPr="00F23A06">
        <w:rPr>
          <w:rFonts w:asciiTheme="majorHAnsi" w:eastAsia="Times New Roman" w:hAnsiTheme="majorHAnsi" w:cs="Arial"/>
          <w:b/>
          <w:bCs/>
          <w:smallCaps/>
          <w:color w:val="365F91"/>
          <w:sz w:val="30"/>
          <w:lang w:eastAsia="cs-CZ"/>
        </w:rPr>
        <w:t>a</w:t>
      </w:r>
      <w:r w:rsidRPr="00F23A06">
        <w:rPr>
          <w:rFonts w:asciiTheme="majorHAnsi" w:eastAsia="Times New Roman" w:hAnsiTheme="majorHAnsi" w:cs="Arial"/>
          <w:b/>
          <w:bCs/>
          <w:smallCaps/>
          <w:color w:val="365F91"/>
          <w:sz w:val="30"/>
          <w:lang w:eastAsia="cs-CZ"/>
        </w:rPr>
        <w:t>V</w:t>
      </w:r>
      <w:r w:rsidR="000C24F8" w:rsidRPr="00F23A06">
        <w:rPr>
          <w:rFonts w:asciiTheme="majorHAnsi" w:eastAsia="Times New Roman" w:hAnsiTheme="majorHAnsi" w:cs="Arial"/>
          <w:b/>
          <w:bCs/>
          <w:smallCaps/>
          <w:color w:val="365F91"/>
          <w:sz w:val="30"/>
          <w:lang w:eastAsia="cs-CZ"/>
        </w:rPr>
        <w:t>a</w:t>
      </w:r>
      <w:r w:rsidRPr="00F23A06">
        <w:rPr>
          <w:rFonts w:asciiTheme="majorHAnsi" w:eastAsia="Times New Roman" w:hAnsiTheme="majorHAnsi" w:cs="Arial"/>
          <w:b/>
          <w:bCs/>
          <w:smallCaps/>
          <w:color w:val="365F91"/>
          <w:sz w:val="30"/>
          <w:lang w:eastAsia="cs-CZ"/>
        </w:rPr>
        <w:t>I</w:t>
      </w:r>
      <w:bookmarkEnd w:id="9"/>
      <w:proofErr w:type="spellEnd"/>
    </w:p>
    <w:p w14:paraId="51E6BBFD" w14:textId="77777777" w:rsidR="00A364A4" w:rsidRDefault="00A364A4" w:rsidP="00A364A4">
      <w:pPr>
        <w:spacing w:after="60" w:line="360" w:lineRule="auto"/>
        <w:ind w:firstLine="709"/>
        <w:jc w:val="both"/>
        <w:rPr>
          <w:rFonts w:eastAsia="Times New Roman" w:cs="Arial"/>
          <w:bCs/>
          <w:lang w:eastAsia="cs-CZ"/>
        </w:rPr>
      </w:pPr>
      <w:bookmarkStart w:id="10" w:name="_Hlk184806437"/>
      <w:r w:rsidRPr="00687C79">
        <w:rPr>
          <w:rFonts w:eastAsia="Times New Roman" w:cs="Arial"/>
          <w:bCs/>
          <w:lang w:eastAsia="cs-CZ"/>
        </w:rPr>
        <w:t xml:space="preserve">Jedním z významných mezinárodních strategických dokumentů pro oblast </w:t>
      </w:r>
      <w:proofErr w:type="spellStart"/>
      <w:r w:rsidRPr="00687C79">
        <w:rPr>
          <w:rFonts w:eastAsia="Times New Roman" w:cs="Arial"/>
          <w:bCs/>
          <w:lang w:eastAsia="cs-CZ"/>
        </w:rPr>
        <w:t>VaVaI</w:t>
      </w:r>
      <w:proofErr w:type="spellEnd"/>
      <w:r w:rsidRPr="00687C79">
        <w:rPr>
          <w:rFonts w:eastAsia="Times New Roman" w:cs="Arial"/>
          <w:bCs/>
          <w:lang w:eastAsia="cs-CZ"/>
        </w:rPr>
        <w:t xml:space="preserve"> je</w:t>
      </w:r>
      <w:r>
        <w:rPr>
          <w:rFonts w:eastAsia="Times New Roman" w:cs="Arial"/>
          <w:bCs/>
          <w:lang w:eastAsia="cs-CZ"/>
        </w:rPr>
        <w:t> </w:t>
      </w:r>
      <w:r w:rsidRPr="00687C79">
        <w:rPr>
          <w:rFonts w:eastAsia="Times New Roman" w:cs="Arial"/>
          <w:bCs/>
          <w:lang w:eastAsia="cs-CZ"/>
        </w:rPr>
        <w:t xml:space="preserve">dokument </w:t>
      </w:r>
      <w:r w:rsidRPr="00687C79">
        <w:rPr>
          <w:rFonts w:eastAsia="Times New Roman" w:cs="Arial"/>
          <w:b/>
          <w:lang w:eastAsia="cs-CZ"/>
        </w:rPr>
        <w:t>Agenda 2030</w:t>
      </w:r>
      <w:r w:rsidRPr="00687C79">
        <w:rPr>
          <w:rFonts w:eastAsia="Times New Roman" w:cs="Arial"/>
          <w:bCs/>
          <w:lang w:eastAsia="cs-CZ"/>
        </w:rPr>
        <w:t xml:space="preserve">, přičemž v září 2015 přijalo světové společenství na půdě Valného shromáždění Organizace spojených národů </w:t>
      </w:r>
      <w:r>
        <w:rPr>
          <w:rFonts w:eastAsia="Times New Roman" w:cs="Arial"/>
          <w:bCs/>
          <w:lang w:eastAsia="cs-CZ"/>
        </w:rPr>
        <w:t xml:space="preserve">(OSN) </w:t>
      </w:r>
      <w:r w:rsidRPr="00687C79">
        <w:rPr>
          <w:rFonts w:eastAsia="Times New Roman" w:cs="Arial"/>
          <w:bCs/>
          <w:lang w:eastAsia="cs-CZ"/>
        </w:rPr>
        <w:t xml:space="preserve">společné cíle udržitelného rozvoje, kterých má být dosaženo do roku 2030. Celkem bylo stanoveno 17 cílů udržitelného rozvoje a oblast </w:t>
      </w:r>
      <w:proofErr w:type="spellStart"/>
      <w:r w:rsidRPr="00687C79">
        <w:rPr>
          <w:rFonts w:eastAsia="Times New Roman" w:cs="Arial"/>
          <w:bCs/>
          <w:lang w:eastAsia="cs-CZ"/>
        </w:rPr>
        <w:t>VaVaI</w:t>
      </w:r>
      <w:proofErr w:type="spellEnd"/>
      <w:r w:rsidRPr="00687C79">
        <w:rPr>
          <w:rFonts w:eastAsia="Times New Roman" w:cs="Arial"/>
          <w:bCs/>
          <w:lang w:eastAsia="cs-CZ"/>
        </w:rPr>
        <w:t xml:space="preserve"> prostupuje průřezově několika z</w:t>
      </w:r>
      <w:r>
        <w:rPr>
          <w:rFonts w:eastAsia="Times New Roman" w:cs="Arial"/>
          <w:bCs/>
          <w:lang w:eastAsia="cs-CZ"/>
        </w:rPr>
        <w:t> </w:t>
      </w:r>
      <w:r w:rsidRPr="00687C79">
        <w:rPr>
          <w:rFonts w:eastAsia="Times New Roman" w:cs="Arial"/>
          <w:bCs/>
          <w:lang w:eastAsia="cs-CZ"/>
        </w:rPr>
        <w:t>nich</w:t>
      </w:r>
      <w:r>
        <w:rPr>
          <w:rFonts w:eastAsia="Times New Roman" w:cs="Arial"/>
          <w:bCs/>
          <w:lang w:eastAsia="cs-CZ"/>
        </w:rPr>
        <w:t>, zejména cílem Průmysl, inovace a infrastruktura.</w:t>
      </w:r>
    </w:p>
    <w:bookmarkEnd w:id="10"/>
    <w:p w14:paraId="1BC6C02A" w14:textId="77777777" w:rsidR="00A364A4" w:rsidRDefault="00A364A4" w:rsidP="00A364A4">
      <w:pPr>
        <w:spacing w:after="60" w:line="360" w:lineRule="auto"/>
        <w:ind w:firstLine="709"/>
        <w:jc w:val="both"/>
        <w:rPr>
          <w:rFonts w:eastAsia="Times New Roman" w:cs="Arial"/>
          <w:bCs/>
          <w:lang w:eastAsia="cs-CZ"/>
        </w:rPr>
      </w:pPr>
      <w:r w:rsidRPr="00687C79">
        <w:rPr>
          <w:rFonts w:eastAsia="Times New Roman" w:cs="Arial"/>
          <w:bCs/>
          <w:lang w:eastAsia="cs-CZ"/>
        </w:rPr>
        <w:t>Na úrovni EU je nutné zmínit několik</w:t>
      </w:r>
      <w:r>
        <w:rPr>
          <w:rFonts w:eastAsia="Times New Roman" w:cs="Arial"/>
          <w:bCs/>
          <w:lang w:eastAsia="cs-CZ"/>
        </w:rPr>
        <w:t xml:space="preserve"> dalších</w:t>
      </w:r>
      <w:r w:rsidRPr="00687C79">
        <w:rPr>
          <w:rFonts w:eastAsia="Times New Roman" w:cs="Arial"/>
          <w:bCs/>
          <w:lang w:eastAsia="cs-CZ"/>
        </w:rPr>
        <w:t xml:space="preserve"> strategických dokumentů</w:t>
      </w:r>
      <w:r>
        <w:rPr>
          <w:rFonts w:eastAsia="Times New Roman" w:cs="Arial"/>
          <w:bCs/>
          <w:lang w:eastAsia="cs-CZ"/>
        </w:rPr>
        <w:t xml:space="preserve"> a nástrojů</w:t>
      </w:r>
      <w:r w:rsidRPr="00687C79">
        <w:rPr>
          <w:rFonts w:eastAsia="Times New Roman" w:cs="Arial"/>
          <w:bCs/>
          <w:lang w:eastAsia="cs-CZ"/>
        </w:rPr>
        <w:t>:</w:t>
      </w:r>
    </w:p>
    <w:p w14:paraId="32C6CA46" w14:textId="77777777" w:rsidR="00A364A4" w:rsidRDefault="00A364A4" w:rsidP="00A364A4">
      <w:pPr>
        <w:pStyle w:val="Odstavecseseznamem"/>
        <w:numPr>
          <w:ilvl w:val="0"/>
          <w:numId w:val="33"/>
        </w:numPr>
        <w:spacing w:after="60" w:line="360" w:lineRule="auto"/>
        <w:ind w:left="851"/>
        <w:jc w:val="both"/>
        <w:rPr>
          <w:rFonts w:eastAsia="Times New Roman" w:cs="Arial"/>
          <w:b/>
          <w:bCs/>
          <w:lang w:eastAsia="cs-CZ"/>
        </w:rPr>
      </w:pPr>
      <w:r w:rsidRPr="004B38B9">
        <w:rPr>
          <w:rFonts w:eastAsia="Times New Roman" w:cs="Arial"/>
          <w:b/>
          <w:bCs/>
          <w:lang w:eastAsia="cs-CZ"/>
        </w:rPr>
        <w:t>Evropský kodex integrity výzkumu (</w:t>
      </w:r>
      <w:r>
        <w:rPr>
          <w:rFonts w:eastAsia="Times New Roman" w:cs="Arial"/>
          <w:b/>
          <w:bCs/>
          <w:lang w:eastAsia="cs-CZ"/>
        </w:rPr>
        <w:t>revidované vydání z roku 2023</w:t>
      </w:r>
      <w:r w:rsidRPr="004B38B9">
        <w:rPr>
          <w:rFonts w:eastAsia="Times New Roman" w:cs="Arial"/>
          <w:b/>
          <w:bCs/>
          <w:lang w:eastAsia="cs-CZ"/>
        </w:rPr>
        <w:t>)</w:t>
      </w:r>
    </w:p>
    <w:p w14:paraId="0F4AB00E" w14:textId="77777777" w:rsidR="00A364A4" w:rsidRPr="0008370C" w:rsidRDefault="00A364A4" w:rsidP="00A364A4">
      <w:pPr>
        <w:pStyle w:val="Odstavecseseznamem"/>
        <w:numPr>
          <w:ilvl w:val="1"/>
          <w:numId w:val="33"/>
        </w:numPr>
        <w:spacing w:after="60" w:line="360" w:lineRule="auto"/>
        <w:jc w:val="both"/>
        <w:rPr>
          <w:rFonts w:eastAsia="Times New Roman" w:cs="Arial"/>
          <w:bCs/>
          <w:lang w:eastAsia="cs-CZ"/>
        </w:rPr>
      </w:pPr>
      <w:r>
        <w:rPr>
          <w:rFonts w:eastAsia="Times New Roman" w:cs="Arial"/>
          <w:bCs/>
          <w:lang w:eastAsia="cs-CZ"/>
        </w:rPr>
        <w:t>určuje</w:t>
      </w:r>
      <w:r w:rsidRPr="0008370C">
        <w:rPr>
          <w:rFonts w:eastAsia="Times New Roman" w:cs="Arial"/>
          <w:bCs/>
          <w:lang w:eastAsia="cs-CZ"/>
        </w:rPr>
        <w:t xml:space="preserve"> hlavní zásady integrity výzkumu, kterými jsou spolehlivost, čestnost, respekt a zodpovědnost a které jsou členským zemím doporučeny, aby zaváděly do praxe</w:t>
      </w:r>
    </w:p>
    <w:p w14:paraId="3F50CDA5" w14:textId="77777777" w:rsidR="00A364A4" w:rsidRDefault="00A364A4" w:rsidP="00A364A4">
      <w:pPr>
        <w:pStyle w:val="Odstavecseseznamem"/>
        <w:numPr>
          <w:ilvl w:val="0"/>
          <w:numId w:val="33"/>
        </w:numPr>
        <w:spacing w:after="60" w:line="360" w:lineRule="auto"/>
        <w:ind w:left="851"/>
        <w:jc w:val="both"/>
        <w:rPr>
          <w:rFonts w:eastAsia="Times New Roman" w:cs="Arial"/>
          <w:b/>
          <w:bCs/>
          <w:lang w:eastAsia="cs-CZ"/>
        </w:rPr>
      </w:pPr>
      <w:r w:rsidRPr="004B38B9">
        <w:rPr>
          <w:rFonts w:eastAsia="Times New Roman" w:cs="Arial"/>
          <w:b/>
          <w:bCs/>
          <w:lang w:eastAsia="cs-CZ"/>
        </w:rPr>
        <w:t>Nová strategická agenda 2019–2024 (z června 2019)</w:t>
      </w:r>
    </w:p>
    <w:p w14:paraId="19EE1480" w14:textId="77777777" w:rsidR="00A364A4" w:rsidRPr="0008370C" w:rsidRDefault="00A364A4" w:rsidP="00A364A4">
      <w:pPr>
        <w:pStyle w:val="Odstavecseseznamem"/>
        <w:numPr>
          <w:ilvl w:val="1"/>
          <w:numId w:val="33"/>
        </w:numPr>
        <w:spacing w:after="60" w:line="360" w:lineRule="auto"/>
        <w:jc w:val="both"/>
        <w:rPr>
          <w:rFonts w:eastAsia="Times New Roman" w:cs="Arial"/>
          <w:bCs/>
          <w:lang w:eastAsia="cs-CZ"/>
        </w:rPr>
      </w:pPr>
      <w:r>
        <w:rPr>
          <w:rFonts w:eastAsia="Times New Roman" w:cs="Arial"/>
          <w:bCs/>
          <w:lang w:eastAsia="cs-CZ"/>
        </w:rPr>
        <w:t>zaměřuje</w:t>
      </w:r>
      <w:r w:rsidRPr="0008370C">
        <w:rPr>
          <w:rFonts w:eastAsia="Times New Roman" w:cs="Arial"/>
          <w:bCs/>
          <w:lang w:eastAsia="cs-CZ"/>
        </w:rPr>
        <w:t xml:space="preserve"> se na naléhavou potřebu navýšit investice do dovedností a vzdělávání lidí, více podporovat podnikání a inovace a posílit výzkumné úsilí, a to zejména řešením problému roztříštěnosti evropského </w:t>
      </w:r>
      <w:proofErr w:type="spellStart"/>
      <w:r w:rsidRPr="0008370C">
        <w:rPr>
          <w:rFonts w:eastAsia="Times New Roman" w:cs="Arial"/>
          <w:bCs/>
          <w:lang w:eastAsia="cs-CZ"/>
        </w:rPr>
        <w:t>VaVaI</w:t>
      </w:r>
      <w:proofErr w:type="spellEnd"/>
    </w:p>
    <w:p w14:paraId="5D953902" w14:textId="77777777" w:rsidR="00A364A4" w:rsidRDefault="00A364A4" w:rsidP="00A364A4">
      <w:pPr>
        <w:pStyle w:val="Odstavecseseznamem"/>
        <w:numPr>
          <w:ilvl w:val="0"/>
          <w:numId w:val="33"/>
        </w:numPr>
        <w:spacing w:after="60" w:line="360" w:lineRule="auto"/>
        <w:ind w:left="851"/>
        <w:jc w:val="both"/>
        <w:rPr>
          <w:rFonts w:eastAsia="Times New Roman" w:cs="Arial"/>
          <w:b/>
          <w:lang w:eastAsia="cs-CZ"/>
        </w:rPr>
      </w:pPr>
      <w:r w:rsidRPr="004B38B9">
        <w:rPr>
          <w:rFonts w:eastAsia="Times New Roman" w:cs="Arial"/>
          <w:b/>
          <w:lang w:eastAsia="cs-CZ"/>
        </w:rPr>
        <w:t>Politika soudržnosti | na léta 2021–2027</w:t>
      </w:r>
    </w:p>
    <w:p w14:paraId="40B8D8A5" w14:textId="77777777" w:rsidR="00A364A4" w:rsidRPr="00AD4469" w:rsidRDefault="00A364A4" w:rsidP="00A364A4">
      <w:pPr>
        <w:pStyle w:val="Odstavecseseznamem"/>
        <w:numPr>
          <w:ilvl w:val="1"/>
          <w:numId w:val="33"/>
        </w:numPr>
        <w:spacing w:after="60" w:line="360" w:lineRule="auto"/>
        <w:jc w:val="both"/>
        <w:rPr>
          <w:rFonts w:eastAsia="Times New Roman" w:cs="Arial"/>
          <w:lang w:eastAsia="cs-CZ"/>
        </w:rPr>
      </w:pPr>
      <w:r>
        <w:rPr>
          <w:rFonts w:eastAsia="Times New Roman" w:cs="Arial"/>
          <w:lang w:eastAsia="cs-CZ"/>
        </w:rPr>
        <w:t>z</w:t>
      </w:r>
      <w:r w:rsidRPr="00AD4469">
        <w:rPr>
          <w:rFonts w:eastAsia="Times New Roman" w:cs="Arial"/>
          <w:lang w:eastAsia="cs-CZ"/>
        </w:rPr>
        <w:t>aměřuje se na významnou podporu výzkumu a</w:t>
      </w:r>
      <w:r>
        <w:rPr>
          <w:rFonts w:eastAsia="Times New Roman" w:cs="Arial"/>
          <w:lang w:eastAsia="cs-CZ"/>
        </w:rPr>
        <w:t xml:space="preserve"> inovací a digitální nerovnosti</w:t>
      </w:r>
      <w:r w:rsidRPr="00AD4469">
        <w:rPr>
          <w:rFonts w:eastAsia="Times New Roman" w:cs="Arial"/>
          <w:lang w:eastAsia="cs-CZ"/>
        </w:rPr>
        <w:t xml:space="preserve"> s cílem vybudovat inteligentnější a konkurenceschopnější Evropu</w:t>
      </w:r>
    </w:p>
    <w:p w14:paraId="0E5C0065" w14:textId="77777777" w:rsidR="00A364A4" w:rsidRDefault="00A364A4" w:rsidP="00A364A4">
      <w:pPr>
        <w:pStyle w:val="Odstavecseseznamem"/>
        <w:numPr>
          <w:ilvl w:val="0"/>
          <w:numId w:val="33"/>
        </w:numPr>
        <w:spacing w:after="60" w:line="360" w:lineRule="auto"/>
        <w:ind w:left="851"/>
        <w:jc w:val="both"/>
        <w:rPr>
          <w:rFonts w:eastAsia="Times New Roman" w:cs="Arial"/>
          <w:b/>
          <w:lang w:eastAsia="cs-CZ"/>
        </w:rPr>
      </w:pPr>
      <w:r w:rsidRPr="004B38B9">
        <w:rPr>
          <w:rFonts w:eastAsia="Times New Roman" w:cs="Arial"/>
          <w:b/>
          <w:lang w:eastAsia="cs-CZ"/>
        </w:rPr>
        <w:t>Horizont Evropa | na léta 2021–2027</w:t>
      </w:r>
    </w:p>
    <w:p w14:paraId="7A87DCFB" w14:textId="77777777" w:rsidR="00A364A4" w:rsidRPr="00AD4469" w:rsidRDefault="00A364A4" w:rsidP="00A364A4">
      <w:pPr>
        <w:pStyle w:val="Odstavecseseznamem"/>
        <w:numPr>
          <w:ilvl w:val="1"/>
          <w:numId w:val="33"/>
        </w:numPr>
        <w:spacing w:after="60" w:line="360" w:lineRule="auto"/>
        <w:jc w:val="both"/>
        <w:rPr>
          <w:rFonts w:eastAsia="Times New Roman" w:cs="Arial"/>
          <w:lang w:eastAsia="cs-CZ"/>
        </w:rPr>
      </w:pPr>
      <w:r>
        <w:rPr>
          <w:rFonts w:eastAsia="Times New Roman" w:cs="Arial"/>
          <w:lang w:eastAsia="cs-CZ"/>
        </w:rPr>
        <w:t>je</w:t>
      </w:r>
      <w:r w:rsidRPr="00AD4469">
        <w:rPr>
          <w:rFonts w:eastAsia="Times New Roman" w:cs="Arial"/>
          <w:lang w:eastAsia="cs-CZ"/>
        </w:rPr>
        <w:t xml:space="preserve"> stěžejním nástrojem pro posílení výzkumu, inovací a konkurenceschopnosti firem, zejména malých a středních podniků v Evropě; do jisté míry tak ovlivňuje i</w:t>
      </w:r>
      <w:r>
        <w:rPr>
          <w:rFonts w:eastAsia="Times New Roman" w:cs="Arial"/>
          <w:lang w:eastAsia="cs-CZ"/>
        </w:rPr>
        <w:t> </w:t>
      </w:r>
      <w:r w:rsidRPr="00AD4469">
        <w:rPr>
          <w:rFonts w:eastAsia="Times New Roman" w:cs="Arial"/>
          <w:lang w:eastAsia="cs-CZ"/>
        </w:rPr>
        <w:t xml:space="preserve">směřování </w:t>
      </w:r>
      <w:proofErr w:type="spellStart"/>
      <w:r w:rsidRPr="00AD4469">
        <w:rPr>
          <w:rFonts w:eastAsia="Times New Roman" w:cs="Arial"/>
          <w:lang w:eastAsia="cs-CZ"/>
        </w:rPr>
        <w:t>VaVaI</w:t>
      </w:r>
      <w:proofErr w:type="spellEnd"/>
      <w:r w:rsidRPr="00AD4469">
        <w:rPr>
          <w:rFonts w:eastAsia="Times New Roman" w:cs="Arial"/>
          <w:lang w:eastAsia="cs-CZ"/>
        </w:rPr>
        <w:t xml:space="preserve"> v ČR</w:t>
      </w:r>
    </w:p>
    <w:p w14:paraId="49359586" w14:textId="77777777" w:rsidR="00A364A4" w:rsidRDefault="00A364A4" w:rsidP="00A364A4">
      <w:pPr>
        <w:pStyle w:val="Odstavecseseznamem"/>
        <w:keepNext/>
        <w:numPr>
          <w:ilvl w:val="0"/>
          <w:numId w:val="33"/>
        </w:numPr>
        <w:spacing w:after="60" w:line="360" w:lineRule="auto"/>
        <w:ind w:left="851"/>
        <w:jc w:val="both"/>
        <w:rPr>
          <w:rFonts w:eastAsia="Times New Roman" w:cs="Arial"/>
          <w:b/>
          <w:lang w:eastAsia="cs-CZ"/>
        </w:rPr>
      </w:pPr>
      <w:r w:rsidRPr="004B38B9">
        <w:rPr>
          <w:rFonts w:eastAsia="Times New Roman" w:cs="Arial"/>
          <w:b/>
          <w:lang w:eastAsia="cs-CZ"/>
        </w:rPr>
        <w:lastRenderedPageBreak/>
        <w:t>Program Digitální Evropa | na léta 2021–2027</w:t>
      </w:r>
    </w:p>
    <w:p w14:paraId="63583108" w14:textId="78E845D3" w:rsidR="00E22214" w:rsidRDefault="00A364A4" w:rsidP="00A364A4">
      <w:pPr>
        <w:pStyle w:val="Odstavecseseznamem"/>
        <w:keepNext/>
        <w:numPr>
          <w:ilvl w:val="1"/>
          <w:numId w:val="33"/>
        </w:numPr>
        <w:spacing w:after="60" w:line="360" w:lineRule="auto"/>
        <w:jc w:val="both"/>
        <w:rPr>
          <w:rFonts w:eastAsia="Times New Roman" w:cs="Arial"/>
          <w:lang w:eastAsia="cs-CZ"/>
        </w:rPr>
      </w:pPr>
      <w:r>
        <w:rPr>
          <w:rFonts w:eastAsia="Times New Roman" w:cs="Arial"/>
          <w:lang w:eastAsia="cs-CZ"/>
        </w:rPr>
        <w:t>zaměřuje</w:t>
      </w:r>
      <w:r w:rsidRPr="00AD4469">
        <w:rPr>
          <w:rFonts w:eastAsia="Times New Roman" w:cs="Arial"/>
          <w:lang w:eastAsia="cs-CZ"/>
        </w:rPr>
        <w:t xml:space="preserve"> se na oblasti, jako jsou vysoce výkonná výpočetní technika, umělá inteligence, kybernetická bezpečnost, rozvoj digitálních dovedností a digitalizace v oblastech zájmu.</w:t>
      </w:r>
    </w:p>
    <w:p w14:paraId="1645F928" w14:textId="77777777" w:rsidR="00A364A4" w:rsidRPr="00F23A06" w:rsidRDefault="00A364A4" w:rsidP="00F23A06">
      <w:pPr>
        <w:jc w:val="both"/>
        <w:rPr>
          <w:rFonts w:asciiTheme="majorHAnsi" w:eastAsia="Times New Roman" w:hAnsiTheme="majorHAnsi" w:cs="Arial"/>
          <w:b/>
          <w:bCs/>
          <w:smallCaps/>
          <w:color w:val="365F91"/>
          <w:sz w:val="30"/>
          <w:lang w:eastAsia="cs-CZ"/>
        </w:rPr>
      </w:pPr>
      <w:r w:rsidRPr="00F23A06">
        <w:rPr>
          <w:rFonts w:asciiTheme="majorHAnsi" w:eastAsia="Times New Roman" w:hAnsiTheme="majorHAnsi" w:cs="Arial"/>
          <w:b/>
          <w:bCs/>
          <w:smallCaps/>
          <w:color w:val="365F91"/>
          <w:sz w:val="30"/>
          <w:lang w:eastAsia="cs-CZ"/>
        </w:rPr>
        <w:t xml:space="preserve">Hlavní evropské vize a doporučení pro oblast </w:t>
      </w:r>
      <w:proofErr w:type="spellStart"/>
      <w:r w:rsidRPr="00F23A06">
        <w:rPr>
          <w:rFonts w:asciiTheme="majorHAnsi" w:eastAsia="Times New Roman" w:hAnsiTheme="majorHAnsi" w:cs="Arial"/>
          <w:b/>
          <w:bCs/>
          <w:smallCaps/>
          <w:color w:val="365F91"/>
          <w:sz w:val="30"/>
          <w:lang w:eastAsia="cs-CZ"/>
        </w:rPr>
        <w:t>VaVaI</w:t>
      </w:r>
      <w:proofErr w:type="spellEnd"/>
      <w:r w:rsidRPr="00F23A06">
        <w:rPr>
          <w:rFonts w:asciiTheme="majorHAnsi" w:eastAsia="Times New Roman" w:hAnsiTheme="majorHAnsi" w:cs="Arial"/>
          <w:b/>
          <w:bCs/>
          <w:smallCaps/>
          <w:color w:val="365F91"/>
          <w:sz w:val="30"/>
          <w:lang w:eastAsia="cs-CZ"/>
        </w:rPr>
        <w:t xml:space="preserve">: </w:t>
      </w:r>
      <w:proofErr w:type="spellStart"/>
      <w:r w:rsidRPr="00F23A06">
        <w:rPr>
          <w:rFonts w:asciiTheme="majorHAnsi" w:eastAsia="Times New Roman" w:hAnsiTheme="majorHAnsi" w:cs="Arial"/>
          <w:b/>
          <w:bCs/>
          <w:smallCaps/>
          <w:color w:val="365F91"/>
          <w:sz w:val="30"/>
          <w:lang w:eastAsia="cs-CZ"/>
        </w:rPr>
        <w:t>Letta</w:t>
      </w:r>
      <w:proofErr w:type="spellEnd"/>
      <w:r w:rsidRPr="00F23A06">
        <w:rPr>
          <w:rFonts w:asciiTheme="majorHAnsi" w:eastAsia="Times New Roman" w:hAnsiTheme="majorHAnsi" w:cs="Arial"/>
          <w:b/>
          <w:bCs/>
          <w:smallCaps/>
          <w:color w:val="365F91"/>
          <w:sz w:val="30"/>
          <w:lang w:eastAsia="cs-CZ"/>
        </w:rPr>
        <w:t xml:space="preserve">, </w:t>
      </w:r>
      <w:proofErr w:type="spellStart"/>
      <w:r w:rsidRPr="00F23A06">
        <w:rPr>
          <w:rFonts w:asciiTheme="majorHAnsi" w:eastAsia="Times New Roman" w:hAnsiTheme="majorHAnsi" w:cs="Arial"/>
          <w:b/>
          <w:bCs/>
          <w:smallCaps/>
          <w:color w:val="365F91"/>
          <w:sz w:val="30"/>
          <w:lang w:eastAsia="cs-CZ"/>
        </w:rPr>
        <w:t>Draghi</w:t>
      </w:r>
      <w:proofErr w:type="spellEnd"/>
      <w:r w:rsidRPr="00F23A06">
        <w:rPr>
          <w:rFonts w:asciiTheme="majorHAnsi" w:eastAsia="Times New Roman" w:hAnsiTheme="majorHAnsi" w:cs="Arial"/>
          <w:b/>
          <w:bCs/>
          <w:smallCaps/>
          <w:color w:val="365F91"/>
          <w:sz w:val="30"/>
          <w:lang w:eastAsia="cs-CZ"/>
        </w:rPr>
        <w:t xml:space="preserve">, </w:t>
      </w:r>
      <w:proofErr w:type="spellStart"/>
      <w:r w:rsidRPr="00F23A06">
        <w:rPr>
          <w:rFonts w:asciiTheme="majorHAnsi" w:eastAsia="Times New Roman" w:hAnsiTheme="majorHAnsi" w:cs="Arial"/>
          <w:b/>
          <w:bCs/>
          <w:smallCaps/>
          <w:color w:val="365F91"/>
          <w:sz w:val="30"/>
          <w:lang w:eastAsia="cs-CZ"/>
        </w:rPr>
        <w:t>Heitor</w:t>
      </w:r>
      <w:proofErr w:type="spellEnd"/>
      <w:r w:rsidRPr="00F23A06">
        <w:rPr>
          <w:rFonts w:asciiTheme="majorHAnsi" w:eastAsia="Times New Roman" w:hAnsiTheme="majorHAnsi" w:cs="Arial"/>
          <w:b/>
          <w:bCs/>
          <w:smallCaps/>
          <w:color w:val="365F91"/>
          <w:sz w:val="30"/>
          <w:lang w:eastAsia="cs-CZ"/>
        </w:rPr>
        <w:t xml:space="preserve"> </w:t>
      </w:r>
    </w:p>
    <w:p w14:paraId="15743805" w14:textId="037A72D9" w:rsidR="00A364A4" w:rsidRPr="00A364A4" w:rsidRDefault="00A364A4" w:rsidP="007D2BE6">
      <w:pPr>
        <w:spacing w:after="240" w:line="360" w:lineRule="auto"/>
        <w:ind w:firstLine="709"/>
        <w:jc w:val="both"/>
        <w:rPr>
          <w:rFonts w:eastAsia="Times New Roman" w:cs="Arial"/>
          <w:bCs/>
          <w:lang w:eastAsia="cs-CZ"/>
        </w:rPr>
      </w:pPr>
      <w:r w:rsidRPr="00A364A4">
        <w:rPr>
          <w:rFonts w:eastAsia="Times New Roman" w:cs="Arial"/>
          <w:bCs/>
          <w:lang w:eastAsia="cs-CZ"/>
        </w:rPr>
        <w:t xml:space="preserve">V roce 2024 představila Evropská unie tři klíčové strategické zprávy, které se zaměřují na strukturální a strategické posílení vnitřního trhu EU a zásadně ovlivňují směřování evropského </w:t>
      </w:r>
      <w:proofErr w:type="spellStart"/>
      <w:r w:rsidRPr="00A364A4">
        <w:rPr>
          <w:rFonts w:eastAsia="Times New Roman" w:cs="Arial"/>
          <w:bCs/>
          <w:lang w:eastAsia="cs-CZ"/>
        </w:rPr>
        <w:t>VaVaI</w:t>
      </w:r>
      <w:proofErr w:type="spellEnd"/>
      <w:r w:rsidRPr="00A364A4">
        <w:rPr>
          <w:rFonts w:eastAsia="Times New Roman" w:cs="Arial"/>
          <w:bCs/>
          <w:lang w:eastAsia="cs-CZ"/>
        </w:rPr>
        <w:t xml:space="preserve">. </w:t>
      </w:r>
    </w:p>
    <w:p w14:paraId="39493195" w14:textId="76CC29A1" w:rsidR="00A364A4" w:rsidRPr="00A364A4" w:rsidRDefault="00A364A4" w:rsidP="00A364A4">
      <w:pPr>
        <w:spacing w:after="60" w:line="360" w:lineRule="auto"/>
        <w:jc w:val="both"/>
        <w:rPr>
          <w:rFonts w:eastAsia="Times New Roman" w:cs="Arial"/>
          <w:b/>
          <w:lang w:eastAsia="cs-CZ"/>
        </w:rPr>
      </w:pPr>
      <w:r w:rsidRPr="00A364A4">
        <w:rPr>
          <w:rFonts w:eastAsia="Times New Roman" w:cs="Arial"/>
          <w:b/>
          <w:lang w:eastAsia="cs-CZ"/>
        </w:rPr>
        <w:t xml:space="preserve">Zpráva Enrica </w:t>
      </w:r>
      <w:proofErr w:type="spellStart"/>
      <w:r w:rsidRPr="00A364A4">
        <w:rPr>
          <w:rFonts w:eastAsia="Times New Roman" w:cs="Arial"/>
          <w:b/>
          <w:lang w:eastAsia="cs-CZ"/>
        </w:rPr>
        <w:t>Letty</w:t>
      </w:r>
      <w:proofErr w:type="spellEnd"/>
      <w:r w:rsidRPr="00A364A4">
        <w:rPr>
          <w:rFonts w:eastAsia="Times New Roman" w:cs="Arial"/>
          <w:b/>
          <w:lang w:eastAsia="cs-CZ"/>
        </w:rPr>
        <w:t xml:space="preserve">: Much More </w:t>
      </w:r>
      <w:proofErr w:type="spellStart"/>
      <w:r w:rsidRPr="00A364A4">
        <w:rPr>
          <w:rFonts w:eastAsia="Times New Roman" w:cs="Arial"/>
          <w:b/>
          <w:lang w:eastAsia="cs-CZ"/>
        </w:rPr>
        <w:t>Than</w:t>
      </w:r>
      <w:proofErr w:type="spellEnd"/>
      <w:r w:rsidRPr="00A364A4">
        <w:rPr>
          <w:rFonts w:eastAsia="Times New Roman" w:cs="Arial"/>
          <w:b/>
          <w:lang w:eastAsia="cs-CZ"/>
        </w:rPr>
        <w:t xml:space="preserve"> a Market: Speed, </w:t>
      </w:r>
      <w:proofErr w:type="spellStart"/>
      <w:r w:rsidRPr="00A364A4">
        <w:rPr>
          <w:rFonts w:eastAsia="Times New Roman" w:cs="Arial"/>
          <w:b/>
          <w:lang w:eastAsia="cs-CZ"/>
        </w:rPr>
        <w:t>Security</w:t>
      </w:r>
      <w:proofErr w:type="spellEnd"/>
      <w:r w:rsidRPr="00A364A4">
        <w:rPr>
          <w:rFonts w:eastAsia="Times New Roman" w:cs="Arial"/>
          <w:b/>
          <w:lang w:eastAsia="cs-CZ"/>
        </w:rPr>
        <w:t>, Solidarity (duben 2024)</w:t>
      </w:r>
    </w:p>
    <w:p w14:paraId="7C998826" w14:textId="36E78F01" w:rsidR="00A364A4" w:rsidRPr="00A364A4" w:rsidRDefault="00A364A4" w:rsidP="00A364A4">
      <w:pPr>
        <w:spacing w:after="240" w:line="360" w:lineRule="auto"/>
        <w:ind w:firstLine="709"/>
        <w:jc w:val="both"/>
        <w:rPr>
          <w:rFonts w:eastAsia="Times New Roman" w:cs="Arial"/>
          <w:lang w:eastAsia="cs-CZ"/>
        </w:rPr>
      </w:pPr>
      <w:r w:rsidRPr="00A364A4">
        <w:rPr>
          <w:rFonts w:cs="Arial"/>
        </w:rPr>
        <w:t xml:space="preserve">Zpráva bývalého italského premiéra Enrica </w:t>
      </w:r>
      <w:proofErr w:type="spellStart"/>
      <w:r w:rsidRPr="00A364A4">
        <w:rPr>
          <w:rFonts w:cs="Arial"/>
        </w:rPr>
        <w:t>Letty</w:t>
      </w:r>
      <w:proofErr w:type="spellEnd"/>
      <w:r w:rsidRPr="00A364A4">
        <w:rPr>
          <w:rFonts w:cs="Arial"/>
          <w:b/>
          <w:bCs/>
        </w:rPr>
        <w:t xml:space="preserve"> </w:t>
      </w:r>
      <w:r w:rsidRPr="00A364A4">
        <w:rPr>
          <w:rFonts w:cs="Arial"/>
        </w:rPr>
        <w:t>o budoucnosti vnitřního trhu EU</w:t>
      </w:r>
      <w:r w:rsidRPr="00A364A4">
        <w:rPr>
          <w:rFonts w:cs="Arial"/>
          <w:b/>
          <w:bCs/>
        </w:rPr>
        <w:t xml:space="preserve"> </w:t>
      </w:r>
      <w:r w:rsidRPr="00A364A4">
        <w:rPr>
          <w:rFonts w:cs="Arial"/>
        </w:rPr>
        <w:t xml:space="preserve">vedle stávajících čtyř svobod (osob, služeb, zboží, kapitálu) navrhuje pátou svobodu – </w:t>
      </w:r>
      <w:r w:rsidRPr="00A364A4">
        <w:rPr>
          <w:rFonts w:cs="Arial"/>
          <w:b/>
          <w:bCs/>
        </w:rPr>
        <w:t>volný pohyb výzkumu, inovací a vzdělávání</w:t>
      </w:r>
      <w:r w:rsidRPr="00A364A4">
        <w:rPr>
          <w:rFonts w:cs="Arial"/>
        </w:rPr>
        <w:t xml:space="preserve">. Tato svoboda má propojit výzkumné, inovační a vzdělávací ekosystémy, a tím posílit strategickou autonomii a konkurenceschopnost EU v globálním měřítku. Nutným předpokladem tohoto jednotného prostoru je podpora startupů, </w:t>
      </w:r>
      <w:proofErr w:type="spellStart"/>
      <w:r w:rsidRPr="00A364A4">
        <w:rPr>
          <w:rFonts w:cs="Arial"/>
        </w:rPr>
        <w:t>scale-upů</w:t>
      </w:r>
      <w:proofErr w:type="spellEnd"/>
      <w:r w:rsidRPr="00A364A4">
        <w:rPr>
          <w:rFonts w:cs="Arial"/>
        </w:rPr>
        <w:t xml:space="preserve">, </w:t>
      </w:r>
      <w:r w:rsidR="009D2B3A">
        <w:rPr>
          <w:rFonts w:cs="Arial"/>
        </w:rPr>
        <w:t>malých a středních podniků (</w:t>
      </w:r>
      <w:r w:rsidRPr="00A364A4">
        <w:rPr>
          <w:rFonts w:cs="Arial"/>
        </w:rPr>
        <w:t>MSP</w:t>
      </w:r>
      <w:r w:rsidR="009D2B3A">
        <w:rPr>
          <w:rFonts w:cs="Arial"/>
        </w:rPr>
        <w:t>)</w:t>
      </w:r>
      <w:r w:rsidRPr="00A364A4">
        <w:rPr>
          <w:rFonts w:cs="Arial"/>
        </w:rPr>
        <w:t xml:space="preserve"> a partnerství veřejného a soukromého sektoru (PPP). Součástí navrhovaných opatření jsou mimo jiné Unie úspor a investic či cílené inovace do digitálních a zelených technologií.</w:t>
      </w:r>
    </w:p>
    <w:p w14:paraId="382F1AE5" w14:textId="77777777" w:rsidR="00A364A4" w:rsidRDefault="00A364A4" w:rsidP="00A364A4">
      <w:pPr>
        <w:spacing w:after="60" w:line="360" w:lineRule="auto"/>
        <w:jc w:val="both"/>
        <w:rPr>
          <w:rFonts w:eastAsia="Times New Roman" w:cs="Arial"/>
          <w:b/>
          <w:lang w:eastAsia="cs-CZ"/>
        </w:rPr>
      </w:pPr>
      <w:r>
        <w:rPr>
          <w:rFonts w:eastAsia="Times New Roman" w:cs="Arial"/>
          <w:b/>
          <w:lang w:eastAsia="cs-CZ"/>
        </w:rPr>
        <w:t xml:space="preserve">Zpráva Maria </w:t>
      </w:r>
      <w:proofErr w:type="spellStart"/>
      <w:r>
        <w:rPr>
          <w:rFonts w:eastAsia="Times New Roman" w:cs="Arial"/>
          <w:b/>
          <w:lang w:eastAsia="cs-CZ"/>
        </w:rPr>
        <w:t>Draghiho</w:t>
      </w:r>
      <w:proofErr w:type="spellEnd"/>
      <w:r w:rsidRPr="00B82AC8">
        <w:rPr>
          <w:rFonts w:eastAsia="Times New Roman" w:cs="Arial"/>
          <w:b/>
          <w:lang w:eastAsia="cs-CZ"/>
        </w:rPr>
        <w:t xml:space="preserve">: </w:t>
      </w:r>
      <w:proofErr w:type="spellStart"/>
      <w:r w:rsidRPr="00B82AC8">
        <w:rPr>
          <w:rFonts w:eastAsia="Times New Roman" w:cs="Arial"/>
          <w:b/>
          <w:lang w:eastAsia="cs-CZ"/>
        </w:rPr>
        <w:t>The</w:t>
      </w:r>
      <w:proofErr w:type="spellEnd"/>
      <w:r w:rsidRPr="00B82AC8">
        <w:rPr>
          <w:rFonts w:eastAsia="Times New Roman" w:cs="Arial"/>
          <w:b/>
          <w:lang w:eastAsia="cs-CZ"/>
        </w:rPr>
        <w:t xml:space="preserve"> </w:t>
      </w:r>
      <w:proofErr w:type="spellStart"/>
      <w:r w:rsidRPr="00B82AC8">
        <w:rPr>
          <w:rFonts w:eastAsia="Times New Roman" w:cs="Arial"/>
          <w:b/>
          <w:lang w:eastAsia="cs-CZ"/>
        </w:rPr>
        <w:t>Future</w:t>
      </w:r>
      <w:proofErr w:type="spellEnd"/>
      <w:r w:rsidRPr="00B82AC8">
        <w:rPr>
          <w:rFonts w:eastAsia="Times New Roman" w:cs="Arial"/>
          <w:b/>
          <w:lang w:eastAsia="cs-CZ"/>
        </w:rPr>
        <w:t xml:space="preserve"> </w:t>
      </w:r>
      <w:proofErr w:type="spellStart"/>
      <w:r w:rsidRPr="00B82AC8">
        <w:rPr>
          <w:rFonts w:eastAsia="Times New Roman" w:cs="Arial"/>
          <w:b/>
          <w:lang w:eastAsia="cs-CZ"/>
        </w:rPr>
        <w:t>of</w:t>
      </w:r>
      <w:proofErr w:type="spellEnd"/>
      <w:r w:rsidRPr="00B82AC8">
        <w:rPr>
          <w:rFonts w:eastAsia="Times New Roman" w:cs="Arial"/>
          <w:b/>
          <w:lang w:eastAsia="cs-CZ"/>
        </w:rPr>
        <w:t xml:space="preserve"> </w:t>
      </w:r>
      <w:proofErr w:type="spellStart"/>
      <w:r w:rsidRPr="00B82AC8">
        <w:rPr>
          <w:rFonts w:eastAsia="Times New Roman" w:cs="Arial"/>
          <w:b/>
          <w:lang w:eastAsia="cs-CZ"/>
        </w:rPr>
        <w:t>European</w:t>
      </w:r>
      <w:proofErr w:type="spellEnd"/>
      <w:r w:rsidRPr="00B82AC8">
        <w:rPr>
          <w:rFonts w:eastAsia="Times New Roman" w:cs="Arial"/>
          <w:b/>
          <w:lang w:eastAsia="cs-CZ"/>
        </w:rPr>
        <w:t xml:space="preserve"> </w:t>
      </w:r>
      <w:proofErr w:type="spellStart"/>
      <w:r w:rsidRPr="00B82AC8">
        <w:rPr>
          <w:rFonts w:eastAsia="Times New Roman" w:cs="Arial"/>
          <w:b/>
          <w:lang w:eastAsia="cs-CZ"/>
        </w:rPr>
        <w:t>Competitiveness</w:t>
      </w:r>
      <w:proofErr w:type="spellEnd"/>
      <w:r w:rsidRPr="00B82AC8">
        <w:rPr>
          <w:rFonts w:eastAsia="Times New Roman" w:cs="Arial"/>
          <w:b/>
          <w:lang w:eastAsia="cs-CZ"/>
        </w:rPr>
        <w:t xml:space="preserve"> (září 2024)</w:t>
      </w:r>
    </w:p>
    <w:p w14:paraId="26848858" w14:textId="03B526D9" w:rsidR="00A364A4" w:rsidRPr="00A364A4" w:rsidRDefault="00A364A4" w:rsidP="007D2BE6">
      <w:pPr>
        <w:spacing w:after="240" w:line="360" w:lineRule="auto"/>
        <w:ind w:firstLine="709"/>
        <w:jc w:val="both"/>
        <w:rPr>
          <w:rFonts w:cs="Arial"/>
        </w:rPr>
      </w:pPr>
      <w:r w:rsidRPr="007B48A4">
        <w:rPr>
          <w:rFonts w:cs="Arial"/>
        </w:rPr>
        <w:t>Zpráva bývalého italského premiéra </w:t>
      </w:r>
      <w:r>
        <w:rPr>
          <w:rFonts w:cs="Arial"/>
        </w:rPr>
        <w:t xml:space="preserve">Maria </w:t>
      </w:r>
      <w:proofErr w:type="spellStart"/>
      <w:r>
        <w:rPr>
          <w:rFonts w:cs="Arial"/>
        </w:rPr>
        <w:t>Draghiho</w:t>
      </w:r>
      <w:proofErr w:type="spellEnd"/>
      <w:r>
        <w:rPr>
          <w:rFonts w:cs="Arial"/>
        </w:rPr>
        <w:t xml:space="preserve"> o konkurenceschopnosti Evropy upozorňuje na pomalý hospodářský růst a zaostávání Evropy za USA a Čínou. Definuje tři klíčové oblasti pro obnovení udržitelného růstu: 1) </w:t>
      </w:r>
      <w:r w:rsidRPr="00D94924">
        <w:rPr>
          <w:rFonts w:cs="Arial"/>
          <w:b/>
          <w:bCs/>
        </w:rPr>
        <w:t>uzavření inovační mezery</w:t>
      </w:r>
      <w:r>
        <w:rPr>
          <w:rFonts w:cs="Arial"/>
        </w:rPr>
        <w:t xml:space="preserve"> (zejména v pokročilých technologiích, AI apod.), 2) </w:t>
      </w:r>
      <w:r w:rsidRPr="00D94924">
        <w:rPr>
          <w:rFonts w:cs="Arial"/>
          <w:b/>
          <w:bCs/>
        </w:rPr>
        <w:t>společný plán dekarbonizace a konkurenceschopnosti</w:t>
      </w:r>
      <w:r>
        <w:rPr>
          <w:rFonts w:cs="Arial"/>
        </w:rPr>
        <w:t xml:space="preserve"> a 3) </w:t>
      </w:r>
      <w:r w:rsidRPr="00D94924">
        <w:rPr>
          <w:rFonts w:cs="Arial"/>
          <w:b/>
          <w:bCs/>
        </w:rPr>
        <w:t>zvýšení bezpečnosti a snížení závislostí</w:t>
      </w:r>
      <w:r>
        <w:rPr>
          <w:rFonts w:cs="Arial"/>
        </w:rPr>
        <w:t xml:space="preserve">. </w:t>
      </w:r>
      <w:proofErr w:type="spellStart"/>
      <w:r>
        <w:rPr>
          <w:rFonts w:cs="Arial"/>
        </w:rPr>
        <w:t>VaVaI</w:t>
      </w:r>
      <w:proofErr w:type="spellEnd"/>
      <w:r>
        <w:rPr>
          <w:rFonts w:cs="Arial"/>
        </w:rPr>
        <w:t xml:space="preserve"> tvoří nedílnou součást </w:t>
      </w:r>
      <w:proofErr w:type="spellStart"/>
      <w:r>
        <w:rPr>
          <w:rFonts w:cs="Arial"/>
        </w:rPr>
        <w:t>Draghiho</w:t>
      </w:r>
      <w:proofErr w:type="spellEnd"/>
      <w:r>
        <w:rPr>
          <w:rFonts w:cs="Arial"/>
        </w:rPr>
        <w:t xml:space="preserve"> vize. Doporučuje např. zdvojnásobit rozpočet rámcového programu FP10 na cca 200 mld. EUR, odblokovat investice a poskytnout příležitosti pro vzdělávání v nových technologiích. V září 2025, tedy rok po zveřejnění zprávy, se Mario </w:t>
      </w:r>
      <w:proofErr w:type="spellStart"/>
      <w:r>
        <w:rPr>
          <w:rFonts w:cs="Arial"/>
        </w:rPr>
        <w:t>Draghi</w:t>
      </w:r>
      <w:proofErr w:type="spellEnd"/>
      <w:r>
        <w:rPr>
          <w:rFonts w:cs="Arial"/>
        </w:rPr>
        <w:t xml:space="preserve"> kriticky vyjádřil k nečinnosti EU.</w:t>
      </w:r>
    </w:p>
    <w:p w14:paraId="285E1542" w14:textId="77777777" w:rsidR="00A364A4" w:rsidRDefault="00A364A4" w:rsidP="00A364A4">
      <w:pPr>
        <w:spacing w:after="60" w:line="360" w:lineRule="auto"/>
        <w:jc w:val="both"/>
        <w:rPr>
          <w:rFonts w:eastAsia="Times New Roman" w:cs="Arial"/>
          <w:b/>
          <w:bCs/>
          <w:lang w:eastAsia="cs-CZ"/>
        </w:rPr>
      </w:pPr>
      <w:r w:rsidRPr="000D5547">
        <w:rPr>
          <w:rFonts w:eastAsia="Times New Roman" w:cs="Arial"/>
          <w:b/>
          <w:lang w:eastAsia="cs-CZ"/>
        </w:rPr>
        <w:t xml:space="preserve">Zpráva </w:t>
      </w:r>
      <w:r w:rsidRPr="000D5547">
        <w:rPr>
          <w:rFonts w:eastAsia="Times New Roman" w:cs="Arial"/>
          <w:b/>
          <w:bCs/>
          <w:lang w:eastAsia="cs-CZ"/>
        </w:rPr>
        <w:t xml:space="preserve">Manuela </w:t>
      </w:r>
      <w:proofErr w:type="spellStart"/>
      <w:r w:rsidRPr="000D5547">
        <w:rPr>
          <w:rFonts w:eastAsia="Times New Roman" w:cs="Arial"/>
          <w:b/>
          <w:bCs/>
          <w:lang w:eastAsia="cs-CZ"/>
        </w:rPr>
        <w:t>Heitora</w:t>
      </w:r>
      <w:proofErr w:type="spellEnd"/>
      <w:r>
        <w:rPr>
          <w:rFonts w:eastAsia="Times New Roman" w:cs="Arial"/>
          <w:b/>
          <w:bCs/>
          <w:lang w:eastAsia="cs-CZ"/>
        </w:rPr>
        <w:t xml:space="preserve">: </w:t>
      </w:r>
      <w:proofErr w:type="spellStart"/>
      <w:r w:rsidRPr="000D5547">
        <w:rPr>
          <w:rFonts w:eastAsia="Times New Roman" w:cs="Arial"/>
          <w:b/>
          <w:bCs/>
          <w:lang w:eastAsia="cs-CZ"/>
        </w:rPr>
        <w:t>Align</w:t>
      </w:r>
      <w:proofErr w:type="spellEnd"/>
      <w:r w:rsidRPr="000D5547">
        <w:rPr>
          <w:rFonts w:eastAsia="Times New Roman" w:cs="Arial"/>
          <w:b/>
          <w:bCs/>
          <w:lang w:eastAsia="cs-CZ"/>
        </w:rPr>
        <w:t xml:space="preserve">, </w:t>
      </w:r>
      <w:proofErr w:type="spellStart"/>
      <w:r w:rsidRPr="000D5547">
        <w:rPr>
          <w:rFonts w:eastAsia="Times New Roman" w:cs="Arial"/>
          <w:b/>
          <w:bCs/>
          <w:lang w:eastAsia="cs-CZ"/>
        </w:rPr>
        <w:t>Act</w:t>
      </w:r>
      <w:proofErr w:type="spellEnd"/>
      <w:r w:rsidRPr="000D5547">
        <w:rPr>
          <w:rFonts w:eastAsia="Times New Roman" w:cs="Arial"/>
          <w:b/>
          <w:bCs/>
          <w:lang w:eastAsia="cs-CZ"/>
        </w:rPr>
        <w:t xml:space="preserve">, </w:t>
      </w:r>
      <w:proofErr w:type="spellStart"/>
      <w:r w:rsidRPr="000D5547">
        <w:rPr>
          <w:rFonts w:eastAsia="Times New Roman" w:cs="Arial"/>
          <w:b/>
          <w:bCs/>
          <w:lang w:eastAsia="cs-CZ"/>
        </w:rPr>
        <w:t>Accelerate</w:t>
      </w:r>
      <w:proofErr w:type="spellEnd"/>
      <w:r w:rsidRPr="000D5547">
        <w:rPr>
          <w:rFonts w:eastAsia="Times New Roman" w:cs="Arial"/>
          <w:b/>
          <w:bCs/>
          <w:lang w:eastAsia="cs-CZ"/>
        </w:rPr>
        <w:t xml:space="preserve">: </w:t>
      </w:r>
      <w:proofErr w:type="spellStart"/>
      <w:r w:rsidRPr="000D5547">
        <w:rPr>
          <w:rFonts w:eastAsia="Times New Roman" w:cs="Arial"/>
          <w:b/>
          <w:bCs/>
          <w:lang w:eastAsia="cs-CZ"/>
        </w:rPr>
        <w:t>Research</w:t>
      </w:r>
      <w:proofErr w:type="spellEnd"/>
      <w:r w:rsidRPr="000D5547">
        <w:rPr>
          <w:rFonts w:eastAsia="Times New Roman" w:cs="Arial"/>
          <w:b/>
          <w:bCs/>
          <w:lang w:eastAsia="cs-CZ"/>
        </w:rPr>
        <w:t>, Technology and Innovation to</w:t>
      </w:r>
      <w:r>
        <w:rPr>
          <w:rFonts w:eastAsia="Times New Roman" w:cs="Arial"/>
          <w:b/>
          <w:bCs/>
          <w:lang w:eastAsia="cs-CZ"/>
        </w:rPr>
        <w:t> </w:t>
      </w:r>
      <w:proofErr w:type="spellStart"/>
      <w:r w:rsidRPr="000D5547">
        <w:rPr>
          <w:rFonts w:eastAsia="Times New Roman" w:cs="Arial"/>
          <w:b/>
          <w:bCs/>
          <w:lang w:eastAsia="cs-CZ"/>
        </w:rPr>
        <w:t>Boost</w:t>
      </w:r>
      <w:proofErr w:type="spellEnd"/>
      <w:r w:rsidRPr="000D5547">
        <w:rPr>
          <w:rFonts w:eastAsia="Times New Roman" w:cs="Arial"/>
          <w:b/>
          <w:bCs/>
          <w:lang w:eastAsia="cs-CZ"/>
        </w:rPr>
        <w:t xml:space="preserve"> </w:t>
      </w:r>
      <w:proofErr w:type="spellStart"/>
      <w:r w:rsidRPr="000D5547">
        <w:rPr>
          <w:rFonts w:eastAsia="Times New Roman" w:cs="Arial"/>
          <w:b/>
          <w:bCs/>
          <w:lang w:eastAsia="cs-CZ"/>
        </w:rPr>
        <w:t>European</w:t>
      </w:r>
      <w:proofErr w:type="spellEnd"/>
      <w:r w:rsidRPr="000D5547">
        <w:rPr>
          <w:rFonts w:eastAsia="Times New Roman" w:cs="Arial"/>
          <w:b/>
          <w:bCs/>
          <w:lang w:eastAsia="cs-CZ"/>
        </w:rPr>
        <w:t xml:space="preserve"> </w:t>
      </w:r>
      <w:proofErr w:type="spellStart"/>
      <w:r w:rsidRPr="000D5547">
        <w:rPr>
          <w:rFonts w:eastAsia="Times New Roman" w:cs="Arial"/>
          <w:b/>
          <w:bCs/>
          <w:lang w:eastAsia="cs-CZ"/>
        </w:rPr>
        <w:t>Competitiveness</w:t>
      </w:r>
      <w:proofErr w:type="spellEnd"/>
      <w:r>
        <w:rPr>
          <w:rFonts w:eastAsia="Times New Roman" w:cs="Arial"/>
          <w:b/>
          <w:bCs/>
          <w:lang w:eastAsia="cs-CZ"/>
        </w:rPr>
        <w:t xml:space="preserve"> (říjen 2024)</w:t>
      </w:r>
    </w:p>
    <w:p w14:paraId="16ABEE4C" w14:textId="5ACC5E55" w:rsidR="00A364A4" w:rsidRDefault="00A364A4" w:rsidP="00A364A4">
      <w:pPr>
        <w:spacing w:after="60" w:line="360" w:lineRule="auto"/>
        <w:ind w:firstLine="708"/>
        <w:jc w:val="both"/>
        <w:rPr>
          <w:rFonts w:cs="Arial"/>
        </w:rPr>
      </w:pPr>
      <w:r w:rsidRPr="00387D82">
        <w:rPr>
          <w:rFonts w:cs="Arial"/>
        </w:rPr>
        <w:t xml:space="preserve">Zpráva bývalého portugalského premiéra Manuela </w:t>
      </w:r>
      <w:proofErr w:type="spellStart"/>
      <w:r w:rsidRPr="00387D82">
        <w:rPr>
          <w:rFonts w:cs="Arial"/>
        </w:rPr>
        <w:t>Heitora</w:t>
      </w:r>
      <w:proofErr w:type="spellEnd"/>
      <w:r w:rsidRPr="00387D82">
        <w:rPr>
          <w:rFonts w:cs="Arial"/>
          <w:b/>
          <w:bCs/>
        </w:rPr>
        <w:t xml:space="preserve"> </w:t>
      </w:r>
      <w:r w:rsidRPr="00387D82">
        <w:rPr>
          <w:rFonts w:cs="Arial"/>
        </w:rPr>
        <w:t>vychází z výše uvedených zpráv, které zasazuje do kontextu budoucího rámcového programu pro výzkum a inovace FP10</w:t>
      </w:r>
      <w:r>
        <w:rPr>
          <w:rFonts w:cs="Arial"/>
        </w:rPr>
        <w:t xml:space="preserve">. Navrhuje </w:t>
      </w:r>
      <w:r w:rsidRPr="00D94924">
        <w:rPr>
          <w:rFonts w:cs="Arial"/>
          <w:b/>
          <w:bCs/>
        </w:rPr>
        <w:t xml:space="preserve">zásadní transformaci evropské politiky </w:t>
      </w:r>
      <w:proofErr w:type="spellStart"/>
      <w:r w:rsidRPr="00D94924">
        <w:rPr>
          <w:rFonts w:cs="Arial"/>
          <w:b/>
          <w:bCs/>
        </w:rPr>
        <w:t>VaVaI</w:t>
      </w:r>
      <w:proofErr w:type="spellEnd"/>
      <w:r w:rsidRPr="00094BA2">
        <w:rPr>
          <w:rFonts w:cs="Arial"/>
        </w:rPr>
        <w:t xml:space="preserve"> prostřednictvím 12</w:t>
      </w:r>
      <w:r w:rsidR="007D2BE6">
        <w:rPr>
          <w:rFonts w:cs="Arial"/>
        </w:rPr>
        <w:t> </w:t>
      </w:r>
      <w:r>
        <w:rPr>
          <w:rFonts w:cs="Arial"/>
        </w:rPr>
        <w:t xml:space="preserve">doporučení, které mají sladit </w:t>
      </w:r>
      <w:proofErr w:type="spellStart"/>
      <w:r>
        <w:rPr>
          <w:rFonts w:cs="Arial"/>
        </w:rPr>
        <w:t>VaVaI</w:t>
      </w:r>
      <w:proofErr w:type="spellEnd"/>
      <w:r>
        <w:rPr>
          <w:rFonts w:cs="Arial"/>
        </w:rPr>
        <w:t xml:space="preserve"> s politickou agendou EU. Doporučuje např. výrazně </w:t>
      </w:r>
      <w:r w:rsidRPr="00094BA2">
        <w:rPr>
          <w:rFonts w:cs="Arial"/>
        </w:rPr>
        <w:t>posílit rámcový program FP10 jako klíčový nástroj pro konkurenceschopnost</w:t>
      </w:r>
      <w:r>
        <w:rPr>
          <w:rFonts w:cs="Arial"/>
        </w:rPr>
        <w:t>,</w:t>
      </w:r>
      <w:r w:rsidRPr="00094BA2">
        <w:rPr>
          <w:rFonts w:cs="Arial"/>
        </w:rPr>
        <w:t xml:space="preserve"> zaměřit se </w:t>
      </w:r>
      <w:r w:rsidRPr="00094BA2">
        <w:rPr>
          <w:rFonts w:cs="Arial"/>
        </w:rPr>
        <w:lastRenderedPageBreak/>
        <w:t>na</w:t>
      </w:r>
      <w:r w:rsidR="007D2BE6">
        <w:rPr>
          <w:rFonts w:cs="Arial"/>
        </w:rPr>
        <w:t> </w:t>
      </w:r>
      <w:r>
        <w:rPr>
          <w:rFonts w:cs="Arial"/>
        </w:rPr>
        <w:t xml:space="preserve">portfolio </w:t>
      </w:r>
      <w:r w:rsidRPr="00094BA2">
        <w:rPr>
          <w:rFonts w:cs="Arial"/>
        </w:rPr>
        <w:t>čtyř</w:t>
      </w:r>
      <w:r>
        <w:rPr>
          <w:rFonts w:cs="Arial"/>
        </w:rPr>
        <w:t xml:space="preserve"> </w:t>
      </w:r>
      <w:r w:rsidRPr="00094BA2">
        <w:rPr>
          <w:rFonts w:cs="Arial"/>
        </w:rPr>
        <w:t>oblast</w:t>
      </w:r>
      <w:r>
        <w:rPr>
          <w:rFonts w:cs="Arial"/>
        </w:rPr>
        <w:t>í</w:t>
      </w:r>
      <w:r w:rsidRPr="00094BA2">
        <w:rPr>
          <w:rFonts w:cs="Arial"/>
        </w:rPr>
        <w:t xml:space="preserve"> – excelenc</w:t>
      </w:r>
      <w:r>
        <w:rPr>
          <w:rFonts w:cs="Arial"/>
        </w:rPr>
        <w:t>e</w:t>
      </w:r>
      <w:r w:rsidRPr="00094BA2">
        <w:rPr>
          <w:rFonts w:cs="Arial"/>
        </w:rPr>
        <w:t>, průmyslov</w:t>
      </w:r>
      <w:r>
        <w:rPr>
          <w:rFonts w:cs="Arial"/>
        </w:rPr>
        <w:t>á</w:t>
      </w:r>
      <w:r w:rsidRPr="00094BA2">
        <w:rPr>
          <w:rFonts w:cs="Arial"/>
        </w:rPr>
        <w:t xml:space="preserve"> konkurenceschopnost, společenské výzvy a</w:t>
      </w:r>
      <w:r w:rsidR="007D2BE6">
        <w:rPr>
          <w:rFonts w:cs="Arial"/>
        </w:rPr>
        <w:t> </w:t>
      </w:r>
      <w:r w:rsidRPr="00094BA2">
        <w:rPr>
          <w:rFonts w:cs="Arial"/>
        </w:rPr>
        <w:t>silný ekosystém</w:t>
      </w:r>
      <w:r>
        <w:rPr>
          <w:rFonts w:cs="Arial"/>
        </w:rPr>
        <w:t xml:space="preserve"> </w:t>
      </w:r>
      <w:proofErr w:type="spellStart"/>
      <w:r>
        <w:rPr>
          <w:rFonts w:cs="Arial"/>
        </w:rPr>
        <w:t>VaVaI</w:t>
      </w:r>
      <w:proofErr w:type="spellEnd"/>
      <w:r>
        <w:rPr>
          <w:rFonts w:cs="Arial"/>
        </w:rPr>
        <w:t xml:space="preserve">, </w:t>
      </w:r>
      <w:r w:rsidRPr="00094BA2">
        <w:rPr>
          <w:rFonts w:cs="Arial"/>
        </w:rPr>
        <w:t xml:space="preserve">vytvořit </w:t>
      </w:r>
      <w:r w:rsidRPr="00AD689D">
        <w:rPr>
          <w:rFonts w:cs="Arial"/>
        </w:rPr>
        <w:t>Experimentální jednotku</w:t>
      </w:r>
      <w:r w:rsidRPr="00094BA2">
        <w:rPr>
          <w:rFonts w:cs="Arial"/>
        </w:rPr>
        <w:t xml:space="preserve"> pro rychlé </w:t>
      </w:r>
      <w:r>
        <w:rPr>
          <w:rFonts w:cs="Arial"/>
        </w:rPr>
        <w:t xml:space="preserve">financování inovativních projektů </w:t>
      </w:r>
      <w:r w:rsidRPr="00094BA2">
        <w:rPr>
          <w:rFonts w:cs="Arial"/>
        </w:rPr>
        <w:t>(včetně AI)</w:t>
      </w:r>
      <w:r>
        <w:rPr>
          <w:rFonts w:cs="Arial"/>
        </w:rPr>
        <w:t xml:space="preserve">, založit Radu pro konkurenceschopnost a technologie (ETIC2) a Radu pro společenské výzvy (ESC2), </w:t>
      </w:r>
      <w:r w:rsidRPr="00094BA2">
        <w:rPr>
          <w:rFonts w:cs="Arial"/>
        </w:rPr>
        <w:t>radikálně zjednodušit administrativu</w:t>
      </w:r>
      <w:r>
        <w:rPr>
          <w:rFonts w:cs="Arial"/>
        </w:rPr>
        <w:t xml:space="preserve">, </w:t>
      </w:r>
      <w:r w:rsidRPr="00094BA2">
        <w:rPr>
          <w:rFonts w:cs="Arial"/>
        </w:rPr>
        <w:t>rozvinout inovační veřejné zakázky</w:t>
      </w:r>
      <w:r>
        <w:rPr>
          <w:rFonts w:cs="Arial"/>
        </w:rPr>
        <w:t xml:space="preserve"> či normalizovat dvojí využití pro vojenské i civilní účely (</w:t>
      </w:r>
      <w:proofErr w:type="spellStart"/>
      <w:r>
        <w:rPr>
          <w:rFonts w:cs="Arial"/>
        </w:rPr>
        <w:t>dual</w:t>
      </w:r>
      <w:proofErr w:type="spellEnd"/>
      <w:r>
        <w:rPr>
          <w:rFonts w:cs="Arial"/>
        </w:rPr>
        <w:t>-use).</w:t>
      </w:r>
      <w:r w:rsidRPr="00387D82">
        <w:rPr>
          <w:rFonts w:cs="Arial"/>
        </w:rPr>
        <w:t xml:space="preserve"> </w:t>
      </w:r>
    </w:p>
    <w:p w14:paraId="1B6520CD" w14:textId="06898C2A" w:rsidR="007D2BE6" w:rsidRPr="007D2BE6" w:rsidRDefault="00EA75CC" w:rsidP="007D2BE6">
      <w:pPr>
        <w:pStyle w:val="Obrzek-nadpis"/>
      </w:pPr>
      <w:r>
        <w:rPr>
          <w:noProof/>
        </w:rPr>
        <w:drawing>
          <wp:anchor distT="0" distB="0" distL="114300" distR="114300" simplePos="0" relativeHeight="251625984" behindDoc="0" locked="0" layoutInCell="1" allowOverlap="1" wp14:anchorId="79426112" wp14:editId="196DB6F1">
            <wp:simplePos x="0" y="0"/>
            <wp:positionH relativeFrom="margin">
              <wp:posOffset>-348615</wp:posOffset>
            </wp:positionH>
            <wp:positionV relativeFrom="margin">
              <wp:posOffset>1769110</wp:posOffset>
            </wp:positionV>
            <wp:extent cx="6648450" cy="4219575"/>
            <wp:effectExtent l="0" t="0" r="0" b="9525"/>
            <wp:wrapSquare wrapText="bothSides"/>
            <wp:docPr id="303499252" name="Obrázek 1" descr="Obsah obrázku text, snímek obrazovky, diagram, Písmo&#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3499252" name="Obrázek 1" descr="Obsah obrázku text, snímek obrazovky, diagram, Písmo&#10;&#10;Obsah generovaný pomocí AI může být nesprávný."/>
                    <pic:cNvPicPr/>
                  </pic:nvPicPr>
                  <pic:blipFill>
                    <a:blip r:embed="rId35">
                      <a:extLst>
                        <a:ext uri="{28A0092B-C50C-407E-A947-70E740481C1C}">
                          <a14:useLocalDpi xmlns:a14="http://schemas.microsoft.com/office/drawing/2010/main" val="0"/>
                        </a:ext>
                      </a:extLst>
                    </a:blip>
                    <a:stretch>
                      <a:fillRect/>
                    </a:stretch>
                  </pic:blipFill>
                  <pic:spPr>
                    <a:xfrm>
                      <a:off x="0" y="0"/>
                      <a:ext cx="6648450" cy="4219575"/>
                    </a:xfrm>
                    <a:prstGeom prst="rect">
                      <a:avLst/>
                    </a:prstGeom>
                  </pic:spPr>
                </pic:pic>
              </a:graphicData>
            </a:graphic>
            <wp14:sizeRelH relativeFrom="margin">
              <wp14:pctWidth>0</wp14:pctWidth>
            </wp14:sizeRelH>
            <wp14:sizeRelV relativeFrom="margin">
              <wp14:pctHeight>0</wp14:pctHeight>
            </wp14:sizeRelV>
          </wp:anchor>
        </w:drawing>
      </w:r>
      <w:r w:rsidR="007D2BE6" w:rsidRPr="00E8772A">
        <w:t>Schéma A.1.1:</w:t>
      </w:r>
      <w:r w:rsidR="007D2BE6" w:rsidRPr="00593ABD">
        <w:t xml:space="preserve"> </w:t>
      </w:r>
      <w:r w:rsidR="007D2BE6">
        <w:t xml:space="preserve">Přehled vybraných strategických dokumentů a legislativní rámec systému </w:t>
      </w:r>
      <w:proofErr w:type="spellStart"/>
      <w:r w:rsidR="007D2BE6">
        <w:t>VaVaI</w:t>
      </w:r>
      <w:proofErr w:type="spellEnd"/>
    </w:p>
    <w:p w14:paraId="15039FD5" w14:textId="5CC18148" w:rsidR="00CF29E3" w:rsidRPr="00CF29E3" w:rsidRDefault="00CF29E3" w:rsidP="00CF29E3">
      <w:pPr>
        <w:spacing w:after="120" w:line="360" w:lineRule="auto"/>
        <w:rPr>
          <w:rFonts w:cs="Arial"/>
          <w:i/>
          <w:iCs/>
          <w:sz w:val="20"/>
          <w:szCs w:val="20"/>
        </w:rPr>
      </w:pPr>
      <w:r w:rsidRPr="00CF29E3">
        <w:rPr>
          <w:rFonts w:cs="Arial"/>
          <w:i/>
          <w:iCs/>
          <w:sz w:val="20"/>
          <w:szCs w:val="20"/>
        </w:rPr>
        <w:t>Zdroj: vlastní zpracování</w:t>
      </w:r>
    </w:p>
    <w:p w14:paraId="2CE9AB51" w14:textId="5AA68737" w:rsidR="00A364A4" w:rsidRDefault="00A364A4" w:rsidP="00A364A4">
      <w:pPr>
        <w:spacing w:after="60" w:line="360" w:lineRule="auto"/>
        <w:jc w:val="both"/>
        <w:rPr>
          <w:rFonts w:eastAsia="Times New Roman" w:cs="Arial"/>
          <w:bCs/>
          <w:lang w:eastAsia="cs-CZ"/>
        </w:rPr>
        <w:sectPr w:rsidR="00A364A4" w:rsidSect="00BC2608">
          <w:headerReference w:type="even" r:id="rId36"/>
          <w:headerReference w:type="default" r:id="rId37"/>
          <w:headerReference w:type="first" r:id="rId38"/>
          <w:type w:val="continuous"/>
          <w:pgSz w:w="11906" w:h="16838"/>
          <w:pgMar w:top="1134" w:right="1418" w:bottom="1134" w:left="1134" w:header="709" w:footer="709" w:gutter="0"/>
          <w:cols w:space="708"/>
          <w:docGrid w:linePitch="299"/>
        </w:sectPr>
      </w:pPr>
    </w:p>
    <w:p w14:paraId="6007F634" w14:textId="3EDA4FC6" w:rsidR="00C91E8F" w:rsidRPr="00F23A06" w:rsidRDefault="00C91E8F" w:rsidP="00F23A06">
      <w:pPr>
        <w:rPr>
          <w:rFonts w:asciiTheme="majorHAnsi" w:eastAsia="Times New Roman" w:hAnsiTheme="majorHAnsi" w:cs="Arial"/>
          <w:b/>
          <w:bCs/>
          <w:smallCaps/>
          <w:color w:val="365F91"/>
          <w:sz w:val="30"/>
          <w:lang w:eastAsia="cs-CZ"/>
        </w:rPr>
      </w:pPr>
      <w:bookmarkStart w:id="11" w:name="_Toc163205829"/>
      <w:r w:rsidRPr="00F23A06">
        <w:rPr>
          <w:rFonts w:asciiTheme="majorHAnsi" w:eastAsia="Times New Roman" w:hAnsiTheme="majorHAnsi" w:cs="Arial"/>
          <w:b/>
          <w:bCs/>
          <w:smallCaps/>
          <w:color w:val="365F91"/>
          <w:sz w:val="30"/>
          <w:lang w:eastAsia="cs-CZ"/>
        </w:rPr>
        <w:lastRenderedPageBreak/>
        <w:t>Národní legislativní rámec</w:t>
      </w:r>
      <w:bookmarkEnd w:id="11"/>
    </w:p>
    <w:p w14:paraId="28AB252F" w14:textId="77777777" w:rsidR="007D2BE6" w:rsidRDefault="007D2BE6" w:rsidP="007D2BE6">
      <w:pPr>
        <w:spacing w:after="120" w:line="360" w:lineRule="auto"/>
        <w:ind w:firstLine="709"/>
        <w:jc w:val="both"/>
        <w:rPr>
          <w:rFonts w:eastAsia="Times New Roman" w:cs="Arial"/>
          <w:bCs/>
          <w:lang w:eastAsia="cs-CZ"/>
        </w:rPr>
      </w:pPr>
      <w:r>
        <w:rPr>
          <w:rFonts w:eastAsia="Times New Roman" w:cs="Arial"/>
          <w:bCs/>
          <w:lang w:eastAsia="cs-CZ"/>
        </w:rPr>
        <w:t>V případě národního legislativního rámce jsou určujícími především tyto zákony:</w:t>
      </w:r>
    </w:p>
    <w:p w14:paraId="48BE3804" w14:textId="77777777" w:rsidR="007D2BE6" w:rsidRDefault="007D2BE6" w:rsidP="007D2BE6">
      <w:pPr>
        <w:spacing w:after="120" w:line="360" w:lineRule="auto"/>
        <w:ind w:firstLine="709"/>
        <w:jc w:val="both"/>
        <w:rPr>
          <w:rFonts w:eastAsia="Times New Roman" w:cs="Arial"/>
          <w:bCs/>
          <w:lang w:eastAsia="cs-CZ"/>
        </w:rPr>
      </w:pPr>
      <w:r w:rsidRPr="000B7785">
        <w:rPr>
          <w:rFonts w:eastAsia="Times New Roman" w:cs="Arial"/>
          <w:bCs/>
          <w:lang w:eastAsia="cs-CZ"/>
        </w:rPr>
        <w:t>→</w:t>
      </w:r>
      <w:r>
        <w:rPr>
          <w:rFonts w:eastAsia="Times New Roman" w:cs="Arial"/>
          <w:bCs/>
          <w:lang w:eastAsia="cs-CZ"/>
        </w:rPr>
        <w:t xml:space="preserve"> </w:t>
      </w:r>
      <w:r w:rsidRPr="001502DE">
        <w:rPr>
          <w:rFonts w:eastAsia="Times New Roman" w:cs="Arial"/>
          <w:b/>
          <w:bCs/>
          <w:lang w:eastAsia="cs-CZ"/>
        </w:rPr>
        <w:t>zákon č.</w:t>
      </w:r>
      <w:r>
        <w:rPr>
          <w:rFonts w:eastAsia="Times New Roman" w:cs="Arial"/>
          <w:b/>
          <w:bCs/>
          <w:lang w:eastAsia="cs-CZ"/>
        </w:rPr>
        <w:t> </w:t>
      </w:r>
      <w:r w:rsidRPr="001502DE">
        <w:rPr>
          <w:rFonts w:eastAsia="Times New Roman" w:cs="Arial"/>
          <w:b/>
          <w:bCs/>
          <w:lang w:eastAsia="cs-CZ"/>
        </w:rPr>
        <w:t>2/1969 Sb., o zřízení ministerstev a jiných ústředních orgánů státní správy České republiky, ve znění pozdějších předpisů, tzv</w:t>
      </w:r>
      <w:r>
        <w:rPr>
          <w:rFonts w:eastAsia="Times New Roman" w:cs="Arial"/>
          <w:bCs/>
          <w:lang w:eastAsia="cs-CZ"/>
        </w:rPr>
        <w:t>. </w:t>
      </w:r>
      <w:r w:rsidRPr="00647DE3">
        <w:rPr>
          <w:rFonts w:eastAsia="Times New Roman" w:cs="Arial"/>
          <w:b/>
          <w:lang w:eastAsia="cs-CZ"/>
        </w:rPr>
        <w:t>kompetenční zákon</w:t>
      </w:r>
      <w:r>
        <w:rPr>
          <w:rFonts w:eastAsia="Times New Roman" w:cs="Arial"/>
          <w:bCs/>
          <w:lang w:eastAsia="cs-CZ"/>
        </w:rPr>
        <w:t xml:space="preserve"> (zákon č. 2/1969 Sb.), </w:t>
      </w:r>
    </w:p>
    <w:p w14:paraId="4477D748" w14:textId="11BFE110" w:rsidR="007D2BE6" w:rsidRDefault="007D2BE6" w:rsidP="007D2BE6">
      <w:pPr>
        <w:spacing w:after="120" w:line="360" w:lineRule="auto"/>
        <w:ind w:firstLine="709"/>
        <w:jc w:val="both"/>
        <w:rPr>
          <w:rFonts w:eastAsia="Times New Roman" w:cs="Arial"/>
          <w:bCs/>
          <w:lang w:eastAsia="cs-CZ"/>
        </w:rPr>
      </w:pPr>
      <w:r w:rsidRPr="000B7785">
        <w:rPr>
          <w:rFonts w:eastAsia="Times New Roman" w:cs="Arial"/>
          <w:bCs/>
          <w:lang w:eastAsia="cs-CZ"/>
        </w:rPr>
        <w:t>→</w:t>
      </w:r>
      <w:r>
        <w:rPr>
          <w:rFonts w:eastAsia="Times New Roman" w:cs="Arial"/>
          <w:bCs/>
          <w:lang w:eastAsia="cs-CZ"/>
        </w:rPr>
        <w:t xml:space="preserve"> </w:t>
      </w:r>
      <w:r w:rsidRPr="001502DE">
        <w:rPr>
          <w:rFonts w:eastAsia="Times New Roman" w:cs="Arial"/>
          <w:b/>
          <w:bCs/>
          <w:lang w:eastAsia="cs-CZ"/>
        </w:rPr>
        <w:t>zákon č. 130/2002 Sb</w:t>
      </w:r>
      <w:r w:rsidRPr="00004C88">
        <w:rPr>
          <w:rFonts w:eastAsia="Times New Roman" w:cs="Arial"/>
          <w:b/>
          <w:bCs/>
          <w:lang w:eastAsia="cs-CZ"/>
        </w:rPr>
        <w:t>., o podpoře výzkumu, experimentálního vývoje a</w:t>
      </w:r>
      <w:r>
        <w:rPr>
          <w:rFonts w:eastAsia="Times New Roman" w:cs="Arial"/>
          <w:b/>
          <w:bCs/>
          <w:lang w:eastAsia="cs-CZ"/>
        </w:rPr>
        <w:t> </w:t>
      </w:r>
      <w:r w:rsidRPr="00004C88">
        <w:rPr>
          <w:rFonts w:eastAsia="Times New Roman" w:cs="Arial"/>
          <w:b/>
          <w:bCs/>
          <w:lang w:eastAsia="cs-CZ"/>
        </w:rPr>
        <w:t>inovací z veřejných prostředků a o změně některých souvisejících zákonů (zákon o</w:t>
      </w:r>
      <w:r>
        <w:rPr>
          <w:rFonts w:eastAsia="Times New Roman" w:cs="Arial"/>
          <w:b/>
          <w:bCs/>
          <w:lang w:eastAsia="cs-CZ"/>
        </w:rPr>
        <w:t> </w:t>
      </w:r>
      <w:r w:rsidRPr="00004C88">
        <w:rPr>
          <w:rFonts w:eastAsia="Times New Roman" w:cs="Arial"/>
          <w:b/>
          <w:bCs/>
          <w:lang w:eastAsia="cs-CZ"/>
        </w:rPr>
        <w:t>podpoře výzkumu, experimentálního vývoje a inovací), ve znění pozdějších předpisů</w:t>
      </w:r>
      <w:r>
        <w:rPr>
          <w:rFonts w:eastAsia="Times New Roman" w:cs="Arial"/>
          <w:bCs/>
          <w:lang w:eastAsia="cs-CZ"/>
        </w:rPr>
        <w:t xml:space="preserve"> (zákon č. 130/2002 Sb.) – </w:t>
      </w:r>
      <w:r w:rsidRPr="00961222">
        <w:rPr>
          <w:rFonts w:cs="Arial"/>
        </w:rPr>
        <w:t>tři prováděcí předpisy</w:t>
      </w:r>
      <w:r>
        <w:rPr>
          <w:rFonts w:cs="Arial"/>
        </w:rPr>
        <w:t xml:space="preserve"> tohoto zákona (nařízení vlády): o</w:t>
      </w:r>
      <w:r w:rsidRPr="00961222">
        <w:rPr>
          <w:rFonts w:cs="Arial"/>
        </w:rPr>
        <w:t xml:space="preserve"> </w:t>
      </w:r>
      <w:r>
        <w:rPr>
          <w:rFonts w:cs="Arial"/>
        </w:rPr>
        <w:t>I</w:t>
      </w:r>
      <w:r w:rsidRPr="00961222">
        <w:rPr>
          <w:rFonts w:cs="Arial"/>
        </w:rPr>
        <w:t>nformačn</w:t>
      </w:r>
      <w:r>
        <w:rPr>
          <w:rFonts w:cs="Arial"/>
        </w:rPr>
        <w:t>ím</w:t>
      </w:r>
      <w:r w:rsidRPr="00961222">
        <w:rPr>
          <w:rFonts w:cs="Arial"/>
        </w:rPr>
        <w:t xml:space="preserve"> systému </w:t>
      </w:r>
      <w:proofErr w:type="spellStart"/>
      <w:r>
        <w:rPr>
          <w:rFonts w:cs="Arial"/>
        </w:rPr>
        <w:t>VaVaI</w:t>
      </w:r>
      <w:proofErr w:type="spellEnd"/>
      <w:r>
        <w:rPr>
          <w:rFonts w:cs="Arial"/>
        </w:rPr>
        <w:t xml:space="preserve"> (IS </w:t>
      </w:r>
      <w:proofErr w:type="spellStart"/>
      <w:r>
        <w:rPr>
          <w:rFonts w:cs="Arial"/>
        </w:rPr>
        <w:t>VaVaI</w:t>
      </w:r>
      <w:proofErr w:type="spellEnd"/>
      <w:r>
        <w:rPr>
          <w:rFonts w:cs="Arial"/>
        </w:rPr>
        <w:t>)</w:t>
      </w:r>
      <w:r w:rsidRPr="00961222">
        <w:rPr>
          <w:rFonts w:cs="Arial"/>
        </w:rPr>
        <w:t>, oce</w:t>
      </w:r>
      <w:r>
        <w:rPr>
          <w:rFonts w:cs="Arial"/>
        </w:rPr>
        <w:t>nění</w:t>
      </w:r>
      <w:r w:rsidRPr="00961222">
        <w:rPr>
          <w:rFonts w:cs="Arial"/>
        </w:rPr>
        <w:t xml:space="preserve"> výsledků </w:t>
      </w:r>
      <w:proofErr w:type="spellStart"/>
      <w:r>
        <w:rPr>
          <w:rFonts w:cs="Arial"/>
        </w:rPr>
        <w:t>VaVaI</w:t>
      </w:r>
      <w:proofErr w:type="spellEnd"/>
      <w:r w:rsidRPr="00961222">
        <w:rPr>
          <w:rFonts w:cs="Arial"/>
        </w:rPr>
        <w:t xml:space="preserve"> a seznamu výzkumných organizací</w:t>
      </w:r>
      <w:r>
        <w:rPr>
          <w:rFonts w:cs="Arial"/>
        </w:rPr>
        <w:t xml:space="preserve"> (VO)</w:t>
      </w:r>
      <w:r w:rsidRPr="00961222">
        <w:rPr>
          <w:rFonts w:cs="Arial"/>
        </w:rPr>
        <w:t xml:space="preserve"> a</w:t>
      </w:r>
      <w:r>
        <w:rPr>
          <w:rFonts w:cs="Arial"/>
        </w:rPr>
        <w:t> </w:t>
      </w:r>
      <w:r w:rsidRPr="00961222">
        <w:rPr>
          <w:rFonts w:cs="Arial"/>
        </w:rPr>
        <w:t>způsobu vykazování příjmů z transferu znalostí</w:t>
      </w:r>
      <w:r>
        <w:rPr>
          <w:rFonts w:eastAsia="Times New Roman" w:cs="Arial"/>
          <w:bCs/>
          <w:lang w:eastAsia="cs-CZ"/>
        </w:rPr>
        <w:t xml:space="preserve">, </w:t>
      </w:r>
    </w:p>
    <w:p w14:paraId="448AB93A" w14:textId="4269842A" w:rsidR="007D2BE6" w:rsidRDefault="007D2BE6" w:rsidP="007D2BE6">
      <w:pPr>
        <w:spacing w:after="120" w:line="360" w:lineRule="auto"/>
        <w:ind w:firstLine="709"/>
        <w:jc w:val="both"/>
        <w:rPr>
          <w:rFonts w:eastAsia="Times New Roman" w:cs="Arial"/>
          <w:bCs/>
          <w:lang w:eastAsia="cs-CZ"/>
        </w:rPr>
      </w:pPr>
      <w:r w:rsidRPr="000B7785">
        <w:rPr>
          <w:rFonts w:eastAsia="Times New Roman" w:cs="Arial"/>
          <w:bCs/>
          <w:lang w:eastAsia="cs-CZ"/>
        </w:rPr>
        <w:t>→</w:t>
      </w:r>
      <w:r>
        <w:rPr>
          <w:rFonts w:eastAsia="Times New Roman" w:cs="Arial"/>
          <w:bCs/>
          <w:lang w:eastAsia="cs-CZ"/>
        </w:rPr>
        <w:t xml:space="preserve"> </w:t>
      </w:r>
      <w:r w:rsidRPr="00D94924">
        <w:rPr>
          <w:rFonts w:eastAsia="Times New Roman" w:cs="Arial"/>
          <w:b/>
          <w:lang w:eastAsia="cs-CZ"/>
        </w:rPr>
        <w:t>zákon č. 328/2025 Sb., o výzkumu, vývoji, inovacích a transferu znalostí</w:t>
      </w:r>
      <w:r>
        <w:rPr>
          <w:rFonts w:eastAsia="Times New Roman" w:cs="Arial"/>
          <w:bCs/>
          <w:lang w:eastAsia="cs-CZ"/>
        </w:rPr>
        <w:t xml:space="preserve"> </w:t>
      </w:r>
      <w:r w:rsidR="00C05763">
        <w:rPr>
          <w:rFonts w:eastAsia="Times New Roman" w:cs="Arial"/>
          <w:bCs/>
          <w:lang w:eastAsia="cs-CZ"/>
        </w:rPr>
        <w:t xml:space="preserve">(zákon č. 328/2025 Sb.) </w:t>
      </w:r>
      <w:r>
        <w:rPr>
          <w:rFonts w:eastAsia="Times New Roman" w:cs="Arial"/>
          <w:bCs/>
          <w:lang w:eastAsia="cs-CZ"/>
        </w:rPr>
        <w:t>– ze dne 23. července 2025, který plně nahradí zákon č. 130/2002 Sb.; tento zákon nabývá účinnosti dnem 1. ledna 2027, resp. 1. ledna 2026, 1. září 2026 a 1. ledna 2028 u</w:t>
      </w:r>
      <w:r w:rsidR="008322F9">
        <w:rPr>
          <w:rFonts w:eastAsia="Times New Roman" w:cs="Arial"/>
          <w:bCs/>
          <w:lang w:eastAsia="cs-CZ"/>
        </w:rPr>
        <w:t> </w:t>
      </w:r>
      <w:r>
        <w:rPr>
          <w:rFonts w:eastAsia="Times New Roman" w:cs="Arial"/>
          <w:bCs/>
          <w:lang w:eastAsia="cs-CZ"/>
        </w:rPr>
        <w:t>dotčených ustanovení podle § 102 zákona. K novému zákonu jsou v přípravném procesu také tři prováděcí předpisy (nařízení vlády):</w:t>
      </w:r>
    </w:p>
    <w:p w14:paraId="18F0B845" w14:textId="286CFFC2" w:rsidR="007D2BE6" w:rsidRDefault="007D2BE6" w:rsidP="007D2BE6">
      <w:pPr>
        <w:pStyle w:val="Odstavecseseznamem"/>
        <w:numPr>
          <w:ilvl w:val="3"/>
          <w:numId w:val="19"/>
        </w:numPr>
        <w:spacing w:after="120" w:line="360" w:lineRule="auto"/>
        <w:ind w:left="993"/>
        <w:jc w:val="both"/>
        <w:rPr>
          <w:rFonts w:eastAsia="Times New Roman" w:cs="Arial"/>
          <w:bCs/>
          <w:lang w:eastAsia="cs-CZ"/>
        </w:rPr>
      </w:pPr>
      <w:r>
        <w:rPr>
          <w:rFonts w:eastAsia="Times New Roman" w:cs="Arial"/>
          <w:bCs/>
          <w:lang w:eastAsia="cs-CZ"/>
        </w:rPr>
        <w:t>o podmínkách ocenění mimořádných výsledků výzkumu, vývoje, inovací a transferu znalostí – upravující podmínky pro udělení věcného nebo peněžního ocenění za mimořádné výsledky a propagaci nebo popularizaci výzkumu, vývoje, inovací a transferu znalostí,</w:t>
      </w:r>
    </w:p>
    <w:p w14:paraId="65D9EC81" w14:textId="77777777" w:rsidR="007D2BE6" w:rsidRDefault="007D2BE6" w:rsidP="007D2BE6">
      <w:pPr>
        <w:pStyle w:val="Odstavecseseznamem"/>
        <w:numPr>
          <w:ilvl w:val="3"/>
          <w:numId w:val="19"/>
        </w:numPr>
        <w:spacing w:after="120" w:line="360" w:lineRule="auto"/>
        <w:ind w:left="993"/>
        <w:jc w:val="both"/>
        <w:rPr>
          <w:rFonts w:eastAsia="Times New Roman" w:cs="Arial"/>
          <w:bCs/>
          <w:lang w:eastAsia="cs-CZ"/>
        </w:rPr>
      </w:pPr>
      <w:r>
        <w:rPr>
          <w:rFonts w:eastAsia="Times New Roman" w:cs="Arial"/>
          <w:bCs/>
          <w:lang w:eastAsia="cs-CZ"/>
        </w:rPr>
        <w:t xml:space="preserve">o informačním systému výzkumu, vývoje a inovací – stanovující právně závazný rámec pro jednotnou správu a validaci údajů IS </w:t>
      </w:r>
      <w:proofErr w:type="spellStart"/>
      <w:r>
        <w:rPr>
          <w:rFonts w:eastAsia="Times New Roman" w:cs="Arial"/>
          <w:bCs/>
          <w:lang w:eastAsia="cs-CZ"/>
        </w:rPr>
        <w:t>VaVaI</w:t>
      </w:r>
      <w:proofErr w:type="spellEnd"/>
      <w:r>
        <w:rPr>
          <w:rFonts w:eastAsia="Times New Roman" w:cs="Arial"/>
          <w:bCs/>
          <w:lang w:eastAsia="cs-CZ"/>
        </w:rPr>
        <w:t xml:space="preserve">, </w:t>
      </w:r>
    </w:p>
    <w:p w14:paraId="74530EF7" w14:textId="7A5D5D85" w:rsidR="007D2BE6" w:rsidRPr="00D94924" w:rsidRDefault="007D2BE6" w:rsidP="007D2BE6">
      <w:pPr>
        <w:pStyle w:val="Odstavecseseznamem"/>
        <w:numPr>
          <w:ilvl w:val="3"/>
          <w:numId w:val="19"/>
        </w:numPr>
        <w:spacing w:after="120" w:line="360" w:lineRule="auto"/>
        <w:ind w:left="993"/>
        <w:jc w:val="both"/>
        <w:rPr>
          <w:rFonts w:eastAsia="Times New Roman" w:cs="Arial"/>
          <w:bCs/>
          <w:lang w:eastAsia="cs-CZ"/>
        </w:rPr>
      </w:pPr>
      <w:r>
        <w:rPr>
          <w:rFonts w:eastAsia="Times New Roman" w:cs="Arial"/>
          <w:bCs/>
          <w:lang w:eastAsia="cs-CZ"/>
        </w:rPr>
        <w:t>k provedení některých ustanovení zákona o výzkumu, vývoji, inovacích a transferu znalostí – týkající se pravidel pro spolupráci soukromého kapitálu na financování výzkumu, vývoje, inovací a transferu znalostí, vymezení položek způsobilých nákladů a postupu při jejich stanovení, náležitostí návrhu systémové podpory velkých výzkumných infrastruktur a testovacích a experimentálních infrastruktur a obsahových náležitostí programu.</w:t>
      </w:r>
    </w:p>
    <w:p w14:paraId="31720E78" w14:textId="77777777" w:rsidR="007D2BE6" w:rsidRPr="00D94924" w:rsidRDefault="007D2BE6" w:rsidP="007D2BE6">
      <w:pPr>
        <w:spacing w:after="120" w:line="360" w:lineRule="auto"/>
        <w:jc w:val="both"/>
        <w:rPr>
          <w:rFonts w:cs="Arial"/>
          <w:b/>
          <w:bCs/>
        </w:rPr>
      </w:pPr>
      <w:r w:rsidRPr="00D94924">
        <w:rPr>
          <w:rFonts w:cs="Arial"/>
          <w:b/>
          <w:bCs/>
        </w:rPr>
        <w:t>Dalšími zákony vztahujícími se k </w:t>
      </w:r>
      <w:proofErr w:type="spellStart"/>
      <w:r w:rsidRPr="00D94924">
        <w:rPr>
          <w:rFonts w:cs="Arial"/>
          <w:b/>
          <w:bCs/>
        </w:rPr>
        <w:t>VaVaI</w:t>
      </w:r>
      <w:proofErr w:type="spellEnd"/>
      <w:r w:rsidRPr="00D94924">
        <w:rPr>
          <w:rFonts w:cs="Arial"/>
          <w:b/>
          <w:bCs/>
        </w:rPr>
        <w:t xml:space="preserve"> jsou např.: </w:t>
      </w:r>
    </w:p>
    <w:p w14:paraId="7FA1EB6E" w14:textId="27D437E1" w:rsidR="007D2BE6" w:rsidRDefault="007D2BE6" w:rsidP="007D2BE6">
      <w:pPr>
        <w:spacing w:after="120" w:line="360" w:lineRule="auto"/>
        <w:ind w:firstLine="709"/>
        <w:jc w:val="both"/>
        <w:rPr>
          <w:rFonts w:cs="Arial"/>
        </w:rPr>
      </w:pPr>
      <w:r w:rsidRPr="000B7785">
        <w:rPr>
          <w:rFonts w:eastAsia="Times New Roman" w:cs="Arial"/>
          <w:bCs/>
          <w:lang w:eastAsia="cs-CZ"/>
        </w:rPr>
        <w:t>→</w:t>
      </w:r>
      <w:r>
        <w:rPr>
          <w:rFonts w:eastAsia="Times New Roman" w:cs="Arial"/>
          <w:bCs/>
          <w:lang w:eastAsia="cs-CZ"/>
        </w:rPr>
        <w:t xml:space="preserve"> </w:t>
      </w:r>
      <w:r w:rsidRPr="00961222">
        <w:rPr>
          <w:rFonts w:cs="Arial"/>
        </w:rPr>
        <w:t xml:space="preserve">zákon </w:t>
      </w:r>
      <w:r>
        <w:rPr>
          <w:rFonts w:cs="Arial"/>
        </w:rPr>
        <w:t xml:space="preserve">č. 227/2006 Sb., </w:t>
      </w:r>
      <w:r w:rsidRPr="00961222">
        <w:rPr>
          <w:rFonts w:cs="Arial"/>
        </w:rPr>
        <w:t>o výzkumu na</w:t>
      </w:r>
      <w:r>
        <w:rPr>
          <w:rFonts w:cs="Arial"/>
        </w:rPr>
        <w:t> </w:t>
      </w:r>
      <w:r w:rsidRPr="00961222">
        <w:rPr>
          <w:rFonts w:cs="Arial"/>
        </w:rPr>
        <w:t>lidských embryonálních kmenových buňkách a</w:t>
      </w:r>
      <w:r>
        <w:rPr>
          <w:rFonts w:cs="Arial"/>
        </w:rPr>
        <w:t> </w:t>
      </w:r>
      <w:r w:rsidRPr="00961222">
        <w:rPr>
          <w:rFonts w:cs="Arial"/>
        </w:rPr>
        <w:t>souvisejících činnostech</w:t>
      </w:r>
      <w:r>
        <w:rPr>
          <w:rFonts w:cs="Arial"/>
        </w:rPr>
        <w:t xml:space="preserve"> a o změně některých souvisejících zákonů, ve znění pozdějších předpisů,</w:t>
      </w:r>
      <w:r w:rsidRPr="00961222">
        <w:rPr>
          <w:rFonts w:cs="Arial"/>
        </w:rPr>
        <w:t xml:space="preserve"> </w:t>
      </w:r>
    </w:p>
    <w:p w14:paraId="01D1D300" w14:textId="77777777" w:rsidR="007D2BE6" w:rsidRDefault="007D2BE6" w:rsidP="007D2BE6">
      <w:pPr>
        <w:spacing w:after="120" w:line="360" w:lineRule="auto"/>
        <w:ind w:firstLine="709"/>
        <w:jc w:val="both"/>
        <w:rPr>
          <w:rFonts w:cs="Arial"/>
        </w:rPr>
      </w:pPr>
      <w:r w:rsidRPr="000B7785">
        <w:rPr>
          <w:rFonts w:eastAsia="Times New Roman" w:cs="Arial"/>
          <w:bCs/>
          <w:lang w:eastAsia="cs-CZ"/>
        </w:rPr>
        <w:t>→</w:t>
      </w:r>
      <w:r>
        <w:rPr>
          <w:rFonts w:eastAsia="Times New Roman" w:cs="Arial"/>
          <w:bCs/>
          <w:lang w:eastAsia="cs-CZ"/>
        </w:rPr>
        <w:t xml:space="preserve"> </w:t>
      </w:r>
      <w:r>
        <w:rPr>
          <w:rFonts w:cs="Arial"/>
        </w:rPr>
        <w:t xml:space="preserve">zákon č. 341/2005 Sb., </w:t>
      </w:r>
      <w:r w:rsidRPr="00961222">
        <w:rPr>
          <w:rFonts w:cs="Arial"/>
        </w:rPr>
        <w:t>o</w:t>
      </w:r>
      <w:r>
        <w:rPr>
          <w:rFonts w:cs="Arial"/>
        </w:rPr>
        <w:t> </w:t>
      </w:r>
      <w:r w:rsidRPr="00961222">
        <w:rPr>
          <w:rFonts w:cs="Arial"/>
        </w:rPr>
        <w:t>veřejných výzkumných institucích</w:t>
      </w:r>
      <w:r>
        <w:rPr>
          <w:rFonts w:cs="Arial"/>
        </w:rPr>
        <w:t xml:space="preserve">, ve znění pozdějších předpisů, </w:t>
      </w:r>
    </w:p>
    <w:p w14:paraId="69985A2C" w14:textId="77777777" w:rsidR="007D2BE6" w:rsidRDefault="007D2BE6" w:rsidP="007D2BE6">
      <w:pPr>
        <w:spacing w:after="120" w:line="360" w:lineRule="auto"/>
        <w:ind w:firstLine="709"/>
        <w:jc w:val="both"/>
        <w:rPr>
          <w:rFonts w:cs="Arial"/>
        </w:rPr>
      </w:pPr>
      <w:r w:rsidRPr="000B7785">
        <w:rPr>
          <w:rFonts w:eastAsia="Times New Roman" w:cs="Arial"/>
          <w:bCs/>
          <w:lang w:eastAsia="cs-CZ"/>
        </w:rPr>
        <w:lastRenderedPageBreak/>
        <w:t>→</w:t>
      </w:r>
      <w:r>
        <w:rPr>
          <w:rFonts w:eastAsia="Times New Roman" w:cs="Arial"/>
          <w:bCs/>
          <w:lang w:eastAsia="cs-CZ"/>
        </w:rPr>
        <w:t xml:space="preserve"> zákon č. 329/2025 Sb., kterým se mění některé zákony v souvislosti s přijetím zákona o výzkumu, vývoji, inovacích a transferu znalostí,</w:t>
      </w:r>
    </w:p>
    <w:p w14:paraId="14C84C84" w14:textId="77777777" w:rsidR="007D2BE6" w:rsidRPr="00C801C8" w:rsidRDefault="007D2BE6" w:rsidP="007D2BE6">
      <w:pPr>
        <w:spacing w:after="120" w:line="360" w:lineRule="auto"/>
        <w:ind w:firstLine="709"/>
        <w:jc w:val="both"/>
        <w:rPr>
          <w:rFonts w:eastAsia="Times New Roman" w:cs="Arial"/>
          <w:bCs/>
          <w:lang w:eastAsia="cs-CZ"/>
        </w:rPr>
      </w:pPr>
      <w:r w:rsidRPr="000B7785">
        <w:rPr>
          <w:rFonts w:eastAsia="Times New Roman" w:cs="Arial"/>
          <w:bCs/>
          <w:lang w:eastAsia="cs-CZ"/>
        </w:rPr>
        <w:t>→</w:t>
      </w:r>
      <w:r>
        <w:rPr>
          <w:rFonts w:eastAsia="Times New Roman" w:cs="Arial"/>
          <w:bCs/>
          <w:lang w:eastAsia="cs-CZ"/>
        </w:rPr>
        <w:t xml:space="preserve"> </w:t>
      </w:r>
      <w:r>
        <w:rPr>
          <w:rFonts w:cs="Arial"/>
        </w:rPr>
        <w:t>v legislativním procesu je dále návrh zákona o správě dat a o řízeném přístupu k datům a o změně některých souvisejících zákonů.</w:t>
      </w:r>
    </w:p>
    <w:p w14:paraId="249A796E" w14:textId="77777777" w:rsidR="00C801C8" w:rsidRPr="00961222" w:rsidRDefault="00C801C8" w:rsidP="00C801C8">
      <w:pPr>
        <w:spacing w:after="120" w:line="360" w:lineRule="auto"/>
        <w:jc w:val="both"/>
        <w:rPr>
          <w:rFonts w:cs="Arial"/>
          <w:b/>
          <w:bCs/>
        </w:rPr>
      </w:pPr>
      <w:r w:rsidRPr="00961222">
        <w:rPr>
          <w:rFonts w:cs="Arial"/>
          <w:b/>
          <w:bCs/>
        </w:rPr>
        <w:t>Potřeba úpravy legislativního prostředí</w:t>
      </w:r>
    </w:p>
    <w:p w14:paraId="562BD747" w14:textId="2572439A" w:rsidR="00DB5411" w:rsidRDefault="00C801C8" w:rsidP="00365BDE">
      <w:pPr>
        <w:spacing w:after="240" w:line="360" w:lineRule="auto"/>
        <w:ind w:firstLine="709"/>
        <w:jc w:val="both"/>
        <w:rPr>
          <w:rFonts w:eastAsia="MS Mincho" w:cs="Arial"/>
          <w:iCs/>
          <w:spacing w:val="-4"/>
        </w:rPr>
      </w:pPr>
      <w:r>
        <w:rPr>
          <w:rFonts w:cs="Arial"/>
        </w:rPr>
        <w:t>V minulosti byly j</w:t>
      </w:r>
      <w:r w:rsidRPr="006512FD">
        <w:rPr>
          <w:rFonts w:cs="Arial"/>
        </w:rPr>
        <w:t xml:space="preserve">ednotlivými novelami řešeny spíše dílčí aspekty systému. </w:t>
      </w:r>
      <w:r>
        <w:rPr>
          <w:rFonts w:cs="Arial"/>
        </w:rPr>
        <w:t>Ukázalo se jako žádoucí přistoupit k přípravě nového zákona, a to především z důvodu opakujících se </w:t>
      </w:r>
      <w:r w:rsidRPr="006512FD">
        <w:rPr>
          <w:rFonts w:eastAsia="MS Mincho" w:cs="Arial"/>
          <w:iCs/>
          <w:spacing w:val="-4"/>
        </w:rPr>
        <w:t>problém</w:t>
      </w:r>
      <w:r>
        <w:rPr>
          <w:rFonts w:eastAsia="MS Mincho" w:cs="Arial"/>
          <w:iCs/>
          <w:spacing w:val="-4"/>
        </w:rPr>
        <w:t>ů s interpretačními výkladovými nejasnostmi</w:t>
      </w:r>
      <w:r w:rsidRPr="006512FD">
        <w:rPr>
          <w:rFonts w:eastAsia="MS Mincho" w:cs="Arial"/>
          <w:iCs/>
          <w:spacing w:val="-4"/>
        </w:rPr>
        <w:t xml:space="preserve"> či nedostatečn</w:t>
      </w:r>
      <w:r>
        <w:rPr>
          <w:rFonts w:eastAsia="MS Mincho" w:cs="Arial"/>
          <w:iCs/>
          <w:spacing w:val="-4"/>
        </w:rPr>
        <w:t>é</w:t>
      </w:r>
      <w:r w:rsidRPr="006512FD">
        <w:rPr>
          <w:rFonts w:eastAsia="MS Mincho" w:cs="Arial"/>
          <w:iCs/>
          <w:spacing w:val="-4"/>
        </w:rPr>
        <w:t xml:space="preserve"> nebo chybějící úprav</w:t>
      </w:r>
      <w:r>
        <w:rPr>
          <w:rFonts w:eastAsia="MS Mincho" w:cs="Arial"/>
          <w:iCs/>
          <w:spacing w:val="-4"/>
        </w:rPr>
        <w:t>y</w:t>
      </w:r>
      <w:r w:rsidRPr="006512FD">
        <w:rPr>
          <w:rFonts w:eastAsia="MS Mincho" w:cs="Arial"/>
          <w:iCs/>
          <w:spacing w:val="-4"/>
        </w:rPr>
        <w:t xml:space="preserve"> některých oblastí</w:t>
      </w:r>
      <w:r>
        <w:rPr>
          <w:rFonts w:eastAsia="MS Mincho" w:cs="Arial"/>
          <w:iCs/>
          <w:spacing w:val="-4"/>
        </w:rPr>
        <w:t xml:space="preserve"> </w:t>
      </w:r>
      <w:proofErr w:type="spellStart"/>
      <w:r>
        <w:rPr>
          <w:rFonts w:eastAsia="MS Mincho" w:cs="Arial"/>
          <w:iCs/>
          <w:spacing w:val="-4"/>
        </w:rPr>
        <w:t>VaVaI</w:t>
      </w:r>
      <w:proofErr w:type="spellEnd"/>
      <w:r w:rsidRPr="006512FD">
        <w:rPr>
          <w:rFonts w:eastAsia="MS Mincho" w:cs="Arial"/>
          <w:iCs/>
          <w:spacing w:val="-4"/>
        </w:rPr>
        <w:t xml:space="preserve">. </w:t>
      </w:r>
      <w:r>
        <w:rPr>
          <w:rFonts w:eastAsia="MS Mincho" w:cs="Arial"/>
          <w:iCs/>
          <w:spacing w:val="-4"/>
        </w:rPr>
        <w:t>Byly zahájeny přípravy nového zákona o výzkumu, vývoji, inovacích a transferu znalostí. V závěru roku 2023 proběhlo meziresortní připomínkové řízení k tomuto návrhu a</w:t>
      </w:r>
      <w:r w:rsidR="002A1FC5" w:rsidRPr="002A1FC5">
        <w:rPr>
          <w:rFonts w:eastAsia="MS Mincho" w:cs="Arial"/>
          <w:iCs/>
          <w:spacing w:val="-4"/>
        </w:rPr>
        <w:t xml:space="preserve"> </w:t>
      </w:r>
      <w:r w:rsidR="002A1FC5">
        <w:rPr>
          <w:rFonts w:eastAsia="MS Mincho" w:cs="Arial"/>
          <w:iCs/>
          <w:spacing w:val="-4"/>
        </w:rPr>
        <w:t xml:space="preserve">v roce 2025 byl zákon schválen a vyhlášen ve Sbírce zákonů a mezinárodních smluv jako zákon č. 328/2025 </w:t>
      </w:r>
      <w:r w:rsidR="008322F9">
        <w:rPr>
          <w:rFonts w:eastAsia="MS Mincho" w:cs="Arial"/>
          <w:iCs/>
          <w:spacing w:val="-4"/>
        </w:rPr>
        <w:t>Sb.</w:t>
      </w:r>
      <w:r>
        <w:rPr>
          <w:rFonts w:eastAsia="MS Mincho" w:cs="Arial"/>
          <w:iCs/>
          <w:spacing w:val="-4"/>
        </w:rPr>
        <w:t xml:space="preserve"> Hlavní vize a cíle jsou shrnuty v následujícím schématu.</w:t>
      </w:r>
    </w:p>
    <w:p w14:paraId="779B72C5" w14:textId="26328B9F" w:rsidR="00AE193F" w:rsidRDefault="005F4579" w:rsidP="005F4579">
      <w:pPr>
        <w:pStyle w:val="Obrzek-nadpis"/>
        <w:rPr>
          <w:rFonts w:cs="Arial"/>
        </w:rPr>
      </w:pPr>
      <w:r w:rsidRPr="00E8772A">
        <w:t xml:space="preserve">Schéma </w:t>
      </w:r>
      <w:r w:rsidR="00A83889" w:rsidRPr="00E8772A">
        <w:t>A.1.2</w:t>
      </w:r>
      <w:r w:rsidRPr="00E8772A">
        <w:t>:</w:t>
      </w:r>
      <w:r w:rsidRPr="00593ABD">
        <w:t xml:space="preserve"> </w:t>
      </w:r>
      <w:r w:rsidR="001360F2">
        <w:rPr>
          <w:rFonts w:cs="Arial"/>
        </w:rPr>
        <w:t xml:space="preserve">Hlavní vize a cíle </w:t>
      </w:r>
      <w:r w:rsidR="00F212A3">
        <w:rPr>
          <w:rFonts w:cs="Arial"/>
        </w:rPr>
        <w:t>nové</w:t>
      </w:r>
      <w:r w:rsidR="00DC6739">
        <w:rPr>
          <w:rFonts w:cs="Arial"/>
        </w:rPr>
        <w:t xml:space="preserve"> legislativní úpravy</w:t>
      </w:r>
    </w:p>
    <w:p w14:paraId="5504C694" w14:textId="776880C3" w:rsidR="000C6546" w:rsidRDefault="00C928C2" w:rsidP="00CF29E3">
      <w:pPr>
        <w:spacing w:after="0" w:line="360" w:lineRule="auto"/>
        <w:jc w:val="center"/>
        <w:rPr>
          <w:rFonts w:cs="Arial"/>
        </w:rPr>
      </w:pPr>
      <w:r>
        <w:rPr>
          <w:noProof/>
        </w:rPr>
        <w:drawing>
          <wp:inline distT="0" distB="0" distL="0" distR="0" wp14:anchorId="7F209DC4" wp14:editId="6352F07E">
            <wp:extent cx="5939790" cy="2987040"/>
            <wp:effectExtent l="0" t="0" r="3810" b="3810"/>
            <wp:docPr id="2032115111" name="Obrázek 1" descr="Obsah obrázku text, snímek obrazovky, Písmo, číslo&#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2115111" name="Obrázek 1" descr="Obsah obrázku text, snímek obrazovky, Písmo, číslo&#10;&#10;Obsah vygenerovaný umělou inteligencí může být nesprávný."/>
                    <pic:cNvPicPr/>
                  </pic:nvPicPr>
                  <pic:blipFill>
                    <a:blip r:embed="rId39">
                      <a:extLst>
                        <a:ext uri="{28A0092B-C50C-407E-A947-70E740481C1C}">
                          <a14:useLocalDpi xmlns:a14="http://schemas.microsoft.com/office/drawing/2010/main" val="0"/>
                        </a:ext>
                      </a:extLst>
                    </a:blip>
                    <a:stretch>
                      <a:fillRect/>
                    </a:stretch>
                  </pic:blipFill>
                  <pic:spPr>
                    <a:xfrm>
                      <a:off x="0" y="0"/>
                      <a:ext cx="5939790" cy="2987040"/>
                    </a:xfrm>
                    <a:prstGeom prst="rect">
                      <a:avLst/>
                    </a:prstGeom>
                  </pic:spPr>
                </pic:pic>
              </a:graphicData>
            </a:graphic>
          </wp:inline>
        </w:drawing>
      </w:r>
    </w:p>
    <w:p w14:paraId="248C34A1" w14:textId="30402AF5" w:rsidR="00CF29E3" w:rsidRPr="00CF29E3" w:rsidRDefault="00CF29E3" w:rsidP="00CF29E3">
      <w:pPr>
        <w:spacing w:after="120" w:line="360" w:lineRule="auto"/>
        <w:rPr>
          <w:rFonts w:cs="Arial"/>
          <w:i/>
          <w:iCs/>
          <w:sz w:val="20"/>
          <w:szCs w:val="20"/>
        </w:rPr>
      </w:pPr>
      <w:r w:rsidRPr="00CF29E3">
        <w:rPr>
          <w:rFonts w:cs="Arial"/>
          <w:i/>
          <w:iCs/>
          <w:sz w:val="20"/>
          <w:szCs w:val="20"/>
        </w:rPr>
        <w:t>Zdroj: vlastní zpracování</w:t>
      </w:r>
    </w:p>
    <w:p w14:paraId="46C92447" w14:textId="70CF4A63" w:rsidR="00365BDE" w:rsidRPr="001B4B08" w:rsidRDefault="00365BDE" w:rsidP="00365BDE">
      <w:pPr>
        <w:spacing w:after="240" w:line="360" w:lineRule="auto"/>
        <w:ind w:firstLine="709"/>
        <w:jc w:val="both"/>
        <w:rPr>
          <w:rFonts w:cs="Arial"/>
        </w:rPr>
      </w:pPr>
      <w:r>
        <w:rPr>
          <w:rFonts w:eastAsia="MS Mincho" w:cs="Arial"/>
          <w:iCs/>
          <w:spacing w:val="-4"/>
        </w:rPr>
        <w:t xml:space="preserve">Tyto změny se však budou v Analýze stavu </w:t>
      </w:r>
      <w:proofErr w:type="spellStart"/>
      <w:r>
        <w:rPr>
          <w:rFonts w:eastAsia="MS Mincho" w:cs="Arial"/>
          <w:iCs/>
          <w:spacing w:val="-4"/>
        </w:rPr>
        <w:t>VaVaI</w:t>
      </w:r>
      <w:proofErr w:type="spellEnd"/>
      <w:r>
        <w:rPr>
          <w:rFonts w:eastAsia="MS Mincho" w:cs="Arial"/>
          <w:iCs/>
          <w:spacing w:val="-4"/>
        </w:rPr>
        <w:t xml:space="preserve"> v ČR a jejich srovnání se zahraničím prostřednictvím dat odrážet až v nadcházejících letech.</w:t>
      </w:r>
    </w:p>
    <w:p w14:paraId="079CDE16" w14:textId="58F33738" w:rsidR="00657901" w:rsidRPr="00F23A06" w:rsidRDefault="00657901" w:rsidP="00F23A06">
      <w:pPr>
        <w:rPr>
          <w:rFonts w:asciiTheme="majorHAnsi" w:eastAsia="Times New Roman" w:hAnsiTheme="majorHAnsi" w:cs="Arial"/>
          <w:b/>
          <w:bCs/>
          <w:smallCaps/>
          <w:color w:val="365F91"/>
          <w:sz w:val="30"/>
          <w:lang w:eastAsia="cs-CZ"/>
        </w:rPr>
      </w:pPr>
      <w:bookmarkStart w:id="12" w:name="_Toc163205830"/>
      <w:r w:rsidRPr="00F23A06">
        <w:rPr>
          <w:rFonts w:asciiTheme="majorHAnsi" w:eastAsia="Times New Roman" w:hAnsiTheme="majorHAnsi" w:cs="Arial"/>
          <w:b/>
          <w:bCs/>
          <w:smallCaps/>
          <w:color w:val="365F91"/>
          <w:sz w:val="30"/>
          <w:lang w:eastAsia="cs-CZ"/>
        </w:rPr>
        <w:t xml:space="preserve">Národní </w:t>
      </w:r>
      <w:r w:rsidR="004D0CD7" w:rsidRPr="00F23A06">
        <w:rPr>
          <w:rFonts w:asciiTheme="majorHAnsi" w:eastAsia="Times New Roman" w:hAnsiTheme="majorHAnsi" w:cs="Arial"/>
          <w:b/>
          <w:bCs/>
          <w:smallCaps/>
          <w:color w:val="365F91"/>
          <w:sz w:val="30"/>
          <w:lang w:eastAsia="cs-CZ"/>
        </w:rPr>
        <w:t xml:space="preserve">strategické dokumenty v oblasti </w:t>
      </w:r>
      <w:proofErr w:type="spellStart"/>
      <w:r w:rsidR="004D0CD7" w:rsidRPr="00F23A06">
        <w:rPr>
          <w:rFonts w:asciiTheme="majorHAnsi" w:eastAsia="Times New Roman" w:hAnsiTheme="majorHAnsi" w:cs="Arial"/>
          <w:b/>
          <w:bCs/>
          <w:smallCaps/>
          <w:color w:val="365F91"/>
          <w:sz w:val="30"/>
          <w:lang w:eastAsia="cs-CZ"/>
        </w:rPr>
        <w:t>VaVaI</w:t>
      </w:r>
      <w:bookmarkEnd w:id="12"/>
      <w:proofErr w:type="spellEnd"/>
    </w:p>
    <w:p w14:paraId="5FAEC22F" w14:textId="77777777" w:rsidR="00365BDE" w:rsidRDefault="00365BDE" w:rsidP="00365BDE">
      <w:pPr>
        <w:keepNext/>
        <w:spacing w:after="0" w:line="360" w:lineRule="auto"/>
        <w:jc w:val="both"/>
        <w:rPr>
          <w:rFonts w:eastAsia="Times New Roman" w:cs="Arial"/>
          <w:b/>
          <w:lang w:eastAsia="cs-CZ"/>
        </w:rPr>
      </w:pPr>
      <w:bookmarkStart w:id="13" w:name="_Toc147306369"/>
      <w:bookmarkEnd w:id="5"/>
      <w:r w:rsidRPr="0090442B">
        <w:rPr>
          <w:rFonts w:eastAsia="Times New Roman" w:cs="Arial"/>
          <w:b/>
          <w:lang w:eastAsia="cs-CZ"/>
        </w:rPr>
        <w:t xml:space="preserve">Národní politika </w:t>
      </w:r>
      <w:proofErr w:type="spellStart"/>
      <w:r w:rsidRPr="0090442B">
        <w:rPr>
          <w:rFonts w:eastAsia="Times New Roman" w:cs="Arial"/>
          <w:b/>
          <w:lang w:eastAsia="cs-CZ"/>
        </w:rPr>
        <w:t>VaVaI</w:t>
      </w:r>
      <w:proofErr w:type="spellEnd"/>
      <w:r>
        <w:rPr>
          <w:rFonts w:eastAsia="Times New Roman" w:cs="Arial"/>
          <w:b/>
          <w:lang w:eastAsia="cs-CZ"/>
        </w:rPr>
        <w:t xml:space="preserve"> | aktuálně na období 2021+ (schválena vládou ČR)</w:t>
      </w:r>
    </w:p>
    <w:p w14:paraId="4E5C7CE2" w14:textId="77777777" w:rsidR="00365BDE" w:rsidRDefault="00365BDE" w:rsidP="00365BDE">
      <w:pPr>
        <w:spacing w:after="120" w:line="360" w:lineRule="auto"/>
        <w:jc w:val="both"/>
        <w:rPr>
          <w:rFonts w:eastAsia="Times New Roman" w:cs="Arial"/>
          <w:bCs/>
          <w:lang w:eastAsia="cs-CZ"/>
        </w:rPr>
      </w:pPr>
      <w:r>
        <w:rPr>
          <w:rFonts w:eastAsia="Times New Roman" w:cs="Arial"/>
          <w:b/>
          <w:lang w:eastAsia="cs-CZ"/>
        </w:rPr>
        <w:t xml:space="preserve">→ </w:t>
      </w:r>
      <w:r>
        <w:rPr>
          <w:rFonts w:eastAsia="Times New Roman" w:cs="Arial"/>
          <w:bCs/>
          <w:lang w:eastAsia="cs-CZ"/>
        </w:rPr>
        <w:t>Zastřešující strategický</w:t>
      </w:r>
      <w:r w:rsidRPr="00842726">
        <w:rPr>
          <w:rFonts w:eastAsia="Times New Roman" w:cs="Arial"/>
          <w:bCs/>
          <w:lang w:eastAsia="cs-CZ"/>
        </w:rPr>
        <w:t xml:space="preserve"> dokument </w:t>
      </w:r>
      <w:r>
        <w:rPr>
          <w:rFonts w:eastAsia="Times New Roman" w:cs="Arial"/>
          <w:bCs/>
          <w:lang w:eastAsia="cs-CZ"/>
        </w:rPr>
        <w:t>na národní úrovni pro rozvoj všech složek</w:t>
      </w:r>
      <w:r w:rsidRPr="00842726">
        <w:rPr>
          <w:rFonts w:eastAsia="Times New Roman" w:cs="Arial"/>
          <w:bCs/>
          <w:lang w:eastAsia="cs-CZ"/>
        </w:rPr>
        <w:t xml:space="preserve"> </w:t>
      </w:r>
      <w:proofErr w:type="spellStart"/>
      <w:r>
        <w:rPr>
          <w:rFonts w:eastAsia="Times New Roman" w:cs="Arial"/>
          <w:bCs/>
          <w:lang w:eastAsia="cs-CZ"/>
        </w:rPr>
        <w:t>VaVaI</w:t>
      </w:r>
      <w:proofErr w:type="spellEnd"/>
      <w:r>
        <w:rPr>
          <w:rFonts w:eastAsia="Times New Roman" w:cs="Arial"/>
          <w:bCs/>
          <w:lang w:eastAsia="cs-CZ"/>
        </w:rPr>
        <w:t xml:space="preserve"> v ČR.</w:t>
      </w:r>
    </w:p>
    <w:p w14:paraId="4D2FD4F3" w14:textId="77777777" w:rsidR="00365BDE" w:rsidRDefault="00365BDE" w:rsidP="00365BDE">
      <w:pPr>
        <w:spacing w:after="120" w:line="360" w:lineRule="auto"/>
        <w:jc w:val="both"/>
        <w:rPr>
          <w:rFonts w:eastAsia="Times New Roman" w:cs="Arial"/>
          <w:bCs/>
          <w:lang w:eastAsia="cs-CZ"/>
        </w:rPr>
      </w:pPr>
      <w:r>
        <w:rPr>
          <w:rFonts w:eastAsia="Times New Roman" w:cs="Arial"/>
          <w:bCs/>
          <w:lang w:eastAsia="cs-CZ"/>
        </w:rPr>
        <w:t xml:space="preserve">→ </w:t>
      </w:r>
      <w:r w:rsidRPr="00EB4725">
        <w:rPr>
          <w:rFonts w:eastAsia="Times New Roman" w:cs="Arial"/>
          <w:bCs/>
          <w:lang w:eastAsia="cs-CZ"/>
        </w:rPr>
        <w:t xml:space="preserve">Vizí NP </w:t>
      </w:r>
      <w:proofErr w:type="spellStart"/>
      <w:r w:rsidRPr="00EB4725">
        <w:rPr>
          <w:rFonts w:eastAsia="Times New Roman" w:cs="Arial"/>
          <w:bCs/>
          <w:lang w:eastAsia="cs-CZ"/>
        </w:rPr>
        <w:t>VaVaI</w:t>
      </w:r>
      <w:proofErr w:type="spellEnd"/>
      <w:r w:rsidRPr="00EB4725">
        <w:rPr>
          <w:rFonts w:eastAsia="Times New Roman" w:cs="Arial"/>
          <w:bCs/>
          <w:lang w:eastAsia="cs-CZ"/>
        </w:rPr>
        <w:t xml:space="preserve"> 2021+ je prostřednictvím efektivní podpory a zacílení </w:t>
      </w:r>
      <w:proofErr w:type="spellStart"/>
      <w:r w:rsidRPr="00EB4725">
        <w:rPr>
          <w:rFonts w:eastAsia="Times New Roman" w:cs="Arial"/>
          <w:bCs/>
          <w:lang w:eastAsia="cs-CZ"/>
        </w:rPr>
        <w:t>VaVaI</w:t>
      </w:r>
      <w:proofErr w:type="spellEnd"/>
      <w:r>
        <w:rPr>
          <w:rFonts w:eastAsia="Times New Roman" w:cs="Arial"/>
          <w:bCs/>
          <w:lang w:eastAsia="cs-CZ"/>
        </w:rPr>
        <w:t xml:space="preserve"> </w:t>
      </w:r>
      <w:r w:rsidRPr="00EB4725">
        <w:rPr>
          <w:rFonts w:eastAsia="Times New Roman" w:cs="Arial"/>
          <w:bCs/>
          <w:lang w:eastAsia="cs-CZ"/>
        </w:rPr>
        <w:t>přispět k</w:t>
      </w:r>
      <w:r>
        <w:rPr>
          <w:rFonts w:eastAsia="Times New Roman" w:cs="Arial"/>
          <w:bCs/>
          <w:lang w:eastAsia="cs-CZ"/>
        </w:rPr>
        <w:t> </w:t>
      </w:r>
      <w:r w:rsidRPr="00EB4725">
        <w:rPr>
          <w:rFonts w:eastAsia="Times New Roman" w:cs="Arial"/>
          <w:bCs/>
          <w:lang w:eastAsia="cs-CZ"/>
        </w:rPr>
        <w:t>prosperitě ČR jako země, jejíž ekonomika je založena na znalostech a schopnosti inovovat.</w:t>
      </w:r>
    </w:p>
    <w:p w14:paraId="3F0948DE" w14:textId="77777777" w:rsidR="00365BDE" w:rsidRDefault="00365BDE" w:rsidP="00365BDE">
      <w:pPr>
        <w:spacing w:after="120" w:line="360" w:lineRule="auto"/>
        <w:jc w:val="both"/>
        <w:rPr>
          <w:rFonts w:eastAsia="Times New Roman" w:cs="Arial"/>
          <w:bCs/>
          <w:lang w:eastAsia="cs-CZ"/>
        </w:rPr>
      </w:pPr>
      <w:r>
        <w:rPr>
          <w:rFonts w:eastAsia="Times New Roman" w:cs="Arial"/>
          <w:b/>
          <w:lang w:eastAsia="cs-CZ"/>
        </w:rPr>
        <w:lastRenderedPageBreak/>
        <w:t xml:space="preserve">→ </w:t>
      </w:r>
      <w:r w:rsidRPr="007D6E67">
        <w:rPr>
          <w:rFonts w:eastAsia="Times New Roman" w:cs="Arial"/>
          <w:lang w:eastAsia="cs-CZ"/>
        </w:rPr>
        <w:t xml:space="preserve">Definuje </w:t>
      </w:r>
      <w:r>
        <w:rPr>
          <w:rFonts w:eastAsia="Times New Roman" w:cs="Arial"/>
          <w:lang w:eastAsia="cs-CZ"/>
        </w:rPr>
        <w:t xml:space="preserve">cíl </w:t>
      </w:r>
      <w:r>
        <w:rPr>
          <w:rFonts w:eastAsia="Times New Roman" w:cs="Arial"/>
          <w:bCs/>
          <w:lang w:eastAsia="cs-CZ"/>
        </w:rPr>
        <w:t xml:space="preserve">ČR stát se </w:t>
      </w:r>
      <w:r w:rsidRPr="00842726">
        <w:rPr>
          <w:rFonts w:eastAsia="Times New Roman" w:cs="Arial"/>
          <w:bCs/>
          <w:lang w:eastAsia="cs-CZ"/>
        </w:rPr>
        <w:t>dynamickou inovativní společností</w:t>
      </w:r>
      <w:r>
        <w:rPr>
          <w:rFonts w:eastAsia="Times New Roman" w:cs="Arial"/>
          <w:bCs/>
          <w:lang w:eastAsia="cs-CZ"/>
        </w:rPr>
        <w:t xml:space="preserve">, přičemž tento cíl lze mj. měřit pomocí indikátoru </w:t>
      </w:r>
      <w:r w:rsidRPr="00842726">
        <w:rPr>
          <w:rFonts w:eastAsia="Times New Roman" w:cs="Arial"/>
          <w:bCs/>
          <w:lang w:eastAsia="cs-CZ"/>
        </w:rPr>
        <w:t xml:space="preserve">souhrnného inovačního indexu </w:t>
      </w:r>
      <w:r>
        <w:rPr>
          <w:rFonts w:eastAsia="Times New Roman" w:cs="Arial"/>
          <w:bCs/>
          <w:lang w:eastAsia="cs-CZ"/>
        </w:rPr>
        <w:t>EU</w:t>
      </w:r>
      <w:r w:rsidRPr="00842726">
        <w:rPr>
          <w:rFonts w:eastAsia="Times New Roman" w:cs="Arial"/>
          <w:bCs/>
          <w:lang w:eastAsia="cs-CZ"/>
        </w:rPr>
        <w:t xml:space="preserve"> tím, že ČR postoupí ze skupiny </w:t>
      </w:r>
      <w:r>
        <w:rPr>
          <w:rFonts w:eastAsia="Times New Roman" w:cs="Arial"/>
          <w:bCs/>
          <w:lang w:eastAsia="cs-CZ"/>
        </w:rPr>
        <w:t>„</w:t>
      </w:r>
      <w:r w:rsidRPr="00842726">
        <w:rPr>
          <w:rFonts w:eastAsia="Times New Roman" w:cs="Arial"/>
          <w:bCs/>
          <w:lang w:eastAsia="cs-CZ"/>
        </w:rPr>
        <w:t>mírní inovátoři</w:t>
      </w:r>
      <w:r>
        <w:rPr>
          <w:rFonts w:eastAsia="Times New Roman" w:cs="Arial"/>
          <w:bCs/>
          <w:lang w:eastAsia="cs-CZ"/>
        </w:rPr>
        <w:t>“</w:t>
      </w:r>
      <w:r w:rsidRPr="00842726">
        <w:rPr>
          <w:rFonts w:eastAsia="Times New Roman" w:cs="Arial"/>
          <w:bCs/>
          <w:lang w:eastAsia="cs-CZ"/>
        </w:rPr>
        <w:t xml:space="preserve"> do skupiny </w:t>
      </w:r>
      <w:r>
        <w:rPr>
          <w:rFonts w:eastAsia="Times New Roman" w:cs="Arial"/>
          <w:bCs/>
          <w:lang w:eastAsia="cs-CZ"/>
        </w:rPr>
        <w:t>„</w:t>
      </w:r>
      <w:r w:rsidRPr="00842726">
        <w:rPr>
          <w:rFonts w:eastAsia="Times New Roman" w:cs="Arial"/>
          <w:bCs/>
          <w:lang w:eastAsia="cs-CZ"/>
        </w:rPr>
        <w:t>inovační lídři</w:t>
      </w:r>
      <w:r>
        <w:rPr>
          <w:rFonts w:eastAsia="Times New Roman" w:cs="Arial"/>
          <w:bCs/>
          <w:lang w:eastAsia="cs-CZ"/>
        </w:rPr>
        <w:t>“.</w:t>
      </w:r>
    </w:p>
    <w:p w14:paraId="623D3746" w14:textId="77777777" w:rsidR="00365BDE" w:rsidRPr="004D0CD7" w:rsidRDefault="00365BDE" w:rsidP="00365BDE">
      <w:pPr>
        <w:keepNext/>
        <w:spacing w:after="0" w:line="360" w:lineRule="auto"/>
        <w:jc w:val="both"/>
        <w:rPr>
          <w:rFonts w:eastAsia="Times New Roman" w:cs="Arial"/>
          <w:b/>
          <w:lang w:eastAsia="cs-CZ"/>
        </w:rPr>
      </w:pPr>
      <w:r w:rsidRPr="004D0CD7">
        <w:rPr>
          <w:rFonts w:eastAsia="Times New Roman" w:cs="Arial"/>
          <w:b/>
          <w:lang w:eastAsia="cs-CZ"/>
        </w:rPr>
        <w:t>Národní priority orientovaného výzkumu, experimentálního vývoje a inovací</w:t>
      </w:r>
      <w:r>
        <w:rPr>
          <w:rFonts w:eastAsia="Times New Roman" w:cs="Arial"/>
          <w:b/>
          <w:lang w:eastAsia="cs-CZ"/>
        </w:rPr>
        <w:t xml:space="preserve"> | aktuálně do </w:t>
      </w:r>
      <w:r w:rsidRPr="00232E5A">
        <w:rPr>
          <w:rFonts w:eastAsia="Times New Roman" w:cs="Arial"/>
          <w:b/>
          <w:lang w:eastAsia="cs-CZ"/>
        </w:rPr>
        <w:t>roku 2030</w:t>
      </w:r>
      <w:r>
        <w:rPr>
          <w:rFonts w:eastAsia="Times New Roman" w:cs="Arial"/>
          <w:b/>
          <w:lang w:eastAsia="cs-CZ"/>
        </w:rPr>
        <w:t xml:space="preserve"> (schváleny vládou ČR)</w:t>
      </w:r>
    </w:p>
    <w:p w14:paraId="617E7555" w14:textId="77777777" w:rsidR="00365BDE" w:rsidRDefault="00365BDE" w:rsidP="00365BDE">
      <w:pPr>
        <w:spacing w:after="120" w:line="360" w:lineRule="auto"/>
        <w:jc w:val="both"/>
        <w:rPr>
          <w:rFonts w:eastAsia="Times New Roman" w:cs="Arial"/>
          <w:bCs/>
          <w:lang w:eastAsia="cs-CZ"/>
        </w:rPr>
      </w:pPr>
      <w:r>
        <w:rPr>
          <w:rFonts w:eastAsia="Times New Roman" w:cs="Arial"/>
          <w:bCs/>
          <w:lang w:eastAsia="cs-CZ"/>
        </w:rPr>
        <w:t>→ Cílem Národních priorit orientovaného výzkumu, experimentálního vývoje a inovací (NPOV)</w:t>
      </w:r>
      <w:r w:rsidRPr="008A6EBA">
        <w:rPr>
          <w:rFonts w:eastAsia="Times New Roman" w:cs="Arial"/>
          <w:bCs/>
          <w:lang w:eastAsia="cs-CZ"/>
        </w:rPr>
        <w:t xml:space="preserve"> </w:t>
      </w:r>
      <w:r>
        <w:rPr>
          <w:rFonts w:eastAsia="Times New Roman" w:cs="Arial"/>
          <w:bCs/>
          <w:lang w:eastAsia="cs-CZ"/>
        </w:rPr>
        <w:t>je</w:t>
      </w:r>
      <w:r w:rsidRPr="008A6EBA">
        <w:rPr>
          <w:rFonts w:eastAsia="Times New Roman" w:cs="Arial"/>
          <w:bCs/>
          <w:lang w:eastAsia="cs-CZ"/>
        </w:rPr>
        <w:t xml:space="preserve"> strategické zacílení části národního </w:t>
      </w:r>
      <w:proofErr w:type="spellStart"/>
      <w:r w:rsidRPr="008A6EBA">
        <w:rPr>
          <w:rFonts w:eastAsia="Times New Roman" w:cs="Arial"/>
          <w:bCs/>
          <w:lang w:eastAsia="cs-CZ"/>
        </w:rPr>
        <w:t>VaVaI</w:t>
      </w:r>
      <w:proofErr w:type="spellEnd"/>
      <w:r w:rsidRPr="008A6EBA">
        <w:rPr>
          <w:rFonts w:eastAsia="Times New Roman" w:cs="Arial"/>
          <w:bCs/>
          <w:lang w:eastAsia="cs-CZ"/>
        </w:rPr>
        <w:t xml:space="preserve"> (zejména aplikovaného výzkumu, ale částečně i</w:t>
      </w:r>
      <w:r>
        <w:rPr>
          <w:rFonts w:eastAsia="Times New Roman" w:cs="Arial"/>
          <w:bCs/>
          <w:lang w:eastAsia="cs-CZ"/>
        </w:rPr>
        <w:t> </w:t>
      </w:r>
      <w:r w:rsidRPr="008A6EBA">
        <w:rPr>
          <w:rFonts w:eastAsia="Times New Roman" w:cs="Arial"/>
          <w:bCs/>
          <w:lang w:eastAsia="cs-CZ"/>
        </w:rPr>
        <w:t>základního) do oblastí, které napomohou řešit zásadní současné a předvídatelné budoucí problémy a výzvy ČR.</w:t>
      </w:r>
    </w:p>
    <w:p w14:paraId="4B683637" w14:textId="77777777" w:rsidR="00365BDE" w:rsidRDefault="00365BDE" w:rsidP="00365BDE">
      <w:pPr>
        <w:keepNext/>
        <w:spacing w:after="0" w:line="360" w:lineRule="auto"/>
        <w:jc w:val="both"/>
        <w:rPr>
          <w:rFonts w:eastAsia="Times New Roman" w:cs="Arial"/>
          <w:b/>
          <w:lang w:eastAsia="cs-CZ"/>
        </w:rPr>
      </w:pPr>
      <w:r>
        <w:rPr>
          <w:rFonts w:eastAsia="Times New Roman" w:cs="Arial"/>
          <w:b/>
          <w:lang w:eastAsia="cs-CZ"/>
        </w:rPr>
        <w:t>Národní výzkumná a inovační strategie pro inteligentní specializaci České republiky (</w:t>
      </w:r>
      <w:r w:rsidRPr="00EB4725">
        <w:rPr>
          <w:rFonts w:eastAsia="Times New Roman" w:cs="Arial"/>
          <w:b/>
          <w:lang w:eastAsia="cs-CZ"/>
        </w:rPr>
        <w:t>Národní RIS3</w:t>
      </w:r>
      <w:r>
        <w:rPr>
          <w:rFonts w:eastAsia="Times New Roman" w:cs="Arial"/>
          <w:b/>
          <w:lang w:eastAsia="cs-CZ"/>
        </w:rPr>
        <w:t xml:space="preserve"> strategie) | aktuálně na léta 2021–2027 (schválena vládou ČR)</w:t>
      </w:r>
    </w:p>
    <w:p w14:paraId="77F4AAE0" w14:textId="77777777" w:rsidR="00365BDE" w:rsidRDefault="00365BDE" w:rsidP="00365BDE">
      <w:pPr>
        <w:spacing w:after="0" w:line="360" w:lineRule="auto"/>
        <w:jc w:val="both"/>
        <w:rPr>
          <w:rFonts w:eastAsia="Times New Roman" w:cs="Arial"/>
          <w:bCs/>
          <w:lang w:eastAsia="cs-CZ"/>
        </w:rPr>
      </w:pPr>
      <w:r>
        <w:rPr>
          <w:rFonts w:eastAsia="Times New Roman" w:cs="Arial"/>
          <w:bCs/>
          <w:lang w:eastAsia="cs-CZ"/>
        </w:rPr>
        <w:t>→ Podmiňuje</w:t>
      </w:r>
      <w:r w:rsidRPr="00657901">
        <w:rPr>
          <w:rFonts w:eastAsia="Times New Roman" w:cs="Arial"/>
          <w:bCs/>
          <w:lang w:eastAsia="cs-CZ"/>
        </w:rPr>
        <w:t xml:space="preserve"> efektivní zacílení </w:t>
      </w:r>
      <w:r>
        <w:rPr>
          <w:rFonts w:eastAsia="Times New Roman" w:cs="Arial"/>
          <w:bCs/>
          <w:lang w:eastAsia="cs-CZ"/>
        </w:rPr>
        <w:t xml:space="preserve">evropských, národních i regionálních </w:t>
      </w:r>
      <w:r w:rsidRPr="00657901">
        <w:rPr>
          <w:rFonts w:eastAsia="Times New Roman" w:cs="Arial"/>
          <w:bCs/>
          <w:lang w:eastAsia="cs-CZ"/>
        </w:rPr>
        <w:t>finančních prostředků na</w:t>
      </w:r>
      <w:r>
        <w:rPr>
          <w:rFonts w:eastAsia="Times New Roman" w:cs="Arial"/>
          <w:bCs/>
          <w:lang w:eastAsia="cs-CZ"/>
        </w:rPr>
        <w:t> </w:t>
      </w:r>
      <w:r w:rsidRPr="00657901">
        <w:rPr>
          <w:rFonts w:eastAsia="Times New Roman" w:cs="Arial"/>
          <w:bCs/>
          <w:lang w:eastAsia="cs-CZ"/>
        </w:rPr>
        <w:t xml:space="preserve">aktivity vedoucí k posílení výzkumné a inovační kapacity do </w:t>
      </w:r>
      <w:r>
        <w:rPr>
          <w:rFonts w:eastAsia="Times New Roman" w:cs="Arial"/>
          <w:bCs/>
          <w:lang w:eastAsia="cs-CZ"/>
        </w:rPr>
        <w:t xml:space="preserve">prioritních </w:t>
      </w:r>
      <w:r w:rsidRPr="00657901">
        <w:rPr>
          <w:rFonts w:eastAsia="Times New Roman" w:cs="Arial"/>
          <w:bCs/>
          <w:lang w:eastAsia="cs-CZ"/>
        </w:rPr>
        <w:t>oblastí</w:t>
      </w:r>
      <w:r>
        <w:rPr>
          <w:rFonts w:eastAsia="Times New Roman" w:cs="Arial"/>
          <w:bCs/>
          <w:lang w:eastAsia="cs-CZ"/>
        </w:rPr>
        <w:t>, které mají vysoký potenciál pro vytváření dlouhodobé konkurenční výhody ČR založené na využívání znalostí a inovací</w:t>
      </w:r>
      <w:r w:rsidRPr="00657901">
        <w:rPr>
          <w:rFonts w:eastAsia="Times New Roman" w:cs="Arial"/>
          <w:bCs/>
          <w:lang w:eastAsia="cs-CZ"/>
        </w:rPr>
        <w:t>.</w:t>
      </w:r>
    </w:p>
    <w:p w14:paraId="004C5DD9" w14:textId="77777777" w:rsidR="00365BDE" w:rsidRDefault="00365BDE" w:rsidP="00365BDE">
      <w:pPr>
        <w:spacing w:after="120" w:line="360" w:lineRule="auto"/>
        <w:jc w:val="both"/>
        <w:rPr>
          <w:rFonts w:eastAsia="Times New Roman" w:cs="Arial"/>
          <w:bCs/>
          <w:lang w:eastAsia="cs-CZ"/>
        </w:rPr>
      </w:pPr>
      <w:r>
        <w:rPr>
          <w:rFonts w:eastAsia="Times New Roman" w:cs="Arial"/>
          <w:bCs/>
          <w:lang w:eastAsia="cs-CZ"/>
        </w:rPr>
        <w:t xml:space="preserve">→ </w:t>
      </w:r>
      <w:r w:rsidRPr="00657901">
        <w:rPr>
          <w:rFonts w:eastAsia="Times New Roman" w:cs="Arial"/>
          <w:bCs/>
          <w:lang w:eastAsia="cs-CZ"/>
        </w:rPr>
        <w:t>Národní RIS3 strategie</w:t>
      </w:r>
      <w:r>
        <w:rPr>
          <w:rFonts w:eastAsia="Times New Roman" w:cs="Arial"/>
          <w:bCs/>
          <w:lang w:eastAsia="cs-CZ"/>
        </w:rPr>
        <w:t xml:space="preserve"> (RIS3)</w:t>
      </w:r>
      <w:r w:rsidRPr="00657901">
        <w:rPr>
          <w:rFonts w:eastAsia="Times New Roman" w:cs="Arial"/>
          <w:bCs/>
          <w:lang w:eastAsia="cs-CZ"/>
        </w:rPr>
        <w:t xml:space="preserve"> </w:t>
      </w:r>
      <w:r>
        <w:rPr>
          <w:rFonts w:eastAsia="Times New Roman" w:cs="Arial"/>
          <w:bCs/>
          <w:lang w:eastAsia="cs-CZ"/>
        </w:rPr>
        <w:t>přispívá k naplnění</w:t>
      </w:r>
      <w:r w:rsidRPr="00657901">
        <w:rPr>
          <w:rFonts w:eastAsia="Times New Roman" w:cs="Arial"/>
          <w:bCs/>
          <w:lang w:eastAsia="cs-CZ"/>
        </w:rPr>
        <w:t xml:space="preserve"> část</w:t>
      </w:r>
      <w:r>
        <w:rPr>
          <w:rFonts w:eastAsia="Times New Roman" w:cs="Arial"/>
          <w:bCs/>
          <w:lang w:eastAsia="cs-CZ"/>
        </w:rPr>
        <w:t>i</w:t>
      </w:r>
      <w:r w:rsidRPr="00657901">
        <w:rPr>
          <w:rFonts w:eastAsia="Times New Roman" w:cs="Arial"/>
          <w:bCs/>
          <w:lang w:eastAsia="cs-CZ"/>
        </w:rPr>
        <w:t xml:space="preserve"> úkolů NP </w:t>
      </w:r>
      <w:proofErr w:type="spellStart"/>
      <w:r w:rsidRPr="00657901">
        <w:rPr>
          <w:rFonts w:eastAsia="Times New Roman" w:cs="Arial"/>
          <w:bCs/>
          <w:lang w:eastAsia="cs-CZ"/>
        </w:rPr>
        <w:t>VaVaI</w:t>
      </w:r>
      <w:proofErr w:type="spellEnd"/>
      <w:r w:rsidRPr="00657901">
        <w:rPr>
          <w:rFonts w:eastAsia="Times New Roman" w:cs="Arial"/>
          <w:bCs/>
          <w:lang w:eastAsia="cs-CZ"/>
        </w:rPr>
        <w:t xml:space="preserve"> 2021+ v rovině orientovaného a aplikovaného výzkumu a pohybuje se uvnitř jejího rámce.</w:t>
      </w:r>
    </w:p>
    <w:p w14:paraId="0CB8F4B9" w14:textId="77777777" w:rsidR="00365BDE" w:rsidRDefault="00365BDE" w:rsidP="00365BDE">
      <w:pPr>
        <w:keepNext/>
        <w:spacing w:after="0" w:line="360" w:lineRule="auto"/>
        <w:jc w:val="both"/>
        <w:rPr>
          <w:rFonts w:eastAsia="Times New Roman" w:cs="Arial"/>
          <w:b/>
          <w:lang w:eastAsia="cs-CZ"/>
        </w:rPr>
      </w:pPr>
      <w:r w:rsidRPr="00EB4725">
        <w:rPr>
          <w:rFonts w:eastAsia="Times New Roman" w:cs="Arial"/>
          <w:b/>
          <w:lang w:eastAsia="cs-CZ"/>
        </w:rPr>
        <w:t>Inovační strategie</w:t>
      </w:r>
      <w:r>
        <w:rPr>
          <w:rFonts w:eastAsia="Times New Roman" w:cs="Arial"/>
          <w:b/>
          <w:lang w:eastAsia="cs-CZ"/>
        </w:rPr>
        <w:t xml:space="preserve"> České republiky 2019–2030 (schválena vládou ČR) | do roku 2024</w:t>
      </w:r>
    </w:p>
    <w:p w14:paraId="2E911B1A" w14:textId="77777777" w:rsidR="00365BDE" w:rsidRDefault="00365BDE" w:rsidP="00365BDE">
      <w:pPr>
        <w:spacing w:after="120" w:line="360" w:lineRule="auto"/>
        <w:jc w:val="both"/>
        <w:rPr>
          <w:rFonts w:eastAsia="Times New Roman" w:cs="Arial"/>
          <w:bCs/>
          <w:lang w:eastAsia="cs-CZ"/>
        </w:rPr>
      </w:pPr>
      <w:r w:rsidRPr="008F174D">
        <w:rPr>
          <w:rFonts w:eastAsia="Times New Roman" w:cs="Arial"/>
          <w:bCs/>
          <w:lang w:eastAsia="cs-CZ"/>
        </w:rPr>
        <w:t xml:space="preserve">→ </w:t>
      </w:r>
      <w:r>
        <w:rPr>
          <w:rFonts w:eastAsia="Times New Roman" w:cs="Arial"/>
          <w:bCs/>
          <w:lang w:eastAsia="cs-CZ"/>
        </w:rPr>
        <w:t>S</w:t>
      </w:r>
      <w:r w:rsidRPr="008F174D">
        <w:rPr>
          <w:rFonts w:eastAsia="Times New Roman" w:cs="Arial"/>
          <w:bCs/>
          <w:lang w:eastAsia="cs-CZ"/>
        </w:rPr>
        <w:t xml:space="preserve">trategický dokument </w:t>
      </w:r>
      <w:r>
        <w:rPr>
          <w:rFonts w:eastAsia="Times New Roman" w:cs="Arial"/>
          <w:bCs/>
          <w:lang w:eastAsia="cs-CZ"/>
        </w:rPr>
        <w:t xml:space="preserve">využívající dva </w:t>
      </w:r>
      <w:r w:rsidRPr="008F174D">
        <w:rPr>
          <w:rFonts w:eastAsia="Times New Roman" w:cs="Arial"/>
          <w:bCs/>
          <w:lang w:eastAsia="cs-CZ"/>
        </w:rPr>
        <w:t>základní</w:t>
      </w:r>
      <w:r>
        <w:rPr>
          <w:rFonts w:eastAsia="Times New Roman" w:cs="Arial"/>
          <w:bCs/>
          <w:lang w:eastAsia="cs-CZ"/>
        </w:rPr>
        <w:t xml:space="preserve"> </w:t>
      </w:r>
      <w:r w:rsidRPr="008F174D">
        <w:rPr>
          <w:rFonts w:eastAsia="Times New Roman" w:cs="Arial"/>
          <w:bCs/>
          <w:lang w:eastAsia="cs-CZ"/>
        </w:rPr>
        <w:t>instrumenty budoucí prosperity</w:t>
      </w:r>
      <w:r>
        <w:rPr>
          <w:rFonts w:eastAsia="Times New Roman" w:cs="Arial"/>
          <w:bCs/>
          <w:lang w:eastAsia="cs-CZ"/>
        </w:rPr>
        <w:t xml:space="preserve">: </w:t>
      </w:r>
      <w:proofErr w:type="spellStart"/>
      <w:r w:rsidRPr="008F174D">
        <w:rPr>
          <w:rFonts w:eastAsia="Times New Roman" w:cs="Arial"/>
          <w:bCs/>
          <w:lang w:eastAsia="cs-CZ"/>
        </w:rPr>
        <w:t>VaVaI</w:t>
      </w:r>
      <w:proofErr w:type="spellEnd"/>
      <w:r w:rsidRPr="008F174D">
        <w:rPr>
          <w:rFonts w:eastAsia="Times New Roman" w:cs="Arial"/>
          <w:bCs/>
          <w:lang w:eastAsia="cs-CZ"/>
        </w:rPr>
        <w:t xml:space="preserve"> a</w:t>
      </w:r>
      <w:r>
        <w:rPr>
          <w:rFonts w:eastAsia="Times New Roman" w:cs="Arial"/>
          <w:bCs/>
          <w:lang w:eastAsia="cs-CZ"/>
        </w:rPr>
        <w:t> </w:t>
      </w:r>
      <w:r w:rsidRPr="008F174D">
        <w:rPr>
          <w:rFonts w:eastAsia="Times New Roman" w:cs="Arial"/>
          <w:bCs/>
          <w:lang w:eastAsia="cs-CZ"/>
        </w:rPr>
        <w:t>digitalizac</w:t>
      </w:r>
      <w:r>
        <w:rPr>
          <w:rFonts w:eastAsia="Times New Roman" w:cs="Arial"/>
          <w:bCs/>
          <w:lang w:eastAsia="cs-CZ"/>
        </w:rPr>
        <w:t>i.</w:t>
      </w:r>
    </w:p>
    <w:p w14:paraId="0FC977A6" w14:textId="77777777" w:rsidR="00365BDE" w:rsidRDefault="00365BDE" w:rsidP="00365BDE">
      <w:pPr>
        <w:spacing w:after="120" w:line="360" w:lineRule="auto"/>
        <w:jc w:val="both"/>
        <w:rPr>
          <w:rFonts w:eastAsia="Times New Roman" w:cs="Arial"/>
          <w:bCs/>
          <w:lang w:eastAsia="cs-CZ"/>
        </w:rPr>
      </w:pPr>
      <w:r w:rsidRPr="008F174D">
        <w:rPr>
          <w:rFonts w:eastAsia="Times New Roman" w:cs="Arial"/>
          <w:bCs/>
          <w:lang w:eastAsia="cs-CZ"/>
        </w:rPr>
        <w:t xml:space="preserve">→ </w:t>
      </w:r>
      <w:r>
        <w:rPr>
          <w:rFonts w:eastAsia="Times New Roman" w:cs="Arial"/>
          <w:bCs/>
          <w:lang w:eastAsia="cs-CZ"/>
        </w:rPr>
        <w:t>Část agendy, kterou zastřešovala tato strategie, od října 2024 přebírá a rozšiřuje Hospodářská strategie České republiky: Česko do top 10.</w:t>
      </w:r>
    </w:p>
    <w:p w14:paraId="3EFFE346" w14:textId="77777777" w:rsidR="00365BDE" w:rsidRDefault="00365BDE" w:rsidP="00365BDE">
      <w:pPr>
        <w:spacing w:after="120" w:line="360" w:lineRule="auto"/>
        <w:jc w:val="both"/>
        <w:rPr>
          <w:rFonts w:eastAsia="Times New Roman" w:cs="Arial"/>
          <w:bCs/>
          <w:lang w:eastAsia="cs-CZ"/>
        </w:rPr>
      </w:pPr>
      <w:r w:rsidRPr="00CC412C">
        <w:rPr>
          <w:rFonts w:eastAsia="Times New Roman" w:cs="Arial"/>
          <w:b/>
          <w:lang w:eastAsia="cs-CZ"/>
        </w:rPr>
        <w:t>Hospodářská strategie České republiky: Česko do top 10</w:t>
      </w:r>
      <w:r w:rsidRPr="00F86DBC">
        <w:rPr>
          <w:rFonts w:eastAsia="Times New Roman" w:cs="Arial"/>
          <w:b/>
          <w:lang w:eastAsia="cs-CZ"/>
        </w:rPr>
        <w:t xml:space="preserve"> </w:t>
      </w:r>
      <w:r>
        <w:rPr>
          <w:rFonts w:eastAsia="Times New Roman" w:cs="Arial"/>
          <w:b/>
          <w:lang w:eastAsia="cs-CZ"/>
        </w:rPr>
        <w:t>| od roku 2024</w:t>
      </w:r>
    </w:p>
    <w:p w14:paraId="79BECCF4" w14:textId="77777777" w:rsidR="00365BDE" w:rsidRDefault="00365BDE" w:rsidP="00365BDE">
      <w:pPr>
        <w:spacing w:after="120" w:line="360" w:lineRule="auto"/>
        <w:jc w:val="both"/>
        <w:rPr>
          <w:rFonts w:eastAsia="Times New Roman" w:cs="Arial"/>
          <w:bCs/>
          <w:lang w:eastAsia="cs-CZ"/>
        </w:rPr>
      </w:pPr>
      <w:r w:rsidRPr="008F174D">
        <w:rPr>
          <w:rFonts w:eastAsia="Times New Roman" w:cs="Arial"/>
          <w:bCs/>
          <w:lang w:eastAsia="cs-CZ"/>
        </w:rPr>
        <w:t xml:space="preserve">→ </w:t>
      </w:r>
      <w:r>
        <w:rPr>
          <w:rFonts w:eastAsia="Times New Roman" w:cs="Arial"/>
          <w:bCs/>
          <w:lang w:eastAsia="cs-CZ"/>
        </w:rPr>
        <w:t>S</w:t>
      </w:r>
      <w:r w:rsidRPr="008F174D">
        <w:rPr>
          <w:rFonts w:eastAsia="Times New Roman" w:cs="Arial"/>
          <w:bCs/>
          <w:lang w:eastAsia="cs-CZ"/>
        </w:rPr>
        <w:t xml:space="preserve">trategický dokument </w:t>
      </w:r>
      <w:r w:rsidRPr="00CC412C">
        <w:rPr>
          <w:rFonts w:eastAsia="Times New Roman" w:cs="Arial"/>
          <w:bCs/>
          <w:lang w:eastAsia="cs-CZ"/>
        </w:rPr>
        <w:t>podpor</w:t>
      </w:r>
      <w:r>
        <w:rPr>
          <w:rFonts w:eastAsia="Times New Roman" w:cs="Arial"/>
          <w:bCs/>
          <w:lang w:eastAsia="cs-CZ"/>
        </w:rPr>
        <w:t>ující</w:t>
      </w:r>
      <w:r w:rsidRPr="00CC412C">
        <w:rPr>
          <w:rFonts w:eastAsia="Times New Roman" w:cs="Arial"/>
          <w:bCs/>
          <w:lang w:eastAsia="cs-CZ"/>
        </w:rPr>
        <w:t xml:space="preserve"> dlouhodobý udržitelný růst a konkurenceschopnost v</w:t>
      </w:r>
      <w:r>
        <w:rPr>
          <w:rFonts w:eastAsia="Times New Roman" w:cs="Arial"/>
          <w:bCs/>
          <w:lang w:eastAsia="cs-CZ"/>
        </w:rPr>
        <w:t> </w:t>
      </w:r>
      <w:r w:rsidRPr="00CC412C">
        <w:rPr>
          <w:rFonts w:eastAsia="Times New Roman" w:cs="Arial"/>
          <w:bCs/>
          <w:lang w:eastAsia="cs-CZ"/>
        </w:rPr>
        <w:t>rychle se měnícím globálním prostředí</w:t>
      </w:r>
      <w:r>
        <w:rPr>
          <w:rFonts w:eastAsia="Times New Roman" w:cs="Arial"/>
          <w:bCs/>
          <w:lang w:eastAsia="cs-CZ"/>
        </w:rPr>
        <w:t xml:space="preserve"> s </w:t>
      </w:r>
      <w:r w:rsidRPr="00D5647C">
        <w:rPr>
          <w:rFonts w:eastAsia="Times New Roman" w:cs="Arial"/>
          <w:bCs/>
          <w:lang w:eastAsia="cs-CZ"/>
        </w:rPr>
        <w:t xml:space="preserve">cílem </w:t>
      </w:r>
      <w:r w:rsidRPr="00D5647C">
        <w:rPr>
          <w:rFonts w:eastAsia="Times New Roman" w:cs="Arial"/>
          <w:lang w:eastAsia="cs-CZ"/>
        </w:rPr>
        <w:t>posunout ČR mezi 10 nejvýkonnějších ekonomik EU do roku 2040</w:t>
      </w:r>
      <w:r>
        <w:rPr>
          <w:rFonts w:eastAsia="Times New Roman" w:cs="Arial"/>
          <w:lang w:eastAsia="cs-CZ"/>
        </w:rPr>
        <w:t>.</w:t>
      </w:r>
    </w:p>
    <w:p w14:paraId="27C9B0F7" w14:textId="77777777" w:rsidR="00365BDE" w:rsidRDefault="00365BDE" w:rsidP="00365BDE">
      <w:pPr>
        <w:spacing w:after="120" w:line="360" w:lineRule="auto"/>
        <w:jc w:val="both"/>
        <w:rPr>
          <w:rFonts w:eastAsia="Times New Roman" w:cs="Arial"/>
          <w:bCs/>
          <w:lang w:eastAsia="cs-CZ"/>
        </w:rPr>
      </w:pPr>
      <w:r w:rsidRPr="008F174D">
        <w:rPr>
          <w:rFonts w:eastAsia="Times New Roman" w:cs="Arial"/>
          <w:bCs/>
          <w:lang w:eastAsia="cs-CZ"/>
        </w:rPr>
        <w:t xml:space="preserve">→ </w:t>
      </w:r>
      <w:r>
        <w:rPr>
          <w:rFonts w:eastAsia="Times New Roman" w:cs="Arial"/>
          <w:bCs/>
          <w:lang w:eastAsia="cs-CZ"/>
        </w:rPr>
        <w:t xml:space="preserve">Jednou z prioritních oblastí je </w:t>
      </w:r>
      <w:r w:rsidRPr="00D3657B">
        <w:rPr>
          <w:rFonts w:eastAsia="Times New Roman" w:cs="Arial"/>
          <w:bCs/>
          <w:i/>
          <w:iCs/>
          <w:lang w:eastAsia="cs-CZ"/>
        </w:rPr>
        <w:t>4.</w:t>
      </w:r>
      <w:r>
        <w:rPr>
          <w:rFonts w:eastAsia="Times New Roman" w:cs="Arial"/>
          <w:bCs/>
          <w:lang w:eastAsia="cs-CZ"/>
        </w:rPr>
        <w:t xml:space="preserve"> </w:t>
      </w:r>
      <w:r w:rsidRPr="00D3657B">
        <w:rPr>
          <w:rFonts w:eastAsia="Times New Roman" w:cs="Arial"/>
          <w:bCs/>
          <w:i/>
          <w:iCs/>
          <w:lang w:eastAsia="cs-CZ"/>
        </w:rPr>
        <w:t>Z výzkumu rovnou do praxe – inovace, které mění svět</w:t>
      </w:r>
      <w:r>
        <w:rPr>
          <w:rFonts w:eastAsia="Times New Roman" w:cs="Arial"/>
          <w:bCs/>
          <w:lang w:eastAsia="cs-CZ"/>
        </w:rPr>
        <w:t xml:space="preserve">, tedy </w:t>
      </w:r>
      <w:r w:rsidRPr="00D5647C">
        <w:rPr>
          <w:rFonts w:eastAsia="Times New Roman" w:cs="Arial"/>
          <w:bCs/>
          <w:lang w:eastAsia="cs-CZ"/>
        </w:rPr>
        <w:t>zajist</w:t>
      </w:r>
      <w:r>
        <w:rPr>
          <w:rFonts w:eastAsia="Times New Roman" w:cs="Arial"/>
          <w:bCs/>
          <w:lang w:eastAsia="cs-CZ"/>
        </w:rPr>
        <w:t>it</w:t>
      </w:r>
      <w:r w:rsidRPr="00D5647C">
        <w:rPr>
          <w:rFonts w:eastAsia="Times New Roman" w:cs="Arial"/>
          <w:bCs/>
          <w:lang w:eastAsia="cs-CZ"/>
        </w:rPr>
        <w:t xml:space="preserve">, že výsledky </w:t>
      </w:r>
      <w:proofErr w:type="spellStart"/>
      <w:r>
        <w:rPr>
          <w:rFonts w:eastAsia="Times New Roman" w:cs="Arial"/>
          <w:bCs/>
          <w:lang w:eastAsia="cs-CZ"/>
        </w:rPr>
        <w:t>VaV</w:t>
      </w:r>
      <w:proofErr w:type="spellEnd"/>
      <w:r w:rsidRPr="00D5647C">
        <w:rPr>
          <w:rFonts w:eastAsia="Times New Roman" w:cs="Arial"/>
          <w:bCs/>
          <w:lang w:eastAsia="cs-CZ"/>
        </w:rPr>
        <w:t xml:space="preserve"> se rychle a efektivně promění v inovace a praktické řešení pro</w:t>
      </w:r>
      <w:r>
        <w:rPr>
          <w:rFonts w:eastAsia="Times New Roman" w:cs="Arial"/>
          <w:bCs/>
          <w:lang w:eastAsia="cs-CZ"/>
        </w:rPr>
        <w:t> </w:t>
      </w:r>
      <w:r w:rsidRPr="00D5647C">
        <w:rPr>
          <w:rFonts w:eastAsia="Times New Roman" w:cs="Arial"/>
          <w:bCs/>
          <w:lang w:eastAsia="cs-CZ"/>
        </w:rPr>
        <w:t>každodenní život.</w:t>
      </w:r>
    </w:p>
    <w:p w14:paraId="7F96C52D" w14:textId="77777777" w:rsidR="00365BDE" w:rsidRPr="00D3657B" w:rsidRDefault="00365BDE" w:rsidP="00365BDE">
      <w:pPr>
        <w:spacing w:after="120" w:line="360" w:lineRule="auto"/>
        <w:jc w:val="both"/>
        <w:rPr>
          <w:rFonts w:eastAsia="Times New Roman" w:cs="Arial"/>
          <w:bCs/>
          <w:lang w:eastAsia="cs-CZ"/>
        </w:rPr>
      </w:pPr>
      <w:r>
        <w:rPr>
          <w:rFonts w:eastAsia="Times New Roman" w:cs="Arial"/>
          <w:bCs/>
          <w:lang w:eastAsia="cs-CZ"/>
        </w:rPr>
        <w:t xml:space="preserve">Oblast </w:t>
      </w:r>
      <w:proofErr w:type="spellStart"/>
      <w:r>
        <w:rPr>
          <w:rFonts w:eastAsia="Times New Roman" w:cs="Arial"/>
          <w:bCs/>
          <w:lang w:eastAsia="cs-CZ"/>
        </w:rPr>
        <w:t>VaVaI</w:t>
      </w:r>
      <w:proofErr w:type="spellEnd"/>
      <w:r>
        <w:rPr>
          <w:rFonts w:eastAsia="Times New Roman" w:cs="Arial"/>
          <w:bCs/>
          <w:lang w:eastAsia="cs-CZ"/>
        </w:rPr>
        <w:t xml:space="preserve"> má zde definované strategické, specifické cíle, opatření a naplňující strategie.</w:t>
      </w:r>
    </w:p>
    <w:p w14:paraId="56173A32" w14:textId="77777777" w:rsidR="00365BDE" w:rsidRPr="00C91E8F" w:rsidRDefault="00365BDE" w:rsidP="00365BDE">
      <w:pPr>
        <w:keepNext/>
        <w:spacing w:after="0" w:line="360" w:lineRule="auto"/>
        <w:jc w:val="both"/>
        <w:rPr>
          <w:rFonts w:eastAsia="Times New Roman" w:cs="Arial"/>
          <w:b/>
          <w:lang w:eastAsia="cs-CZ"/>
        </w:rPr>
      </w:pPr>
      <w:r w:rsidRPr="008A6EBA">
        <w:rPr>
          <w:rFonts w:eastAsia="Times New Roman" w:cs="Arial"/>
          <w:b/>
          <w:lang w:eastAsia="cs-CZ"/>
        </w:rPr>
        <w:t>Metodik</w:t>
      </w:r>
      <w:r>
        <w:rPr>
          <w:rFonts w:eastAsia="Times New Roman" w:cs="Arial"/>
          <w:b/>
          <w:lang w:eastAsia="cs-CZ"/>
        </w:rPr>
        <w:t>a</w:t>
      </w:r>
      <w:r w:rsidRPr="008A6EBA">
        <w:rPr>
          <w:rFonts w:eastAsia="Times New Roman" w:cs="Arial"/>
          <w:b/>
          <w:lang w:eastAsia="cs-CZ"/>
        </w:rPr>
        <w:t xml:space="preserve"> hodnocení výzkumných organizací a programů účelové podpory výzkumu, vývoje a inovací</w:t>
      </w:r>
      <w:r>
        <w:rPr>
          <w:rFonts w:eastAsia="Times New Roman" w:cs="Arial"/>
          <w:b/>
          <w:lang w:eastAsia="cs-CZ"/>
        </w:rPr>
        <w:t xml:space="preserve"> (schválena vládou ČR)</w:t>
      </w:r>
    </w:p>
    <w:p w14:paraId="54206AE7" w14:textId="504DFF81" w:rsidR="00365BDE" w:rsidRDefault="00365BDE" w:rsidP="00365BDE">
      <w:pPr>
        <w:spacing w:after="0" w:line="360" w:lineRule="auto"/>
        <w:jc w:val="both"/>
        <w:rPr>
          <w:rFonts w:eastAsia="Times New Roman" w:cs="Arial"/>
          <w:bCs/>
          <w:lang w:eastAsia="cs-CZ"/>
        </w:rPr>
      </w:pPr>
      <w:r>
        <w:rPr>
          <w:rFonts w:eastAsia="Times New Roman" w:cs="Arial"/>
          <w:bCs/>
          <w:lang w:eastAsia="cs-CZ"/>
        </w:rPr>
        <w:t>→ V</w:t>
      </w:r>
      <w:r w:rsidRPr="002F12E2">
        <w:rPr>
          <w:rFonts w:eastAsia="Times New Roman" w:cs="Arial"/>
          <w:bCs/>
          <w:lang w:eastAsia="cs-CZ"/>
        </w:rPr>
        <w:t xml:space="preserve"> ro</w:t>
      </w:r>
      <w:r>
        <w:rPr>
          <w:rFonts w:eastAsia="Times New Roman" w:cs="Arial"/>
          <w:bCs/>
          <w:lang w:eastAsia="cs-CZ"/>
        </w:rPr>
        <w:t>ce</w:t>
      </w:r>
      <w:r w:rsidRPr="002F12E2">
        <w:rPr>
          <w:rFonts w:eastAsia="Times New Roman" w:cs="Arial"/>
          <w:bCs/>
          <w:lang w:eastAsia="cs-CZ"/>
        </w:rPr>
        <w:t xml:space="preserve"> 2017 prob</w:t>
      </w:r>
      <w:r>
        <w:rPr>
          <w:rFonts w:eastAsia="Times New Roman" w:cs="Arial"/>
          <w:bCs/>
          <w:lang w:eastAsia="cs-CZ"/>
        </w:rPr>
        <w:t>ěhla</w:t>
      </w:r>
      <w:r w:rsidRPr="002F12E2">
        <w:rPr>
          <w:rFonts w:eastAsia="Times New Roman" w:cs="Arial"/>
          <w:bCs/>
          <w:lang w:eastAsia="cs-CZ"/>
        </w:rPr>
        <w:t xml:space="preserve"> změna systému hodnocení</w:t>
      </w:r>
      <w:r w:rsidR="00B94DE8">
        <w:rPr>
          <w:rFonts w:eastAsia="Times New Roman" w:cs="Arial"/>
          <w:bCs/>
          <w:lang w:eastAsia="cs-CZ"/>
        </w:rPr>
        <w:t xml:space="preserve"> výzkumných organizací</w:t>
      </w:r>
      <w:r w:rsidRPr="002F12E2">
        <w:rPr>
          <w:rFonts w:eastAsia="Times New Roman" w:cs="Arial"/>
          <w:bCs/>
          <w:lang w:eastAsia="cs-CZ"/>
        </w:rPr>
        <w:t xml:space="preserve"> </w:t>
      </w:r>
      <w:r w:rsidR="00B94DE8">
        <w:rPr>
          <w:rFonts w:eastAsia="Times New Roman" w:cs="Arial"/>
          <w:bCs/>
          <w:lang w:eastAsia="cs-CZ"/>
        </w:rPr>
        <w:t>(</w:t>
      </w:r>
      <w:r>
        <w:rPr>
          <w:rFonts w:eastAsia="Times New Roman" w:cs="Arial"/>
          <w:bCs/>
          <w:lang w:eastAsia="cs-CZ"/>
        </w:rPr>
        <w:t>VO</w:t>
      </w:r>
      <w:r w:rsidR="00B94DE8">
        <w:rPr>
          <w:rFonts w:eastAsia="Times New Roman" w:cs="Arial"/>
          <w:bCs/>
          <w:lang w:eastAsia="cs-CZ"/>
        </w:rPr>
        <w:t>)</w:t>
      </w:r>
      <w:r w:rsidRPr="002F12E2">
        <w:rPr>
          <w:rFonts w:eastAsia="Times New Roman" w:cs="Arial"/>
          <w:bCs/>
          <w:lang w:eastAsia="cs-CZ"/>
        </w:rPr>
        <w:t xml:space="preserve"> spočívající v</w:t>
      </w:r>
      <w:r>
        <w:rPr>
          <w:rFonts w:eastAsia="Times New Roman" w:cs="Arial"/>
          <w:bCs/>
          <w:lang w:eastAsia="cs-CZ"/>
        </w:rPr>
        <w:t> </w:t>
      </w:r>
      <w:r w:rsidRPr="002F12E2">
        <w:rPr>
          <w:rFonts w:eastAsia="Times New Roman" w:cs="Arial"/>
          <w:bCs/>
          <w:lang w:eastAsia="cs-CZ"/>
        </w:rPr>
        <w:t>přechodu z</w:t>
      </w:r>
      <w:r>
        <w:rPr>
          <w:rFonts w:eastAsia="Times New Roman" w:cs="Arial"/>
          <w:bCs/>
          <w:lang w:eastAsia="cs-CZ"/>
        </w:rPr>
        <w:t xml:space="preserve"> předcházejícího </w:t>
      </w:r>
      <w:r w:rsidRPr="002F12E2">
        <w:rPr>
          <w:rFonts w:eastAsia="Times New Roman" w:cs="Arial"/>
          <w:bCs/>
          <w:lang w:eastAsia="cs-CZ"/>
        </w:rPr>
        <w:t xml:space="preserve">systému založeného na kvantitě k hodnocení kvality a dopadů </w:t>
      </w:r>
      <w:proofErr w:type="spellStart"/>
      <w:r w:rsidRPr="002F12E2">
        <w:rPr>
          <w:rFonts w:eastAsia="Times New Roman" w:cs="Arial"/>
          <w:bCs/>
          <w:lang w:eastAsia="cs-CZ"/>
        </w:rPr>
        <w:t>VaV</w:t>
      </w:r>
      <w:proofErr w:type="spellEnd"/>
      <w:r>
        <w:rPr>
          <w:rFonts w:eastAsia="Times New Roman" w:cs="Arial"/>
          <w:bCs/>
          <w:lang w:eastAsia="cs-CZ"/>
        </w:rPr>
        <w:t>.</w:t>
      </w:r>
    </w:p>
    <w:p w14:paraId="7AB1F87B" w14:textId="77777777" w:rsidR="00365BDE" w:rsidRDefault="00365BDE" w:rsidP="00365BDE">
      <w:pPr>
        <w:spacing w:after="120" w:line="360" w:lineRule="auto"/>
        <w:jc w:val="both"/>
        <w:rPr>
          <w:rFonts w:eastAsia="Times New Roman" w:cs="Arial"/>
          <w:bCs/>
          <w:lang w:eastAsia="cs-CZ"/>
        </w:rPr>
      </w:pPr>
      <w:r>
        <w:rPr>
          <w:rFonts w:eastAsia="Times New Roman" w:cs="Arial"/>
          <w:bCs/>
          <w:lang w:eastAsia="cs-CZ"/>
        </w:rPr>
        <w:lastRenderedPageBreak/>
        <w:t>→ M</w:t>
      </w:r>
      <w:r w:rsidRPr="008D3610">
        <w:rPr>
          <w:rFonts w:eastAsia="Times New Roman" w:cs="Arial"/>
          <w:bCs/>
          <w:lang w:eastAsia="cs-CZ"/>
        </w:rPr>
        <w:t>ezi základní principy systému hodnocení, které j</w:t>
      </w:r>
      <w:r>
        <w:rPr>
          <w:rFonts w:eastAsia="Times New Roman" w:cs="Arial"/>
          <w:bCs/>
          <w:lang w:eastAsia="cs-CZ"/>
        </w:rPr>
        <w:t>sou</w:t>
      </w:r>
      <w:r w:rsidRPr="008D3610">
        <w:rPr>
          <w:rFonts w:eastAsia="Times New Roman" w:cs="Arial"/>
          <w:bCs/>
          <w:lang w:eastAsia="cs-CZ"/>
        </w:rPr>
        <w:t xml:space="preserve"> v souladu s mezinárodními standardy, patří rozdělení </w:t>
      </w:r>
      <w:r>
        <w:rPr>
          <w:rFonts w:eastAsia="Times New Roman" w:cs="Arial"/>
          <w:bCs/>
          <w:lang w:eastAsia="cs-CZ"/>
        </w:rPr>
        <w:t>hodnocení VO</w:t>
      </w:r>
      <w:r w:rsidRPr="008D3610">
        <w:rPr>
          <w:rFonts w:eastAsia="Times New Roman" w:cs="Arial"/>
          <w:bCs/>
          <w:lang w:eastAsia="cs-CZ"/>
        </w:rPr>
        <w:t xml:space="preserve"> na tři různé úrovně, a to úroveň národní neboli centrální, hodnocení na</w:t>
      </w:r>
      <w:r>
        <w:rPr>
          <w:rFonts w:eastAsia="Times New Roman" w:cs="Arial"/>
          <w:bCs/>
          <w:lang w:eastAsia="cs-CZ"/>
        </w:rPr>
        <w:t> </w:t>
      </w:r>
      <w:r w:rsidRPr="008D3610">
        <w:rPr>
          <w:rFonts w:eastAsia="Times New Roman" w:cs="Arial"/>
          <w:bCs/>
          <w:lang w:eastAsia="cs-CZ"/>
        </w:rPr>
        <w:t xml:space="preserve">úrovni poskytovatelů a hodnocení pro potřeby řízení </w:t>
      </w:r>
      <w:r>
        <w:rPr>
          <w:rFonts w:eastAsia="Times New Roman" w:cs="Arial"/>
          <w:bCs/>
          <w:lang w:eastAsia="cs-CZ"/>
        </w:rPr>
        <w:t>VO</w:t>
      </w:r>
      <w:r w:rsidRPr="008D3610">
        <w:rPr>
          <w:rFonts w:eastAsia="Times New Roman" w:cs="Arial"/>
          <w:bCs/>
          <w:lang w:eastAsia="cs-CZ"/>
        </w:rPr>
        <w:t>.</w:t>
      </w:r>
    </w:p>
    <w:p w14:paraId="18967B5A" w14:textId="77777777" w:rsidR="00365BDE" w:rsidRDefault="00365BDE" w:rsidP="00365BDE">
      <w:pPr>
        <w:keepNext/>
        <w:spacing w:after="0" w:line="360" w:lineRule="auto"/>
        <w:jc w:val="both"/>
        <w:rPr>
          <w:rFonts w:eastAsia="Times New Roman" w:cs="Arial"/>
          <w:b/>
          <w:lang w:eastAsia="cs-CZ"/>
        </w:rPr>
      </w:pPr>
      <w:r w:rsidRPr="004D0CD7">
        <w:rPr>
          <w:rFonts w:eastAsia="Times New Roman" w:cs="Arial"/>
          <w:b/>
          <w:lang w:eastAsia="cs-CZ"/>
        </w:rPr>
        <w:t>Koncepce Informačního systému výzkumu, experimentálního vývoje a inovací na</w:t>
      </w:r>
      <w:r>
        <w:rPr>
          <w:rFonts w:eastAsia="Times New Roman" w:cs="Arial"/>
          <w:b/>
          <w:lang w:eastAsia="cs-CZ"/>
        </w:rPr>
        <w:t> </w:t>
      </w:r>
      <w:r w:rsidRPr="004D0CD7">
        <w:rPr>
          <w:rFonts w:eastAsia="Times New Roman" w:cs="Arial"/>
          <w:b/>
          <w:lang w:eastAsia="cs-CZ"/>
        </w:rPr>
        <w:t>období 2021–2025</w:t>
      </w:r>
      <w:r>
        <w:rPr>
          <w:rFonts w:eastAsia="Times New Roman" w:cs="Arial"/>
          <w:b/>
          <w:lang w:eastAsia="cs-CZ"/>
        </w:rPr>
        <w:t xml:space="preserve"> (schválena vládou ČR)</w:t>
      </w:r>
    </w:p>
    <w:p w14:paraId="6006D820" w14:textId="77777777" w:rsidR="00365BDE" w:rsidRDefault="00365BDE" w:rsidP="00365BDE">
      <w:pPr>
        <w:spacing w:after="120" w:line="360" w:lineRule="auto"/>
        <w:jc w:val="both"/>
        <w:rPr>
          <w:rFonts w:eastAsia="Times New Roman" w:cs="Arial"/>
          <w:bCs/>
          <w:lang w:eastAsia="cs-CZ"/>
        </w:rPr>
      </w:pPr>
      <w:r>
        <w:rPr>
          <w:rFonts w:eastAsia="Times New Roman" w:cs="Arial"/>
          <w:bCs/>
          <w:lang w:eastAsia="cs-CZ"/>
        </w:rPr>
        <w:t>→ Účelem k</w:t>
      </w:r>
      <w:r w:rsidRPr="008D3610">
        <w:rPr>
          <w:rFonts w:eastAsia="Times New Roman" w:cs="Arial"/>
          <w:bCs/>
          <w:lang w:eastAsia="cs-CZ"/>
        </w:rPr>
        <w:t xml:space="preserve">oncepce je určit další směr rozvoje IS </w:t>
      </w:r>
      <w:proofErr w:type="spellStart"/>
      <w:r w:rsidRPr="008D3610">
        <w:rPr>
          <w:rFonts w:eastAsia="Times New Roman" w:cs="Arial"/>
          <w:bCs/>
          <w:lang w:eastAsia="cs-CZ"/>
        </w:rPr>
        <w:t>VaVaI</w:t>
      </w:r>
      <w:proofErr w:type="spellEnd"/>
      <w:r w:rsidRPr="008D3610">
        <w:rPr>
          <w:rFonts w:eastAsia="Times New Roman" w:cs="Arial"/>
          <w:bCs/>
          <w:lang w:eastAsia="cs-CZ"/>
        </w:rPr>
        <w:t xml:space="preserve"> na léta 2021 až 2025, zajistit efektivní využívání údajů v něm obsažených a navrhnout vhodná opatření rozvoje v souladu s</w:t>
      </w:r>
      <w:r>
        <w:rPr>
          <w:rFonts w:eastAsia="Times New Roman" w:cs="Arial"/>
          <w:bCs/>
          <w:lang w:eastAsia="cs-CZ"/>
        </w:rPr>
        <w:t> </w:t>
      </w:r>
      <w:r w:rsidRPr="008D3610">
        <w:rPr>
          <w:rFonts w:eastAsia="Times New Roman" w:cs="Arial"/>
          <w:bCs/>
          <w:lang w:eastAsia="cs-CZ"/>
        </w:rPr>
        <w:t xml:space="preserve">požadavky kladenými na IS </w:t>
      </w:r>
      <w:proofErr w:type="spellStart"/>
      <w:r w:rsidRPr="008D3610">
        <w:rPr>
          <w:rFonts w:eastAsia="Times New Roman" w:cs="Arial"/>
          <w:bCs/>
          <w:lang w:eastAsia="cs-CZ"/>
        </w:rPr>
        <w:t>VaVaI</w:t>
      </w:r>
      <w:proofErr w:type="spellEnd"/>
      <w:r w:rsidRPr="008D3610">
        <w:rPr>
          <w:rFonts w:eastAsia="Times New Roman" w:cs="Arial"/>
          <w:bCs/>
          <w:lang w:eastAsia="cs-CZ"/>
        </w:rPr>
        <w:t xml:space="preserve"> zákonem č. 130/2002 Sb. a požadavky </w:t>
      </w:r>
      <w:r>
        <w:rPr>
          <w:rFonts w:eastAsia="Times New Roman" w:cs="Arial"/>
          <w:bCs/>
          <w:lang w:eastAsia="cs-CZ"/>
        </w:rPr>
        <w:t xml:space="preserve">NP </w:t>
      </w:r>
      <w:proofErr w:type="spellStart"/>
      <w:r>
        <w:rPr>
          <w:rFonts w:eastAsia="Times New Roman" w:cs="Arial"/>
          <w:bCs/>
          <w:lang w:eastAsia="cs-CZ"/>
        </w:rPr>
        <w:t>VaVaI</w:t>
      </w:r>
      <w:proofErr w:type="spellEnd"/>
      <w:r w:rsidRPr="008D3610">
        <w:rPr>
          <w:rFonts w:eastAsia="Times New Roman" w:cs="Arial"/>
          <w:bCs/>
          <w:lang w:eastAsia="cs-CZ"/>
        </w:rPr>
        <w:t xml:space="preserve"> 2021+</w:t>
      </w:r>
      <w:r>
        <w:rPr>
          <w:rFonts w:eastAsia="Times New Roman" w:cs="Arial"/>
          <w:bCs/>
          <w:lang w:eastAsia="cs-CZ"/>
        </w:rPr>
        <w:t>.</w:t>
      </w:r>
    </w:p>
    <w:p w14:paraId="019E38D1" w14:textId="77777777" w:rsidR="00365BDE" w:rsidRPr="00F86DBC" w:rsidRDefault="00365BDE" w:rsidP="00365BDE">
      <w:pPr>
        <w:keepNext/>
        <w:spacing w:after="0" w:line="360" w:lineRule="auto"/>
        <w:jc w:val="both"/>
        <w:rPr>
          <w:rFonts w:eastAsia="Times New Roman" w:cs="Arial"/>
          <w:b/>
          <w:lang w:eastAsia="cs-CZ"/>
        </w:rPr>
      </w:pPr>
      <w:r w:rsidRPr="00F86DBC">
        <w:rPr>
          <w:rFonts w:eastAsia="Times New Roman" w:cs="Arial"/>
          <w:b/>
          <w:lang w:eastAsia="cs-CZ"/>
        </w:rPr>
        <w:t>Národní plán obnovy</w:t>
      </w:r>
      <w:r>
        <w:rPr>
          <w:rFonts w:eastAsia="Times New Roman" w:cs="Arial"/>
          <w:b/>
          <w:lang w:eastAsia="cs-CZ"/>
        </w:rPr>
        <w:t xml:space="preserve"> (NPO)</w:t>
      </w:r>
      <w:r w:rsidRPr="00F86DBC">
        <w:rPr>
          <w:rFonts w:eastAsia="Times New Roman" w:cs="Arial"/>
          <w:b/>
          <w:lang w:eastAsia="cs-CZ"/>
        </w:rPr>
        <w:t xml:space="preserve"> </w:t>
      </w:r>
      <w:r>
        <w:rPr>
          <w:rFonts w:eastAsia="Times New Roman" w:cs="Arial"/>
          <w:b/>
          <w:lang w:eastAsia="cs-CZ"/>
        </w:rPr>
        <w:t>| od roku 2022</w:t>
      </w:r>
    </w:p>
    <w:p w14:paraId="2DF660B3" w14:textId="77777777" w:rsidR="00365BDE" w:rsidRDefault="00365BDE" w:rsidP="00365BDE">
      <w:pPr>
        <w:spacing w:after="120" w:line="360" w:lineRule="auto"/>
        <w:jc w:val="both"/>
        <w:rPr>
          <w:rFonts w:eastAsia="Times New Roman" w:cs="Arial"/>
          <w:bCs/>
          <w:lang w:eastAsia="cs-CZ"/>
        </w:rPr>
      </w:pPr>
      <w:r>
        <w:rPr>
          <w:rFonts w:eastAsia="Times New Roman" w:cs="Arial"/>
          <w:bCs/>
          <w:lang w:eastAsia="cs-CZ"/>
        </w:rPr>
        <w:t>→ P</w:t>
      </w:r>
      <w:r w:rsidRPr="00F86DBC">
        <w:rPr>
          <w:rFonts w:eastAsia="Times New Roman" w:cs="Arial"/>
          <w:bCs/>
          <w:lang w:eastAsia="cs-CZ"/>
        </w:rPr>
        <w:t>ředstavuje plán pro oživení a odolnost ve smyslu nařízení Evropského parlamentu a Rady (EU) 2021/241, ze dne 12. února 2021, kterým se zřizuje Nástroj pro oživení a odolnost (NOO</w:t>
      </w:r>
      <w:r>
        <w:rPr>
          <w:rFonts w:eastAsia="Times New Roman" w:cs="Arial"/>
          <w:bCs/>
          <w:lang w:eastAsia="cs-CZ"/>
        </w:rPr>
        <w:t xml:space="preserve">, nebo také </w:t>
      </w:r>
      <w:proofErr w:type="spellStart"/>
      <w:r>
        <w:rPr>
          <w:rFonts w:eastAsia="Times New Roman" w:cs="Arial"/>
          <w:bCs/>
          <w:lang w:eastAsia="cs-CZ"/>
        </w:rPr>
        <w:t>Recovery</w:t>
      </w:r>
      <w:proofErr w:type="spellEnd"/>
      <w:r>
        <w:rPr>
          <w:rFonts w:eastAsia="Times New Roman" w:cs="Arial"/>
          <w:bCs/>
          <w:lang w:eastAsia="cs-CZ"/>
        </w:rPr>
        <w:t xml:space="preserve"> </w:t>
      </w:r>
      <w:proofErr w:type="spellStart"/>
      <w:r>
        <w:rPr>
          <w:rFonts w:eastAsia="Times New Roman" w:cs="Arial"/>
          <w:bCs/>
          <w:lang w:eastAsia="cs-CZ"/>
        </w:rPr>
        <w:t>Resilience</w:t>
      </w:r>
      <w:proofErr w:type="spellEnd"/>
      <w:r>
        <w:rPr>
          <w:rFonts w:eastAsia="Times New Roman" w:cs="Arial"/>
          <w:bCs/>
          <w:lang w:eastAsia="cs-CZ"/>
        </w:rPr>
        <w:t xml:space="preserve"> Facility, RRF</w:t>
      </w:r>
      <w:r w:rsidRPr="00F86DBC">
        <w:rPr>
          <w:rFonts w:eastAsia="Times New Roman" w:cs="Arial"/>
          <w:bCs/>
          <w:lang w:eastAsia="cs-CZ"/>
        </w:rPr>
        <w:t xml:space="preserve">). Tento nástroj má pomoci zemím </w:t>
      </w:r>
      <w:r>
        <w:rPr>
          <w:rFonts w:eastAsia="Times New Roman" w:cs="Arial"/>
          <w:bCs/>
          <w:lang w:eastAsia="cs-CZ"/>
        </w:rPr>
        <w:t>EU</w:t>
      </w:r>
      <w:r w:rsidRPr="00F86DBC">
        <w:rPr>
          <w:rFonts w:eastAsia="Times New Roman" w:cs="Arial"/>
          <w:bCs/>
          <w:lang w:eastAsia="cs-CZ"/>
        </w:rPr>
        <w:t xml:space="preserve"> zotavit se</w:t>
      </w:r>
      <w:r>
        <w:rPr>
          <w:rFonts w:eastAsia="Times New Roman" w:cs="Arial"/>
          <w:bCs/>
          <w:lang w:eastAsia="cs-CZ"/>
        </w:rPr>
        <w:t> </w:t>
      </w:r>
      <w:r w:rsidRPr="00F86DBC">
        <w:rPr>
          <w:rFonts w:eastAsia="Times New Roman" w:cs="Arial"/>
          <w:bCs/>
          <w:lang w:eastAsia="cs-CZ"/>
        </w:rPr>
        <w:t>z</w:t>
      </w:r>
      <w:r>
        <w:rPr>
          <w:rFonts w:eastAsia="Times New Roman" w:cs="Arial"/>
          <w:bCs/>
          <w:lang w:eastAsia="cs-CZ"/>
        </w:rPr>
        <w:t> </w:t>
      </w:r>
      <w:r w:rsidRPr="00F86DBC">
        <w:rPr>
          <w:rFonts w:eastAsia="Times New Roman" w:cs="Arial"/>
          <w:bCs/>
          <w:lang w:eastAsia="cs-CZ"/>
        </w:rPr>
        <w:t>následků pandemie a podpořit investice do ekologické a digitální transformace evropské ekonomiky.</w:t>
      </w:r>
      <w:r>
        <w:rPr>
          <w:rFonts w:eastAsia="Times New Roman" w:cs="Arial"/>
          <w:bCs/>
          <w:lang w:eastAsia="cs-CZ"/>
        </w:rPr>
        <w:t xml:space="preserve"> Aktualizace Národního plánu obnovy byla vládou schválena dne 14. června 2023 usnesením č. 437.</w:t>
      </w:r>
    </w:p>
    <w:p w14:paraId="5FE88466" w14:textId="77777777" w:rsidR="00365BDE" w:rsidRPr="000A4175" w:rsidRDefault="00365BDE" w:rsidP="00365BDE">
      <w:pPr>
        <w:keepNext/>
        <w:spacing w:after="0" w:line="360" w:lineRule="auto"/>
        <w:jc w:val="both"/>
        <w:rPr>
          <w:rFonts w:eastAsia="Times New Roman" w:cs="Arial"/>
          <w:b/>
          <w:lang w:eastAsia="cs-CZ"/>
        </w:rPr>
      </w:pPr>
      <w:r w:rsidRPr="000A4175">
        <w:rPr>
          <w:rFonts w:eastAsia="Times New Roman" w:cs="Arial"/>
          <w:b/>
          <w:lang w:eastAsia="cs-CZ"/>
        </w:rPr>
        <w:t>Národní program reforem České republiky</w:t>
      </w:r>
    </w:p>
    <w:p w14:paraId="762C2C6F" w14:textId="77777777" w:rsidR="00365BDE" w:rsidRDefault="00365BDE" w:rsidP="00365BDE">
      <w:pPr>
        <w:spacing w:after="120" w:line="360" w:lineRule="auto"/>
        <w:jc w:val="both"/>
        <w:rPr>
          <w:rFonts w:eastAsia="Times New Roman" w:cs="Arial"/>
          <w:bCs/>
          <w:lang w:eastAsia="cs-CZ"/>
        </w:rPr>
      </w:pPr>
      <w:r>
        <w:rPr>
          <w:rFonts w:eastAsia="Times New Roman" w:cs="Arial"/>
          <w:bCs/>
          <w:lang w:eastAsia="cs-CZ"/>
        </w:rPr>
        <w:t xml:space="preserve">→ </w:t>
      </w:r>
      <w:r w:rsidRPr="00835D4B">
        <w:rPr>
          <w:rFonts w:eastAsia="Times New Roman" w:cs="Arial"/>
          <w:bCs/>
          <w:lang w:eastAsia="cs-CZ"/>
        </w:rPr>
        <w:t xml:space="preserve">Národní program reforem </w:t>
      </w:r>
      <w:r>
        <w:rPr>
          <w:rFonts w:eastAsia="Times New Roman" w:cs="Arial"/>
          <w:bCs/>
          <w:lang w:eastAsia="cs-CZ"/>
        </w:rPr>
        <w:t>ČR (NPR)</w:t>
      </w:r>
      <w:r w:rsidRPr="00835D4B">
        <w:rPr>
          <w:rFonts w:eastAsia="Times New Roman" w:cs="Arial"/>
          <w:bCs/>
          <w:lang w:eastAsia="cs-CZ"/>
        </w:rPr>
        <w:t xml:space="preserve"> je vládním strategickým dokumentem v oblasti hospodářské a sociální politiky</w:t>
      </w:r>
      <w:r>
        <w:rPr>
          <w:rFonts w:eastAsia="Times New Roman" w:cs="Arial"/>
          <w:bCs/>
          <w:lang w:eastAsia="cs-CZ"/>
        </w:rPr>
        <w:t>, který je reakcí na každoroční klíčové analytické dokumenty Evropské komise (EK) vydané v rámci evropského semestru.</w:t>
      </w:r>
    </w:p>
    <w:p w14:paraId="17B18BB9" w14:textId="77777777" w:rsidR="00365BDE" w:rsidRPr="00C91E8F" w:rsidRDefault="00365BDE" w:rsidP="00365BDE">
      <w:pPr>
        <w:keepNext/>
        <w:spacing w:after="0" w:line="360" w:lineRule="auto"/>
        <w:jc w:val="both"/>
        <w:rPr>
          <w:rFonts w:eastAsia="Times New Roman" w:cs="Arial"/>
          <w:b/>
          <w:lang w:eastAsia="cs-CZ"/>
        </w:rPr>
      </w:pPr>
      <w:r w:rsidRPr="00C91E8F">
        <w:rPr>
          <w:rFonts w:eastAsia="Times New Roman" w:cs="Arial"/>
          <w:b/>
          <w:lang w:eastAsia="cs-CZ"/>
        </w:rPr>
        <w:t xml:space="preserve">Další </w:t>
      </w:r>
      <w:r>
        <w:rPr>
          <w:rFonts w:eastAsia="Times New Roman" w:cs="Arial"/>
          <w:b/>
          <w:lang w:eastAsia="cs-CZ"/>
        </w:rPr>
        <w:t xml:space="preserve">vybrané </w:t>
      </w:r>
      <w:r w:rsidRPr="00C91E8F">
        <w:rPr>
          <w:rFonts w:eastAsia="Times New Roman" w:cs="Arial"/>
          <w:b/>
          <w:lang w:eastAsia="cs-CZ"/>
        </w:rPr>
        <w:t>relevantní resortní dokumenty</w:t>
      </w:r>
    </w:p>
    <w:p w14:paraId="1149F32E" w14:textId="77777777" w:rsidR="00365BDE" w:rsidRPr="000178AC" w:rsidRDefault="00365BDE" w:rsidP="00365BDE">
      <w:pPr>
        <w:spacing w:after="0" w:line="360" w:lineRule="auto"/>
        <w:jc w:val="both"/>
        <w:rPr>
          <w:rFonts w:eastAsia="Times New Roman" w:cs="Arial"/>
          <w:bCs/>
          <w:lang w:eastAsia="cs-CZ"/>
        </w:rPr>
      </w:pPr>
      <w:r>
        <w:rPr>
          <w:rFonts w:eastAsia="Times New Roman" w:cs="Arial"/>
          <w:bCs/>
          <w:lang w:eastAsia="cs-CZ"/>
        </w:rPr>
        <w:t>→</w:t>
      </w:r>
      <w:r w:rsidRPr="000178AC">
        <w:t xml:space="preserve"> </w:t>
      </w:r>
      <w:r>
        <w:t>Ú</w:t>
      </w:r>
      <w:r w:rsidRPr="000178AC">
        <w:rPr>
          <w:rFonts w:eastAsia="Times New Roman" w:cs="Arial"/>
          <w:bCs/>
          <w:lang w:eastAsia="cs-CZ"/>
        </w:rPr>
        <w:t xml:space="preserve">střední a jiné správní úřady odpovědné za </w:t>
      </w:r>
      <w:proofErr w:type="spellStart"/>
      <w:r>
        <w:rPr>
          <w:rFonts w:eastAsia="Times New Roman" w:cs="Arial"/>
          <w:bCs/>
          <w:lang w:eastAsia="cs-CZ"/>
        </w:rPr>
        <w:t>VaV</w:t>
      </w:r>
      <w:proofErr w:type="spellEnd"/>
      <w:r w:rsidRPr="000178AC">
        <w:rPr>
          <w:rFonts w:eastAsia="Times New Roman" w:cs="Arial"/>
          <w:bCs/>
          <w:lang w:eastAsia="cs-CZ"/>
        </w:rPr>
        <w:t xml:space="preserve"> v oblast</w:t>
      </w:r>
      <w:r>
        <w:rPr>
          <w:rFonts w:eastAsia="Times New Roman" w:cs="Arial"/>
          <w:bCs/>
          <w:lang w:eastAsia="cs-CZ"/>
        </w:rPr>
        <w:t>ech</w:t>
      </w:r>
      <w:r w:rsidRPr="000178AC">
        <w:rPr>
          <w:rFonts w:eastAsia="Times New Roman" w:cs="Arial"/>
          <w:bCs/>
          <w:lang w:eastAsia="cs-CZ"/>
        </w:rPr>
        <w:t xml:space="preserve"> svých působností</w:t>
      </w:r>
      <w:r>
        <w:rPr>
          <w:rFonts w:eastAsia="Times New Roman" w:cs="Arial"/>
          <w:bCs/>
          <w:lang w:eastAsia="cs-CZ"/>
        </w:rPr>
        <w:t xml:space="preserve"> odpovídají dle zákona č. 130/2002 Sb. za </w:t>
      </w:r>
      <w:r w:rsidRPr="000178AC">
        <w:rPr>
          <w:rFonts w:eastAsia="Times New Roman" w:cs="Arial"/>
          <w:bCs/>
          <w:lang w:eastAsia="cs-CZ"/>
        </w:rPr>
        <w:t xml:space="preserve">přípravu koncepcí </w:t>
      </w:r>
      <w:proofErr w:type="spellStart"/>
      <w:r>
        <w:rPr>
          <w:rFonts w:eastAsia="Times New Roman" w:cs="Arial"/>
          <w:bCs/>
          <w:lang w:eastAsia="cs-CZ"/>
        </w:rPr>
        <w:t>VaVaI</w:t>
      </w:r>
      <w:proofErr w:type="spellEnd"/>
      <w:r w:rsidRPr="000178AC">
        <w:rPr>
          <w:rFonts w:eastAsia="Times New Roman" w:cs="Arial"/>
          <w:bCs/>
          <w:lang w:eastAsia="cs-CZ"/>
        </w:rPr>
        <w:t xml:space="preserve"> a jejich realizaci</w:t>
      </w:r>
      <w:r>
        <w:rPr>
          <w:rFonts w:eastAsia="Times New Roman" w:cs="Arial"/>
          <w:bCs/>
          <w:lang w:eastAsia="cs-CZ"/>
        </w:rPr>
        <w:t>.</w:t>
      </w:r>
    </w:p>
    <w:p w14:paraId="5D02DD50" w14:textId="77777777" w:rsidR="00365BDE" w:rsidRPr="000B7785" w:rsidRDefault="00365BDE" w:rsidP="00365BDE">
      <w:pPr>
        <w:spacing w:after="120" w:line="360" w:lineRule="auto"/>
        <w:jc w:val="both"/>
        <w:rPr>
          <w:rFonts w:eastAsia="Times New Roman" w:cs="Arial"/>
          <w:bCs/>
          <w:lang w:eastAsia="cs-CZ"/>
        </w:rPr>
      </w:pPr>
      <w:r w:rsidRPr="000B7785">
        <w:rPr>
          <w:rFonts w:eastAsia="Times New Roman" w:cs="Arial"/>
          <w:bCs/>
          <w:lang w:eastAsia="cs-CZ"/>
        </w:rPr>
        <w:t xml:space="preserve">→ </w:t>
      </w:r>
      <w:r>
        <w:rPr>
          <w:rFonts w:eastAsia="Times New Roman" w:cs="Arial"/>
          <w:bCs/>
          <w:lang w:eastAsia="cs-CZ"/>
        </w:rPr>
        <w:t>A</w:t>
      </w:r>
      <w:r w:rsidRPr="000B7785">
        <w:rPr>
          <w:rFonts w:eastAsia="Times New Roman" w:cs="Arial"/>
          <w:bCs/>
          <w:lang w:eastAsia="cs-CZ"/>
        </w:rPr>
        <w:t xml:space="preserve">ktuální seznam koncepcí je uveden v </w:t>
      </w:r>
      <w:r>
        <w:rPr>
          <w:rFonts w:eastAsia="Times New Roman" w:cs="Arial"/>
          <w:bCs/>
          <w:lang w:eastAsia="cs-CZ"/>
        </w:rPr>
        <w:t>p</w:t>
      </w:r>
      <w:r w:rsidRPr="00A83889">
        <w:rPr>
          <w:rFonts w:eastAsia="Times New Roman" w:cs="Arial"/>
          <w:bCs/>
          <w:lang w:eastAsia="cs-CZ"/>
        </w:rPr>
        <w:t xml:space="preserve">říloze </w:t>
      </w:r>
      <w:r w:rsidRPr="00896D68">
        <w:rPr>
          <w:rFonts w:eastAsia="Times New Roman" w:cs="Arial"/>
          <w:bCs/>
          <w:lang w:eastAsia="cs-CZ"/>
        </w:rPr>
        <w:t>P.4.</w:t>
      </w:r>
    </w:p>
    <w:p w14:paraId="51F12957" w14:textId="77777777" w:rsidR="00365BDE" w:rsidRPr="00C91E8F" w:rsidRDefault="00365BDE" w:rsidP="00365BDE">
      <w:pPr>
        <w:keepNext/>
        <w:spacing w:after="0" w:line="360" w:lineRule="auto"/>
        <w:jc w:val="both"/>
        <w:rPr>
          <w:rFonts w:eastAsia="Times New Roman" w:cs="Arial"/>
          <w:b/>
          <w:lang w:eastAsia="cs-CZ"/>
        </w:rPr>
      </w:pPr>
      <w:r w:rsidRPr="00C91E8F">
        <w:rPr>
          <w:rFonts w:eastAsia="Times New Roman" w:cs="Arial"/>
          <w:b/>
          <w:lang w:eastAsia="cs-CZ"/>
        </w:rPr>
        <w:t xml:space="preserve">Vybrané strategické dokumenty s nepřímou vazbou </w:t>
      </w:r>
      <w:r>
        <w:rPr>
          <w:rFonts w:eastAsia="Times New Roman" w:cs="Arial"/>
          <w:b/>
          <w:lang w:eastAsia="cs-CZ"/>
        </w:rPr>
        <w:t xml:space="preserve">na </w:t>
      </w:r>
      <w:proofErr w:type="spellStart"/>
      <w:r w:rsidRPr="00C91E8F">
        <w:rPr>
          <w:rFonts w:eastAsia="Times New Roman" w:cs="Arial"/>
          <w:b/>
          <w:lang w:eastAsia="cs-CZ"/>
        </w:rPr>
        <w:t>VaVaI</w:t>
      </w:r>
      <w:proofErr w:type="spellEnd"/>
    </w:p>
    <w:p w14:paraId="2BCBE24C" w14:textId="77777777" w:rsidR="00365BDE" w:rsidRPr="00C91E8F" w:rsidRDefault="00365BDE" w:rsidP="00365BDE">
      <w:pPr>
        <w:spacing w:after="0" w:line="360" w:lineRule="auto"/>
        <w:jc w:val="both"/>
        <w:rPr>
          <w:rFonts w:eastAsia="Times New Roman" w:cs="Arial"/>
          <w:bCs/>
          <w:lang w:eastAsia="cs-CZ"/>
        </w:rPr>
      </w:pPr>
      <w:r>
        <w:rPr>
          <w:rFonts w:eastAsia="Times New Roman" w:cs="Arial"/>
          <w:bCs/>
          <w:lang w:eastAsia="cs-CZ"/>
        </w:rPr>
        <w:t>→ S</w:t>
      </w:r>
      <w:r w:rsidRPr="00647DE3">
        <w:rPr>
          <w:rFonts w:eastAsia="Times New Roman" w:cs="Arial"/>
          <w:bCs/>
          <w:lang w:eastAsia="cs-CZ"/>
        </w:rPr>
        <w:t>trategi</w:t>
      </w:r>
      <w:r>
        <w:rPr>
          <w:rFonts w:eastAsia="Times New Roman" w:cs="Arial"/>
          <w:bCs/>
          <w:lang w:eastAsia="cs-CZ"/>
        </w:rPr>
        <w:t>e</w:t>
      </w:r>
      <w:r w:rsidRPr="00647DE3">
        <w:rPr>
          <w:rFonts w:eastAsia="Times New Roman" w:cs="Arial"/>
          <w:bCs/>
          <w:lang w:eastAsia="cs-CZ"/>
        </w:rPr>
        <w:t xml:space="preserve"> rovnosti žen a mužů na léta 2021–2030</w:t>
      </w:r>
    </w:p>
    <w:p w14:paraId="47B54278" w14:textId="77777777" w:rsidR="00365BDE" w:rsidRDefault="00365BDE" w:rsidP="00365BDE">
      <w:pPr>
        <w:spacing w:after="0" w:line="360" w:lineRule="auto"/>
        <w:jc w:val="both"/>
        <w:rPr>
          <w:rFonts w:eastAsia="Times New Roman" w:cs="Arial"/>
          <w:bCs/>
          <w:lang w:eastAsia="cs-CZ"/>
        </w:rPr>
      </w:pPr>
      <w:r>
        <w:rPr>
          <w:rFonts w:eastAsia="Times New Roman" w:cs="Arial"/>
          <w:bCs/>
          <w:lang w:eastAsia="cs-CZ"/>
        </w:rPr>
        <w:t xml:space="preserve">→ Vládní program </w:t>
      </w:r>
      <w:r w:rsidRPr="000A4175">
        <w:rPr>
          <w:rFonts w:eastAsia="Times New Roman" w:cs="Arial"/>
          <w:bCs/>
          <w:lang w:eastAsia="cs-CZ"/>
        </w:rPr>
        <w:t>Digitální Česko (</w:t>
      </w:r>
      <w:r>
        <w:rPr>
          <w:rFonts w:eastAsia="Times New Roman" w:cs="Arial"/>
          <w:bCs/>
          <w:lang w:eastAsia="cs-CZ"/>
        </w:rPr>
        <w:t>Informační koncepce ČR,</w:t>
      </w:r>
      <w:r w:rsidRPr="00856660">
        <w:rPr>
          <w:rFonts w:eastAsia="Times New Roman" w:cs="Arial"/>
          <w:bCs/>
          <w:lang w:eastAsia="cs-CZ"/>
        </w:rPr>
        <w:t xml:space="preserve"> </w:t>
      </w:r>
      <w:r>
        <w:rPr>
          <w:rFonts w:eastAsia="Times New Roman" w:cs="Arial"/>
          <w:bCs/>
          <w:lang w:eastAsia="cs-CZ"/>
        </w:rPr>
        <w:t>Česko v digitální Evropě a Koncepce Digitální ekonomika a společnost)</w:t>
      </w:r>
    </w:p>
    <w:p w14:paraId="0FC3CCAA" w14:textId="77777777" w:rsidR="00365BDE" w:rsidRDefault="00365BDE" w:rsidP="00365BDE">
      <w:pPr>
        <w:spacing w:after="0" w:line="360" w:lineRule="auto"/>
        <w:jc w:val="both"/>
        <w:rPr>
          <w:rFonts w:eastAsia="Times New Roman" w:cs="Arial"/>
          <w:bCs/>
          <w:lang w:eastAsia="cs-CZ"/>
        </w:rPr>
      </w:pPr>
      <w:r>
        <w:rPr>
          <w:rFonts w:eastAsia="Times New Roman" w:cs="Arial"/>
          <w:bCs/>
          <w:lang w:eastAsia="cs-CZ"/>
        </w:rPr>
        <w:t>→ Strategický rámec Česká republika 2030</w:t>
      </w:r>
    </w:p>
    <w:p w14:paraId="658F4BC7" w14:textId="77777777" w:rsidR="00365BDE" w:rsidRDefault="00365BDE" w:rsidP="00365BDE">
      <w:pPr>
        <w:spacing w:after="0" w:line="360" w:lineRule="auto"/>
        <w:jc w:val="both"/>
        <w:rPr>
          <w:rFonts w:eastAsia="Times New Roman" w:cs="Arial"/>
          <w:bCs/>
          <w:lang w:eastAsia="cs-CZ"/>
        </w:rPr>
      </w:pPr>
      <w:r>
        <w:rPr>
          <w:rFonts w:eastAsia="Times New Roman" w:cs="Arial"/>
          <w:bCs/>
          <w:lang w:eastAsia="cs-CZ"/>
        </w:rPr>
        <w:t>→ Národní strategie umělé inteligence České republiky 2030</w:t>
      </w:r>
    </w:p>
    <w:p w14:paraId="455B1012" w14:textId="77777777" w:rsidR="00365BDE" w:rsidRDefault="00365BDE" w:rsidP="00365BDE">
      <w:pPr>
        <w:spacing w:after="0" w:line="360" w:lineRule="auto"/>
        <w:jc w:val="both"/>
        <w:rPr>
          <w:rFonts w:eastAsia="Times New Roman" w:cs="Arial"/>
          <w:bCs/>
          <w:lang w:eastAsia="cs-CZ"/>
        </w:rPr>
      </w:pPr>
      <w:r>
        <w:rPr>
          <w:rFonts w:eastAsia="Times New Roman" w:cs="Arial"/>
          <w:bCs/>
          <w:lang w:eastAsia="cs-CZ"/>
        </w:rPr>
        <w:t>→ Koncepce zahraniční politiky České republiky</w:t>
      </w:r>
    </w:p>
    <w:p w14:paraId="51846944" w14:textId="77777777" w:rsidR="00365BDE" w:rsidRDefault="00365BDE" w:rsidP="00365BDE">
      <w:pPr>
        <w:spacing w:after="0" w:line="360" w:lineRule="auto"/>
        <w:jc w:val="both"/>
        <w:rPr>
          <w:rFonts w:eastAsia="Times New Roman" w:cs="Arial"/>
          <w:bCs/>
          <w:lang w:eastAsia="cs-CZ"/>
        </w:rPr>
      </w:pPr>
      <w:r>
        <w:rPr>
          <w:rFonts w:eastAsia="Times New Roman" w:cs="Arial"/>
          <w:bCs/>
          <w:lang w:eastAsia="cs-CZ"/>
        </w:rPr>
        <w:t>→ Národní strategie kybernetické bezpečnosti ČR 2021–2025</w:t>
      </w:r>
    </w:p>
    <w:p w14:paraId="5FC730AA" w14:textId="77777777" w:rsidR="00365BDE" w:rsidRDefault="00365BDE" w:rsidP="00365BDE">
      <w:pPr>
        <w:spacing w:after="0" w:line="360" w:lineRule="auto"/>
        <w:jc w:val="both"/>
        <w:rPr>
          <w:rFonts w:eastAsia="Times New Roman" w:cs="Arial"/>
          <w:bCs/>
          <w:lang w:eastAsia="cs-CZ"/>
        </w:rPr>
      </w:pPr>
      <w:r>
        <w:rPr>
          <w:rFonts w:eastAsia="Times New Roman" w:cs="Arial"/>
          <w:bCs/>
          <w:lang w:eastAsia="cs-CZ"/>
        </w:rPr>
        <w:t>→ Národní polovodičová strategie ČR do roku 2030</w:t>
      </w:r>
    </w:p>
    <w:p w14:paraId="77A2D73A" w14:textId="77777777" w:rsidR="00365BDE" w:rsidRDefault="00365BDE" w:rsidP="00365BDE">
      <w:pPr>
        <w:spacing w:after="0" w:line="360" w:lineRule="auto"/>
        <w:jc w:val="both"/>
        <w:rPr>
          <w:rFonts w:eastAsia="Times New Roman" w:cs="Arial"/>
          <w:bCs/>
          <w:lang w:eastAsia="cs-CZ"/>
        </w:rPr>
      </w:pPr>
      <w:r>
        <w:rPr>
          <w:rFonts w:eastAsia="Times New Roman" w:cs="Arial"/>
          <w:bCs/>
          <w:lang w:eastAsia="cs-CZ"/>
        </w:rPr>
        <w:t>→ Průmysl 4.0</w:t>
      </w:r>
    </w:p>
    <w:p w14:paraId="3D27B45F" w14:textId="77777777" w:rsidR="00365BDE" w:rsidRDefault="00365BDE" w:rsidP="00365BDE">
      <w:pPr>
        <w:spacing w:after="0" w:line="360" w:lineRule="auto"/>
        <w:jc w:val="both"/>
        <w:rPr>
          <w:rFonts w:eastAsia="Times New Roman" w:cs="Arial"/>
          <w:bCs/>
          <w:lang w:eastAsia="cs-CZ"/>
        </w:rPr>
      </w:pPr>
      <w:r>
        <w:rPr>
          <w:rFonts w:eastAsia="Times New Roman" w:cs="Arial"/>
          <w:bCs/>
          <w:lang w:eastAsia="cs-CZ"/>
        </w:rPr>
        <w:t>→ Exportní strategie ČR 2023–2030</w:t>
      </w:r>
    </w:p>
    <w:p w14:paraId="373F745B" w14:textId="77777777" w:rsidR="00365BDE" w:rsidRDefault="00365BDE" w:rsidP="00365BDE">
      <w:pPr>
        <w:spacing w:after="0" w:line="360" w:lineRule="auto"/>
        <w:jc w:val="both"/>
        <w:rPr>
          <w:rFonts w:eastAsia="Times New Roman" w:cs="Arial"/>
          <w:bCs/>
          <w:lang w:eastAsia="cs-CZ"/>
        </w:rPr>
      </w:pPr>
      <w:r>
        <w:rPr>
          <w:rFonts w:eastAsia="Times New Roman" w:cs="Arial"/>
          <w:bCs/>
          <w:lang w:eastAsia="cs-CZ"/>
        </w:rPr>
        <w:t xml:space="preserve">→ </w:t>
      </w:r>
      <w:r w:rsidRPr="00974085">
        <w:rPr>
          <w:rFonts w:eastAsia="Times New Roman" w:cs="Arial"/>
          <w:bCs/>
          <w:lang w:eastAsia="cs-CZ"/>
        </w:rPr>
        <w:t>Národní strategie pro kvantové technologie České republiky</w:t>
      </w:r>
    </w:p>
    <w:p w14:paraId="176E9182" w14:textId="77777777" w:rsidR="00365BDE" w:rsidRDefault="00365BDE" w:rsidP="00365BDE">
      <w:pPr>
        <w:jc w:val="both"/>
        <w:rPr>
          <w:b/>
          <w:bCs/>
        </w:rPr>
      </w:pPr>
    </w:p>
    <w:p w14:paraId="185FAAB7" w14:textId="199C2CC7" w:rsidR="00365BDE" w:rsidRPr="00D94924" w:rsidRDefault="00365BDE" w:rsidP="00365BDE">
      <w:pPr>
        <w:spacing w:after="120" w:line="360" w:lineRule="auto"/>
        <w:jc w:val="both"/>
        <w:rPr>
          <w:b/>
          <w:bCs/>
        </w:rPr>
      </w:pPr>
      <w:r w:rsidRPr="00D94924">
        <w:rPr>
          <w:b/>
          <w:bCs/>
        </w:rPr>
        <w:lastRenderedPageBreak/>
        <w:t>Zásady přípravy a hodnocení programů účelové podpory výzkumu, vývoje a inovací a</w:t>
      </w:r>
      <w:r>
        <w:rPr>
          <w:b/>
          <w:bCs/>
        </w:rPr>
        <w:t> </w:t>
      </w:r>
      <w:r w:rsidRPr="00D94924">
        <w:rPr>
          <w:b/>
          <w:bCs/>
        </w:rPr>
        <w:t>skupin grantových projektů a jejich dopadů</w:t>
      </w:r>
    </w:p>
    <w:p w14:paraId="2924F849" w14:textId="77777777" w:rsidR="00365BDE" w:rsidRDefault="00365BDE" w:rsidP="00365BDE">
      <w:pPr>
        <w:spacing w:after="120" w:line="360" w:lineRule="auto"/>
        <w:jc w:val="both"/>
      </w:pPr>
      <w:r>
        <w:rPr>
          <w:rFonts w:eastAsia="Times New Roman" w:cs="Arial"/>
          <w:bCs/>
          <w:lang w:eastAsia="cs-CZ"/>
        </w:rPr>
        <w:t xml:space="preserve">→ </w:t>
      </w:r>
      <w:r>
        <w:t xml:space="preserve">Pro oblast </w:t>
      </w:r>
      <w:proofErr w:type="spellStart"/>
      <w:r>
        <w:t>VaVaI</w:t>
      </w:r>
      <w:proofErr w:type="spellEnd"/>
      <w:r>
        <w:t xml:space="preserve"> je dále zásadní tento dokument, jehož příprava začala v průběhu roku 2024 a který vláda schválila svým usnesením č. 706 dne 24. září 2025.</w:t>
      </w:r>
    </w:p>
    <w:p w14:paraId="0A55DF24" w14:textId="77777777" w:rsidR="00365BDE" w:rsidRDefault="00365BDE" w:rsidP="00365BDE">
      <w:pPr>
        <w:spacing w:after="120" w:line="360" w:lineRule="auto"/>
        <w:jc w:val="both"/>
        <w:rPr>
          <w:rFonts w:eastAsia="Times New Roman" w:cs="Arial"/>
          <w:bCs/>
          <w:lang w:eastAsia="cs-CZ"/>
        </w:rPr>
      </w:pPr>
      <w:r>
        <w:rPr>
          <w:rFonts w:eastAsia="Times New Roman" w:cs="Arial"/>
          <w:bCs/>
          <w:lang w:eastAsia="cs-CZ"/>
        </w:rPr>
        <w:t xml:space="preserve">→ Zásady se svým obsahem zaměřují na procesy přípravy, schvalování a hodnocení programů a skupin grantových projektů, které jsou poskytovány z účelové podpory na </w:t>
      </w:r>
      <w:proofErr w:type="spellStart"/>
      <w:r>
        <w:rPr>
          <w:rFonts w:eastAsia="Times New Roman" w:cs="Arial"/>
          <w:bCs/>
          <w:lang w:eastAsia="cs-CZ"/>
        </w:rPr>
        <w:t>VaVaI</w:t>
      </w:r>
      <w:proofErr w:type="spellEnd"/>
      <w:r>
        <w:rPr>
          <w:rFonts w:eastAsia="Times New Roman" w:cs="Arial"/>
          <w:bCs/>
          <w:lang w:eastAsia="cs-CZ"/>
        </w:rPr>
        <w:t>.</w:t>
      </w:r>
    </w:p>
    <w:p w14:paraId="1B5E1AA8" w14:textId="77777777" w:rsidR="00365BDE" w:rsidRDefault="00365BDE" w:rsidP="00365BDE">
      <w:pPr>
        <w:spacing w:after="120" w:line="360" w:lineRule="auto"/>
        <w:jc w:val="both"/>
        <w:rPr>
          <w:rFonts w:eastAsia="Times New Roman" w:cs="Arial"/>
          <w:bCs/>
          <w:lang w:eastAsia="cs-CZ"/>
        </w:rPr>
      </w:pPr>
      <w:r>
        <w:rPr>
          <w:rFonts w:eastAsia="Times New Roman" w:cs="Arial"/>
          <w:bCs/>
          <w:lang w:eastAsia="cs-CZ"/>
        </w:rPr>
        <w:t>→ Dokument tak poskytuje metodický rámec pro přípravu návrhů programů a skupin projektů, jejich monitorování a evaluaci, nastavuje jednotný proces pro schvalování a také přináší nové prvky, které doposud nebyly akcentovány (zejména oblast hodnocení dopadů).</w:t>
      </w:r>
    </w:p>
    <w:p w14:paraId="043169D0" w14:textId="77777777" w:rsidR="00365BDE" w:rsidRPr="00D94924" w:rsidRDefault="00365BDE" w:rsidP="00365BDE">
      <w:pPr>
        <w:spacing w:after="120" w:line="360" w:lineRule="auto"/>
        <w:jc w:val="both"/>
        <w:rPr>
          <w:rFonts w:eastAsia="Times New Roman" w:cs="Arial"/>
          <w:b/>
          <w:lang w:eastAsia="cs-CZ"/>
        </w:rPr>
      </w:pPr>
      <w:r w:rsidRPr="00D94924">
        <w:rPr>
          <w:rFonts w:eastAsia="Times New Roman" w:cs="Arial"/>
          <w:b/>
          <w:lang w:eastAsia="cs-CZ"/>
        </w:rPr>
        <w:t>Metodický pokyn Rady pro výzkum, vývoj a inovace za účelem harmonizace metodického prostředí k poskytování účelové podpory na výzkum, vývoj a inovace napříč všemi poskytovateli</w:t>
      </w:r>
    </w:p>
    <w:p w14:paraId="76B50EAD" w14:textId="77777777" w:rsidR="00365BDE" w:rsidRDefault="00365BDE" w:rsidP="00365BDE">
      <w:pPr>
        <w:spacing w:after="120" w:line="360" w:lineRule="auto"/>
        <w:jc w:val="both"/>
        <w:rPr>
          <w:rFonts w:eastAsia="Times New Roman" w:cs="Arial"/>
          <w:bCs/>
          <w:lang w:eastAsia="cs-CZ"/>
        </w:rPr>
      </w:pPr>
      <w:r>
        <w:rPr>
          <w:rFonts w:eastAsia="Times New Roman" w:cs="Arial"/>
          <w:bCs/>
          <w:lang w:eastAsia="cs-CZ"/>
        </w:rPr>
        <w:t xml:space="preserve">→ Dokument byl připraven v návaznosti na Konsolidované znění aktualizace Národního plánu obnovy a v souvislosti s novou komponentou 5.3 </w:t>
      </w:r>
      <w:r w:rsidRPr="00D94924">
        <w:rPr>
          <w:rFonts w:eastAsia="Times New Roman" w:cs="Arial"/>
          <w:bCs/>
          <w:i/>
          <w:iCs/>
          <w:lang w:eastAsia="cs-CZ"/>
        </w:rPr>
        <w:t xml:space="preserve">Strategicky řízený a mezinárodně konkurenceschopný ekosystém </w:t>
      </w:r>
      <w:proofErr w:type="spellStart"/>
      <w:r w:rsidRPr="00D94924">
        <w:rPr>
          <w:rFonts w:eastAsia="Times New Roman" w:cs="Arial"/>
          <w:bCs/>
          <w:i/>
          <w:iCs/>
          <w:lang w:eastAsia="cs-CZ"/>
        </w:rPr>
        <w:t>VaVaI</w:t>
      </w:r>
      <w:proofErr w:type="spellEnd"/>
      <w:r>
        <w:rPr>
          <w:rFonts w:eastAsia="Times New Roman" w:cs="Arial"/>
          <w:bCs/>
          <w:lang w:eastAsia="cs-CZ"/>
        </w:rPr>
        <w:t xml:space="preserve"> (přijetí metodického pokynu je podmínkou plnění milníku č. 298). </w:t>
      </w:r>
    </w:p>
    <w:p w14:paraId="1B00F2F1" w14:textId="77777777" w:rsidR="00365BDE" w:rsidRDefault="00365BDE" w:rsidP="00365BDE">
      <w:pPr>
        <w:spacing w:after="120" w:line="360" w:lineRule="auto"/>
        <w:jc w:val="both"/>
        <w:rPr>
          <w:rFonts w:eastAsia="Times New Roman" w:cs="Arial"/>
          <w:bCs/>
          <w:lang w:eastAsia="cs-CZ"/>
        </w:rPr>
      </w:pPr>
      <w:r>
        <w:rPr>
          <w:rFonts w:eastAsia="Times New Roman" w:cs="Arial"/>
          <w:bCs/>
          <w:lang w:eastAsia="cs-CZ"/>
        </w:rPr>
        <w:t xml:space="preserve">→ Účelem dokumentu je harmonizace metodického prostředí k poskytování účelové podpory na </w:t>
      </w:r>
      <w:proofErr w:type="spellStart"/>
      <w:r>
        <w:rPr>
          <w:rFonts w:eastAsia="Times New Roman" w:cs="Arial"/>
          <w:bCs/>
          <w:lang w:eastAsia="cs-CZ"/>
        </w:rPr>
        <w:t>VaVaI</w:t>
      </w:r>
      <w:proofErr w:type="spellEnd"/>
      <w:r>
        <w:rPr>
          <w:rFonts w:eastAsia="Times New Roman" w:cs="Arial"/>
          <w:bCs/>
          <w:lang w:eastAsia="cs-CZ"/>
        </w:rPr>
        <w:t xml:space="preserve"> napříč všemi poskytovateli i s využitím standardních kritérií pro účast v projektech rámcového programu EU pro výzkum a inovace, což napomůže harmonizaci prostředí poskytování podpory na </w:t>
      </w:r>
      <w:proofErr w:type="spellStart"/>
      <w:r>
        <w:rPr>
          <w:rFonts w:eastAsia="Times New Roman" w:cs="Arial"/>
          <w:bCs/>
          <w:lang w:eastAsia="cs-CZ"/>
        </w:rPr>
        <w:t>VaVaI</w:t>
      </w:r>
      <w:proofErr w:type="spellEnd"/>
      <w:r>
        <w:rPr>
          <w:rFonts w:eastAsia="Times New Roman" w:cs="Arial"/>
          <w:bCs/>
          <w:lang w:eastAsia="cs-CZ"/>
        </w:rPr>
        <w:t xml:space="preserve"> v ČR s prostředím v EU.</w:t>
      </w:r>
    </w:p>
    <w:p w14:paraId="0E74D734" w14:textId="77777777" w:rsidR="00365BDE" w:rsidRDefault="00365BDE" w:rsidP="00365BDE">
      <w:pPr>
        <w:spacing w:after="120" w:line="360" w:lineRule="auto"/>
        <w:jc w:val="both"/>
        <w:rPr>
          <w:rFonts w:eastAsia="Times New Roman" w:cs="Arial"/>
          <w:bCs/>
          <w:lang w:eastAsia="cs-CZ"/>
        </w:rPr>
      </w:pPr>
      <w:r>
        <w:rPr>
          <w:rFonts w:eastAsia="Times New Roman" w:cs="Arial"/>
          <w:bCs/>
          <w:lang w:eastAsia="cs-CZ"/>
        </w:rPr>
        <w:t>→ Příprava dokumentu proběhla během roku 2024 a počátkem roku 2025. Metodický pokyn Rada schválila na svém 411. zasedání dne 25. dubna 2025.</w:t>
      </w:r>
    </w:p>
    <w:p w14:paraId="43297E16" w14:textId="1AF33EA6" w:rsidR="00AD12A9" w:rsidRPr="00F465BD" w:rsidRDefault="00426596" w:rsidP="0069673A">
      <w:pPr>
        <w:pStyle w:val="Nadpis2"/>
        <w:pageBreakBefore/>
        <w:ind w:left="578" w:hanging="578"/>
        <w:rPr>
          <w:rFonts w:eastAsia="Times New Roman"/>
        </w:rPr>
      </w:pPr>
      <w:bookmarkStart w:id="14" w:name="_Toc215589294"/>
      <w:r>
        <w:rPr>
          <w:rFonts w:eastAsia="Times New Roman"/>
        </w:rPr>
        <w:lastRenderedPageBreak/>
        <w:t>Klíčoví aktéři, p</w:t>
      </w:r>
      <w:r w:rsidR="0019303E" w:rsidRPr="0019303E">
        <w:rPr>
          <w:rFonts w:eastAsia="Times New Roman"/>
        </w:rPr>
        <w:t xml:space="preserve">oskytovatelé </w:t>
      </w:r>
      <w:r w:rsidR="009F7964">
        <w:rPr>
          <w:rFonts w:eastAsia="Times New Roman"/>
        </w:rPr>
        <w:t xml:space="preserve">podpory </w:t>
      </w:r>
      <w:r w:rsidR="0019303E" w:rsidRPr="0019303E">
        <w:rPr>
          <w:rFonts w:eastAsia="Times New Roman"/>
        </w:rPr>
        <w:t xml:space="preserve">a programy </w:t>
      </w:r>
      <w:proofErr w:type="spellStart"/>
      <w:r w:rsidR="0019303E" w:rsidRPr="0019303E">
        <w:rPr>
          <w:rFonts w:eastAsia="Times New Roman"/>
        </w:rPr>
        <w:t>VaVaI</w:t>
      </w:r>
      <w:bookmarkEnd w:id="13"/>
      <w:bookmarkEnd w:id="14"/>
      <w:proofErr w:type="spellEnd"/>
    </w:p>
    <w:p w14:paraId="4916B38D" w14:textId="78CAA1D7" w:rsidR="00693C1A" w:rsidRDefault="00426596" w:rsidP="00426596">
      <w:pPr>
        <w:pStyle w:val="Obrzek-nadpis"/>
      </w:pPr>
      <w:bookmarkStart w:id="15" w:name="_Hlk136509876"/>
      <w:r w:rsidRPr="00E8772A">
        <w:t xml:space="preserve">Schéma </w:t>
      </w:r>
      <w:r w:rsidR="00A83889" w:rsidRPr="00E8772A">
        <w:t>A.2.1</w:t>
      </w:r>
      <w:r w:rsidRPr="00E8772A">
        <w:t>:</w:t>
      </w:r>
      <w:r w:rsidRPr="00593ABD">
        <w:t xml:space="preserve"> </w:t>
      </w:r>
      <w:r>
        <w:t xml:space="preserve">Klíčoví aktéři </w:t>
      </w:r>
      <w:r w:rsidRPr="00615BBE">
        <w:t xml:space="preserve">řízení systému </w:t>
      </w:r>
      <w:proofErr w:type="spellStart"/>
      <w:r w:rsidRPr="00615BBE">
        <w:t>VaVaI</w:t>
      </w:r>
      <w:proofErr w:type="spellEnd"/>
      <w:r>
        <w:t xml:space="preserve"> a </w:t>
      </w:r>
      <w:r w:rsidRPr="00615BBE">
        <w:t>poskytovatelé veřejné podpory na</w:t>
      </w:r>
      <w:r w:rsidR="003C22F0">
        <w:t> </w:t>
      </w:r>
      <w:proofErr w:type="spellStart"/>
      <w:r w:rsidRPr="00615BBE">
        <w:t>VaVaI</w:t>
      </w:r>
      <w:proofErr w:type="spellEnd"/>
    </w:p>
    <w:p w14:paraId="5CC7FCF5" w14:textId="77777777" w:rsidR="00693C1A" w:rsidRDefault="00693C1A" w:rsidP="00693C1A">
      <w:pPr>
        <w:spacing w:after="0" w:line="360" w:lineRule="auto"/>
        <w:jc w:val="both"/>
        <w:rPr>
          <w:rFonts w:eastAsia="Times New Roman" w:cs="Arial"/>
          <w:bCs/>
          <w:lang w:eastAsia="cs-CZ"/>
        </w:rPr>
      </w:pPr>
      <w:r>
        <w:rPr>
          <w:rFonts w:eastAsia="Times New Roman" w:cs="Arial"/>
          <w:bCs/>
          <w:noProof/>
          <w:lang w:eastAsia="cs-CZ"/>
        </w:rPr>
        <mc:AlternateContent>
          <mc:Choice Requires="wps">
            <w:drawing>
              <wp:anchor distT="0" distB="0" distL="114300" distR="114300" simplePos="0" relativeHeight="251630080" behindDoc="0" locked="0" layoutInCell="1" allowOverlap="1" wp14:anchorId="72E49C72" wp14:editId="7E768D00">
                <wp:simplePos x="0" y="0"/>
                <wp:positionH relativeFrom="column">
                  <wp:posOffset>1590675</wp:posOffset>
                </wp:positionH>
                <wp:positionV relativeFrom="paragraph">
                  <wp:posOffset>46990</wp:posOffset>
                </wp:positionV>
                <wp:extent cx="2905125" cy="612000"/>
                <wp:effectExtent l="0" t="0" r="28575" b="17145"/>
                <wp:wrapNone/>
                <wp:docPr id="771" name="Obdélník: se zakulacenými rohy 227"/>
                <wp:cNvGraphicFramePr/>
                <a:graphic xmlns:a="http://schemas.openxmlformats.org/drawingml/2006/main">
                  <a:graphicData uri="http://schemas.microsoft.com/office/word/2010/wordprocessingShape">
                    <wps:wsp>
                      <wps:cNvSpPr/>
                      <wps:spPr>
                        <a:xfrm>
                          <a:off x="0" y="0"/>
                          <a:ext cx="2905125" cy="612000"/>
                        </a:xfrm>
                        <a:prstGeom prst="roundRect">
                          <a:avLst/>
                        </a:prstGeom>
                      </wps:spPr>
                      <wps:style>
                        <a:lnRef idx="2">
                          <a:schemeClr val="accent1"/>
                        </a:lnRef>
                        <a:fillRef idx="1">
                          <a:schemeClr val="lt1"/>
                        </a:fillRef>
                        <a:effectRef idx="0">
                          <a:schemeClr val="accent1"/>
                        </a:effectRef>
                        <a:fontRef idx="minor">
                          <a:schemeClr val="dk1"/>
                        </a:fontRef>
                      </wps:style>
                      <wps:txbx>
                        <w:txbxContent>
                          <w:p w14:paraId="493FC522" w14:textId="77777777" w:rsidR="00693C1A" w:rsidRPr="006B08DA" w:rsidRDefault="00693C1A" w:rsidP="00693C1A">
                            <w:pPr>
                              <w:spacing w:after="0" w:line="240" w:lineRule="auto"/>
                              <w:jc w:val="center"/>
                              <w:rPr>
                                <w:b/>
                                <w:bCs/>
                              </w:rPr>
                            </w:pPr>
                            <w:r w:rsidRPr="006B08DA">
                              <w:rPr>
                                <w:b/>
                                <w:bCs/>
                              </w:rPr>
                              <w:t>Rada pro výzkum,</w:t>
                            </w:r>
                            <w:r>
                              <w:rPr>
                                <w:b/>
                                <w:bCs/>
                              </w:rPr>
                              <w:br/>
                            </w:r>
                            <w:r w:rsidRPr="006B08DA">
                              <w:rPr>
                                <w:b/>
                                <w:bCs/>
                              </w:rPr>
                              <w:t>vývoj a inovace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72E49C72" id="Obdélník: se zakulacenými rohy 227" o:spid="_x0000_s1027" style="position:absolute;left:0;text-align:left;margin-left:125.25pt;margin-top:3.7pt;width:228.75pt;height:48.2pt;z-index:251630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" fillcolor="white [3201]" strokecolor="#4f81bd [3204]" strokeweight="2pt">
                <v:textbox>
                  <w:txbxContent>
                    <w:p w14:paraId="493FC522" w14:textId="77777777" w:rsidR="00693C1A" w:rsidRPr="006B08DA" w:rsidRDefault="00693C1A" w:rsidP="00693C1A">
                      <w:pPr>
                        <w:spacing w:after="0" w:line="240" w:lineRule="auto"/>
                        <w:jc w:val="center"/>
                        <w:rPr>
                          <w:b/>
                          <w:bCs/>
                        </w:rPr>
                      </w:pPr>
                      <w:r w:rsidRPr="006B08DA">
                        <w:rPr>
                          <w:b/>
                          <w:bCs/>
                        </w:rPr>
                        <w:t>Rada pro výzkum,</w:t>
                      </w:r>
                      <w:r>
                        <w:rPr>
                          <w:b/>
                          <w:bCs/>
                        </w:rPr>
                        <w:br/>
                      </w:r>
                      <w:r w:rsidRPr="006B08DA">
                        <w:rPr>
                          <w:b/>
                          <w:bCs/>
                        </w:rPr>
                        <w:t>vývoj a inovace</w:t>
                      </w:r>
                    </w:p>
                  </w:txbxContent>
                </v:textbox>
              </v:roundrect>
            </w:pict>
          </mc:Fallback>
        </mc:AlternateContent>
      </w:r>
    </w:p>
    <w:p w14:paraId="7F401FE9" w14:textId="77777777" w:rsidR="00693C1A" w:rsidRDefault="00693C1A" w:rsidP="00693C1A">
      <w:pPr>
        <w:spacing w:after="0" w:line="360" w:lineRule="auto"/>
        <w:jc w:val="both"/>
        <w:rPr>
          <w:rFonts w:eastAsia="Times New Roman" w:cs="Arial"/>
          <w:bCs/>
          <w:lang w:eastAsia="cs-CZ"/>
        </w:rPr>
      </w:pPr>
    </w:p>
    <w:p w14:paraId="5A1536D6" w14:textId="77777777" w:rsidR="00693C1A" w:rsidRDefault="00693C1A" w:rsidP="00693C1A">
      <w:pPr>
        <w:spacing w:after="0" w:line="360" w:lineRule="auto"/>
        <w:jc w:val="both"/>
        <w:rPr>
          <w:rFonts w:eastAsia="Times New Roman" w:cs="Arial"/>
          <w:bCs/>
          <w:lang w:eastAsia="cs-CZ"/>
        </w:rPr>
      </w:pPr>
    </w:p>
    <w:p w14:paraId="7AE5A00E" w14:textId="77777777" w:rsidR="00693C1A" w:rsidRDefault="00693C1A" w:rsidP="00693C1A">
      <w:pPr>
        <w:spacing w:after="0" w:line="360" w:lineRule="auto"/>
        <w:jc w:val="both"/>
        <w:rPr>
          <w:rFonts w:eastAsia="Times New Roman" w:cs="Arial"/>
          <w:bCs/>
          <w:highlight w:val="yellow"/>
          <w:lang w:eastAsia="cs-CZ"/>
        </w:rPr>
      </w:pPr>
      <w:r>
        <w:rPr>
          <w:rFonts w:eastAsia="Times New Roman" w:cs="Arial"/>
          <w:bCs/>
          <w:noProof/>
          <w:lang w:eastAsia="cs-CZ"/>
        </w:rPr>
        <mc:AlternateContent>
          <mc:Choice Requires="wps">
            <w:drawing>
              <wp:anchor distT="0" distB="0" distL="114300" distR="114300" simplePos="0" relativeHeight="251640320" behindDoc="0" locked="0" layoutInCell="1" allowOverlap="1" wp14:anchorId="4A035CF0" wp14:editId="3D388B61">
                <wp:simplePos x="0" y="0"/>
                <wp:positionH relativeFrom="column">
                  <wp:posOffset>3076575</wp:posOffset>
                </wp:positionH>
                <wp:positionV relativeFrom="paragraph">
                  <wp:posOffset>22106</wp:posOffset>
                </wp:positionV>
                <wp:extent cx="2905125" cy="612000"/>
                <wp:effectExtent l="0" t="0" r="28575" b="17145"/>
                <wp:wrapNone/>
                <wp:docPr id="773" name="Obdélník: se zakulacenými rohy 229"/>
                <wp:cNvGraphicFramePr/>
                <a:graphic xmlns:a="http://schemas.openxmlformats.org/drawingml/2006/main">
                  <a:graphicData uri="http://schemas.microsoft.com/office/word/2010/wordprocessingShape">
                    <wps:wsp>
                      <wps:cNvSpPr/>
                      <wps:spPr>
                        <a:xfrm>
                          <a:off x="0" y="0"/>
                          <a:ext cx="2905125" cy="612000"/>
                        </a:xfrm>
                        <a:prstGeom prst="roundRect">
                          <a:avLst/>
                        </a:prstGeom>
                      </wps:spPr>
                      <wps:style>
                        <a:lnRef idx="2">
                          <a:schemeClr val="accent1"/>
                        </a:lnRef>
                        <a:fillRef idx="1">
                          <a:schemeClr val="lt1"/>
                        </a:fillRef>
                        <a:effectRef idx="0">
                          <a:schemeClr val="accent1"/>
                        </a:effectRef>
                        <a:fontRef idx="minor">
                          <a:schemeClr val="dk1"/>
                        </a:fontRef>
                      </wps:style>
                      <wps:txbx>
                        <w:txbxContent>
                          <w:p w14:paraId="2E7A8D4F" w14:textId="77777777" w:rsidR="00693C1A" w:rsidRPr="006B08DA" w:rsidRDefault="00693C1A" w:rsidP="00693C1A">
                            <w:pPr>
                              <w:spacing w:after="0" w:line="240" w:lineRule="auto"/>
                              <w:jc w:val="center"/>
                              <w:rPr>
                                <w:b/>
                                <w:bCs/>
                              </w:rPr>
                            </w:pPr>
                            <w:r w:rsidRPr="006B08DA">
                              <w:rPr>
                                <w:b/>
                                <w:bCs/>
                              </w:rPr>
                              <w:t xml:space="preserve">Ministerstvo průmyslu </w:t>
                            </w:r>
                            <w:r>
                              <w:rPr>
                                <w:b/>
                                <w:bCs/>
                              </w:rPr>
                              <w:br/>
                            </w:r>
                            <w:r w:rsidRPr="006B08DA">
                              <w:rPr>
                                <w:b/>
                                <w:bCs/>
                              </w:rPr>
                              <w:t>a obchodu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4A035CF0" id="Obdélník: se zakulacenými rohy 229" o:spid="_x0000_s1028" style="position:absolute;left:0;text-align:left;margin-left:242.25pt;margin-top:1.75pt;width:228.75pt;height:48.2pt;z-index:251640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" fillcolor="white [3201]" strokecolor="#4f81bd [3204]" strokeweight="2pt">
                <v:textbox>
                  <w:txbxContent>
                    <w:p w14:paraId="2E7A8D4F" w14:textId="77777777" w:rsidR="00693C1A" w:rsidRPr="006B08DA" w:rsidRDefault="00693C1A" w:rsidP="00693C1A">
                      <w:pPr>
                        <w:spacing w:after="0" w:line="240" w:lineRule="auto"/>
                        <w:jc w:val="center"/>
                        <w:rPr>
                          <w:b/>
                          <w:bCs/>
                        </w:rPr>
                      </w:pPr>
                      <w:r w:rsidRPr="006B08DA">
                        <w:rPr>
                          <w:b/>
                          <w:bCs/>
                        </w:rPr>
                        <w:t xml:space="preserve">Ministerstvo průmyslu </w:t>
                      </w:r>
                      <w:r>
                        <w:rPr>
                          <w:b/>
                          <w:bCs/>
                        </w:rPr>
                        <w:br/>
                      </w:r>
                      <w:r w:rsidRPr="006B08DA">
                        <w:rPr>
                          <w:b/>
                          <w:bCs/>
                        </w:rPr>
                        <w:t>a obchodu</w:t>
                      </w:r>
                    </w:p>
                  </w:txbxContent>
                </v:textbox>
              </v:roundrect>
            </w:pict>
          </mc:Fallback>
        </mc:AlternateContent>
      </w:r>
      <w:r>
        <w:rPr>
          <w:rFonts w:eastAsia="Times New Roman" w:cs="Arial"/>
          <w:bCs/>
          <w:noProof/>
          <w:lang w:eastAsia="cs-CZ"/>
        </w:rPr>
        <mc:AlternateContent>
          <mc:Choice Requires="wps">
            <w:drawing>
              <wp:anchor distT="0" distB="0" distL="114300" distR="114300" simplePos="0" relativeHeight="251634176" behindDoc="0" locked="0" layoutInCell="1" allowOverlap="1" wp14:anchorId="796A042A" wp14:editId="60771796">
                <wp:simplePos x="0" y="0"/>
                <wp:positionH relativeFrom="column">
                  <wp:posOffset>57150</wp:posOffset>
                </wp:positionH>
                <wp:positionV relativeFrom="paragraph">
                  <wp:posOffset>25760</wp:posOffset>
                </wp:positionV>
                <wp:extent cx="2905125" cy="612000"/>
                <wp:effectExtent l="0" t="0" r="28575" b="17145"/>
                <wp:wrapNone/>
                <wp:docPr id="774" name="Obdélník: se zakulacenými rohy 228"/>
                <wp:cNvGraphicFramePr/>
                <a:graphic xmlns:a="http://schemas.openxmlformats.org/drawingml/2006/main">
                  <a:graphicData uri="http://schemas.microsoft.com/office/word/2010/wordprocessingShape">
                    <wps:wsp>
                      <wps:cNvSpPr/>
                      <wps:spPr>
                        <a:xfrm>
                          <a:off x="0" y="0"/>
                          <a:ext cx="2905125" cy="612000"/>
                        </a:xfrm>
                        <a:prstGeom prst="roundRect">
                          <a:avLst/>
                        </a:prstGeom>
                      </wps:spPr>
                      <wps:style>
                        <a:lnRef idx="2">
                          <a:schemeClr val="accent1"/>
                        </a:lnRef>
                        <a:fillRef idx="1">
                          <a:schemeClr val="lt1"/>
                        </a:fillRef>
                        <a:effectRef idx="0">
                          <a:schemeClr val="accent1"/>
                        </a:effectRef>
                        <a:fontRef idx="minor">
                          <a:schemeClr val="dk1"/>
                        </a:fontRef>
                      </wps:style>
                      <wps:txbx>
                        <w:txbxContent>
                          <w:p w14:paraId="2E8BCF04" w14:textId="77777777" w:rsidR="00693C1A" w:rsidRPr="006B08DA" w:rsidRDefault="00693C1A" w:rsidP="00693C1A">
                            <w:pPr>
                              <w:spacing w:after="0" w:line="240" w:lineRule="auto"/>
                              <w:jc w:val="center"/>
                              <w:rPr>
                                <w:b/>
                                <w:bCs/>
                              </w:rPr>
                            </w:pPr>
                            <w:r w:rsidRPr="006B08DA">
                              <w:rPr>
                                <w:b/>
                                <w:bCs/>
                              </w:rPr>
                              <w:t xml:space="preserve">Ministerstvo školství, mládeže </w:t>
                            </w:r>
                            <w:r>
                              <w:rPr>
                                <w:b/>
                                <w:bCs/>
                              </w:rPr>
                              <w:br/>
                            </w:r>
                            <w:r w:rsidRPr="006B08DA">
                              <w:rPr>
                                <w:b/>
                                <w:bCs/>
                              </w:rPr>
                              <w:t>a tělovýchovy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796A042A" id="Obdélník: se zakulacenými rohy 228" o:spid="_x0000_s1029" style="position:absolute;left:0;text-align:left;margin-left:4.5pt;margin-top:2.05pt;width:228.75pt;height:48.2pt;z-index:2516341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" fillcolor="white [3201]" strokecolor="#4f81bd [3204]" strokeweight="2pt">
                <v:textbox>
                  <w:txbxContent>
                    <w:p w14:paraId="2E8BCF04" w14:textId="77777777" w:rsidR="00693C1A" w:rsidRPr="006B08DA" w:rsidRDefault="00693C1A" w:rsidP="00693C1A">
                      <w:pPr>
                        <w:spacing w:after="0" w:line="240" w:lineRule="auto"/>
                        <w:jc w:val="center"/>
                        <w:rPr>
                          <w:b/>
                          <w:bCs/>
                        </w:rPr>
                      </w:pPr>
                      <w:r w:rsidRPr="006B08DA">
                        <w:rPr>
                          <w:b/>
                          <w:bCs/>
                        </w:rPr>
                        <w:t xml:space="preserve">Ministerstvo školství, mládeže </w:t>
                      </w:r>
                      <w:r>
                        <w:rPr>
                          <w:b/>
                          <w:bCs/>
                        </w:rPr>
                        <w:br/>
                      </w:r>
                      <w:r w:rsidRPr="006B08DA">
                        <w:rPr>
                          <w:b/>
                          <w:bCs/>
                        </w:rPr>
                        <w:t>a tělovýchovy</w:t>
                      </w:r>
                    </w:p>
                  </w:txbxContent>
                </v:textbox>
              </v:roundrect>
            </w:pict>
          </mc:Fallback>
        </mc:AlternateContent>
      </w:r>
    </w:p>
    <w:p w14:paraId="563A4401" w14:textId="77777777" w:rsidR="00693C1A" w:rsidRDefault="00693C1A" w:rsidP="00693C1A">
      <w:pPr>
        <w:spacing w:after="0" w:line="360" w:lineRule="auto"/>
        <w:jc w:val="both"/>
        <w:rPr>
          <w:rFonts w:eastAsia="Times New Roman" w:cs="Arial"/>
          <w:bCs/>
          <w:highlight w:val="yellow"/>
          <w:lang w:eastAsia="cs-CZ"/>
        </w:rPr>
      </w:pPr>
    </w:p>
    <w:p w14:paraId="144FAB37" w14:textId="77777777" w:rsidR="00693C1A" w:rsidRDefault="00693C1A" w:rsidP="00693C1A">
      <w:pPr>
        <w:spacing w:after="0" w:line="360" w:lineRule="auto"/>
        <w:jc w:val="both"/>
        <w:rPr>
          <w:rFonts w:eastAsia="Times New Roman" w:cs="Arial"/>
          <w:bCs/>
          <w:highlight w:val="yellow"/>
          <w:lang w:eastAsia="cs-CZ"/>
        </w:rPr>
      </w:pPr>
    </w:p>
    <w:p w14:paraId="4F681015" w14:textId="77777777" w:rsidR="00693C1A" w:rsidRDefault="00693C1A" w:rsidP="00693C1A">
      <w:pPr>
        <w:spacing w:after="0" w:line="360" w:lineRule="auto"/>
        <w:jc w:val="both"/>
        <w:rPr>
          <w:rFonts w:eastAsia="Times New Roman" w:cs="Arial"/>
          <w:bCs/>
          <w:highlight w:val="yellow"/>
          <w:lang w:eastAsia="cs-CZ"/>
        </w:rPr>
      </w:pPr>
      <w:r>
        <w:rPr>
          <w:rFonts w:eastAsia="Times New Roman" w:cs="Arial"/>
          <w:bCs/>
          <w:noProof/>
          <w:lang w:eastAsia="cs-CZ"/>
        </w:rPr>
        <mc:AlternateContent>
          <mc:Choice Requires="wps">
            <w:drawing>
              <wp:anchor distT="0" distB="0" distL="114300" distR="114300" simplePos="0" relativeHeight="251650560" behindDoc="0" locked="0" layoutInCell="1" allowOverlap="1" wp14:anchorId="62C1ABA1" wp14:editId="1E274AFF">
                <wp:simplePos x="0" y="0"/>
                <wp:positionH relativeFrom="column">
                  <wp:posOffset>3076575</wp:posOffset>
                </wp:positionH>
                <wp:positionV relativeFrom="paragraph">
                  <wp:posOffset>26861</wp:posOffset>
                </wp:positionV>
                <wp:extent cx="2905125" cy="612000"/>
                <wp:effectExtent l="0" t="0" r="28575" b="17145"/>
                <wp:wrapNone/>
                <wp:docPr id="775" name="Obdélník: se zakulacenými rohy 231"/>
                <wp:cNvGraphicFramePr/>
                <a:graphic xmlns:a="http://schemas.openxmlformats.org/drawingml/2006/main">
                  <a:graphicData uri="http://schemas.microsoft.com/office/word/2010/wordprocessingShape">
                    <wps:wsp>
                      <wps:cNvSpPr/>
                      <wps:spPr>
                        <a:xfrm>
                          <a:off x="0" y="0"/>
                          <a:ext cx="2905125" cy="612000"/>
                        </a:xfrm>
                        <a:prstGeom prst="roundRect">
                          <a:avLst/>
                        </a:prstGeom>
                      </wps:spPr>
                      <wps:style>
                        <a:lnRef idx="2">
                          <a:schemeClr val="accent1"/>
                        </a:lnRef>
                        <a:fillRef idx="1">
                          <a:schemeClr val="lt1"/>
                        </a:fillRef>
                        <a:effectRef idx="0">
                          <a:schemeClr val="accent1"/>
                        </a:effectRef>
                        <a:fontRef idx="minor">
                          <a:schemeClr val="dk1"/>
                        </a:fontRef>
                      </wps:style>
                      <wps:txbx>
                        <w:txbxContent>
                          <w:p w14:paraId="44919296" w14:textId="77777777" w:rsidR="00693C1A" w:rsidRPr="006B08DA" w:rsidRDefault="00693C1A" w:rsidP="00693C1A">
                            <w:pPr>
                              <w:spacing w:after="0" w:line="240" w:lineRule="auto"/>
                              <w:jc w:val="center"/>
                              <w:rPr>
                                <w:b/>
                                <w:bCs/>
                              </w:rPr>
                            </w:pPr>
                            <w:r>
                              <w:rPr>
                                <w:b/>
                                <w:bCs/>
                              </w:rPr>
                              <w:t xml:space="preserve">Technologická </w:t>
                            </w:r>
                            <w:r>
                              <w:rPr>
                                <w:b/>
                                <w:bCs/>
                              </w:rPr>
                              <w:br/>
                              <w:t>agentura ČR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62C1ABA1" id="Obdélník: se zakulacenými rohy 231" o:spid="_x0000_s1030" style="position:absolute;left:0;text-align:left;margin-left:242.25pt;margin-top:2.1pt;width:228.75pt;height:48.2pt;z-index:2516505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" fillcolor="white [3201]" strokecolor="#4f81bd [3204]" strokeweight="2pt">
                <v:textbox>
                  <w:txbxContent>
                    <w:p w14:paraId="44919296" w14:textId="77777777" w:rsidR="00693C1A" w:rsidRPr="006B08DA" w:rsidRDefault="00693C1A" w:rsidP="00693C1A">
                      <w:pPr>
                        <w:spacing w:after="0" w:line="240" w:lineRule="auto"/>
                        <w:jc w:val="center"/>
                        <w:rPr>
                          <w:b/>
                          <w:bCs/>
                        </w:rPr>
                      </w:pPr>
                      <w:r>
                        <w:rPr>
                          <w:b/>
                          <w:bCs/>
                        </w:rPr>
                        <w:t xml:space="preserve">Technologická </w:t>
                      </w:r>
                      <w:r>
                        <w:rPr>
                          <w:b/>
                          <w:bCs/>
                        </w:rPr>
                        <w:br/>
                        <w:t>agentura ČR</w:t>
                      </w:r>
                    </w:p>
                  </w:txbxContent>
                </v:textbox>
              </v:roundrect>
            </w:pict>
          </mc:Fallback>
        </mc:AlternateContent>
      </w:r>
      <w:r>
        <w:rPr>
          <w:rFonts w:eastAsia="Times New Roman" w:cs="Arial"/>
          <w:bCs/>
          <w:noProof/>
          <w:lang w:eastAsia="cs-CZ"/>
        </w:rPr>
        <mc:AlternateContent>
          <mc:Choice Requires="wps">
            <w:drawing>
              <wp:anchor distT="0" distB="0" distL="114300" distR="114300" simplePos="0" relativeHeight="251646464" behindDoc="0" locked="0" layoutInCell="1" allowOverlap="1" wp14:anchorId="13BB0619" wp14:editId="15DB985E">
                <wp:simplePos x="0" y="0"/>
                <wp:positionH relativeFrom="column">
                  <wp:posOffset>56515</wp:posOffset>
                </wp:positionH>
                <wp:positionV relativeFrom="paragraph">
                  <wp:posOffset>25592</wp:posOffset>
                </wp:positionV>
                <wp:extent cx="2905125" cy="612000"/>
                <wp:effectExtent l="0" t="0" r="28575" b="17145"/>
                <wp:wrapNone/>
                <wp:docPr id="776" name="Obdélník: se zakulacenými rohy 230"/>
                <wp:cNvGraphicFramePr/>
                <a:graphic xmlns:a="http://schemas.openxmlformats.org/drawingml/2006/main">
                  <a:graphicData uri="http://schemas.microsoft.com/office/word/2010/wordprocessingShape">
                    <wps:wsp>
                      <wps:cNvSpPr/>
                      <wps:spPr>
                        <a:xfrm>
                          <a:off x="0" y="0"/>
                          <a:ext cx="2905125" cy="612000"/>
                        </a:xfrm>
                        <a:prstGeom prst="roundRect">
                          <a:avLst/>
                        </a:prstGeom>
                      </wps:spPr>
                      <wps:style>
                        <a:lnRef idx="2">
                          <a:schemeClr val="accent1"/>
                        </a:lnRef>
                        <a:fillRef idx="1">
                          <a:schemeClr val="lt1"/>
                        </a:fillRef>
                        <a:effectRef idx="0">
                          <a:schemeClr val="accent1"/>
                        </a:effectRef>
                        <a:fontRef idx="minor">
                          <a:schemeClr val="dk1"/>
                        </a:fontRef>
                      </wps:style>
                      <wps:txbx>
                        <w:txbxContent>
                          <w:p w14:paraId="1FB15EEF" w14:textId="77777777" w:rsidR="00693C1A" w:rsidRPr="006B08DA" w:rsidRDefault="00693C1A" w:rsidP="00693C1A">
                            <w:pPr>
                              <w:spacing w:after="0" w:line="240" w:lineRule="auto"/>
                              <w:jc w:val="center"/>
                              <w:rPr>
                                <w:b/>
                                <w:bCs/>
                              </w:rPr>
                            </w:pPr>
                            <w:r>
                              <w:rPr>
                                <w:b/>
                                <w:bCs/>
                              </w:rPr>
                              <w:t xml:space="preserve">Grantová </w:t>
                            </w:r>
                            <w:r>
                              <w:rPr>
                                <w:b/>
                                <w:bCs/>
                              </w:rPr>
                              <w:br/>
                              <w:t>agentura ČR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13BB0619" id="Obdélník: se zakulacenými rohy 230" o:spid="_x0000_s1031" style="position:absolute;left:0;text-align:left;margin-left:4.45pt;margin-top:2pt;width:228.75pt;height:48.2pt;z-index:2516464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" fillcolor="white [3201]" strokecolor="#4f81bd [3204]" strokeweight="2pt">
                <v:textbox>
                  <w:txbxContent>
                    <w:p w14:paraId="1FB15EEF" w14:textId="77777777" w:rsidR="00693C1A" w:rsidRPr="006B08DA" w:rsidRDefault="00693C1A" w:rsidP="00693C1A">
                      <w:pPr>
                        <w:spacing w:after="0" w:line="240" w:lineRule="auto"/>
                        <w:jc w:val="center"/>
                        <w:rPr>
                          <w:b/>
                          <w:bCs/>
                        </w:rPr>
                      </w:pPr>
                      <w:r>
                        <w:rPr>
                          <w:b/>
                          <w:bCs/>
                        </w:rPr>
                        <w:t xml:space="preserve">Grantová </w:t>
                      </w:r>
                      <w:r>
                        <w:rPr>
                          <w:b/>
                          <w:bCs/>
                        </w:rPr>
                        <w:br/>
                        <w:t>agentura ČR</w:t>
                      </w:r>
                    </w:p>
                  </w:txbxContent>
                </v:textbox>
              </v:roundrect>
            </w:pict>
          </mc:Fallback>
        </mc:AlternateContent>
      </w:r>
    </w:p>
    <w:p w14:paraId="663DCAD2" w14:textId="77777777" w:rsidR="00693C1A" w:rsidRDefault="00693C1A" w:rsidP="00693C1A">
      <w:pPr>
        <w:spacing w:after="0" w:line="360" w:lineRule="auto"/>
        <w:jc w:val="both"/>
        <w:rPr>
          <w:rFonts w:eastAsia="Times New Roman" w:cs="Arial"/>
          <w:bCs/>
          <w:highlight w:val="yellow"/>
          <w:lang w:eastAsia="cs-CZ"/>
        </w:rPr>
      </w:pPr>
    </w:p>
    <w:p w14:paraId="6B9AC848" w14:textId="77777777" w:rsidR="00693C1A" w:rsidRDefault="00693C1A" w:rsidP="00693C1A">
      <w:pPr>
        <w:spacing w:after="0" w:line="360" w:lineRule="auto"/>
        <w:jc w:val="both"/>
        <w:rPr>
          <w:rFonts w:eastAsia="Times New Roman" w:cs="Arial"/>
          <w:bCs/>
          <w:highlight w:val="yellow"/>
          <w:lang w:eastAsia="cs-CZ"/>
        </w:rPr>
      </w:pPr>
    </w:p>
    <w:p w14:paraId="2C0264DF" w14:textId="77777777" w:rsidR="00693C1A" w:rsidRDefault="00693C1A" w:rsidP="00693C1A">
      <w:pPr>
        <w:spacing w:after="0" w:line="360" w:lineRule="auto"/>
        <w:jc w:val="both"/>
        <w:rPr>
          <w:rFonts w:eastAsia="Times New Roman" w:cs="Arial"/>
          <w:bCs/>
          <w:highlight w:val="yellow"/>
          <w:lang w:eastAsia="cs-CZ"/>
        </w:rPr>
      </w:pPr>
      <w:r>
        <w:rPr>
          <w:rFonts w:eastAsia="Times New Roman" w:cs="Arial"/>
          <w:bCs/>
          <w:noProof/>
          <w:lang w:eastAsia="cs-CZ"/>
        </w:rPr>
        <mc:AlternateContent>
          <mc:Choice Requires="wps">
            <w:drawing>
              <wp:anchor distT="0" distB="0" distL="114300" distR="114300" simplePos="0" relativeHeight="251656704" behindDoc="0" locked="0" layoutInCell="1" allowOverlap="1" wp14:anchorId="6D9AD09E" wp14:editId="032184E0">
                <wp:simplePos x="0" y="0"/>
                <wp:positionH relativeFrom="column">
                  <wp:posOffset>3076575</wp:posOffset>
                </wp:positionH>
                <wp:positionV relativeFrom="paragraph">
                  <wp:posOffset>29234</wp:posOffset>
                </wp:positionV>
                <wp:extent cx="2905125" cy="612000"/>
                <wp:effectExtent l="0" t="0" r="28575" b="17145"/>
                <wp:wrapNone/>
                <wp:docPr id="777" name="Obdélník: se zakulacenými rohy 233"/>
                <wp:cNvGraphicFramePr/>
                <a:graphic xmlns:a="http://schemas.openxmlformats.org/drawingml/2006/main">
                  <a:graphicData uri="http://schemas.microsoft.com/office/word/2010/wordprocessingShape">
                    <wps:wsp>
                      <wps:cNvSpPr/>
                      <wps:spPr>
                        <a:xfrm>
                          <a:off x="0" y="0"/>
                          <a:ext cx="2905125" cy="612000"/>
                        </a:xfrm>
                        <a:prstGeom prst="roundRect">
                          <a:avLst/>
                        </a:prstGeom>
                      </wps:spPr>
                      <wps:style>
                        <a:lnRef idx="2">
                          <a:schemeClr val="accent1"/>
                        </a:lnRef>
                        <a:fillRef idx="1">
                          <a:schemeClr val="lt1"/>
                        </a:fillRef>
                        <a:effectRef idx="0">
                          <a:schemeClr val="accent1"/>
                        </a:effectRef>
                        <a:fontRef idx="minor">
                          <a:schemeClr val="dk1"/>
                        </a:fontRef>
                      </wps:style>
                      <wps:txbx>
                        <w:txbxContent>
                          <w:p w14:paraId="7293B383" w14:textId="77777777" w:rsidR="00693C1A" w:rsidRPr="00417DBE" w:rsidRDefault="00693C1A" w:rsidP="00693C1A">
                            <w:pPr>
                              <w:spacing w:after="0" w:line="240" w:lineRule="auto"/>
                              <w:jc w:val="center"/>
                              <w:rPr>
                                <w:b/>
                                <w:bCs/>
                                <w:sz w:val="20"/>
                                <w:szCs w:val="20"/>
                              </w:rPr>
                            </w:pPr>
                            <w:r w:rsidRPr="00417DBE">
                              <w:rPr>
                                <w:b/>
                                <w:bCs/>
                                <w:sz w:val="20"/>
                                <w:szCs w:val="20"/>
                              </w:rPr>
                              <w:t>Poskytovatelé podpory v sektorových oblastech aplikovaného výzkumu a experimentálního vývoje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6D9AD09E" id="Obdélník: se zakulacenými rohy 233" o:spid="_x0000_s1032" style="position:absolute;left:0;text-align:left;margin-left:242.25pt;margin-top:2.3pt;width:228.75pt;height:48.2pt;z-index:251656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" fillcolor="white [3201]" strokecolor="#4f81bd [3204]" strokeweight="2pt">
                <v:textbox>
                  <w:txbxContent>
                    <w:p w14:paraId="7293B383" w14:textId="77777777" w:rsidR="00693C1A" w:rsidRPr="00417DBE" w:rsidRDefault="00693C1A" w:rsidP="00693C1A">
                      <w:pPr>
                        <w:spacing w:after="0" w:line="240" w:lineRule="auto"/>
                        <w:jc w:val="center"/>
                        <w:rPr>
                          <w:b/>
                          <w:bCs/>
                          <w:sz w:val="20"/>
                          <w:szCs w:val="20"/>
                        </w:rPr>
                      </w:pPr>
                      <w:r w:rsidRPr="00417DBE">
                        <w:rPr>
                          <w:b/>
                          <w:bCs/>
                          <w:sz w:val="20"/>
                          <w:szCs w:val="20"/>
                        </w:rPr>
                        <w:t>Poskytovatelé podpory v sektorových oblastech aplikovaného výzkumu a experimentálního vývoje</w:t>
                      </w:r>
                    </w:p>
                  </w:txbxContent>
                </v:textbox>
              </v:roundrect>
            </w:pict>
          </mc:Fallback>
        </mc:AlternateContent>
      </w:r>
      <w:r>
        <w:rPr>
          <w:rFonts w:eastAsia="Times New Roman" w:cs="Arial"/>
          <w:bCs/>
          <w:noProof/>
          <w:lang w:eastAsia="cs-CZ"/>
        </w:rPr>
        <mc:AlternateContent>
          <mc:Choice Requires="wps">
            <w:drawing>
              <wp:anchor distT="0" distB="0" distL="114300" distR="114300" simplePos="0" relativeHeight="251652608" behindDoc="0" locked="0" layoutInCell="1" allowOverlap="1" wp14:anchorId="708A6DFC" wp14:editId="6474EB5B">
                <wp:simplePos x="0" y="0"/>
                <wp:positionH relativeFrom="column">
                  <wp:posOffset>57150</wp:posOffset>
                </wp:positionH>
                <wp:positionV relativeFrom="paragraph">
                  <wp:posOffset>26958</wp:posOffset>
                </wp:positionV>
                <wp:extent cx="2905125" cy="612000"/>
                <wp:effectExtent l="0" t="0" r="28575" b="17145"/>
                <wp:wrapNone/>
                <wp:docPr id="778" name="Obdélník: se zakulacenými rohy 232"/>
                <wp:cNvGraphicFramePr/>
                <a:graphic xmlns:a="http://schemas.openxmlformats.org/drawingml/2006/main">
                  <a:graphicData uri="http://schemas.microsoft.com/office/word/2010/wordprocessingShape">
                    <wps:wsp>
                      <wps:cNvSpPr/>
                      <wps:spPr>
                        <a:xfrm>
                          <a:off x="0" y="0"/>
                          <a:ext cx="2905125" cy="612000"/>
                        </a:xfrm>
                        <a:prstGeom prst="roundRect">
                          <a:avLst/>
                        </a:prstGeom>
                      </wps:spPr>
                      <wps:style>
                        <a:lnRef idx="2">
                          <a:schemeClr val="accent1"/>
                        </a:lnRef>
                        <a:fillRef idx="1">
                          <a:schemeClr val="lt1"/>
                        </a:fillRef>
                        <a:effectRef idx="0">
                          <a:schemeClr val="accent1"/>
                        </a:effectRef>
                        <a:fontRef idx="minor">
                          <a:schemeClr val="dk1"/>
                        </a:fontRef>
                      </wps:style>
                      <wps:txbx>
                        <w:txbxContent>
                          <w:p w14:paraId="275AADBD" w14:textId="77777777" w:rsidR="00693C1A" w:rsidRPr="006B08DA" w:rsidRDefault="00693C1A" w:rsidP="00693C1A">
                            <w:pPr>
                              <w:spacing w:after="0" w:line="240" w:lineRule="auto"/>
                              <w:jc w:val="center"/>
                              <w:rPr>
                                <w:b/>
                                <w:bCs/>
                              </w:rPr>
                            </w:pPr>
                            <w:r w:rsidRPr="00C25D8C">
                              <w:rPr>
                                <w:b/>
                                <w:bCs/>
                              </w:rPr>
                              <w:t xml:space="preserve">Akademie </w:t>
                            </w:r>
                            <w:r>
                              <w:rPr>
                                <w:b/>
                                <w:bCs/>
                              </w:rPr>
                              <w:br/>
                            </w:r>
                            <w:r w:rsidRPr="00C25D8C">
                              <w:rPr>
                                <w:b/>
                                <w:bCs/>
                              </w:rPr>
                              <w:t>věd ČR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708A6DFC" id="Obdélník: se zakulacenými rohy 232" o:spid="_x0000_s1033" style="position:absolute;left:0;text-align:left;margin-left:4.5pt;margin-top:2.1pt;width:228.75pt;height:48.2pt;z-index:2516526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" fillcolor="white [3201]" strokecolor="#4f81bd [3204]" strokeweight="2pt">
                <v:textbox>
                  <w:txbxContent>
                    <w:p w14:paraId="275AADBD" w14:textId="77777777" w:rsidR="00693C1A" w:rsidRPr="006B08DA" w:rsidRDefault="00693C1A" w:rsidP="00693C1A">
                      <w:pPr>
                        <w:spacing w:after="0" w:line="240" w:lineRule="auto"/>
                        <w:jc w:val="center"/>
                        <w:rPr>
                          <w:b/>
                          <w:bCs/>
                        </w:rPr>
                      </w:pPr>
                      <w:r w:rsidRPr="00C25D8C">
                        <w:rPr>
                          <w:b/>
                          <w:bCs/>
                        </w:rPr>
                        <w:t xml:space="preserve">Akademie </w:t>
                      </w:r>
                      <w:r>
                        <w:rPr>
                          <w:b/>
                          <w:bCs/>
                        </w:rPr>
                        <w:br/>
                      </w:r>
                      <w:r w:rsidRPr="00C25D8C">
                        <w:rPr>
                          <w:b/>
                          <w:bCs/>
                        </w:rPr>
                        <w:t>věd ČR</w:t>
                      </w:r>
                    </w:p>
                  </w:txbxContent>
                </v:textbox>
              </v:roundrect>
            </w:pict>
          </mc:Fallback>
        </mc:AlternateContent>
      </w:r>
    </w:p>
    <w:p w14:paraId="58728290" w14:textId="77777777" w:rsidR="00693C1A" w:rsidRDefault="00693C1A" w:rsidP="00426596">
      <w:pPr>
        <w:pStyle w:val="Obrzek-nadpis"/>
      </w:pPr>
    </w:p>
    <w:p w14:paraId="6ED1BBAE" w14:textId="77777777" w:rsidR="00693C1A" w:rsidRPr="00AD3953" w:rsidRDefault="00693C1A" w:rsidP="00426596">
      <w:pPr>
        <w:pStyle w:val="Obrzek-nadpis"/>
      </w:pPr>
    </w:p>
    <w:bookmarkEnd w:id="15"/>
    <w:p w14:paraId="71070E98" w14:textId="7D37404F" w:rsidR="006621DF" w:rsidRDefault="00F91489" w:rsidP="00693C1A">
      <w:pPr>
        <w:spacing w:before="240" w:after="120" w:line="360" w:lineRule="auto"/>
        <w:rPr>
          <w:rFonts w:eastAsia="Times New Roman" w:cs="Arial"/>
          <w:b/>
          <w:lang w:eastAsia="cs-CZ"/>
        </w:rPr>
      </w:pPr>
      <w:r>
        <w:rPr>
          <w:rFonts w:eastAsia="Times New Roman" w:cs="Arial"/>
          <w:b/>
          <w:lang w:eastAsia="cs-CZ"/>
        </w:rPr>
        <w:t xml:space="preserve">Poskytovatelé podpory v </w:t>
      </w:r>
      <w:r w:rsidR="006621DF" w:rsidRPr="00C86A82">
        <w:rPr>
          <w:rFonts w:eastAsia="Times New Roman" w:cs="Arial"/>
          <w:b/>
          <w:lang w:eastAsia="cs-CZ"/>
        </w:rPr>
        <w:t>sektorových oblastech aplikovaného výzkumu a</w:t>
      </w:r>
      <w:r>
        <w:rPr>
          <w:rFonts w:eastAsia="Times New Roman" w:cs="Arial"/>
          <w:b/>
          <w:lang w:eastAsia="cs-CZ"/>
        </w:rPr>
        <w:t> </w:t>
      </w:r>
      <w:r w:rsidR="006621DF" w:rsidRPr="00C86A82">
        <w:rPr>
          <w:rFonts w:eastAsia="Times New Roman" w:cs="Arial"/>
          <w:b/>
          <w:lang w:eastAsia="cs-CZ"/>
        </w:rPr>
        <w:t>experimentálního vývoj</w:t>
      </w:r>
    </w:p>
    <w:p w14:paraId="07A6511D" w14:textId="4BAB02F8" w:rsidR="00693C1A" w:rsidRDefault="00693C1A" w:rsidP="00693C1A">
      <w:pPr>
        <w:spacing w:after="0" w:line="360" w:lineRule="auto"/>
        <w:jc w:val="both"/>
        <w:rPr>
          <w:rFonts w:eastAsia="Times New Roman" w:cs="Arial"/>
          <w:bCs/>
          <w:lang w:eastAsia="cs-CZ"/>
        </w:rPr>
      </w:pPr>
      <w:r w:rsidRPr="00C86A82">
        <w:rPr>
          <w:rFonts w:eastAsia="Times New Roman" w:cs="Arial"/>
          <w:bCs/>
          <w:lang w:eastAsia="cs-CZ"/>
        </w:rPr>
        <w:t>Ministerstvo</w:t>
      </w:r>
      <w:r>
        <w:rPr>
          <w:rFonts w:eastAsia="Times New Roman" w:cs="Arial"/>
          <w:bCs/>
          <w:lang w:eastAsia="cs-CZ"/>
        </w:rPr>
        <w:t xml:space="preserve"> </w:t>
      </w:r>
      <w:r w:rsidRPr="00C86A82">
        <w:rPr>
          <w:rFonts w:eastAsia="Times New Roman" w:cs="Arial"/>
          <w:bCs/>
          <w:lang w:eastAsia="cs-CZ"/>
        </w:rPr>
        <w:t>kultury</w:t>
      </w:r>
      <w:r>
        <w:rPr>
          <w:rFonts w:eastAsia="Times New Roman" w:cs="Arial"/>
          <w:bCs/>
          <w:lang w:eastAsia="cs-CZ"/>
        </w:rPr>
        <w:t xml:space="preserve"> (MK),</w:t>
      </w:r>
      <w:r>
        <w:rPr>
          <w:rFonts w:eastAsia="Times New Roman" w:cs="Arial"/>
          <w:bCs/>
          <w:lang w:eastAsia="cs-CZ"/>
        </w:rPr>
        <w:tab/>
      </w:r>
      <w:r>
        <w:rPr>
          <w:rFonts w:eastAsia="Times New Roman" w:cs="Arial"/>
          <w:bCs/>
          <w:lang w:eastAsia="cs-CZ"/>
        </w:rPr>
        <w:tab/>
      </w:r>
      <w:r w:rsidRPr="00C86A82">
        <w:rPr>
          <w:rFonts w:eastAsia="Times New Roman" w:cs="Arial"/>
          <w:bCs/>
          <w:lang w:eastAsia="cs-CZ"/>
        </w:rPr>
        <w:t>Ministerstvo</w:t>
      </w:r>
      <w:r>
        <w:rPr>
          <w:rFonts w:eastAsia="Times New Roman" w:cs="Arial"/>
          <w:bCs/>
          <w:lang w:eastAsia="cs-CZ"/>
        </w:rPr>
        <w:t xml:space="preserve"> </w:t>
      </w:r>
      <w:r w:rsidRPr="00C86A82">
        <w:rPr>
          <w:rFonts w:eastAsia="Times New Roman" w:cs="Arial"/>
          <w:bCs/>
          <w:lang w:eastAsia="cs-CZ"/>
        </w:rPr>
        <w:t>zdravotnictví</w:t>
      </w:r>
      <w:r>
        <w:rPr>
          <w:rFonts w:eastAsia="Times New Roman" w:cs="Arial"/>
          <w:bCs/>
          <w:lang w:eastAsia="cs-CZ"/>
        </w:rPr>
        <w:t xml:space="preserve"> (</w:t>
      </w:r>
      <w:proofErr w:type="spellStart"/>
      <w:r>
        <w:rPr>
          <w:rFonts w:eastAsia="Times New Roman" w:cs="Arial"/>
          <w:bCs/>
          <w:lang w:eastAsia="cs-CZ"/>
        </w:rPr>
        <w:t>MZd</w:t>
      </w:r>
      <w:proofErr w:type="spellEnd"/>
      <w:r>
        <w:rPr>
          <w:rFonts w:eastAsia="Times New Roman" w:cs="Arial"/>
          <w:bCs/>
          <w:lang w:eastAsia="cs-CZ"/>
        </w:rPr>
        <w:t>),</w:t>
      </w:r>
    </w:p>
    <w:p w14:paraId="128279D7" w14:textId="77777777" w:rsidR="00693C1A" w:rsidRDefault="00693C1A" w:rsidP="00693C1A">
      <w:pPr>
        <w:spacing w:after="0" w:line="360" w:lineRule="auto"/>
        <w:jc w:val="both"/>
        <w:rPr>
          <w:rFonts w:eastAsia="Times New Roman" w:cs="Arial"/>
          <w:bCs/>
          <w:lang w:eastAsia="cs-CZ"/>
        </w:rPr>
      </w:pPr>
      <w:r w:rsidRPr="00C86A82">
        <w:rPr>
          <w:rFonts w:eastAsia="Times New Roman" w:cs="Arial"/>
          <w:bCs/>
          <w:lang w:eastAsia="cs-CZ"/>
        </w:rPr>
        <w:t>Ministerstvo</w:t>
      </w:r>
      <w:r>
        <w:rPr>
          <w:rFonts w:eastAsia="Times New Roman" w:cs="Arial"/>
          <w:bCs/>
          <w:lang w:eastAsia="cs-CZ"/>
        </w:rPr>
        <w:t xml:space="preserve"> </w:t>
      </w:r>
      <w:r w:rsidRPr="00C86A82">
        <w:rPr>
          <w:rFonts w:eastAsia="Times New Roman" w:cs="Arial"/>
          <w:bCs/>
          <w:lang w:eastAsia="cs-CZ"/>
        </w:rPr>
        <w:t>zemědělství</w:t>
      </w:r>
      <w:r>
        <w:rPr>
          <w:rFonts w:eastAsia="Times New Roman" w:cs="Arial"/>
          <w:bCs/>
          <w:lang w:eastAsia="cs-CZ"/>
        </w:rPr>
        <w:t xml:space="preserve"> (</w:t>
      </w:r>
      <w:proofErr w:type="spellStart"/>
      <w:r>
        <w:rPr>
          <w:rFonts w:eastAsia="Times New Roman" w:cs="Arial"/>
          <w:bCs/>
          <w:lang w:eastAsia="cs-CZ"/>
        </w:rPr>
        <w:t>MZe</w:t>
      </w:r>
      <w:proofErr w:type="spellEnd"/>
      <w:r>
        <w:rPr>
          <w:rFonts w:eastAsia="Times New Roman" w:cs="Arial"/>
          <w:bCs/>
          <w:lang w:eastAsia="cs-CZ"/>
        </w:rPr>
        <w:t>),</w:t>
      </w:r>
      <w:r>
        <w:tab/>
      </w:r>
      <w:r>
        <w:tab/>
      </w:r>
      <w:r w:rsidRPr="00C86A82">
        <w:rPr>
          <w:rFonts w:eastAsia="Times New Roman" w:cs="Arial"/>
          <w:bCs/>
          <w:lang w:eastAsia="cs-CZ"/>
        </w:rPr>
        <w:t>Ministerstvo</w:t>
      </w:r>
      <w:r>
        <w:rPr>
          <w:rFonts w:eastAsia="Times New Roman" w:cs="Arial"/>
          <w:bCs/>
          <w:lang w:eastAsia="cs-CZ"/>
        </w:rPr>
        <w:t xml:space="preserve"> </w:t>
      </w:r>
      <w:r w:rsidRPr="00C86A82">
        <w:rPr>
          <w:rFonts w:eastAsia="Times New Roman" w:cs="Arial"/>
          <w:bCs/>
          <w:lang w:eastAsia="cs-CZ"/>
        </w:rPr>
        <w:t>obrany</w:t>
      </w:r>
      <w:r>
        <w:rPr>
          <w:rFonts w:eastAsia="Times New Roman" w:cs="Arial"/>
          <w:bCs/>
          <w:lang w:eastAsia="cs-CZ"/>
        </w:rPr>
        <w:t xml:space="preserve"> (MO),</w:t>
      </w:r>
    </w:p>
    <w:p w14:paraId="3288D857" w14:textId="7A9DD010" w:rsidR="00693C1A" w:rsidRDefault="00693C1A" w:rsidP="00693C1A">
      <w:pPr>
        <w:spacing w:after="0" w:line="360" w:lineRule="auto"/>
        <w:jc w:val="both"/>
        <w:rPr>
          <w:rFonts w:eastAsia="Times New Roman" w:cs="Arial"/>
          <w:bCs/>
          <w:lang w:eastAsia="cs-CZ"/>
        </w:rPr>
      </w:pPr>
      <w:r w:rsidRPr="00C86A82">
        <w:rPr>
          <w:rFonts w:eastAsia="Times New Roman" w:cs="Arial"/>
          <w:bCs/>
          <w:lang w:eastAsia="cs-CZ"/>
        </w:rPr>
        <w:t>Ministerstvo</w:t>
      </w:r>
      <w:r>
        <w:rPr>
          <w:rFonts w:eastAsia="Times New Roman" w:cs="Arial"/>
          <w:bCs/>
          <w:lang w:eastAsia="cs-CZ"/>
        </w:rPr>
        <w:t xml:space="preserve"> </w:t>
      </w:r>
      <w:r w:rsidRPr="00C86A82">
        <w:rPr>
          <w:rFonts w:eastAsia="Times New Roman" w:cs="Arial"/>
          <w:bCs/>
          <w:lang w:eastAsia="cs-CZ"/>
        </w:rPr>
        <w:t>vnitra</w:t>
      </w:r>
      <w:r>
        <w:rPr>
          <w:rFonts w:eastAsia="Times New Roman" w:cs="Arial"/>
          <w:bCs/>
          <w:lang w:eastAsia="cs-CZ"/>
        </w:rPr>
        <w:t xml:space="preserve"> (MV),</w:t>
      </w:r>
      <w:r>
        <w:rPr>
          <w:rFonts w:eastAsia="Times New Roman" w:cs="Arial"/>
          <w:bCs/>
          <w:lang w:eastAsia="cs-CZ"/>
        </w:rPr>
        <w:tab/>
      </w:r>
      <w:r>
        <w:rPr>
          <w:rFonts w:eastAsia="Times New Roman" w:cs="Arial"/>
          <w:bCs/>
          <w:lang w:eastAsia="cs-CZ"/>
        </w:rPr>
        <w:tab/>
      </w:r>
      <w:r w:rsidRPr="00C86A82">
        <w:rPr>
          <w:rFonts w:eastAsia="Times New Roman" w:cs="Arial"/>
          <w:bCs/>
          <w:lang w:eastAsia="cs-CZ"/>
        </w:rPr>
        <w:t>Ministerstvo</w:t>
      </w:r>
      <w:r>
        <w:rPr>
          <w:rFonts w:eastAsia="Times New Roman" w:cs="Arial"/>
          <w:bCs/>
          <w:lang w:eastAsia="cs-CZ"/>
        </w:rPr>
        <w:t xml:space="preserve"> </w:t>
      </w:r>
      <w:r w:rsidRPr="00C86A82">
        <w:rPr>
          <w:rFonts w:eastAsia="Times New Roman" w:cs="Arial"/>
          <w:bCs/>
          <w:lang w:eastAsia="cs-CZ"/>
        </w:rPr>
        <w:t>práce</w:t>
      </w:r>
      <w:r>
        <w:rPr>
          <w:rFonts w:eastAsia="Times New Roman" w:cs="Arial"/>
          <w:bCs/>
          <w:lang w:eastAsia="cs-CZ"/>
        </w:rPr>
        <w:t xml:space="preserve"> </w:t>
      </w:r>
      <w:r w:rsidRPr="00C86A82">
        <w:rPr>
          <w:rFonts w:eastAsia="Times New Roman" w:cs="Arial"/>
          <w:bCs/>
          <w:lang w:eastAsia="cs-CZ"/>
        </w:rPr>
        <w:t>a sociálních</w:t>
      </w:r>
      <w:r>
        <w:rPr>
          <w:rFonts w:eastAsia="Times New Roman" w:cs="Arial"/>
          <w:bCs/>
          <w:lang w:eastAsia="cs-CZ"/>
        </w:rPr>
        <w:t xml:space="preserve"> </w:t>
      </w:r>
      <w:r w:rsidRPr="00C86A82">
        <w:rPr>
          <w:rFonts w:eastAsia="Times New Roman" w:cs="Arial"/>
          <w:bCs/>
          <w:lang w:eastAsia="cs-CZ"/>
        </w:rPr>
        <w:t>věcí</w:t>
      </w:r>
      <w:r>
        <w:rPr>
          <w:rFonts w:eastAsia="Times New Roman" w:cs="Arial"/>
          <w:bCs/>
          <w:lang w:eastAsia="cs-CZ"/>
        </w:rPr>
        <w:t xml:space="preserve"> (MPSV),</w:t>
      </w:r>
    </w:p>
    <w:p w14:paraId="46E05407" w14:textId="77777777" w:rsidR="00693C1A" w:rsidRDefault="00693C1A" w:rsidP="00693C1A">
      <w:pPr>
        <w:spacing w:after="0" w:line="360" w:lineRule="auto"/>
        <w:jc w:val="both"/>
        <w:rPr>
          <w:rFonts w:eastAsia="Times New Roman" w:cs="Arial"/>
          <w:bCs/>
          <w:lang w:eastAsia="cs-CZ"/>
        </w:rPr>
      </w:pPr>
      <w:r w:rsidRPr="00C86A82">
        <w:rPr>
          <w:rFonts w:eastAsia="Times New Roman" w:cs="Arial"/>
          <w:bCs/>
          <w:lang w:eastAsia="cs-CZ"/>
        </w:rPr>
        <w:t>Ministerstvo</w:t>
      </w:r>
      <w:r>
        <w:rPr>
          <w:rFonts w:eastAsia="Times New Roman" w:cs="Arial"/>
          <w:bCs/>
          <w:lang w:eastAsia="cs-CZ"/>
        </w:rPr>
        <w:t xml:space="preserve"> </w:t>
      </w:r>
      <w:r w:rsidRPr="00C86A82">
        <w:rPr>
          <w:rFonts w:eastAsia="Times New Roman" w:cs="Arial"/>
          <w:bCs/>
          <w:lang w:eastAsia="cs-CZ"/>
        </w:rPr>
        <w:t>životního</w:t>
      </w:r>
      <w:r>
        <w:rPr>
          <w:rFonts w:eastAsia="Times New Roman" w:cs="Arial"/>
          <w:bCs/>
          <w:lang w:eastAsia="cs-CZ"/>
        </w:rPr>
        <w:t xml:space="preserve"> </w:t>
      </w:r>
      <w:r w:rsidRPr="00C86A82">
        <w:rPr>
          <w:rFonts w:eastAsia="Times New Roman" w:cs="Arial"/>
          <w:bCs/>
          <w:lang w:eastAsia="cs-CZ"/>
        </w:rPr>
        <w:t>prostředí</w:t>
      </w:r>
      <w:r>
        <w:rPr>
          <w:rFonts w:eastAsia="Times New Roman" w:cs="Arial"/>
          <w:bCs/>
          <w:lang w:eastAsia="cs-CZ"/>
        </w:rPr>
        <w:t xml:space="preserve"> (MŽP),</w:t>
      </w:r>
      <w:r>
        <w:tab/>
      </w:r>
      <w:r w:rsidRPr="00C86A82">
        <w:rPr>
          <w:rFonts w:eastAsia="Times New Roman" w:cs="Arial"/>
          <w:bCs/>
          <w:lang w:eastAsia="cs-CZ"/>
        </w:rPr>
        <w:t>Ministerstvo</w:t>
      </w:r>
      <w:r>
        <w:rPr>
          <w:rFonts w:eastAsia="Times New Roman" w:cs="Arial"/>
          <w:bCs/>
          <w:lang w:eastAsia="cs-CZ"/>
        </w:rPr>
        <w:t xml:space="preserve"> </w:t>
      </w:r>
      <w:r w:rsidRPr="00C86A82">
        <w:rPr>
          <w:rFonts w:eastAsia="Times New Roman" w:cs="Arial"/>
          <w:bCs/>
          <w:lang w:eastAsia="cs-CZ"/>
        </w:rPr>
        <w:t>dopravy</w:t>
      </w:r>
      <w:r>
        <w:rPr>
          <w:rFonts w:eastAsia="Times New Roman" w:cs="Arial"/>
          <w:bCs/>
          <w:lang w:eastAsia="cs-CZ"/>
        </w:rPr>
        <w:t xml:space="preserve"> (MD),</w:t>
      </w:r>
    </w:p>
    <w:p w14:paraId="270462E4" w14:textId="77777777" w:rsidR="00693C1A" w:rsidRDefault="00693C1A" w:rsidP="00693C1A">
      <w:pPr>
        <w:spacing w:after="0" w:line="360" w:lineRule="auto"/>
        <w:jc w:val="both"/>
        <w:rPr>
          <w:rFonts w:eastAsia="Times New Roman" w:cs="Arial"/>
          <w:bCs/>
          <w:lang w:eastAsia="cs-CZ"/>
        </w:rPr>
      </w:pPr>
      <w:r w:rsidRPr="00C86A82">
        <w:rPr>
          <w:rFonts w:eastAsia="Times New Roman" w:cs="Arial"/>
          <w:bCs/>
          <w:lang w:eastAsia="cs-CZ"/>
        </w:rPr>
        <w:t>Ministerstvo</w:t>
      </w:r>
      <w:r>
        <w:rPr>
          <w:rFonts w:eastAsia="Times New Roman" w:cs="Arial"/>
          <w:bCs/>
          <w:lang w:eastAsia="cs-CZ"/>
        </w:rPr>
        <w:t xml:space="preserve"> </w:t>
      </w:r>
      <w:r w:rsidRPr="00C86A82">
        <w:rPr>
          <w:rFonts w:eastAsia="Times New Roman" w:cs="Arial"/>
          <w:bCs/>
          <w:lang w:eastAsia="cs-CZ"/>
        </w:rPr>
        <w:t>zahraničních</w:t>
      </w:r>
      <w:r>
        <w:rPr>
          <w:rFonts w:eastAsia="Times New Roman" w:cs="Arial"/>
          <w:bCs/>
          <w:lang w:eastAsia="cs-CZ"/>
        </w:rPr>
        <w:t xml:space="preserve"> </w:t>
      </w:r>
      <w:r w:rsidRPr="00C86A82">
        <w:rPr>
          <w:rFonts w:eastAsia="Times New Roman" w:cs="Arial"/>
          <w:bCs/>
          <w:lang w:eastAsia="cs-CZ"/>
        </w:rPr>
        <w:t>věcí</w:t>
      </w:r>
      <w:r>
        <w:rPr>
          <w:rFonts w:eastAsia="Times New Roman" w:cs="Arial"/>
          <w:bCs/>
          <w:lang w:eastAsia="cs-CZ"/>
        </w:rPr>
        <w:t xml:space="preserve"> (MZV),</w:t>
      </w:r>
      <w:r>
        <w:rPr>
          <w:rFonts w:eastAsia="Times New Roman" w:cs="Arial"/>
          <w:bCs/>
          <w:lang w:eastAsia="cs-CZ"/>
        </w:rPr>
        <w:tab/>
        <w:t>Český úřad zeměměřický a katastrální (ČÚZK)</w:t>
      </w:r>
    </w:p>
    <w:p w14:paraId="13D72671" w14:textId="77777777" w:rsidR="0054309B" w:rsidRDefault="0054309B" w:rsidP="00345EBF">
      <w:pPr>
        <w:spacing w:after="0" w:line="360" w:lineRule="auto"/>
        <w:jc w:val="both"/>
        <w:rPr>
          <w:rFonts w:eastAsia="Times New Roman" w:cs="Arial"/>
          <w:lang w:eastAsia="cs-CZ"/>
        </w:rPr>
      </w:pPr>
    </w:p>
    <w:p w14:paraId="2FC93A11" w14:textId="77777777" w:rsidR="00693C1A" w:rsidRDefault="00693C1A" w:rsidP="00693C1A">
      <w:pPr>
        <w:spacing w:after="0" w:line="360" w:lineRule="auto"/>
        <w:ind w:firstLine="709"/>
        <w:jc w:val="both"/>
        <w:rPr>
          <w:rFonts w:eastAsia="Times New Roman" w:cs="Arial"/>
          <w:lang w:eastAsia="cs-CZ"/>
        </w:rPr>
      </w:pPr>
      <w:r>
        <w:rPr>
          <w:rFonts w:eastAsia="Times New Roman" w:cs="Arial"/>
          <w:lang w:eastAsia="cs-CZ"/>
        </w:rPr>
        <w:t>Ministerstva</w:t>
      </w:r>
      <w:r w:rsidRPr="00AC0A61">
        <w:rPr>
          <w:rFonts w:eastAsia="Times New Roman" w:cs="Arial"/>
          <w:lang w:eastAsia="cs-CZ"/>
        </w:rPr>
        <w:t xml:space="preserve"> mohou realizovat vlastní programy účelové podpory </w:t>
      </w:r>
      <w:proofErr w:type="spellStart"/>
      <w:r w:rsidRPr="00AC0A61">
        <w:rPr>
          <w:rFonts w:eastAsia="Times New Roman" w:cs="Arial"/>
          <w:lang w:eastAsia="cs-CZ"/>
        </w:rPr>
        <w:t>VaVaI</w:t>
      </w:r>
      <w:proofErr w:type="spellEnd"/>
      <w:r>
        <w:rPr>
          <w:rFonts w:eastAsia="Times New Roman" w:cs="Arial"/>
          <w:lang w:eastAsia="cs-CZ"/>
        </w:rPr>
        <w:t>, případně za ně roli poskytovatele může vykonávat Technologická agentura ČR (TA ČR)</w:t>
      </w:r>
      <w:r w:rsidRPr="00AC0A61">
        <w:rPr>
          <w:rFonts w:eastAsia="Times New Roman" w:cs="Arial"/>
          <w:lang w:eastAsia="cs-CZ"/>
        </w:rPr>
        <w:t>. Dále jsou také poskytovateli institucionální podpor</w:t>
      </w:r>
      <w:r>
        <w:rPr>
          <w:rFonts w:eastAsia="Times New Roman" w:cs="Arial"/>
          <w:lang w:eastAsia="cs-CZ"/>
        </w:rPr>
        <w:t>y</w:t>
      </w:r>
      <w:r w:rsidRPr="00AC0A61">
        <w:rPr>
          <w:rFonts w:eastAsia="Times New Roman" w:cs="Arial"/>
          <w:lang w:eastAsia="cs-CZ"/>
        </w:rPr>
        <w:t xml:space="preserve"> na</w:t>
      </w:r>
      <w:r>
        <w:rPr>
          <w:rFonts w:eastAsia="Times New Roman" w:cs="Arial"/>
          <w:lang w:eastAsia="cs-CZ"/>
        </w:rPr>
        <w:t> </w:t>
      </w:r>
      <w:r w:rsidRPr="00AC0A61">
        <w:rPr>
          <w:rFonts w:eastAsia="Times New Roman" w:cs="Arial"/>
          <w:lang w:eastAsia="cs-CZ"/>
        </w:rPr>
        <w:t xml:space="preserve">dlouhodobý koncepční rozvoj </w:t>
      </w:r>
      <w:r>
        <w:rPr>
          <w:rFonts w:eastAsia="Times New Roman" w:cs="Arial"/>
          <w:lang w:eastAsia="cs-CZ"/>
        </w:rPr>
        <w:t>výzkumných organizací (DK RVO)</w:t>
      </w:r>
      <w:r w:rsidRPr="00AC0A61">
        <w:rPr>
          <w:rFonts w:eastAsia="Times New Roman" w:cs="Arial"/>
          <w:lang w:eastAsia="cs-CZ"/>
        </w:rPr>
        <w:t xml:space="preserve"> náležejících do jejich resortní příslušnosti</w:t>
      </w:r>
      <w:r w:rsidRPr="006F3F3F">
        <w:rPr>
          <w:rFonts w:eastAsia="Times New Roman" w:cs="Arial"/>
          <w:lang w:eastAsia="cs-CZ"/>
        </w:rPr>
        <w:t xml:space="preserve"> </w:t>
      </w:r>
      <w:r>
        <w:rPr>
          <w:rFonts w:eastAsia="Times New Roman" w:cs="Arial"/>
          <w:lang w:eastAsia="cs-CZ"/>
        </w:rPr>
        <w:t>a systémové podpory. Jedná se nejen o </w:t>
      </w:r>
      <w:r w:rsidRPr="00AC0A61">
        <w:rPr>
          <w:rFonts w:eastAsia="Times New Roman" w:cs="Arial"/>
          <w:lang w:eastAsia="cs-CZ"/>
        </w:rPr>
        <w:t>veřejné výzkumné instituce, jichž jsou</w:t>
      </w:r>
      <w:r>
        <w:rPr>
          <w:rFonts w:eastAsia="Times New Roman" w:cs="Arial"/>
          <w:lang w:eastAsia="cs-CZ"/>
        </w:rPr>
        <w:t xml:space="preserve"> poskytovatelé</w:t>
      </w:r>
      <w:r w:rsidRPr="00AC0A61">
        <w:rPr>
          <w:rFonts w:eastAsia="Times New Roman" w:cs="Arial"/>
          <w:lang w:eastAsia="cs-CZ"/>
        </w:rPr>
        <w:t xml:space="preserve"> zřizovatelem, </w:t>
      </w:r>
      <w:r>
        <w:rPr>
          <w:rFonts w:eastAsia="Times New Roman" w:cs="Arial"/>
          <w:lang w:eastAsia="cs-CZ"/>
        </w:rPr>
        <w:t>ale</w:t>
      </w:r>
      <w:r w:rsidRPr="00AC0A61">
        <w:rPr>
          <w:rFonts w:eastAsia="Times New Roman" w:cs="Arial"/>
          <w:lang w:eastAsia="cs-CZ"/>
        </w:rPr>
        <w:t xml:space="preserve"> i</w:t>
      </w:r>
      <w:r>
        <w:rPr>
          <w:rFonts w:eastAsia="Times New Roman" w:cs="Arial"/>
          <w:lang w:eastAsia="cs-CZ"/>
        </w:rPr>
        <w:t> </w:t>
      </w:r>
      <w:r w:rsidRPr="00AC0A61">
        <w:rPr>
          <w:rFonts w:eastAsia="Times New Roman" w:cs="Arial"/>
          <w:lang w:eastAsia="cs-CZ"/>
        </w:rPr>
        <w:t xml:space="preserve">další </w:t>
      </w:r>
      <w:r>
        <w:rPr>
          <w:rFonts w:eastAsia="Times New Roman" w:cs="Arial"/>
          <w:lang w:eastAsia="cs-CZ"/>
        </w:rPr>
        <w:t>VO v jejich gesci</w:t>
      </w:r>
      <w:r w:rsidRPr="00AC0A61">
        <w:rPr>
          <w:rFonts w:eastAsia="Times New Roman" w:cs="Arial"/>
          <w:lang w:eastAsia="cs-CZ"/>
        </w:rPr>
        <w:t>.</w:t>
      </w:r>
    </w:p>
    <w:p w14:paraId="77C371AC" w14:textId="402B9569" w:rsidR="00417DBE" w:rsidRPr="00417DBE" w:rsidRDefault="00EF7CC0" w:rsidP="00345EBF">
      <w:pPr>
        <w:spacing w:before="240" w:after="120" w:line="360" w:lineRule="auto"/>
        <w:jc w:val="both"/>
        <w:rPr>
          <w:rFonts w:eastAsia="Times New Roman" w:cs="Arial"/>
          <w:b/>
          <w:lang w:eastAsia="cs-CZ"/>
        </w:rPr>
      </w:pPr>
      <w:r w:rsidRPr="00417DBE">
        <w:rPr>
          <w:rFonts w:eastAsia="Times New Roman" w:cs="Arial"/>
          <w:b/>
          <w:lang w:eastAsia="cs-CZ"/>
        </w:rPr>
        <w:t>Úřad vlády ČR</w:t>
      </w:r>
      <w:r w:rsidR="005A697F">
        <w:rPr>
          <w:rFonts w:eastAsia="Times New Roman" w:cs="Arial"/>
          <w:b/>
          <w:lang w:eastAsia="cs-CZ"/>
        </w:rPr>
        <w:t xml:space="preserve"> (ÚV ČR)</w:t>
      </w:r>
    </w:p>
    <w:p w14:paraId="0A4DFAB1" w14:textId="77777777" w:rsidR="00693C1A" w:rsidRPr="006F3F3F" w:rsidRDefault="00693C1A" w:rsidP="00693C1A">
      <w:pPr>
        <w:spacing w:after="0" w:line="360" w:lineRule="auto"/>
        <w:ind w:firstLine="709"/>
        <w:jc w:val="both"/>
        <w:rPr>
          <w:rFonts w:eastAsia="Times New Roman" w:cs="Arial"/>
          <w:lang w:eastAsia="cs-CZ"/>
        </w:rPr>
      </w:pPr>
      <w:r>
        <w:rPr>
          <w:rFonts w:eastAsia="Times New Roman" w:cs="Arial"/>
          <w:lang w:eastAsia="cs-CZ"/>
        </w:rPr>
        <w:t>Prostřednictvím rozpočtové kapitoly ÚV ČR je poskytována systémová podpora na činnost RVVI.</w:t>
      </w:r>
    </w:p>
    <w:p w14:paraId="2CFA7BE2" w14:textId="77777777" w:rsidR="00BE10E7" w:rsidRDefault="00BE10E7" w:rsidP="00873878">
      <w:pPr>
        <w:spacing w:after="0" w:line="360" w:lineRule="auto"/>
        <w:jc w:val="both"/>
        <w:rPr>
          <w:rFonts w:eastAsia="Times New Roman" w:cs="Arial"/>
          <w:b/>
          <w:bCs/>
          <w:highlight w:val="cyan"/>
          <w:lang w:eastAsia="cs-CZ"/>
        </w:rPr>
        <w:sectPr w:rsidR="00BE10E7" w:rsidSect="00B659E0">
          <w:headerReference w:type="even" r:id="rId40"/>
          <w:headerReference w:type="default" r:id="rId41"/>
          <w:headerReference w:type="first" r:id="rId42"/>
          <w:footerReference w:type="first" r:id="rId43"/>
          <w:pgSz w:w="11906" w:h="16838"/>
          <w:pgMar w:top="1134" w:right="1418" w:bottom="1134" w:left="1134" w:header="709" w:footer="709" w:gutter="0"/>
          <w:cols w:space="708"/>
          <w:docGrid w:linePitch="299"/>
        </w:sectPr>
      </w:pPr>
    </w:p>
    <w:p w14:paraId="40A90F27" w14:textId="5C693B9E" w:rsidR="00426596" w:rsidRDefault="00426596" w:rsidP="00426596">
      <w:pPr>
        <w:pStyle w:val="Nadpis2"/>
        <w:pageBreakBefore/>
        <w:ind w:left="578" w:hanging="578"/>
        <w:rPr>
          <w:rFonts w:eastAsia="Times New Roman"/>
        </w:rPr>
      </w:pPr>
      <w:bookmarkStart w:id="16" w:name="_Toc215589295"/>
      <w:r>
        <w:rPr>
          <w:rFonts w:eastAsia="Times New Roman"/>
        </w:rPr>
        <w:lastRenderedPageBreak/>
        <w:t xml:space="preserve">Proces přípravy státního rozpočtu na </w:t>
      </w:r>
      <w:proofErr w:type="spellStart"/>
      <w:r>
        <w:rPr>
          <w:rFonts w:eastAsia="Times New Roman"/>
        </w:rPr>
        <w:t>VaVaI</w:t>
      </w:r>
      <w:bookmarkEnd w:id="16"/>
      <w:proofErr w:type="spellEnd"/>
    </w:p>
    <w:p w14:paraId="27F0F21D" w14:textId="77777777" w:rsidR="00484D6A" w:rsidRDefault="00484D6A" w:rsidP="00484D6A">
      <w:pPr>
        <w:spacing w:before="120" w:after="120"/>
        <w:jc w:val="both"/>
        <w:rPr>
          <w:b/>
          <w:bCs/>
        </w:rPr>
      </w:pPr>
      <w:r>
        <w:rPr>
          <w:b/>
          <w:bCs/>
        </w:rPr>
        <w:t xml:space="preserve">Základní principy přípravy návrhu výdajů státního rozpočtu ČR na </w:t>
      </w:r>
      <w:proofErr w:type="spellStart"/>
      <w:r>
        <w:rPr>
          <w:b/>
          <w:bCs/>
        </w:rPr>
        <w:t>VaVaI</w:t>
      </w:r>
      <w:proofErr w:type="spellEnd"/>
    </w:p>
    <w:p w14:paraId="6184F842" w14:textId="11B850FA" w:rsidR="00484D6A" w:rsidRDefault="00484D6A" w:rsidP="00484D6A">
      <w:pPr>
        <w:spacing w:after="120" w:line="360" w:lineRule="auto"/>
        <w:ind w:firstLine="709"/>
        <w:jc w:val="both"/>
      </w:pPr>
      <w:r>
        <w:t xml:space="preserve">Příprava návrhu výdajů SR ČR na </w:t>
      </w:r>
      <w:proofErr w:type="spellStart"/>
      <w:r>
        <w:t>VaVaI</w:t>
      </w:r>
      <w:proofErr w:type="spellEnd"/>
      <w:r>
        <w:t xml:space="preserve"> je kontinuální a komplexní proces (viz schéma A.3.</w:t>
      </w:r>
      <w:r w:rsidR="00C05763">
        <w:t>2</w:t>
      </w:r>
      <w:r>
        <w:t>).</w:t>
      </w:r>
    </w:p>
    <w:p w14:paraId="4534DEE2" w14:textId="45CE9B29" w:rsidR="00484D6A" w:rsidRDefault="00484D6A" w:rsidP="00484D6A">
      <w:pPr>
        <w:spacing w:after="120" w:line="360" w:lineRule="auto"/>
        <w:ind w:firstLine="709"/>
        <w:jc w:val="both"/>
        <w:rPr>
          <w:rFonts w:eastAsia="Times New Roman" w:cs="Arial"/>
          <w:lang w:eastAsia="cs-CZ"/>
        </w:rPr>
      </w:pPr>
      <w:r>
        <w:rPr>
          <w:rFonts w:eastAsia="Times New Roman" w:cs="Arial"/>
          <w:lang w:eastAsia="cs-CZ"/>
        </w:rPr>
        <w:t>RVVI dle zákona č. 130/2002 Sb.</w:t>
      </w:r>
      <w:r w:rsidR="00C05763">
        <w:rPr>
          <w:rFonts w:eastAsia="Times New Roman" w:cs="Arial"/>
          <w:lang w:eastAsia="cs-CZ"/>
        </w:rPr>
        <w:t>, nově dle zákona č. 328/2025 Sb.,</w:t>
      </w:r>
      <w:r>
        <w:rPr>
          <w:rFonts w:eastAsia="Times New Roman" w:cs="Arial"/>
          <w:lang w:eastAsia="cs-CZ"/>
        </w:rPr>
        <w:t xml:space="preserve"> každoročně zabezpečuje zpracování návrhu výše výdajů SR ČR na </w:t>
      </w:r>
      <w:proofErr w:type="spellStart"/>
      <w:r>
        <w:rPr>
          <w:rFonts w:eastAsia="Times New Roman" w:cs="Arial"/>
          <w:lang w:eastAsia="cs-CZ"/>
        </w:rPr>
        <w:t>VaVaI</w:t>
      </w:r>
      <w:proofErr w:type="spellEnd"/>
      <w:r>
        <w:rPr>
          <w:rFonts w:eastAsia="Times New Roman" w:cs="Arial"/>
          <w:lang w:eastAsia="cs-CZ"/>
        </w:rPr>
        <w:t xml:space="preserve"> včetně střednědobého výhledu (r+2) a členění rozpočtových alokací mezi jednotlivé rozpočtové kapitoly.</w:t>
      </w:r>
    </w:p>
    <w:p w14:paraId="185754F4" w14:textId="03D38708" w:rsidR="00484D6A" w:rsidRDefault="00484D6A" w:rsidP="00484D6A">
      <w:pPr>
        <w:spacing w:after="120" w:line="360" w:lineRule="auto"/>
        <w:ind w:firstLine="708"/>
        <w:jc w:val="both"/>
        <w:rPr>
          <w:rFonts w:eastAsia="Times New Roman" w:cs="Arial"/>
          <w:lang w:eastAsia="cs-CZ"/>
        </w:rPr>
      </w:pPr>
      <w:r w:rsidRPr="00324F32">
        <w:rPr>
          <w:rFonts w:eastAsia="Times New Roman" w:cs="Arial"/>
          <w:lang w:eastAsia="cs-CZ"/>
        </w:rPr>
        <w:t xml:space="preserve">Od roku 2024 je návrh výdajů na </w:t>
      </w:r>
      <w:proofErr w:type="spellStart"/>
      <w:r w:rsidRPr="00324F32">
        <w:rPr>
          <w:rFonts w:eastAsia="Times New Roman" w:cs="Arial"/>
          <w:lang w:eastAsia="cs-CZ"/>
        </w:rPr>
        <w:t>VaVaI</w:t>
      </w:r>
      <w:proofErr w:type="spellEnd"/>
      <w:r w:rsidRPr="00324F32">
        <w:rPr>
          <w:rFonts w:eastAsia="Times New Roman" w:cs="Arial"/>
          <w:lang w:eastAsia="cs-CZ"/>
        </w:rPr>
        <w:t xml:space="preserve"> členěn do</w:t>
      </w:r>
      <w:r>
        <w:rPr>
          <w:rFonts w:eastAsia="Times New Roman" w:cs="Arial"/>
          <w:lang w:eastAsia="cs-CZ"/>
        </w:rPr>
        <w:t> </w:t>
      </w:r>
      <w:r w:rsidRPr="00324F32">
        <w:rPr>
          <w:rFonts w:eastAsia="Times New Roman" w:cs="Arial"/>
          <w:lang w:eastAsia="cs-CZ"/>
        </w:rPr>
        <w:t>16</w:t>
      </w:r>
      <w:r>
        <w:rPr>
          <w:rFonts w:eastAsia="Times New Roman" w:cs="Arial"/>
          <w:lang w:eastAsia="cs-CZ"/>
        </w:rPr>
        <w:t> </w:t>
      </w:r>
      <w:r w:rsidRPr="00324F32">
        <w:rPr>
          <w:rFonts w:eastAsia="Times New Roman" w:cs="Arial"/>
          <w:lang w:eastAsia="cs-CZ"/>
        </w:rPr>
        <w:t>rozpočtových kapitol. Tato struktura zahrnuje tradiční poskytovatele podpory, jako jsou</w:t>
      </w:r>
      <w:r w:rsidR="00B94DE8">
        <w:rPr>
          <w:rFonts w:eastAsia="Times New Roman" w:cs="Arial"/>
          <w:lang w:eastAsia="cs-CZ"/>
        </w:rPr>
        <w:t xml:space="preserve"> Akademie věd ČR</w:t>
      </w:r>
      <w:r w:rsidRPr="00324F32">
        <w:rPr>
          <w:rFonts w:eastAsia="Times New Roman" w:cs="Arial"/>
          <w:lang w:eastAsia="cs-CZ"/>
        </w:rPr>
        <w:t xml:space="preserve"> </w:t>
      </w:r>
      <w:r w:rsidR="00B94DE8">
        <w:rPr>
          <w:rFonts w:eastAsia="Times New Roman" w:cs="Arial"/>
          <w:lang w:eastAsia="cs-CZ"/>
        </w:rPr>
        <w:t>(</w:t>
      </w:r>
      <w:r w:rsidRPr="00324F32">
        <w:rPr>
          <w:rFonts w:eastAsia="Times New Roman" w:cs="Arial"/>
          <w:lang w:eastAsia="cs-CZ"/>
        </w:rPr>
        <w:t>AV ČR</w:t>
      </w:r>
      <w:r w:rsidR="00B94DE8">
        <w:rPr>
          <w:rFonts w:eastAsia="Times New Roman" w:cs="Arial"/>
          <w:lang w:eastAsia="cs-CZ"/>
        </w:rPr>
        <w:t>)</w:t>
      </w:r>
      <w:r w:rsidRPr="00324F32">
        <w:rPr>
          <w:rFonts w:eastAsia="Times New Roman" w:cs="Arial"/>
          <w:lang w:eastAsia="cs-CZ"/>
        </w:rPr>
        <w:t xml:space="preserve">, </w:t>
      </w:r>
      <w:r w:rsidR="00B94DE8">
        <w:rPr>
          <w:rFonts w:eastAsia="Times New Roman" w:cs="Arial"/>
          <w:lang w:eastAsia="cs-CZ"/>
        </w:rPr>
        <w:t>Grantová agentura ČR (</w:t>
      </w:r>
      <w:r w:rsidRPr="00324F32">
        <w:rPr>
          <w:rFonts w:eastAsia="Times New Roman" w:cs="Arial"/>
          <w:lang w:eastAsia="cs-CZ"/>
        </w:rPr>
        <w:t>GA ČR</w:t>
      </w:r>
      <w:r w:rsidR="00B94DE8">
        <w:rPr>
          <w:rFonts w:eastAsia="Times New Roman" w:cs="Arial"/>
          <w:lang w:eastAsia="cs-CZ"/>
        </w:rPr>
        <w:t>)</w:t>
      </w:r>
      <w:r w:rsidRPr="00324F32">
        <w:rPr>
          <w:rFonts w:eastAsia="Times New Roman" w:cs="Arial"/>
          <w:lang w:eastAsia="cs-CZ"/>
        </w:rPr>
        <w:t>, TA ČR</w:t>
      </w:r>
      <w:r>
        <w:rPr>
          <w:rFonts w:eastAsia="Times New Roman" w:cs="Arial"/>
          <w:lang w:eastAsia="cs-CZ"/>
        </w:rPr>
        <w:t xml:space="preserve"> </w:t>
      </w:r>
      <w:r w:rsidRPr="00324F32">
        <w:rPr>
          <w:rFonts w:eastAsia="Times New Roman" w:cs="Arial"/>
          <w:lang w:eastAsia="cs-CZ"/>
        </w:rPr>
        <w:t xml:space="preserve">a </w:t>
      </w:r>
      <w:r>
        <w:rPr>
          <w:rFonts w:eastAsia="Times New Roman" w:cs="Arial"/>
          <w:lang w:eastAsia="cs-CZ"/>
        </w:rPr>
        <w:t>11</w:t>
      </w:r>
      <w:r w:rsidRPr="00324F32">
        <w:rPr>
          <w:rFonts w:eastAsia="Times New Roman" w:cs="Arial"/>
          <w:lang w:eastAsia="cs-CZ"/>
        </w:rPr>
        <w:t xml:space="preserve"> resortních ministerstev</w:t>
      </w:r>
      <w:r>
        <w:rPr>
          <w:rFonts w:eastAsia="Times New Roman" w:cs="Arial"/>
          <w:lang w:eastAsia="cs-CZ"/>
        </w:rPr>
        <w:t>, dále ÚV ČR, jehož prostřednictvím je</w:t>
      </w:r>
      <w:r w:rsidR="00A034D9">
        <w:rPr>
          <w:rFonts w:eastAsia="Times New Roman" w:cs="Arial"/>
          <w:lang w:eastAsia="cs-CZ"/>
        </w:rPr>
        <w:t> </w:t>
      </w:r>
      <w:r>
        <w:rPr>
          <w:rFonts w:eastAsia="Times New Roman" w:cs="Arial"/>
          <w:lang w:eastAsia="cs-CZ"/>
        </w:rPr>
        <w:t xml:space="preserve">financována činnost RVVI, a nově </w:t>
      </w:r>
      <w:r w:rsidRPr="00324F32">
        <w:rPr>
          <w:rFonts w:eastAsia="Times New Roman" w:cs="Arial"/>
          <w:lang w:eastAsia="cs-CZ"/>
        </w:rPr>
        <w:t>také Český úřad zeměměři</w:t>
      </w:r>
      <w:r>
        <w:rPr>
          <w:rFonts w:eastAsia="Times New Roman" w:cs="Arial"/>
          <w:lang w:eastAsia="cs-CZ"/>
        </w:rPr>
        <w:t>c</w:t>
      </w:r>
      <w:r w:rsidRPr="00324F32">
        <w:rPr>
          <w:rFonts w:eastAsia="Times New Roman" w:cs="Arial"/>
          <w:lang w:eastAsia="cs-CZ"/>
        </w:rPr>
        <w:t>ký a</w:t>
      </w:r>
      <w:r w:rsidR="008322F9">
        <w:rPr>
          <w:rFonts w:eastAsia="Times New Roman" w:cs="Arial"/>
          <w:lang w:eastAsia="cs-CZ"/>
        </w:rPr>
        <w:t> </w:t>
      </w:r>
      <w:r w:rsidRPr="00324F32">
        <w:rPr>
          <w:rFonts w:eastAsia="Times New Roman" w:cs="Arial"/>
          <w:lang w:eastAsia="cs-CZ"/>
        </w:rPr>
        <w:t>katastrální (ČÚZK)</w:t>
      </w:r>
      <w:r>
        <w:rPr>
          <w:rFonts w:eastAsia="Times New Roman" w:cs="Arial"/>
          <w:lang w:eastAsia="cs-CZ"/>
        </w:rPr>
        <w:t xml:space="preserve">, který </w:t>
      </w:r>
      <w:r w:rsidRPr="00324F32">
        <w:rPr>
          <w:rFonts w:eastAsia="Times New Roman" w:cs="Arial"/>
          <w:lang w:eastAsia="cs-CZ"/>
        </w:rPr>
        <w:t xml:space="preserve">se stal samostatným poskytovatelem podpory </w:t>
      </w:r>
      <w:proofErr w:type="spellStart"/>
      <w:r w:rsidRPr="00324F32">
        <w:rPr>
          <w:rFonts w:eastAsia="Times New Roman" w:cs="Arial"/>
          <w:lang w:eastAsia="cs-CZ"/>
        </w:rPr>
        <w:t>VaVaI</w:t>
      </w:r>
      <w:proofErr w:type="spellEnd"/>
      <w:r>
        <w:rPr>
          <w:rFonts w:eastAsia="Times New Roman" w:cs="Arial"/>
          <w:lang w:eastAsia="cs-CZ"/>
        </w:rPr>
        <w:t>. Tím z</w:t>
      </w:r>
      <w:r w:rsidRPr="00324F32">
        <w:rPr>
          <w:rFonts w:eastAsia="Times New Roman" w:cs="Arial"/>
          <w:lang w:eastAsia="cs-CZ"/>
        </w:rPr>
        <w:t>ískal pravomoc přímo spravovat a</w:t>
      </w:r>
      <w:r w:rsidR="00A034D9">
        <w:rPr>
          <w:rFonts w:eastAsia="Times New Roman" w:cs="Arial"/>
          <w:lang w:eastAsia="cs-CZ"/>
        </w:rPr>
        <w:t> </w:t>
      </w:r>
      <w:r w:rsidRPr="00324F32">
        <w:rPr>
          <w:rFonts w:eastAsia="Times New Roman" w:cs="Arial"/>
          <w:lang w:eastAsia="cs-CZ"/>
        </w:rPr>
        <w:t>alokovat finanční prostředky určené na výzkumné a</w:t>
      </w:r>
      <w:r>
        <w:rPr>
          <w:rFonts w:eastAsia="Times New Roman" w:cs="Arial"/>
          <w:lang w:eastAsia="cs-CZ"/>
        </w:rPr>
        <w:t> </w:t>
      </w:r>
      <w:r w:rsidRPr="00324F32">
        <w:rPr>
          <w:rFonts w:eastAsia="Times New Roman" w:cs="Arial"/>
          <w:lang w:eastAsia="cs-CZ"/>
        </w:rPr>
        <w:t xml:space="preserve">vývojové aktivity </w:t>
      </w:r>
      <w:r>
        <w:rPr>
          <w:rFonts w:eastAsia="Times New Roman" w:cs="Arial"/>
          <w:lang w:eastAsia="cs-CZ"/>
        </w:rPr>
        <w:t xml:space="preserve">své výzkumné organizace </w:t>
      </w:r>
      <w:r>
        <w:rPr>
          <w:rFonts w:cs="Arial"/>
        </w:rPr>
        <w:t>Výzkumný ústav geodetický, topografický a</w:t>
      </w:r>
      <w:r w:rsidR="007B2741">
        <w:rPr>
          <w:rFonts w:cs="Arial"/>
        </w:rPr>
        <w:t> </w:t>
      </w:r>
      <w:r>
        <w:rPr>
          <w:rFonts w:cs="Arial"/>
        </w:rPr>
        <w:t>kartografický,</w:t>
      </w:r>
      <w:r w:rsidR="007B2741">
        <w:rPr>
          <w:rFonts w:cs="Arial"/>
        </w:rPr>
        <w:t> </w:t>
      </w:r>
      <w:r>
        <w:rPr>
          <w:rFonts w:cs="Arial"/>
        </w:rPr>
        <w:t>v.</w:t>
      </w:r>
      <w:r w:rsidR="007B2741">
        <w:rPr>
          <w:rFonts w:cs="Arial"/>
        </w:rPr>
        <w:t> </w:t>
      </w:r>
      <w:r>
        <w:rPr>
          <w:rFonts w:cs="Arial"/>
        </w:rPr>
        <w:t>v.</w:t>
      </w:r>
      <w:r w:rsidR="007B2741">
        <w:rPr>
          <w:rFonts w:cs="Arial"/>
        </w:rPr>
        <w:t xml:space="preserve"> </w:t>
      </w:r>
      <w:r>
        <w:rPr>
          <w:rFonts w:cs="Arial"/>
        </w:rPr>
        <w:t>i.</w:t>
      </w:r>
    </w:p>
    <w:p w14:paraId="3A33B212" w14:textId="18A07568" w:rsidR="00426596" w:rsidRDefault="00426596" w:rsidP="00345EBF">
      <w:pPr>
        <w:spacing w:before="120" w:after="120" w:line="360" w:lineRule="auto"/>
        <w:jc w:val="both"/>
        <w:rPr>
          <w:b/>
          <w:bCs/>
        </w:rPr>
      </w:pPr>
      <w:r>
        <w:rPr>
          <w:b/>
          <w:bCs/>
        </w:rPr>
        <w:t xml:space="preserve">Příprava návrhu výdajů na </w:t>
      </w:r>
      <w:proofErr w:type="spellStart"/>
      <w:r>
        <w:rPr>
          <w:b/>
          <w:bCs/>
        </w:rPr>
        <w:t>VaVaI</w:t>
      </w:r>
      <w:proofErr w:type="spellEnd"/>
      <w:r>
        <w:rPr>
          <w:b/>
          <w:bCs/>
        </w:rPr>
        <w:t xml:space="preserve"> na rok 202</w:t>
      </w:r>
      <w:r w:rsidR="00484D6A">
        <w:rPr>
          <w:b/>
          <w:bCs/>
        </w:rPr>
        <w:t>4</w:t>
      </w:r>
    </w:p>
    <w:p w14:paraId="7AA4B788" w14:textId="14A7A5DE" w:rsidR="00484D6A" w:rsidRDefault="00484D6A" w:rsidP="00484D6A">
      <w:pPr>
        <w:spacing w:after="120" w:line="360" w:lineRule="auto"/>
        <w:ind w:firstLine="709"/>
        <w:jc w:val="both"/>
      </w:pPr>
      <w:r>
        <w:t xml:space="preserve">Návrh výdajů SR ČR na </w:t>
      </w:r>
      <w:proofErr w:type="spellStart"/>
      <w:r>
        <w:t>VaVaI</w:t>
      </w:r>
      <w:proofErr w:type="spellEnd"/>
      <w:r>
        <w:t xml:space="preserve"> na rok 2024 byl zpracován v souladu s cíli NP </w:t>
      </w:r>
      <w:proofErr w:type="spellStart"/>
      <w:r>
        <w:t>VaVaI</w:t>
      </w:r>
      <w:proofErr w:type="spellEnd"/>
      <w:r>
        <w:t xml:space="preserve"> 2021+. </w:t>
      </w:r>
      <w:r w:rsidRPr="00324F32">
        <w:t>Při</w:t>
      </w:r>
      <w:r>
        <w:t> </w:t>
      </w:r>
      <w:r w:rsidRPr="00324F32">
        <w:t>jeho přípravě byla rovněž zohledněna výsledná hodnocení VO a</w:t>
      </w:r>
      <w:r>
        <w:t> </w:t>
      </w:r>
      <w:r w:rsidRPr="00324F32">
        <w:t>strategické priority definované v Inovační strategii České republiky 2019–2030 (podrobněji viz</w:t>
      </w:r>
      <w:r>
        <w:t> </w:t>
      </w:r>
      <w:r w:rsidRPr="00324F32">
        <w:t>Kapitola A.1).</w:t>
      </w:r>
    </w:p>
    <w:p w14:paraId="1C21C35C" w14:textId="1EB7B587" w:rsidR="00484D6A" w:rsidRDefault="00484D6A" w:rsidP="00484D6A">
      <w:pPr>
        <w:spacing w:after="120" w:line="360" w:lineRule="auto"/>
        <w:ind w:firstLine="709"/>
        <w:jc w:val="both"/>
      </w:pPr>
      <w:r>
        <w:t>Stejně jako v předchozích letech, i při přípravě návrhu výdajů státního rozpočtu na </w:t>
      </w:r>
      <w:proofErr w:type="spellStart"/>
      <w:r>
        <w:t>VaVaI</w:t>
      </w:r>
      <w:proofErr w:type="spellEnd"/>
      <w:r>
        <w:t xml:space="preserve"> na rok 2024 RVVI aktivně usilovala o navýšení výdajů na </w:t>
      </w:r>
      <w:proofErr w:type="spellStart"/>
      <w:r>
        <w:t>VaVaI</w:t>
      </w:r>
      <w:proofErr w:type="spellEnd"/>
      <w:r>
        <w:t xml:space="preserve"> a současně vyvíjela tlak </w:t>
      </w:r>
      <w:r w:rsidRPr="00E7618C">
        <w:t>na</w:t>
      </w:r>
      <w:r>
        <w:t> </w:t>
      </w:r>
      <w:r w:rsidRPr="00E7618C">
        <w:t>poskytovatele</w:t>
      </w:r>
      <w:r>
        <w:t xml:space="preserve"> k maximálnímu zapojení nároků z nespotřebovaných výdajů (NNV). Především v případě kapitol poskytujících účelovou podporu je však existence přiměřené míry NNV víceméně nutná pro zajištění financování v překlenovacím období časových nesouladů delšího životního cyklu financování projektů </w:t>
      </w:r>
      <w:proofErr w:type="spellStart"/>
      <w:r>
        <w:t>VaVaI</w:t>
      </w:r>
      <w:proofErr w:type="spellEnd"/>
      <w:r>
        <w:t xml:space="preserve"> a oproti tomu přípravy návrhu zákona o</w:t>
      </w:r>
      <w:r w:rsidR="007B2741">
        <w:t> </w:t>
      </w:r>
      <w:r>
        <w:t>státním rozpočtu a jeho střednědobého výhledu. NNV však mohou sloužit ke</w:t>
      </w:r>
      <w:r w:rsidR="00A034D9">
        <w:t> </w:t>
      </w:r>
      <w:r>
        <w:t>krytí dalších rozpočtem nekrytých potřeb, jako je např. rezerva na předem neznámé kurzové rozdíly u</w:t>
      </w:r>
      <w:r w:rsidR="007B2741">
        <w:t> </w:t>
      </w:r>
      <w:r>
        <w:t xml:space="preserve">poplatků na mezinárodní spolupráci apod. </w:t>
      </w:r>
    </w:p>
    <w:p w14:paraId="56506A13" w14:textId="705B8090" w:rsidR="00484D6A" w:rsidRDefault="00484D6A" w:rsidP="00484D6A">
      <w:pPr>
        <w:spacing w:after="120" w:line="360" w:lineRule="auto"/>
        <w:ind w:firstLine="709"/>
        <w:jc w:val="both"/>
      </w:pPr>
      <w:r>
        <w:t xml:space="preserve">RVVI při sestavování návrhu výdajů na </w:t>
      </w:r>
      <w:proofErr w:type="spellStart"/>
      <w:r>
        <w:t>VaVaI</w:t>
      </w:r>
      <w:proofErr w:type="spellEnd"/>
      <w:r>
        <w:t xml:space="preserve"> na rok 2024 vycházela z priorit, kterými jsou podpora lidských zdrojů (především prostřednictvím navýšení institucionální podpory na</w:t>
      </w:r>
      <w:r w:rsidR="00A034D9">
        <w:t> </w:t>
      </w:r>
      <w:r>
        <w:t>dlouhodobý koncepční rozvoj výzkumných organizací), excelence ve vědě (prostřednictvím specifických programů příslušných poskytovatelů) a transfer do praxe (opět prostřednictvím specifických programů relevantních poskytovatelů).</w:t>
      </w:r>
    </w:p>
    <w:p w14:paraId="660249F2" w14:textId="5A93AB14" w:rsidR="00484D6A" w:rsidRDefault="00484D6A" w:rsidP="00484D6A">
      <w:pPr>
        <w:spacing w:after="120" w:line="360" w:lineRule="auto"/>
        <w:ind w:firstLine="709"/>
        <w:jc w:val="both"/>
      </w:pPr>
      <w:r>
        <w:lastRenderedPageBreak/>
        <w:t xml:space="preserve">Rozpočet na </w:t>
      </w:r>
      <w:proofErr w:type="spellStart"/>
      <w:r>
        <w:t>VaVaI</w:t>
      </w:r>
      <w:proofErr w:type="spellEnd"/>
      <w:r>
        <w:t xml:space="preserve"> pro rok 2024 však stagnoval. Podle zákona </w:t>
      </w:r>
      <w:r w:rsidRPr="00DD70DE">
        <w:t>č. 433/2023 Sb.,</w:t>
      </w:r>
      <w:r>
        <w:t xml:space="preserve"> o státním rozpočtu České republiky na rok 2024 činily celkové výdaje na </w:t>
      </w:r>
      <w:proofErr w:type="spellStart"/>
      <w:r>
        <w:t>VaVaI</w:t>
      </w:r>
      <w:proofErr w:type="spellEnd"/>
      <w:r>
        <w:t xml:space="preserve"> </w:t>
      </w:r>
      <w:r w:rsidRPr="00EC52B8">
        <w:t>40 220 mil.</w:t>
      </w:r>
      <w:r>
        <w:t xml:space="preserve"> Kč, což představuje nárůst</w:t>
      </w:r>
      <w:r w:rsidRPr="00C63366">
        <w:t xml:space="preserve"> </w:t>
      </w:r>
      <w:r>
        <w:t>oproti roku 2023 o pouhých 30 mil. Kč.</w:t>
      </w:r>
    </w:p>
    <w:p w14:paraId="664A4C4E" w14:textId="1BFE5648" w:rsidR="00426596" w:rsidRDefault="00426596" w:rsidP="00426596">
      <w:pPr>
        <w:pStyle w:val="Obrzek-nadpis"/>
        <w:spacing w:before="0" w:after="120"/>
      </w:pPr>
      <w:r w:rsidRPr="00E8772A">
        <w:t xml:space="preserve">Graf </w:t>
      </w:r>
      <w:r w:rsidR="00A83889" w:rsidRPr="00E8772A">
        <w:t>A.3.</w:t>
      </w:r>
      <w:r w:rsidR="00484D6A">
        <w:t>1</w:t>
      </w:r>
      <w:r w:rsidRPr="00E8772A">
        <w:t>:</w:t>
      </w:r>
      <w:r>
        <w:t xml:space="preserve"> Vývoj celkových rozpočtovaných výdajů </w:t>
      </w:r>
      <w:r w:rsidR="000330EB">
        <w:t>SR</w:t>
      </w:r>
      <w:r>
        <w:t xml:space="preserve"> na </w:t>
      </w:r>
      <w:proofErr w:type="spellStart"/>
      <w:r>
        <w:t>VaVaI</w:t>
      </w:r>
      <w:proofErr w:type="spellEnd"/>
      <w:r>
        <w:t xml:space="preserve"> (v</w:t>
      </w:r>
      <w:r w:rsidR="00BE0EEA">
        <w:t> </w:t>
      </w:r>
      <w:r>
        <w:t>mld.</w:t>
      </w:r>
      <w:r w:rsidR="00BE0EEA">
        <w:t> </w:t>
      </w:r>
      <w:r>
        <w:t>Kč)</w:t>
      </w:r>
    </w:p>
    <w:p w14:paraId="4B5E3DDA" w14:textId="5A906CB4" w:rsidR="00426596" w:rsidRDefault="00484D6A" w:rsidP="00426596">
      <w:pPr>
        <w:jc w:val="center"/>
        <w:rPr>
          <w:rFonts w:eastAsia="Times New Roman" w:cs="Arial"/>
          <w:lang w:eastAsia="cs-CZ"/>
        </w:rPr>
      </w:pPr>
      <w:r>
        <w:rPr>
          <w:noProof/>
          <w14:ligatures w14:val="standardContextual"/>
        </w:rPr>
        <w:drawing>
          <wp:inline distT="0" distB="0" distL="0" distR="0" wp14:anchorId="71A71020" wp14:editId="5FBF1D31">
            <wp:extent cx="5939790" cy="3456835"/>
            <wp:effectExtent l="0" t="0" r="3810" b="0"/>
            <wp:docPr id="1160198221" name="Graf 1">
              <a:extLst xmlns:a="http://schemas.openxmlformats.org/drawingml/2006/main">
                <a:ext uri="{FF2B5EF4-FFF2-40B4-BE49-F238E27FC236}">
                  <a16:creationId xmlns:a16="http://schemas.microsoft.com/office/drawing/2014/main" id="{00000000-0008-0000-00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4A2A403F" w14:textId="77777777" w:rsidR="00484D6A" w:rsidRDefault="00484D6A" w:rsidP="00484D6A">
      <w:pPr>
        <w:pStyle w:val="Zdrojapoznmka"/>
      </w:pPr>
      <w:r>
        <w:t>Zdroj: zákony o státních rozpočtech v příslušných letech</w:t>
      </w:r>
    </w:p>
    <w:p w14:paraId="30C3BA97" w14:textId="65E6C9FB" w:rsidR="00484D6A" w:rsidRDefault="00484D6A" w:rsidP="00426596">
      <w:pPr>
        <w:pStyle w:val="Zdrojapoznmka"/>
      </w:pPr>
      <w:r>
        <w:t>Pozn.: DK RVO – Dlouhodobý koncepční rozvoj výzkumných organizací</w:t>
      </w:r>
    </w:p>
    <w:p w14:paraId="7A6B1226" w14:textId="77777777" w:rsidR="00BE0EEA" w:rsidRDefault="00BE0EEA" w:rsidP="00484D6A">
      <w:pPr>
        <w:spacing w:before="120" w:after="120" w:line="360" w:lineRule="auto"/>
        <w:jc w:val="both"/>
        <w:rPr>
          <w:b/>
          <w:bCs/>
        </w:rPr>
      </w:pPr>
      <w:r>
        <w:rPr>
          <w:b/>
          <w:bCs/>
        </w:rPr>
        <w:t xml:space="preserve">Návrh výdajů na </w:t>
      </w:r>
      <w:proofErr w:type="spellStart"/>
      <w:r>
        <w:rPr>
          <w:b/>
          <w:bCs/>
        </w:rPr>
        <w:t>VaVaI</w:t>
      </w:r>
      <w:proofErr w:type="spellEnd"/>
      <w:r>
        <w:rPr>
          <w:b/>
          <w:bCs/>
        </w:rPr>
        <w:t xml:space="preserve"> a vazba na finanční zdroje EU</w:t>
      </w:r>
    </w:p>
    <w:p w14:paraId="3BD9F49B" w14:textId="77777777" w:rsidR="00484D6A" w:rsidRDefault="00484D6A" w:rsidP="00484D6A">
      <w:pPr>
        <w:spacing w:after="0" w:line="360" w:lineRule="auto"/>
        <w:jc w:val="both"/>
      </w:pPr>
      <w:r>
        <w:t xml:space="preserve">Návrh výdajů na rok 2024 byl vytvořen ve vazbě na Evropské strukturální a investiční fondy a očekávané zdroje z NPO, kdy se předpokládalo, že vybrané aktivity </w:t>
      </w:r>
      <w:proofErr w:type="spellStart"/>
      <w:r>
        <w:t>VaVaI</w:t>
      </w:r>
      <w:proofErr w:type="spellEnd"/>
      <w:r>
        <w:t xml:space="preserve"> budou financovány z RRF.</w:t>
      </w:r>
    </w:p>
    <w:p w14:paraId="3389AE1C" w14:textId="6D7A9AA7" w:rsidR="00484D6A" w:rsidRDefault="00484D6A" w:rsidP="00484D6A">
      <w:pPr>
        <w:spacing w:after="0" w:line="360" w:lineRule="auto"/>
        <w:ind w:firstLine="567"/>
        <w:jc w:val="both"/>
        <w:rPr>
          <w:b/>
          <w:bCs/>
        </w:rPr>
      </w:pPr>
      <w:r>
        <w:rPr>
          <w:b/>
          <w:bCs/>
        </w:rPr>
        <w:t xml:space="preserve">V rámci Evropského fondu pro regionální rozvoj jsou financovány aktivity </w:t>
      </w:r>
      <w:proofErr w:type="spellStart"/>
      <w:r>
        <w:rPr>
          <w:b/>
          <w:bCs/>
        </w:rPr>
        <w:t>VaVaI</w:t>
      </w:r>
      <w:proofErr w:type="spellEnd"/>
      <w:r>
        <w:rPr>
          <w:b/>
          <w:bCs/>
        </w:rPr>
        <w:t xml:space="preserve"> primárně z dvojice operačních programů:</w:t>
      </w:r>
    </w:p>
    <w:p w14:paraId="43E92CCE" w14:textId="77777777" w:rsidR="00484D6A" w:rsidRDefault="00484D6A" w:rsidP="00484D6A">
      <w:pPr>
        <w:spacing w:after="0" w:line="360" w:lineRule="auto"/>
        <w:ind w:left="567"/>
        <w:jc w:val="both"/>
      </w:pPr>
      <w:r>
        <w:t>→ OP JAK,</w:t>
      </w:r>
    </w:p>
    <w:p w14:paraId="6368C35C" w14:textId="77777777" w:rsidR="00484D6A" w:rsidRDefault="00484D6A" w:rsidP="00484D6A">
      <w:pPr>
        <w:spacing w:after="0" w:line="360" w:lineRule="auto"/>
        <w:ind w:left="567"/>
        <w:jc w:val="both"/>
      </w:pPr>
      <w:r>
        <w:t>→ OP TAK.</w:t>
      </w:r>
    </w:p>
    <w:p w14:paraId="451B892C" w14:textId="77777777" w:rsidR="00484D6A" w:rsidRDefault="00484D6A" w:rsidP="00484D6A">
      <w:pPr>
        <w:spacing w:after="0" w:line="360" w:lineRule="auto"/>
        <w:jc w:val="both"/>
        <w:rPr>
          <w:b/>
          <w:bCs/>
        </w:rPr>
      </w:pPr>
      <w:r>
        <w:rPr>
          <w:b/>
          <w:bCs/>
        </w:rPr>
        <w:t>V rámci NPO jsou financovány projekty v oblastech:</w:t>
      </w:r>
    </w:p>
    <w:p w14:paraId="4C6A3447" w14:textId="77777777" w:rsidR="00484D6A" w:rsidRDefault="00484D6A" w:rsidP="00484D6A">
      <w:pPr>
        <w:spacing w:after="0" w:line="360" w:lineRule="auto"/>
        <w:ind w:left="567"/>
        <w:jc w:val="both"/>
      </w:pPr>
      <w:r>
        <w:rPr>
          <w:b/>
          <w:bCs/>
        </w:rPr>
        <w:t>→ kultura:</w:t>
      </w:r>
      <w:r>
        <w:t xml:space="preserve"> podpora projektů </w:t>
      </w:r>
      <w:proofErr w:type="spellStart"/>
      <w:r>
        <w:t>VaV</w:t>
      </w:r>
      <w:proofErr w:type="spellEnd"/>
      <w:r>
        <w:t xml:space="preserve"> v oblasti sociálních a humanitních věd,</w:t>
      </w:r>
    </w:p>
    <w:p w14:paraId="216452B9" w14:textId="77777777" w:rsidR="00484D6A" w:rsidRDefault="00484D6A" w:rsidP="00484D6A">
      <w:pPr>
        <w:spacing w:after="0" w:line="360" w:lineRule="auto"/>
        <w:ind w:left="567"/>
        <w:jc w:val="both"/>
      </w:pPr>
      <w:r>
        <w:rPr>
          <w:b/>
          <w:bCs/>
        </w:rPr>
        <w:t>→ zdravotnictví:</w:t>
      </w:r>
      <w:r>
        <w:t xml:space="preserve"> podpora projektů excelentního </w:t>
      </w:r>
      <w:proofErr w:type="spellStart"/>
      <w:r>
        <w:t>VaV</w:t>
      </w:r>
      <w:proofErr w:type="spellEnd"/>
      <w:r>
        <w:t xml:space="preserve"> v prioritních oblastech veřejného zájmu ve zdravotnictví a systémové podpory </w:t>
      </w:r>
      <w:proofErr w:type="spellStart"/>
      <w:r>
        <w:t>VaVaI</w:t>
      </w:r>
      <w:proofErr w:type="spellEnd"/>
      <w:r>
        <w:t xml:space="preserve"> pro prioritní oblasti lékařských věd a související společenskovědní disciplíny,</w:t>
      </w:r>
    </w:p>
    <w:p w14:paraId="56D2192A" w14:textId="62F85FA8" w:rsidR="00426596" w:rsidRPr="00484D6A" w:rsidRDefault="00484D6A" w:rsidP="00484D6A">
      <w:pPr>
        <w:spacing w:after="0" w:line="360" w:lineRule="auto"/>
        <w:ind w:left="567"/>
        <w:jc w:val="both"/>
      </w:pPr>
      <w:r>
        <w:rPr>
          <w:b/>
          <w:bCs/>
        </w:rPr>
        <w:t xml:space="preserve">→ aplikovaný </w:t>
      </w:r>
      <w:proofErr w:type="spellStart"/>
      <w:r>
        <w:rPr>
          <w:b/>
          <w:bCs/>
        </w:rPr>
        <w:t>VaV</w:t>
      </w:r>
      <w:proofErr w:type="spellEnd"/>
      <w:r>
        <w:rPr>
          <w:b/>
          <w:bCs/>
        </w:rPr>
        <w:t>:</w:t>
      </w:r>
      <w:r>
        <w:t xml:space="preserve"> podpora </w:t>
      </w:r>
      <w:proofErr w:type="spellStart"/>
      <w:r>
        <w:t>VaV</w:t>
      </w:r>
      <w:proofErr w:type="spellEnd"/>
      <w:r>
        <w:t xml:space="preserve"> v podnicích, zavádění inovací do praxe, spolupráce mezi podniky a akademickou sférou, podpora </w:t>
      </w:r>
      <w:proofErr w:type="spellStart"/>
      <w:r>
        <w:t>VaV</w:t>
      </w:r>
      <w:proofErr w:type="spellEnd"/>
      <w:r>
        <w:t xml:space="preserve"> v oblasti životního prostředí, v oblasti dopravy a podpora v synergických efektech s RP pro výzkum a inovace.</w:t>
      </w:r>
    </w:p>
    <w:p w14:paraId="551C3287" w14:textId="77777777" w:rsidR="00426596" w:rsidRDefault="00426596" w:rsidP="00426596">
      <w:pPr>
        <w:spacing w:after="0" w:line="360" w:lineRule="auto"/>
        <w:rPr>
          <w:rFonts w:eastAsia="Times New Roman" w:cs="Arial"/>
          <w:bCs/>
          <w:lang w:eastAsia="cs-CZ"/>
        </w:rPr>
        <w:sectPr w:rsidR="00426596" w:rsidSect="00B659E0">
          <w:type w:val="continuous"/>
          <w:pgSz w:w="11906" w:h="16838"/>
          <w:pgMar w:top="1134" w:right="1418" w:bottom="1134" w:left="1134" w:header="709" w:footer="709" w:gutter="0"/>
          <w:cols w:space="708"/>
        </w:sectPr>
      </w:pPr>
    </w:p>
    <w:p w14:paraId="35CB4FD1" w14:textId="029B8C2D" w:rsidR="00426596" w:rsidRDefault="00426596" w:rsidP="00426596">
      <w:pPr>
        <w:pStyle w:val="Obrzek-nadpis"/>
        <w:spacing w:before="0" w:after="120"/>
      </w:pPr>
      <w:r w:rsidRPr="00E8772A">
        <w:lastRenderedPageBreak/>
        <w:t>Schéma </w:t>
      </w:r>
      <w:r w:rsidR="00A83889" w:rsidRPr="00E8772A">
        <w:t>A.3.</w:t>
      </w:r>
      <w:r w:rsidR="00484D6A">
        <w:t>2</w:t>
      </w:r>
      <w:r w:rsidRPr="00E8772A">
        <w:t xml:space="preserve">: </w:t>
      </w:r>
      <w:r>
        <w:t xml:space="preserve">Tvorba návrhu výdajů SR na </w:t>
      </w:r>
      <w:proofErr w:type="spellStart"/>
      <w:r>
        <w:t>VaVaI</w:t>
      </w:r>
      <w:proofErr w:type="spellEnd"/>
      <w:r>
        <w:t xml:space="preserve"> na rok 202</w:t>
      </w:r>
      <w:r w:rsidR="00484D6A">
        <w:t>4</w:t>
      </w:r>
      <w:r>
        <w:t xml:space="preserve"> (v mil. Kč): odpovědnost kapitol, role ústředního orgánu a finanční toky (bez evropských finančních zdrojů a jejich spolufinancování ze SR)</w:t>
      </w:r>
    </w:p>
    <w:p w14:paraId="17B60F07" w14:textId="6739244D" w:rsidR="00BE0EEA" w:rsidRDefault="00484D6A" w:rsidP="00426596">
      <w:pPr>
        <w:pStyle w:val="Obrzek-nadpis"/>
        <w:spacing w:before="0" w:after="120"/>
      </w:pPr>
      <w:r>
        <w:rPr>
          <w:noProof/>
          <w14:ligatures w14:val="standardContextual"/>
        </w:rPr>
        <w:drawing>
          <wp:anchor distT="0" distB="0" distL="114300" distR="114300" simplePos="0" relativeHeight="251621888" behindDoc="0" locked="0" layoutInCell="1" allowOverlap="1" wp14:anchorId="16329D0E" wp14:editId="4CF50178">
            <wp:simplePos x="0" y="0"/>
            <wp:positionH relativeFrom="margin">
              <wp:posOffset>914400</wp:posOffset>
            </wp:positionH>
            <wp:positionV relativeFrom="margin">
              <wp:posOffset>463550</wp:posOffset>
            </wp:positionV>
            <wp:extent cx="7409815" cy="5895975"/>
            <wp:effectExtent l="0" t="0" r="635" b="9525"/>
            <wp:wrapSquare wrapText="bothSides"/>
            <wp:docPr id="949181722" name="Obrázek 1" descr="Obsah obrázku text, diagram, snímek obrazovky, Písmo&#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9181722" name="Obrázek 1" descr="Obsah obrázku text, diagram, snímek obrazovky, Písmo&#10;&#10;Obsah generovaný pomocí AI může být nesprávný."/>
                    <pic:cNvPicPr/>
                  </pic:nvPicPr>
                  <pic:blipFill>
                    <a:blip r:embed="rId45">
                      <a:extLst>
                        <a:ext uri="{28A0092B-C50C-407E-A947-70E740481C1C}">
                          <a14:useLocalDpi xmlns:a14="http://schemas.microsoft.com/office/drawing/2010/main" val="0"/>
                        </a:ext>
                      </a:extLst>
                    </a:blip>
                    <a:stretch>
                      <a:fillRect/>
                    </a:stretch>
                  </pic:blipFill>
                  <pic:spPr>
                    <a:xfrm>
                      <a:off x="0" y="0"/>
                      <a:ext cx="7409815" cy="5895975"/>
                    </a:xfrm>
                    <a:prstGeom prst="rect">
                      <a:avLst/>
                    </a:prstGeom>
                  </pic:spPr>
                </pic:pic>
              </a:graphicData>
            </a:graphic>
            <wp14:sizeRelH relativeFrom="margin">
              <wp14:pctWidth>0</wp14:pctWidth>
            </wp14:sizeRelH>
            <wp14:sizeRelV relativeFrom="margin">
              <wp14:pctHeight>0</wp14:pctHeight>
            </wp14:sizeRelV>
          </wp:anchor>
        </w:drawing>
      </w:r>
    </w:p>
    <w:p w14:paraId="15F57EEA" w14:textId="3EEFAFA7" w:rsidR="00725492" w:rsidRDefault="00725492" w:rsidP="00725492">
      <w:pPr>
        <w:pStyle w:val="Obrzek-nadpis"/>
        <w:spacing w:before="0" w:after="120"/>
        <w:jc w:val="center"/>
      </w:pPr>
    </w:p>
    <w:p w14:paraId="1BF1AA47" w14:textId="77777777" w:rsidR="00725492" w:rsidRDefault="00725492" w:rsidP="00725492">
      <w:pPr>
        <w:pStyle w:val="Obrzek-nadpis"/>
        <w:spacing w:before="0" w:after="120"/>
        <w:jc w:val="center"/>
        <w:sectPr w:rsidR="00725492" w:rsidSect="00B659E0">
          <w:headerReference w:type="even" r:id="rId46"/>
          <w:headerReference w:type="default" r:id="rId47"/>
          <w:headerReference w:type="first" r:id="rId48"/>
          <w:pgSz w:w="16838" w:h="11906" w:orient="landscape"/>
          <w:pgMar w:top="1134" w:right="1134" w:bottom="1134" w:left="1134" w:header="709" w:footer="709" w:gutter="0"/>
          <w:cols w:space="708"/>
          <w:docGrid w:linePitch="360"/>
        </w:sectPr>
      </w:pPr>
    </w:p>
    <w:p w14:paraId="7D029E4D" w14:textId="2C368E99" w:rsidR="00AD12A9" w:rsidRPr="00F465BD" w:rsidRDefault="0019303E" w:rsidP="0069673A">
      <w:pPr>
        <w:pStyle w:val="Nadpis2"/>
        <w:pageBreakBefore/>
        <w:ind w:left="578" w:hanging="578"/>
        <w:rPr>
          <w:rFonts w:eastAsia="Times New Roman"/>
        </w:rPr>
      </w:pPr>
      <w:bookmarkStart w:id="17" w:name="_Toc215589296"/>
      <w:r w:rsidRPr="0019303E">
        <w:rPr>
          <w:rFonts w:eastAsia="Times New Roman"/>
        </w:rPr>
        <w:lastRenderedPageBreak/>
        <w:t>Projekty sdílených činností</w:t>
      </w:r>
      <w:bookmarkEnd w:id="17"/>
    </w:p>
    <w:p w14:paraId="5FD8E55B" w14:textId="77777777" w:rsidR="00484D6A" w:rsidRDefault="00484D6A" w:rsidP="00484D6A">
      <w:pPr>
        <w:spacing w:after="120" w:line="360" w:lineRule="auto"/>
        <w:ind w:firstLine="709"/>
        <w:jc w:val="both"/>
        <w:rPr>
          <w:rFonts w:eastAsia="Times New Roman" w:cs="Arial"/>
          <w:bCs/>
          <w:lang w:eastAsia="cs-CZ"/>
        </w:rPr>
      </w:pPr>
      <w:r w:rsidRPr="00DE4622">
        <w:rPr>
          <w:rFonts w:eastAsia="Times New Roman" w:cs="Arial"/>
          <w:bCs/>
          <w:lang w:eastAsia="cs-CZ"/>
        </w:rPr>
        <w:t>V roce 2021</w:t>
      </w:r>
      <w:r>
        <w:rPr>
          <w:rFonts w:eastAsia="Times New Roman" w:cs="Arial"/>
          <w:bCs/>
          <w:lang w:eastAsia="cs-CZ"/>
        </w:rPr>
        <w:t xml:space="preserve"> byla na</w:t>
      </w:r>
      <w:r w:rsidRPr="00DE4622">
        <w:rPr>
          <w:rFonts w:eastAsia="Times New Roman" w:cs="Arial"/>
          <w:bCs/>
          <w:lang w:eastAsia="cs-CZ"/>
        </w:rPr>
        <w:t xml:space="preserve"> základě novely zákona č. 130/2002 Sb.</w:t>
      </w:r>
      <w:r>
        <w:rPr>
          <w:rFonts w:eastAsia="Times New Roman" w:cs="Arial"/>
          <w:bCs/>
          <w:lang w:eastAsia="cs-CZ"/>
        </w:rPr>
        <w:t xml:space="preserve"> </w:t>
      </w:r>
      <w:r w:rsidRPr="00DE4622">
        <w:rPr>
          <w:rFonts w:eastAsia="Times New Roman" w:cs="Arial"/>
          <w:bCs/>
          <w:lang w:eastAsia="cs-CZ"/>
        </w:rPr>
        <w:t xml:space="preserve">zahájena nová aktivita MŠMT na podporu projektů sdílených činností. </w:t>
      </w:r>
      <w:r>
        <w:rPr>
          <w:rFonts w:eastAsia="Times New Roman" w:cs="Arial"/>
          <w:bCs/>
          <w:lang w:eastAsia="cs-CZ"/>
        </w:rPr>
        <w:t>Projekty jsou schvalovány jednotlivě usnesením vlády, financovány formou účelové podpory z rozpočtové kapitoly MŠMT a cíleny</w:t>
      </w:r>
      <w:r w:rsidRPr="00DE4622">
        <w:rPr>
          <w:rFonts w:eastAsia="Times New Roman" w:cs="Arial"/>
          <w:bCs/>
          <w:lang w:eastAsia="cs-CZ"/>
        </w:rPr>
        <w:t xml:space="preserve"> na podpůrné činnosti, poskytování služeb nebo podporu využívání služeb na celostátní úrovni</w:t>
      </w:r>
      <w:r>
        <w:rPr>
          <w:rFonts w:eastAsia="Times New Roman" w:cs="Arial"/>
          <w:bCs/>
          <w:lang w:eastAsia="cs-CZ"/>
        </w:rPr>
        <w:t xml:space="preserve">. Slouží </w:t>
      </w:r>
      <w:r w:rsidRPr="00DE4622">
        <w:rPr>
          <w:rFonts w:eastAsia="Times New Roman" w:cs="Arial"/>
          <w:bCs/>
          <w:lang w:eastAsia="cs-CZ"/>
        </w:rPr>
        <w:t>k</w:t>
      </w:r>
      <w:r>
        <w:rPr>
          <w:rFonts w:eastAsia="Times New Roman" w:cs="Arial"/>
          <w:bCs/>
          <w:lang w:eastAsia="cs-CZ"/>
        </w:rPr>
        <w:t> </w:t>
      </w:r>
      <w:r w:rsidRPr="00DE4622">
        <w:rPr>
          <w:rFonts w:eastAsia="Times New Roman" w:cs="Arial"/>
          <w:bCs/>
          <w:lang w:eastAsia="cs-CZ"/>
        </w:rPr>
        <w:t xml:space="preserve">organizaci </w:t>
      </w:r>
      <w:r>
        <w:rPr>
          <w:rFonts w:eastAsia="Times New Roman" w:cs="Arial"/>
          <w:bCs/>
          <w:lang w:eastAsia="cs-CZ"/>
        </w:rPr>
        <w:t>a </w:t>
      </w:r>
      <w:r w:rsidRPr="00DE4622">
        <w:rPr>
          <w:rFonts w:eastAsia="Times New Roman" w:cs="Arial"/>
          <w:bCs/>
          <w:lang w:eastAsia="cs-CZ"/>
        </w:rPr>
        <w:t xml:space="preserve">zabezpečení </w:t>
      </w:r>
      <w:proofErr w:type="spellStart"/>
      <w:r>
        <w:rPr>
          <w:rFonts w:eastAsia="Times New Roman" w:cs="Arial"/>
          <w:bCs/>
          <w:lang w:eastAsia="cs-CZ"/>
        </w:rPr>
        <w:t>VaVaI</w:t>
      </w:r>
      <w:proofErr w:type="spellEnd"/>
      <w:r w:rsidRPr="00DE4622">
        <w:rPr>
          <w:rFonts w:eastAsia="Times New Roman" w:cs="Arial"/>
          <w:bCs/>
          <w:lang w:eastAsia="cs-CZ"/>
        </w:rPr>
        <w:t xml:space="preserve"> a </w:t>
      </w:r>
      <w:r>
        <w:rPr>
          <w:rFonts w:eastAsia="Times New Roman" w:cs="Arial"/>
          <w:bCs/>
          <w:lang w:eastAsia="cs-CZ"/>
        </w:rPr>
        <w:t>jsou přístupné</w:t>
      </w:r>
      <w:r w:rsidRPr="00DE4622">
        <w:rPr>
          <w:rFonts w:eastAsia="Times New Roman" w:cs="Arial"/>
          <w:bCs/>
          <w:lang w:eastAsia="cs-CZ"/>
        </w:rPr>
        <w:t xml:space="preserve"> orgánům veřejné správy, </w:t>
      </w:r>
      <w:r>
        <w:rPr>
          <w:rFonts w:eastAsia="Times New Roman" w:cs="Arial"/>
          <w:bCs/>
          <w:lang w:eastAsia="cs-CZ"/>
        </w:rPr>
        <w:t>VO </w:t>
      </w:r>
      <w:r w:rsidRPr="00DE4622">
        <w:rPr>
          <w:rFonts w:eastAsia="Times New Roman" w:cs="Arial"/>
          <w:bCs/>
          <w:lang w:eastAsia="cs-CZ"/>
        </w:rPr>
        <w:t>a</w:t>
      </w:r>
      <w:r>
        <w:rPr>
          <w:rFonts w:eastAsia="Times New Roman" w:cs="Arial"/>
          <w:bCs/>
          <w:lang w:eastAsia="cs-CZ"/>
        </w:rPr>
        <w:t> </w:t>
      </w:r>
      <w:r w:rsidRPr="00DE4622">
        <w:rPr>
          <w:rFonts w:eastAsia="Times New Roman" w:cs="Arial"/>
          <w:bCs/>
          <w:lang w:eastAsia="cs-CZ"/>
        </w:rPr>
        <w:t xml:space="preserve">dalším osobám zabývajícím se </w:t>
      </w:r>
      <w:proofErr w:type="spellStart"/>
      <w:r>
        <w:rPr>
          <w:rFonts w:eastAsia="Times New Roman" w:cs="Arial"/>
          <w:bCs/>
          <w:lang w:eastAsia="cs-CZ"/>
        </w:rPr>
        <w:t>VaVaI</w:t>
      </w:r>
      <w:proofErr w:type="spellEnd"/>
      <w:r>
        <w:rPr>
          <w:rFonts w:eastAsia="Times New Roman" w:cs="Arial"/>
          <w:bCs/>
          <w:lang w:eastAsia="cs-CZ"/>
        </w:rPr>
        <w:t>.</w:t>
      </w:r>
    </w:p>
    <w:p w14:paraId="1EE3C068" w14:textId="15E78746" w:rsidR="00484D6A" w:rsidRDefault="00484D6A" w:rsidP="00484D6A">
      <w:pPr>
        <w:spacing w:after="120" w:line="360" w:lineRule="auto"/>
        <w:ind w:firstLine="709"/>
        <w:jc w:val="both"/>
        <w:rPr>
          <w:rFonts w:eastAsia="Times New Roman" w:cs="Arial"/>
          <w:bCs/>
          <w:lang w:eastAsia="cs-CZ"/>
        </w:rPr>
      </w:pPr>
      <w:r>
        <w:rPr>
          <w:rFonts w:eastAsia="Times New Roman" w:cs="Arial"/>
          <w:bCs/>
          <w:lang w:eastAsia="cs-CZ"/>
        </w:rPr>
        <w:t xml:space="preserve">V roce 2024 pokračovalo financování čtyř projektů sdílených činností. Schválený rozpočet činil </w:t>
      </w:r>
      <w:r w:rsidRPr="000C4F4F">
        <w:rPr>
          <w:rFonts w:eastAsia="Times New Roman" w:cs="Arial"/>
          <w:bCs/>
          <w:lang w:eastAsia="cs-CZ"/>
        </w:rPr>
        <w:t>475 232,22 tis. Kč</w:t>
      </w:r>
      <w:r>
        <w:rPr>
          <w:rFonts w:eastAsia="Times New Roman" w:cs="Arial"/>
          <w:bCs/>
          <w:lang w:eastAsia="cs-CZ"/>
        </w:rPr>
        <w:t xml:space="preserve"> a zapojené </w:t>
      </w:r>
      <w:r w:rsidR="00C05763">
        <w:rPr>
          <w:rFonts w:eastAsia="Times New Roman" w:cs="Arial"/>
          <w:bCs/>
          <w:lang w:eastAsia="cs-CZ"/>
        </w:rPr>
        <w:t>NNV</w:t>
      </w:r>
      <w:r>
        <w:rPr>
          <w:rFonts w:eastAsia="Times New Roman" w:cs="Arial"/>
          <w:bCs/>
          <w:lang w:eastAsia="cs-CZ"/>
        </w:rPr>
        <w:t xml:space="preserve"> </w:t>
      </w:r>
      <w:r w:rsidRPr="000C4F4F">
        <w:rPr>
          <w:rFonts w:eastAsia="Times New Roman" w:cs="Arial"/>
          <w:bCs/>
          <w:lang w:eastAsia="cs-CZ"/>
        </w:rPr>
        <w:t>152 590,36 tis. Kč.</w:t>
      </w:r>
      <w:r>
        <w:rPr>
          <w:rFonts w:eastAsia="Times New Roman" w:cs="Arial"/>
          <w:bCs/>
          <w:lang w:eastAsia="cs-CZ"/>
        </w:rPr>
        <w:t xml:space="preserve"> Celkem činil konečný rozpočet </w:t>
      </w:r>
      <w:r w:rsidRPr="000C4F4F">
        <w:rPr>
          <w:rFonts w:eastAsia="Times New Roman" w:cs="Arial"/>
          <w:bCs/>
          <w:lang w:eastAsia="cs-CZ"/>
        </w:rPr>
        <w:t>627</w:t>
      </w:r>
      <w:r w:rsidR="007B2741">
        <w:rPr>
          <w:rFonts w:eastAsia="Times New Roman" w:cs="Arial"/>
          <w:bCs/>
          <w:lang w:eastAsia="cs-CZ"/>
        </w:rPr>
        <w:t> </w:t>
      </w:r>
      <w:r w:rsidRPr="000C4F4F">
        <w:rPr>
          <w:rFonts w:eastAsia="Times New Roman" w:cs="Arial"/>
          <w:bCs/>
          <w:lang w:eastAsia="cs-CZ"/>
        </w:rPr>
        <w:t>822,58 tis. Kč</w:t>
      </w:r>
      <w:r>
        <w:rPr>
          <w:rFonts w:eastAsia="Times New Roman" w:cs="Arial"/>
          <w:bCs/>
          <w:lang w:eastAsia="cs-CZ"/>
        </w:rPr>
        <w:t xml:space="preserve"> a </w:t>
      </w:r>
      <w:r w:rsidRPr="000C4F4F">
        <w:rPr>
          <w:rFonts w:eastAsia="Times New Roman" w:cs="Arial"/>
          <w:bCs/>
          <w:lang w:eastAsia="cs-CZ"/>
        </w:rPr>
        <w:t>skutečné čerpání bylo vykázáno ve výši 579</w:t>
      </w:r>
      <w:r>
        <w:rPr>
          <w:rFonts w:eastAsia="Times New Roman" w:cs="Arial"/>
          <w:bCs/>
          <w:lang w:eastAsia="cs-CZ"/>
        </w:rPr>
        <w:t> </w:t>
      </w:r>
      <w:r w:rsidRPr="000C4F4F">
        <w:rPr>
          <w:rFonts w:eastAsia="Times New Roman" w:cs="Arial"/>
          <w:bCs/>
          <w:lang w:eastAsia="cs-CZ"/>
        </w:rPr>
        <w:t>066,87</w:t>
      </w:r>
      <w:r>
        <w:rPr>
          <w:rFonts w:eastAsia="Times New Roman" w:cs="Arial"/>
          <w:bCs/>
          <w:lang w:eastAsia="cs-CZ"/>
        </w:rPr>
        <w:t> </w:t>
      </w:r>
      <w:r w:rsidRPr="000C4F4F">
        <w:rPr>
          <w:rFonts w:eastAsia="Times New Roman" w:cs="Arial"/>
          <w:bCs/>
          <w:lang w:eastAsia="cs-CZ"/>
        </w:rPr>
        <w:t>tis.</w:t>
      </w:r>
      <w:r>
        <w:rPr>
          <w:rFonts w:eastAsia="Times New Roman" w:cs="Arial"/>
          <w:bCs/>
          <w:lang w:eastAsia="cs-CZ"/>
        </w:rPr>
        <w:t> </w:t>
      </w:r>
      <w:r w:rsidRPr="000C4F4F">
        <w:rPr>
          <w:rFonts w:eastAsia="Times New Roman" w:cs="Arial"/>
          <w:bCs/>
          <w:lang w:eastAsia="cs-CZ"/>
        </w:rPr>
        <w:t>Kč</w:t>
      </w:r>
      <w:r>
        <w:rPr>
          <w:rFonts w:eastAsia="Times New Roman" w:cs="Arial"/>
          <w:bCs/>
          <w:lang w:eastAsia="cs-CZ"/>
        </w:rPr>
        <w:t xml:space="preserve">. V </w:t>
      </w:r>
      <w:r w:rsidRPr="005C6CED">
        <w:rPr>
          <w:rFonts w:eastAsia="Times New Roman" w:cs="Arial"/>
          <w:lang w:eastAsia="cs-CZ"/>
        </w:rPr>
        <w:t xml:space="preserve">říjnu 2024 vláda schválila pokračování projektu STRATIN+ na období let 2025–2030, </w:t>
      </w:r>
      <w:r>
        <w:rPr>
          <w:rFonts w:eastAsia="Times New Roman" w:cs="Arial"/>
          <w:lang w:eastAsia="cs-CZ"/>
        </w:rPr>
        <w:t>který bude navázán na</w:t>
      </w:r>
      <w:r w:rsidR="007B2741">
        <w:rPr>
          <w:rFonts w:eastAsia="Times New Roman" w:cs="Arial"/>
          <w:lang w:eastAsia="cs-CZ"/>
        </w:rPr>
        <w:t> </w:t>
      </w:r>
      <w:r>
        <w:rPr>
          <w:rFonts w:eastAsia="Times New Roman" w:cs="Arial"/>
          <w:lang w:eastAsia="cs-CZ"/>
        </w:rPr>
        <w:t xml:space="preserve">komponentu 5.3 </w:t>
      </w:r>
      <w:r w:rsidR="00C05763">
        <w:rPr>
          <w:rFonts w:eastAsia="Times New Roman" w:cs="Arial"/>
          <w:lang w:eastAsia="cs-CZ"/>
        </w:rPr>
        <w:t>NPO</w:t>
      </w:r>
      <w:r>
        <w:rPr>
          <w:rFonts w:eastAsia="Times New Roman" w:cs="Arial"/>
          <w:lang w:eastAsia="cs-CZ"/>
        </w:rPr>
        <w:t xml:space="preserve"> a </w:t>
      </w:r>
      <w:r w:rsidRPr="005C6CED">
        <w:rPr>
          <w:rFonts w:eastAsia="Times New Roman" w:cs="Arial"/>
          <w:lang w:eastAsia="cs-CZ"/>
        </w:rPr>
        <w:t>který zajistí plynulý přechod a kontinuitu realizovaných aktivit.</w:t>
      </w:r>
    </w:p>
    <w:p w14:paraId="22592249" w14:textId="77777777" w:rsidR="00484D6A" w:rsidRDefault="00484D6A" w:rsidP="00484D6A">
      <w:pPr>
        <w:keepNext/>
        <w:spacing w:before="120" w:after="240" w:line="240" w:lineRule="auto"/>
        <w:jc w:val="both"/>
        <w:rPr>
          <w:rFonts w:eastAsia="Times New Roman" w:cs="Times New Roman"/>
          <w:b/>
          <w:szCs w:val="24"/>
          <w:lang w:eastAsia="cs-CZ"/>
        </w:rPr>
      </w:pPr>
      <w:r w:rsidRPr="00E8772A">
        <w:rPr>
          <w:noProof/>
          <w:lang w:eastAsia="cs-CZ"/>
        </w:rPr>
        <mc:AlternateContent>
          <mc:Choice Requires="wps">
            <w:drawing>
              <wp:anchor distT="0" distB="0" distL="114300" distR="114300" simplePos="0" relativeHeight="251660800" behindDoc="0" locked="0" layoutInCell="1" allowOverlap="1" wp14:anchorId="5CCFD71E" wp14:editId="073AE77F">
                <wp:simplePos x="0" y="0"/>
                <wp:positionH relativeFrom="column">
                  <wp:posOffset>184785</wp:posOffset>
                </wp:positionH>
                <wp:positionV relativeFrom="paragraph">
                  <wp:posOffset>276860</wp:posOffset>
                </wp:positionV>
                <wp:extent cx="5829300" cy="4171950"/>
                <wp:effectExtent l="0" t="0" r="0" b="0"/>
                <wp:wrapNone/>
                <wp:docPr id="239" name="Kosočtverec 239"/>
                <wp:cNvGraphicFramePr/>
                <a:graphic xmlns:a="http://schemas.openxmlformats.org/drawingml/2006/main">
                  <a:graphicData uri="http://schemas.microsoft.com/office/word/2010/wordprocessingShape">
                    <wps:wsp>
                      <wps:cNvSpPr/>
                      <wps:spPr>
                        <a:xfrm>
                          <a:off x="0" y="0"/>
                          <a:ext cx="5829300" cy="4171950"/>
                        </a:xfrm>
                        <a:prstGeom prst="diamond">
                          <a:avLst/>
                        </a:prstGeom>
                      </wps:spPr>
                      <wps:style>
                        <a:lnRef idx="0">
                          <a:schemeClr val="accent1">
                            <a:hueOff val="0"/>
                            <a:satOff val="0"/>
                            <a:lumOff val="0"/>
                            <a:alphaOff val="0"/>
                          </a:schemeClr>
                        </a:lnRef>
                        <a:fillRef idx="1">
                          <a:schemeClr val="accent1">
                            <a:tint val="40000"/>
                            <a:hueOff val="0"/>
                            <a:satOff val="0"/>
                            <a:lumOff val="0"/>
                            <a:alphaOff val="0"/>
                          </a:schemeClr>
                        </a:fillRef>
                        <a:effectRef idx="0">
                          <a:schemeClr val="accent1">
                            <a:tint val="40000"/>
                            <a:hueOff val="0"/>
                            <a:satOff val="0"/>
                            <a:lumOff val="0"/>
                            <a:alphaOff val="0"/>
                          </a:schemeClr>
                        </a:effectRef>
                        <a:fontRef idx="minor">
                          <a:schemeClr val="dk1">
                            <a:hueOff val="0"/>
                            <a:satOff val="0"/>
                            <a:lumOff val="0"/>
                            <a:alphaOff val="0"/>
                          </a:schemeClr>
                        </a:fontRef>
                      </wps:style>
                      <wps:bodyPr/>
                    </wps:wsp>
                  </a:graphicData>
                </a:graphic>
                <wp14:sizeRelH relativeFrom="margin">
                  <wp14:pctWidth>0</wp14:pctWidth>
                </wp14:sizeRelH>
                <wp14:sizeRelV relativeFrom="margin">
                  <wp14:pctHeight>0</wp14:pctHeight>
                </wp14:sizeRelV>
              </wp:anchor>
            </w:drawing>
          </mc:Choice>
          <mc:Fallback>
            <w:pict>
              <v:shapetype w14:anchorId="38AC75FE" id="_x0000_t4" coordsize="21600,21600" o:spt="4" path="m10800,l,10800,10800,21600,21600,10800xe">
                <v:stroke joinstyle="miter"/>
                <v:path gradientshapeok="t" o:connecttype="rect" textboxrect="5400,5400,16200,16200"/>
              </v:shapetype>
              <v:shape id="Kosočtverec 239" o:spid="_x0000_s1026" type="#_x0000_t4" style="position:absolute;margin-left:14.55pt;margin-top:21.8pt;width:459pt;height:328.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" fillcolor="#b8cce4 [1300]" stroked="f"/>
            </w:pict>
          </mc:Fallback>
        </mc:AlternateContent>
      </w:r>
      <w:r w:rsidRPr="00E8772A">
        <w:rPr>
          <w:rFonts w:eastAsia="Times New Roman" w:cs="Times New Roman"/>
          <w:b/>
          <w:szCs w:val="24"/>
          <w:lang w:eastAsia="cs-CZ"/>
        </w:rPr>
        <w:t>Schéma A.4.1:</w:t>
      </w:r>
      <w:r>
        <w:rPr>
          <w:rFonts w:eastAsia="Times New Roman" w:cs="Times New Roman"/>
          <w:b/>
          <w:szCs w:val="24"/>
          <w:lang w:eastAsia="cs-CZ"/>
        </w:rPr>
        <w:t xml:space="preserve"> </w:t>
      </w:r>
      <w:r w:rsidRPr="00487F95">
        <w:rPr>
          <w:rFonts w:eastAsia="Times New Roman" w:cs="Times New Roman"/>
          <w:b/>
          <w:szCs w:val="24"/>
          <w:lang w:eastAsia="cs-CZ"/>
        </w:rPr>
        <w:t>Přehled projektů sdílených činností</w:t>
      </w:r>
    </w:p>
    <w:p w14:paraId="50850F74" w14:textId="77777777" w:rsidR="00484D6A" w:rsidRDefault="00484D6A" w:rsidP="00484D6A">
      <w:pPr>
        <w:keepNext/>
        <w:spacing w:before="120" w:after="240" w:line="240" w:lineRule="auto"/>
        <w:jc w:val="both"/>
        <w:rPr>
          <w:rFonts w:eastAsia="Times New Roman" w:cs="Times New Roman"/>
          <w:b/>
          <w:szCs w:val="24"/>
          <w:lang w:eastAsia="cs-CZ"/>
        </w:rPr>
      </w:pPr>
      <w:r w:rsidRPr="00E8772A">
        <w:rPr>
          <w:rFonts w:eastAsia="Times New Roman" w:cs="Arial"/>
          <w:b/>
          <w:noProof/>
          <w:lang w:eastAsia="cs-CZ"/>
        </w:rPr>
        <mc:AlternateContent>
          <mc:Choice Requires="wps">
            <w:drawing>
              <wp:anchor distT="0" distB="0" distL="114300" distR="114300" simplePos="0" relativeHeight="251664896" behindDoc="0" locked="0" layoutInCell="1" allowOverlap="1" wp14:anchorId="3E3FE205" wp14:editId="2E8B02F5">
                <wp:simplePos x="0" y="0"/>
                <wp:positionH relativeFrom="column">
                  <wp:posOffset>3150235</wp:posOffset>
                </wp:positionH>
                <wp:positionV relativeFrom="paragraph">
                  <wp:posOffset>8890</wp:posOffset>
                </wp:positionV>
                <wp:extent cx="2699385" cy="1691640"/>
                <wp:effectExtent l="0" t="0" r="24765" b="22860"/>
                <wp:wrapNone/>
                <wp:docPr id="13" name="Obdélník: se zakulacenými rohy 13"/>
                <wp:cNvGraphicFramePr/>
                <a:graphic xmlns:a="http://schemas.openxmlformats.org/drawingml/2006/main">
                  <a:graphicData uri="http://schemas.microsoft.com/office/word/2010/wordprocessingShape">
                    <wps:wsp>
                      <wps:cNvSpPr/>
                      <wps:spPr>
                        <a:xfrm>
                          <a:off x="0" y="0"/>
                          <a:ext cx="2699385" cy="1691640"/>
                        </a:xfrm>
                        <a:prstGeom prst="roundRect">
                          <a:avLst/>
                        </a:prstGeom>
                        <a:solidFill>
                          <a:schemeClr val="bg1"/>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E03235D" w14:textId="77777777" w:rsidR="00484D6A" w:rsidRPr="002B0E22" w:rsidRDefault="00484D6A" w:rsidP="00484D6A">
                            <w:pPr>
                              <w:spacing w:after="0" w:line="240" w:lineRule="auto"/>
                              <w:jc w:val="center"/>
                              <w:rPr>
                                <w:b/>
                                <w:bCs/>
                                <w:color w:val="000000" w:themeColor="text1"/>
                              </w:rPr>
                            </w:pPr>
                            <w:r w:rsidRPr="002B0E22">
                              <w:rPr>
                                <w:b/>
                                <w:bCs/>
                                <w:color w:val="000000" w:themeColor="text1"/>
                              </w:rPr>
                              <w:t>CZELO (2021–2027)</w:t>
                            </w:r>
                          </w:p>
                          <w:p w14:paraId="19706F78" w14:textId="77777777" w:rsidR="00484D6A" w:rsidRPr="002B0E22" w:rsidRDefault="00484D6A" w:rsidP="00484D6A">
                            <w:pPr>
                              <w:spacing w:after="0" w:line="240" w:lineRule="auto"/>
                              <w:jc w:val="center"/>
                              <w:rPr>
                                <w:b/>
                                <w:bCs/>
                                <w:color w:val="000000" w:themeColor="text1"/>
                                <w:sz w:val="12"/>
                                <w:szCs w:val="12"/>
                              </w:rPr>
                            </w:pPr>
                          </w:p>
                          <w:p w14:paraId="0971096B" w14:textId="77777777" w:rsidR="00484D6A" w:rsidRPr="002B0E22" w:rsidRDefault="00484D6A" w:rsidP="00484D6A">
                            <w:pPr>
                              <w:spacing w:after="0" w:line="240" w:lineRule="auto"/>
                              <w:jc w:val="center"/>
                              <w:rPr>
                                <w:i/>
                                <w:iCs/>
                                <w:color w:val="000000" w:themeColor="text1"/>
                                <w:sz w:val="18"/>
                                <w:szCs w:val="18"/>
                              </w:rPr>
                            </w:pPr>
                            <w:r w:rsidRPr="002B0E22">
                              <w:rPr>
                                <w:i/>
                                <w:iCs/>
                                <w:color w:val="000000" w:themeColor="text1"/>
                                <w:sz w:val="18"/>
                                <w:szCs w:val="18"/>
                              </w:rPr>
                              <w:t>(hlavní řešitel: Dům zahraniční spolupráce)</w:t>
                            </w:r>
                          </w:p>
                          <w:p w14:paraId="5082F189" w14:textId="77777777" w:rsidR="00484D6A" w:rsidRPr="002B0E22" w:rsidRDefault="00484D6A" w:rsidP="00484D6A">
                            <w:pPr>
                              <w:spacing w:after="0" w:line="240" w:lineRule="auto"/>
                              <w:jc w:val="center"/>
                              <w:rPr>
                                <w:b/>
                                <w:bCs/>
                                <w:color w:val="000000" w:themeColor="text1"/>
                                <w:sz w:val="12"/>
                                <w:szCs w:val="12"/>
                              </w:rPr>
                            </w:pPr>
                          </w:p>
                          <w:p w14:paraId="4A79004B" w14:textId="77777777" w:rsidR="00484D6A" w:rsidRPr="002B0E22" w:rsidRDefault="00484D6A" w:rsidP="00484D6A">
                            <w:pPr>
                              <w:spacing w:after="0" w:line="240" w:lineRule="auto"/>
                              <w:jc w:val="center"/>
                              <w:rPr>
                                <w:color w:val="000000" w:themeColor="text1"/>
                                <w:sz w:val="18"/>
                                <w:szCs w:val="18"/>
                              </w:rPr>
                            </w:pPr>
                            <w:r w:rsidRPr="002B0E22">
                              <w:rPr>
                                <w:color w:val="000000" w:themeColor="text1"/>
                                <w:sz w:val="18"/>
                                <w:szCs w:val="18"/>
                              </w:rPr>
                              <w:t>Schválená podpora celkem: 84 mil. Kč</w:t>
                            </w:r>
                          </w:p>
                          <w:p w14:paraId="1F0D09D3" w14:textId="77777777" w:rsidR="00484D6A" w:rsidRPr="002B0E22" w:rsidRDefault="00484D6A" w:rsidP="00484D6A">
                            <w:pPr>
                              <w:spacing w:after="0" w:line="240" w:lineRule="auto"/>
                              <w:jc w:val="center"/>
                              <w:rPr>
                                <w:b/>
                                <w:bCs/>
                                <w:color w:val="000000" w:themeColor="text1"/>
                                <w:sz w:val="12"/>
                                <w:szCs w:val="12"/>
                              </w:rPr>
                            </w:pPr>
                          </w:p>
                          <w:p w14:paraId="523EAF8E" w14:textId="77777777" w:rsidR="00484D6A" w:rsidRDefault="00484D6A" w:rsidP="00484D6A">
                            <w:pPr>
                              <w:spacing w:after="0" w:line="240" w:lineRule="auto"/>
                              <w:jc w:val="center"/>
                              <w:rPr>
                                <w:color w:val="000000" w:themeColor="text1"/>
                                <w:sz w:val="18"/>
                                <w:szCs w:val="18"/>
                              </w:rPr>
                            </w:pPr>
                            <w:r w:rsidRPr="002B0E22">
                              <w:rPr>
                                <w:color w:val="000000" w:themeColor="text1"/>
                                <w:sz w:val="18"/>
                                <w:szCs w:val="18"/>
                              </w:rPr>
                              <w:t>Podpora intenzivní účasti českých institucí ve</w:t>
                            </w:r>
                            <w:r>
                              <w:rPr>
                                <w:color w:val="000000" w:themeColor="text1"/>
                                <w:sz w:val="18"/>
                                <w:szCs w:val="18"/>
                              </w:rPr>
                              <w:t> </w:t>
                            </w:r>
                            <w:r w:rsidRPr="002B0E22">
                              <w:rPr>
                                <w:color w:val="000000" w:themeColor="text1"/>
                                <w:sz w:val="18"/>
                                <w:szCs w:val="18"/>
                              </w:rPr>
                              <w:t>výzkumných i vzdělávacích programech</w:t>
                            </w:r>
                            <w:r>
                              <w:rPr>
                                <w:color w:val="000000" w:themeColor="text1"/>
                                <w:sz w:val="18"/>
                                <w:szCs w:val="18"/>
                              </w:rPr>
                              <w:t> </w:t>
                            </w:r>
                            <w:r w:rsidRPr="002B0E22">
                              <w:rPr>
                                <w:color w:val="000000" w:themeColor="text1"/>
                                <w:sz w:val="18"/>
                                <w:szCs w:val="18"/>
                              </w:rPr>
                              <w:t>EU.</w:t>
                            </w:r>
                            <w:r>
                              <w:rPr>
                                <w:color w:val="000000" w:themeColor="text1"/>
                                <w:sz w:val="18"/>
                                <w:szCs w:val="18"/>
                              </w:rPr>
                              <w:br/>
                            </w:r>
                            <w:r>
                              <w:rPr>
                                <w:color w:val="000000" w:themeColor="text1"/>
                                <w:sz w:val="18"/>
                                <w:szCs w:val="18"/>
                              </w:rPr>
                              <w:br/>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E3FE205" id="Obdélník: se zakulacenými rohy 13" o:spid="_x0000_s1034" style="position:absolute;left:0;text-align:left;margin-left:248.05pt;margin-top:.7pt;width:212.55pt;height:133.2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" fillcolor="white [3212]" strokecolor="#4f81bd [3204]" strokeweight="2pt">
                <v:textbox>
                  <w:txbxContent>
                    <w:p w14:paraId="3E03235D" w14:textId="77777777" w:rsidR="00484D6A" w:rsidRPr="002B0E22" w:rsidRDefault="00484D6A" w:rsidP="00484D6A">
                      <w:pPr>
                        <w:spacing w:after="0" w:line="240" w:lineRule="auto"/>
                        <w:jc w:val="center"/>
                        <w:rPr>
                          <w:b/>
                          <w:bCs/>
                          <w:color w:val="000000" w:themeColor="text1"/>
                        </w:rPr>
                      </w:pPr>
                      <w:r w:rsidRPr="002B0E22">
                        <w:rPr>
                          <w:b/>
                          <w:bCs/>
                          <w:color w:val="000000" w:themeColor="text1"/>
                        </w:rPr>
                        <w:t>CZELO (2021–2027)</w:t>
                      </w:r>
                    </w:p>
                    <w:p w14:paraId="19706F78" w14:textId="77777777" w:rsidR="00484D6A" w:rsidRPr="002B0E22" w:rsidRDefault="00484D6A" w:rsidP="00484D6A">
                      <w:pPr>
                        <w:spacing w:after="0" w:line="240" w:lineRule="auto"/>
                        <w:jc w:val="center"/>
                        <w:rPr>
                          <w:b/>
                          <w:bCs/>
                          <w:color w:val="000000" w:themeColor="text1"/>
                          <w:sz w:val="12"/>
                          <w:szCs w:val="12"/>
                        </w:rPr>
                      </w:pPr>
                    </w:p>
                    <w:p w14:paraId="0971096B" w14:textId="77777777" w:rsidR="00484D6A" w:rsidRPr="002B0E22" w:rsidRDefault="00484D6A" w:rsidP="00484D6A">
                      <w:pPr>
                        <w:spacing w:after="0" w:line="240" w:lineRule="auto"/>
                        <w:jc w:val="center"/>
                        <w:rPr>
                          <w:i/>
                          <w:iCs/>
                          <w:color w:val="000000" w:themeColor="text1"/>
                          <w:sz w:val="18"/>
                          <w:szCs w:val="18"/>
                        </w:rPr>
                      </w:pPr>
                      <w:r w:rsidRPr="002B0E22">
                        <w:rPr>
                          <w:i/>
                          <w:iCs/>
                          <w:color w:val="000000" w:themeColor="text1"/>
                          <w:sz w:val="18"/>
                          <w:szCs w:val="18"/>
                        </w:rPr>
                        <w:t>(hlavní řešitel: Dům zahraniční spolupráce)</w:t>
                      </w:r>
                    </w:p>
                    <w:p w14:paraId="5082F189" w14:textId="77777777" w:rsidR="00484D6A" w:rsidRPr="002B0E22" w:rsidRDefault="00484D6A" w:rsidP="00484D6A">
                      <w:pPr>
                        <w:spacing w:after="0" w:line="240" w:lineRule="auto"/>
                        <w:jc w:val="center"/>
                        <w:rPr>
                          <w:b/>
                          <w:bCs/>
                          <w:color w:val="000000" w:themeColor="text1"/>
                          <w:sz w:val="12"/>
                          <w:szCs w:val="12"/>
                        </w:rPr>
                      </w:pPr>
                    </w:p>
                    <w:p w14:paraId="4A79004B" w14:textId="77777777" w:rsidR="00484D6A" w:rsidRPr="002B0E22" w:rsidRDefault="00484D6A" w:rsidP="00484D6A">
                      <w:pPr>
                        <w:spacing w:after="0" w:line="240" w:lineRule="auto"/>
                        <w:jc w:val="center"/>
                        <w:rPr>
                          <w:color w:val="000000" w:themeColor="text1"/>
                          <w:sz w:val="18"/>
                          <w:szCs w:val="18"/>
                        </w:rPr>
                      </w:pPr>
                      <w:r w:rsidRPr="002B0E22">
                        <w:rPr>
                          <w:color w:val="000000" w:themeColor="text1"/>
                          <w:sz w:val="18"/>
                          <w:szCs w:val="18"/>
                        </w:rPr>
                        <w:t>Schválená podpora celkem: 84 mil. Kč</w:t>
                      </w:r>
                    </w:p>
                    <w:p w14:paraId="1F0D09D3" w14:textId="77777777" w:rsidR="00484D6A" w:rsidRPr="002B0E22" w:rsidRDefault="00484D6A" w:rsidP="00484D6A">
                      <w:pPr>
                        <w:spacing w:after="0" w:line="240" w:lineRule="auto"/>
                        <w:jc w:val="center"/>
                        <w:rPr>
                          <w:b/>
                          <w:bCs/>
                          <w:color w:val="000000" w:themeColor="text1"/>
                          <w:sz w:val="12"/>
                          <w:szCs w:val="12"/>
                        </w:rPr>
                      </w:pPr>
                    </w:p>
                    <w:p w14:paraId="523EAF8E" w14:textId="77777777" w:rsidR="00484D6A" w:rsidRDefault="00484D6A" w:rsidP="00484D6A">
                      <w:pPr>
                        <w:spacing w:after="0" w:line="240" w:lineRule="auto"/>
                        <w:jc w:val="center"/>
                        <w:rPr>
                          <w:color w:val="000000" w:themeColor="text1"/>
                          <w:sz w:val="18"/>
                          <w:szCs w:val="18"/>
                        </w:rPr>
                      </w:pPr>
                      <w:r w:rsidRPr="002B0E22">
                        <w:rPr>
                          <w:color w:val="000000" w:themeColor="text1"/>
                          <w:sz w:val="18"/>
                          <w:szCs w:val="18"/>
                        </w:rPr>
                        <w:t>Podpora intenzivní účasti českých institucí ve</w:t>
                      </w:r>
                      <w:r>
                        <w:rPr>
                          <w:color w:val="000000" w:themeColor="text1"/>
                          <w:sz w:val="18"/>
                          <w:szCs w:val="18"/>
                        </w:rPr>
                        <w:t> </w:t>
                      </w:r>
                      <w:r w:rsidRPr="002B0E22">
                        <w:rPr>
                          <w:color w:val="000000" w:themeColor="text1"/>
                          <w:sz w:val="18"/>
                          <w:szCs w:val="18"/>
                        </w:rPr>
                        <w:t>výzkumných i vzdělávacích programech</w:t>
                      </w:r>
                      <w:r>
                        <w:rPr>
                          <w:color w:val="000000" w:themeColor="text1"/>
                          <w:sz w:val="18"/>
                          <w:szCs w:val="18"/>
                        </w:rPr>
                        <w:t> </w:t>
                      </w:r>
                      <w:r w:rsidRPr="002B0E22">
                        <w:rPr>
                          <w:color w:val="000000" w:themeColor="text1"/>
                          <w:sz w:val="18"/>
                          <w:szCs w:val="18"/>
                        </w:rPr>
                        <w:t>EU.</w:t>
                      </w:r>
                      <w:r>
                        <w:rPr>
                          <w:color w:val="000000" w:themeColor="text1"/>
                          <w:sz w:val="18"/>
                          <w:szCs w:val="18"/>
                        </w:rPr>
                        <w:br/>
                      </w:r>
                      <w:r>
                        <w:rPr>
                          <w:color w:val="000000" w:themeColor="text1"/>
                          <w:sz w:val="18"/>
                          <w:szCs w:val="18"/>
                        </w:rPr>
                        <w:br/>
                      </w:r>
                    </w:p>
                  </w:txbxContent>
                </v:textbox>
              </v:roundrect>
            </w:pict>
          </mc:Fallback>
        </mc:AlternateContent>
      </w:r>
      <w:r w:rsidRPr="00E8772A">
        <w:rPr>
          <w:rFonts w:eastAsia="Times New Roman" w:cs="Arial"/>
          <w:b/>
          <w:noProof/>
          <w:lang w:eastAsia="cs-CZ"/>
        </w:rPr>
        <mc:AlternateContent>
          <mc:Choice Requires="wps">
            <w:drawing>
              <wp:anchor distT="0" distB="0" distL="114300" distR="114300" simplePos="0" relativeHeight="251668992" behindDoc="0" locked="0" layoutInCell="1" allowOverlap="1" wp14:anchorId="1D44B4E5" wp14:editId="00751A6C">
                <wp:simplePos x="0" y="0"/>
                <wp:positionH relativeFrom="column">
                  <wp:posOffset>351790</wp:posOffset>
                </wp:positionH>
                <wp:positionV relativeFrom="paragraph">
                  <wp:posOffset>12065</wp:posOffset>
                </wp:positionV>
                <wp:extent cx="2700000" cy="1692000"/>
                <wp:effectExtent l="0" t="0" r="24765" b="24765"/>
                <wp:wrapNone/>
                <wp:docPr id="28" name="Obdélník: se zakulacenými rohy 28"/>
                <wp:cNvGraphicFramePr/>
                <a:graphic xmlns:a="http://schemas.openxmlformats.org/drawingml/2006/main">
                  <a:graphicData uri="http://schemas.microsoft.com/office/word/2010/wordprocessingShape">
                    <wps:wsp>
                      <wps:cNvSpPr/>
                      <wps:spPr>
                        <a:xfrm>
                          <a:off x="0" y="0"/>
                          <a:ext cx="2700000" cy="1692000"/>
                        </a:xfrm>
                        <a:prstGeom prst="roundRect">
                          <a:avLst/>
                        </a:prstGeom>
                        <a:solidFill>
                          <a:schemeClr val="bg1"/>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9E1B480" w14:textId="77777777" w:rsidR="00484D6A" w:rsidRDefault="00484D6A" w:rsidP="00484D6A">
                            <w:pPr>
                              <w:spacing w:after="0" w:line="240" w:lineRule="auto"/>
                              <w:jc w:val="center"/>
                              <w:rPr>
                                <w:b/>
                                <w:bCs/>
                                <w:color w:val="000000" w:themeColor="text1"/>
                              </w:rPr>
                            </w:pPr>
                            <w:r w:rsidRPr="00A4717E">
                              <w:rPr>
                                <w:b/>
                                <w:bCs/>
                                <w:color w:val="000000" w:themeColor="text1"/>
                              </w:rPr>
                              <w:t xml:space="preserve">NCIP </w:t>
                            </w:r>
                            <w:proofErr w:type="spellStart"/>
                            <w:r w:rsidRPr="00A4717E">
                              <w:rPr>
                                <w:b/>
                                <w:bCs/>
                                <w:color w:val="000000" w:themeColor="text1"/>
                              </w:rPr>
                              <w:t>VaVaI</w:t>
                            </w:r>
                            <w:proofErr w:type="spellEnd"/>
                            <w:r w:rsidRPr="00A4717E">
                              <w:rPr>
                                <w:b/>
                                <w:bCs/>
                                <w:color w:val="000000" w:themeColor="text1"/>
                              </w:rPr>
                              <w:t xml:space="preserve"> (2021–2027)</w:t>
                            </w:r>
                          </w:p>
                          <w:p w14:paraId="72D66B23" w14:textId="77777777" w:rsidR="00484D6A" w:rsidRPr="00A4717E" w:rsidRDefault="00484D6A" w:rsidP="00484D6A">
                            <w:pPr>
                              <w:spacing w:after="0" w:line="240" w:lineRule="auto"/>
                              <w:jc w:val="center"/>
                              <w:rPr>
                                <w:b/>
                                <w:bCs/>
                                <w:color w:val="000000" w:themeColor="text1"/>
                                <w:sz w:val="12"/>
                                <w:szCs w:val="12"/>
                              </w:rPr>
                            </w:pPr>
                          </w:p>
                          <w:p w14:paraId="26D91959" w14:textId="77777777" w:rsidR="00484D6A" w:rsidRPr="00A4717E" w:rsidRDefault="00484D6A" w:rsidP="00484D6A">
                            <w:pPr>
                              <w:spacing w:after="0" w:line="240" w:lineRule="auto"/>
                              <w:jc w:val="center"/>
                              <w:rPr>
                                <w:i/>
                                <w:iCs/>
                                <w:color w:val="000000" w:themeColor="text1"/>
                                <w:sz w:val="18"/>
                                <w:szCs w:val="18"/>
                              </w:rPr>
                            </w:pPr>
                            <w:r w:rsidRPr="00A4717E">
                              <w:rPr>
                                <w:i/>
                                <w:iCs/>
                                <w:color w:val="000000" w:themeColor="text1"/>
                                <w:sz w:val="18"/>
                                <w:szCs w:val="18"/>
                              </w:rPr>
                              <w:t>(hlavní řešitel: Národní technická knihovna)</w:t>
                            </w:r>
                          </w:p>
                          <w:p w14:paraId="71AE3A14" w14:textId="77777777" w:rsidR="00484D6A" w:rsidRPr="00A4717E" w:rsidRDefault="00484D6A" w:rsidP="00484D6A">
                            <w:pPr>
                              <w:spacing w:after="0" w:line="240" w:lineRule="auto"/>
                              <w:jc w:val="center"/>
                              <w:rPr>
                                <w:b/>
                                <w:bCs/>
                                <w:color w:val="000000" w:themeColor="text1"/>
                                <w:sz w:val="12"/>
                                <w:szCs w:val="12"/>
                              </w:rPr>
                            </w:pPr>
                          </w:p>
                          <w:p w14:paraId="43F70DCC" w14:textId="77777777" w:rsidR="00484D6A" w:rsidRPr="00A4717E" w:rsidRDefault="00484D6A" w:rsidP="00484D6A">
                            <w:pPr>
                              <w:spacing w:after="0" w:line="240" w:lineRule="auto"/>
                              <w:jc w:val="center"/>
                              <w:rPr>
                                <w:color w:val="000000" w:themeColor="text1"/>
                                <w:sz w:val="18"/>
                                <w:szCs w:val="18"/>
                              </w:rPr>
                            </w:pPr>
                            <w:r w:rsidRPr="00A4717E">
                              <w:rPr>
                                <w:color w:val="000000" w:themeColor="text1"/>
                                <w:sz w:val="18"/>
                                <w:szCs w:val="18"/>
                              </w:rPr>
                              <w:t>Schválená podpora celkem: 3 500 mil. Kč</w:t>
                            </w:r>
                          </w:p>
                          <w:p w14:paraId="77D920C0" w14:textId="77777777" w:rsidR="00484D6A" w:rsidRDefault="00484D6A" w:rsidP="00484D6A">
                            <w:pPr>
                              <w:spacing w:after="0" w:line="240" w:lineRule="auto"/>
                              <w:jc w:val="center"/>
                              <w:rPr>
                                <w:b/>
                                <w:bCs/>
                                <w:color w:val="000000" w:themeColor="text1"/>
                                <w:sz w:val="12"/>
                                <w:szCs w:val="12"/>
                              </w:rPr>
                            </w:pPr>
                          </w:p>
                          <w:p w14:paraId="5FCA5731" w14:textId="77777777" w:rsidR="00484D6A" w:rsidRDefault="00484D6A" w:rsidP="00484D6A">
                            <w:pPr>
                              <w:spacing w:after="0" w:line="240" w:lineRule="auto"/>
                              <w:jc w:val="center"/>
                              <w:rPr>
                                <w:color w:val="000000" w:themeColor="text1"/>
                                <w:sz w:val="18"/>
                                <w:szCs w:val="18"/>
                              </w:rPr>
                            </w:pPr>
                            <w:r>
                              <w:rPr>
                                <w:color w:val="000000" w:themeColor="text1"/>
                                <w:sz w:val="18"/>
                                <w:szCs w:val="18"/>
                              </w:rPr>
                              <w:t>Poskytování</w:t>
                            </w:r>
                            <w:r w:rsidRPr="00A4717E">
                              <w:rPr>
                                <w:color w:val="000000" w:themeColor="text1"/>
                                <w:sz w:val="18"/>
                                <w:szCs w:val="18"/>
                              </w:rPr>
                              <w:t xml:space="preserve"> služby v oblasti informačních zdrojů a</w:t>
                            </w:r>
                            <w:r>
                              <w:rPr>
                                <w:color w:val="000000" w:themeColor="text1"/>
                                <w:sz w:val="18"/>
                                <w:szCs w:val="18"/>
                              </w:rPr>
                              <w:t> </w:t>
                            </w:r>
                            <w:r w:rsidRPr="00A4717E">
                              <w:rPr>
                                <w:color w:val="000000" w:themeColor="text1"/>
                                <w:sz w:val="18"/>
                                <w:szCs w:val="18"/>
                              </w:rPr>
                              <w:t>další pokročilé asistované a samoobslužné služby podpůrného charakteru</w:t>
                            </w:r>
                            <w:r>
                              <w:rPr>
                                <w:color w:val="000000" w:themeColor="text1"/>
                                <w:sz w:val="18"/>
                                <w:szCs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D44B4E5" id="Obdélník: se zakulacenými rohy 28" o:spid="_x0000_s1035" style="position:absolute;left:0;text-align:left;margin-left:27.7pt;margin-top:.95pt;width:212.6pt;height:133.2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" fillcolor="white [3212]" strokecolor="#4f81bd [3204]" strokeweight="2pt">
                <v:textbox>
                  <w:txbxContent>
                    <w:p w14:paraId="49E1B480" w14:textId="77777777" w:rsidR="00484D6A" w:rsidRDefault="00484D6A" w:rsidP="00484D6A">
                      <w:pPr>
                        <w:spacing w:after="0" w:line="240" w:lineRule="auto"/>
                        <w:jc w:val="center"/>
                        <w:rPr>
                          <w:b/>
                          <w:bCs/>
                          <w:color w:val="000000" w:themeColor="text1"/>
                        </w:rPr>
                      </w:pPr>
                      <w:r w:rsidRPr="00A4717E">
                        <w:rPr>
                          <w:b/>
                          <w:bCs/>
                          <w:color w:val="000000" w:themeColor="text1"/>
                        </w:rPr>
                        <w:t xml:space="preserve">NCIP </w:t>
                      </w:r>
                      <w:proofErr w:type="spellStart"/>
                      <w:r w:rsidRPr="00A4717E">
                        <w:rPr>
                          <w:b/>
                          <w:bCs/>
                          <w:color w:val="000000" w:themeColor="text1"/>
                        </w:rPr>
                        <w:t>VaVaI</w:t>
                      </w:r>
                      <w:proofErr w:type="spellEnd"/>
                      <w:r w:rsidRPr="00A4717E">
                        <w:rPr>
                          <w:b/>
                          <w:bCs/>
                          <w:color w:val="000000" w:themeColor="text1"/>
                        </w:rPr>
                        <w:t xml:space="preserve"> (2021–2027)</w:t>
                      </w:r>
                    </w:p>
                    <w:p w14:paraId="72D66B23" w14:textId="77777777" w:rsidR="00484D6A" w:rsidRPr="00A4717E" w:rsidRDefault="00484D6A" w:rsidP="00484D6A">
                      <w:pPr>
                        <w:spacing w:after="0" w:line="240" w:lineRule="auto"/>
                        <w:jc w:val="center"/>
                        <w:rPr>
                          <w:b/>
                          <w:bCs/>
                          <w:color w:val="000000" w:themeColor="text1"/>
                          <w:sz w:val="12"/>
                          <w:szCs w:val="12"/>
                        </w:rPr>
                      </w:pPr>
                    </w:p>
                    <w:p w14:paraId="26D91959" w14:textId="77777777" w:rsidR="00484D6A" w:rsidRPr="00A4717E" w:rsidRDefault="00484D6A" w:rsidP="00484D6A">
                      <w:pPr>
                        <w:spacing w:after="0" w:line="240" w:lineRule="auto"/>
                        <w:jc w:val="center"/>
                        <w:rPr>
                          <w:i/>
                          <w:iCs/>
                          <w:color w:val="000000" w:themeColor="text1"/>
                          <w:sz w:val="18"/>
                          <w:szCs w:val="18"/>
                        </w:rPr>
                      </w:pPr>
                      <w:r w:rsidRPr="00A4717E">
                        <w:rPr>
                          <w:i/>
                          <w:iCs/>
                          <w:color w:val="000000" w:themeColor="text1"/>
                          <w:sz w:val="18"/>
                          <w:szCs w:val="18"/>
                        </w:rPr>
                        <w:t>(hlavní řešitel: Národní technická knihovna)</w:t>
                      </w:r>
                    </w:p>
                    <w:p w14:paraId="71AE3A14" w14:textId="77777777" w:rsidR="00484D6A" w:rsidRPr="00A4717E" w:rsidRDefault="00484D6A" w:rsidP="00484D6A">
                      <w:pPr>
                        <w:spacing w:after="0" w:line="240" w:lineRule="auto"/>
                        <w:jc w:val="center"/>
                        <w:rPr>
                          <w:b/>
                          <w:bCs/>
                          <w:color w:val="000000" w:themeColor="text1"/>
                          <w:sz w:val="12"/>
                          <w:szCs w:val="12"/>
                        </w:rPr>
                      </w:pPr>
                    </w:p>
                    <w:p w14:paraId="43F70DCC" w14:textId="77777777" w:rsidR="00484D6A" w:rsidRPr="00A4717E" w:rsidRDefault="00484D6A" w:rsidP="00484D6A">
                      <w:pPr>
                        <w:spacing w:after="0" w:line="240" w:lineRule="auto"/>
                        <w:jc w:val="center"/>
                        <w:rPr>
                          <w:color w:val="000000" w:themeColor="text1"/>
                          <w:sz w:val="18"/>
                          <w:szCs w:val="18"/>
                        </w:rPr>
                      </w:pPr>
                      <w:r w:rsidRPr="00A4717E">
                        <w:rPr>
                          <w:color w:val="000000" w:themeColor="text1"/>
                          <w:sz w:val="18"/>
                          <w:szCs w:val="18"/>
                        </w:rPr>
                        <w:t>Schválená podpora celkem: 3 500 mil. Kč</w:t>
                      </w:r>
                    </w:p>
                    <w:p w14:paraId="77D920C0" w14:textId="77777777" w:rsidR="00484D6A" w:rsidRDefault="00484D6A" w:rsidP="00484D6A">
                      <w:pPr>
                        <w:spacing w:after="0" w:line="240" w:lineRule="auto"/>
                        <w:jc w:val="center"/>
                        <w:rPr>
                          <w:b/>
                          <w:bCs/>
                          <w:color w:val="000000" w:themeColor="text1"/>
                          <w:sz w:val="12"/>
                          <w:szCs w:val="12"/>
                        </w:rPr>
                      </w:pPr>
                    </w:p>
                    <w:p w14:paraId="5FCA5731" w14:textId="77777777" w:rsidR="00484D6A" w:rsidRDefault="00484D6A" w:rsidP="00484D6A">
                      <w:pPr>
                        <w:spacing w:after="0" w:line="240" w:lineRule="auto"/>
                        <w:jc w:val="center"/>
                        <w:rPr>
                          <w:color w:val="000000" w:themeColor="text1"/>
                          <w:sz w:val="18"/>
                          <w:szCs w:val="18"/>
                        </w:rPr>
                      </w:pPr>
                      <w:r>
                        <w:rPr>
                          <w:color w:val="000000" w:themeColor="text1"/>
                          <w:sz w:val="18"/>
                          <w:szCs w:val="18"/>
                        </w:rPr>
                        <w:t>Poskytování</w:t>
                      </w:r>
                      <w:r w:rsidRPr="00A4717E">
                        <w:rPr>
                          <w:color w:val="000000" w:themeColor="text1"/>
                          <w:sz w:val="18"/>
                          <w:szCs w:val="18"/>
                        </w:rPr>
                        <w:t xml:space="preserve"> služby v oblasti informačních zdrojů a</w:t>
                      </w:r>
                      <w:r>
                        <w:rPr>
                          <w:color w:val="000000" w:themeColor="text1"/>
                          <w:sz w:val="18"/>
                          <w:szCs w:val="18"/>
                        </w:rPr>
                        <w:t> </w:t>
                      </w:r>
                      <w:r w:rsidRPr="00A4717E">
                        <w:rPr>
                          <w:color w:val="000000" w:themeColor="text1"/>
                          <w:sz w:val="18"/>
                          <w:szCs w:val="18"/>
                        </w:rPr>
                        <w:t>další pokročilé asistované a samoobslužné služby podpůrného charakteru</w:t>
                      </w:r>
                      <w:r>
                        <w:rPr>
                          <w:color w:val="000000" w:themeColor="text1"/>
                          <w:sz w:val="18"/>
                          <w:szCs w:val="18"/>
                        </w:rPr>
                        <w:t>.</w:t>
                      </w:r>
                    </w:p>
                  </w:txbxContent>
                </v:textbox>
              </v:roundrect>
            </w:pict>
          </mc:Fallback>
        </mc:AlternateContent>
      </w:r>
    </w:p>
    <w:p w14:paraId="1BAEB32E" w14:textId="77777777" w:rsidR="00484D6A" w:rsidRDefault="00484D6A" w:rsidP="00484D6A">
      <w:pPr>
        <w:keepNext/>
        <w:spacing w:before="120" w:after="240" w:line="240" w:lineRule="auto"/>
        <w:jc w:val="both"/>
        <w:rPr>
          <w:rFonts w:eastAsia="Times New Roman" w:cs="Times New Roman"/>
          <w:b/>
          <w:szCs w:val="24"/>
          <w:lang w:eastAsia="cs-CZ"/>
        </w:rPr>
      </w:pPr>
    </w:p>
    <w:p w14:paraId="181C9D9E" w14:textId="77777777" w:rsidR="00484D6A" w:rsidRDefault="00484D6A" w:rsidP="00484D6A">
      <w:pPr>
        <w:keepNext/>
        <w:spacing w:before="120" w:after="240" w:line="240" w:lineRule="auto"/>
        <w:jc w:val="both"/>
        <w:rPr>
          <w:rFonts w:eastAsia="Times New Roman" w:cs="Times New Roman"/>
          <w:b/>
          <w:szCs w:val="24"/>
          <w:lang w:eastAsia="cs-CZ"/>
        </w:rPr>
      </w:pPr>
    </w:p>
    <w:p w14:paraId="1CD768D4" w14:textId="77777777" w:rsidR="00484D6A" w:rsidRPr="00487F95" w:rsidRDefault="00484D6A" w:rsidP="00484D6A">
      <w:pPr>
        <w:keepNext/>
        <w:spacing w:before="120" w:after="240" w:line="240" w:lineRule="auto"/>
        <w:jc w:val="both"/>
        <w:rPr>
          <w:rFonts w:eastAsia="Times New Roman" w:cs="Times New Roman"/>
          <w:b/>
          <w:szCs w:val="24"/>
          <w:lang w:eastAsia="cs-CZ"/>
        </w:rPr>
      </w:pPr>
    </w:p>
    <w:p w14:paraId="0EDD49DC" w14:textId="77777777" w:rsidR="00484D6A" w:rsidRDefault="00484D6A" w:rsidP="00484D6A">
      <w:pPr>
        <w:spacing w:after="0" w:line="360" w:lineRule="auto"/>
        <w:jc w:val="both"/>
        <w:rPr>
          <w:rFonts w:eastAsia="Times New Roman" w:cs="Arial"/>
          <w:b/>
          <w:lang w:eastAsia="cs-CZ"/>
        </w:rPr>
      </w:pPr>
    </w:p>
    <w:p w14:paraId="5A674347" w14:textId="77777777" w:rsidR="00484D6A" w:rsidRDefault="00484D6A" w:rsidP="00484D6A">
      <w:pPr>
        <w:spacing w:after="0" w:line="360" w:lineRule="auto"/>
        <w:jc w:val="both"/>
        <w:rPr>
          <w:rFonts w:eastAsia="Times New Roman" w:cs="Arial"/>
          <w:b/>
          <w:lang w:eastAsia="cs-CZ"/>
        </w:rPr>
      </w:pPr>
    </w:p>
    <w:p w14:paraId="468CEA23" w14:textId="77777777" w:rsidR="00484D6A" w:rsidRDefault="00484D6A" w:rsidP="00484D6A">
      <w:pPr>
        <w:spacing w:after="0" w:line="360" w:lineRule="auto"/>
        <w:jc w:val="both"/>
        <w:rPr>
          <w:rFonts w:eastAsia="Times New Roman" w:cs="Arial"/>
          <w:b/>
          <w:lang w:eastAsia="cs-CZ"/>
        </w:rPr>
      </w:pPr>
      <w:r>
        <w:rPr>
          <w:rFonts w:eastAsia="Times New Roman" w:cs="Arial"/>
          <w:b/>
          <w:noProof/>
          <w:lang w:eastAsia="cs-CZ"/>
        </w:rPr>
        <mc:AlternateContent>
          <mc:Choice Requires="wps">
            <w:drawing>
              <wp:anchor distT="0" distB="0" distL="114300" distR="114300" simplePos="0" relativeHeight="251677184" behindDoc="0" locked="0" layoutInCell="1" allowOverlap="1" wp14:anchorId="75CAB83D" wp14:editId="2AC96139">
                <wp:simplePos x="0" y="0"/>
                <wp:positionH relativeFrom="column">
                  <wp:posOffset>346710</wp:posOffset>
                </wp:positionH>
                <wp:positionV relativeFrom="paragraph">
                  <wp:posOffset>39370</wp:posOffset>
                </wp:positionV>
                <wp:extent cx="2699385" cy="2286000"/>
                <wp:effectExtent l="0" t="0" r="24765" b="19050"/>
                <wp:wrapNone/>
                <wp:docPr id="238" name="Obdélník: se zakulacenými rohy 238"/>
                <wp:cNvGraphicFramePr/>
                <a:graphic xmlns:a="http://schemas.openxmlformats.org/drawingml/2006/main">
                  <a:graphicData uri="http://schemas.microsoft.com/office/word/2010/wordprocessingShape">
                    <wps:wsp>
                      <wps:cNvSpPr/>
                      <wps:spPr>
                        <a:xfrm>
                          <a:off x="0" y="0"/>
                          <a:ext cx="2699385" cy="2286000"/>
                        </a:xfrm>
                        <a:prstGeom prst="roundRect">
                          <a:avLst/>
                        </a:prstGeom>
                        <a:solidFill>
                          <a:schemeClr val="bg1"/>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07FCCF0" w14:textId="77777777" w:rsidR="00484D6A" w:rsidRPr="002B0E22" w:rsidRDefault="00484D6A" w:rsidP="00484D6A">
                            <w:pPr>
                              <w:spacing w:after="0" w:line="240" w:lineRule="auto"/>
                              <w:jc w:val="center"/>
                              <w:rPr>
                                <w:b/>
                                <w:bCs/>
                                <w:color w:val="000000" w:themeColor="text1"/>
                              </w:rPr>
                            </w:pPr>
                            <w:r w:rsidRPr="002B0E22">
                              <w:rPr>
                                <w:b/>
                                <w:bCs/>
                                <w:color w:val="000000" w:themeColor="text1"/>
                              </w:rPr>
                              <w:t>CZERA (2021–2027)</w:t>
                            </w:r>
                          </w:p>
                          <w:p w14:paraId="71E600BB" w14:textId="77777777" w:rsidR="00484D6A" w:rsidRPr="002B0E22" w:rsidRDefault="00484D6A" w:rsidP="00484D6A">
                            <w:pPr>
                              <w:spacing w:after="0" w:line="240" w:lineRule="auto"/>
                              <w:jc w:val="center"/>
                              <w:rPr>
                                <w:b/>
                                <w:bCs/>
                                <w:color w:val="000000" w:themeColor="text1"/>
                                <w:sz w:val="12"/>
                                <w:szCs w:val="12"/>
                              </w:rPr>
                            </w:pPr>
                          </w:p>
                          <w:p w14:paraId="1FB6F55B" w14:textId="77777777" w:rsidR="00484D6A" w:rsidRPr="002B0E22" w:rsidRDefault="00484D6A" w:rsidP="00484D6A">
                            <w:pPr>
                              <w:spacing w:after="0" w:line="240" w:lineRule="auto"/>
                              <w:jc w:val="center"/>
                              <w:rPr>
                                <w:i/>
                                <w:iCs/>
                                <w:color w:val="000000" w:themeColor="text1"/>
                                <w:sz w:val="18"/>
                                <w:szCs w:val="18"/>
                              </w:rPr>
                            </w:pPr>
                            <w:r w:rsidRPr="002B0E22">
                              <w:rPr>
                                <w:i/>
                                <w:iCs/>
                                <w:color w:val="000000" w:themeColor="text1"/>
                                <w:sz w:val="18"/>
                                <w:szCs w:val="18"/>
                              </w:rPr>
                              <w:t>(hlavní řešitel: Technologické centrum Praha)</w:t>
                            </w:r>
                          </w:p>
                          <w:p w14:paraId="48EF5B6E" w14:textId="77777777" w:rsidR="00484D6A" w:rsidRPr="002B0E22" w:rsidRDefault="00484D6A" w:rsidP="00484D6A">
                            <w:pPr>
                              <w:spacing w:after="0" w:line="240" w:lineRule="auto"/>
                              <w:jc w:val="center"/>
                              <w:rPr>
                                <w:b/>
                                <w:bCs/>
                                <w:color w:val="000000" w:themeColor="text1"/>
                                <w:sz w:val="12"/>
                                <w:szCs w:val="12"/>
                              </w:rPr>
                            </w:pPr>
                          </w:p>
                          <w:p w14:paraId="21936DB8" w14:textId="77777777" w:rsidR="00484D6A" w:rsidRPr="002B0E22" w:rsidRDefault="00484D6A" w:rsidP="00484D6A">
                            <w:pPr>
                              <w:spacing w:after="0" w:line="240" w:lineRule="auto"/>
                              <w:jc w:val="center"/>
                              <w:rPr>
                                <w:color w:val="000000" w:themeColor="text1"/>
                                <w:sz w:val="18"/>
                                <w:szCs w:val="18"/>
                              </w:rPr>
                            </w:pPr>
                            <w:r w:rsidRPr="002B0E22">
                              <w:rPr>
                                <w:color w:val="000000" w:themeColor="text1"/>
                                <w:sz w:val="18"/>
                                <w:szCs w:val="18"/>
                              </w:rPr>
                              <w:t>Schválená podpora celkem: 290 mil. Kč</w:t>
                            </w:r>
                          </w:p>
                          <w:p w14:paraId="2FE4EEC2" w14:textId="77777777" w:rsidR="00484D6A" w:rsidRPr="00A4717E" w:rsidRDefault="00484D6A" w:rsidP="00484D6A">
                            <w:pPr>
                              <w:spacing w:after="0" w:line="240" w:lineRule="auto"/>
                              <w:jc w:val="center"/>
                              <w:rPr>
                                <w:b/>
                                <w:bCs/>
                                <w:color w:val="000000" w:themeColor="text1"/>
                                <w:sz w:val="12"/>
                                <w:szCs w:val="12"/>
                                <w:highlight w:val="yellow"/>
                              </w:rPr>
                            </w:pPr>
                          </w:p>
                          <w:p w14:paraId="7CA843D1" w14:textId="77777777" w:rsidR="00484D6A" w:rsidRDefault="00484D6A" w:rsidP="00484D6A">
                            <w:pPr>
                              <w:spacing w:after="0" w:line="240" w:lineRule="auto"/>
                              <w:jc w:val="center"/>
                              <w:rPr>
                                <w:color w:val="000000" w:themeColor="text1"/>
                                <w:sz w:val="18"/>
                                <w:szCs w:val="18"/>
                              </w:rPr>
                            </w:pPr>
                            <w:r>
                              <w:rPr>
                                <w:color w:val="000000" w:themeColor="text1"/>
                                <w:sz w:val="18"/>
                                <w:szCs w:val="18"/>
                              </w:rPr>
                              <w:t>P</w:t>
                            </w:r>
                            <w:r w:rsidRPr="002B0E22">
                              <w:rPr>
                                <w:color w:val="000000" w:themeColor="text1"/>
                                <w:sz w:val="18"/>
                                <w:szCs w:val="18"/>
                              </w:rPr>
                              <w:t xml:space="preserve">oskytování komplexního portfolia podpůrných služeb nutných pro intenzivní zapojování výzkumných a inovačních stakeholderů ČR do </w:t>
                            </w:r>
                            <w:r>
                              <w:rPr>
                                <w:color w:val="000000" w:themeColor="text1"/>
                                <w:sz w:val="18"/>
                                <w:szCs w:val="18"/>
                              </w:rPr>
                              <w:t>ERA.</w:t>
                            </w:r>
                            <w:r>
                              <w:rPr>
                                <w:color w:val="000000" w:themeColor="text1"/>
                                <w:sz w:val="18"/>
                                <w:szCs w:val="18"/>
                              </w:rPr>
                              <w:br/>
                            </w:r>
                            <w:r>
                              <w:rPr>
                                <w:color w:val="000000" w:themeColor="text1"/>
                                <w:sz w:val="18"/>
                                <w:szCs w:val="18"/>
                              </w:rPr>
                              <w:br/>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5CAB83D" id="Obdélník: se zakulacenými rohy 238" o:spid="_x0000_s1036" style="position:absolute;left:0;text-align:left;margin-left:27.3pt;margin-top:3.1pt;width:212.55pt;height:180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" fillcolor="white [3212]" strokecolor="#4f81bd [3204]" strokeweight="2pt">
                <v:textbox>
                  <w:txbxContent>
                    <w:p w14:paraId="707FCCF0" w14:textId="77777777" w:rsidR="00484D6A" w:rsidRPr="002B0E22" w:rsidRDefault="00484D6A" w:rsidP="00484D6A">
                      <w:pPr>
                        <w:spacing w:after="0" w:line="240" w:lineRule="auto"/>
                        <w:jc w:val="center"/>
                        <w:rPr>
                          <w:b/>
                          <w:bCs/>
                          <w:color w:val="000000" w:themeColor="text1"/>
                        </w:rPr>
                      </w:pPr>
                      <w:r w:rsidRPr="002B0E22">
                        <w:rPr>
                          <w:b/>
                          <w:bCs/>
                          <w:color w:val="000000" w:themeColor="text1"/>
                        </w:rPr>
                        <w:t>CZERA (2021–2027)</w:t>
                      </w:r>
                    </w:p>
                    <w:p w14:paraId="71E600BB" w14:textId="77777777" w:rsidR="00484D6A" w:rsidRPr="002B0E22" w:rsidRDefault="00484D6A" w:rsidP="00484D6A">
                      <w:pPr>
                        <w:spacing w:after="0" w:line="240" w:lineRule="auto"/>
                        <w:jc w:val="center"/>
                        <w:rPr>
                          <w:b/>
                          <w:bCs/>
                          <w:color w:val="000000" w:themeColor="text1"/>
                          <w:sz w:val="12"/>
                          <w:szCs w:val="12"/>
                        </w:rPr>
                      </w:pPr>
                    </w:p>
                    <w:p w14:paraId="1FB6F55B" w14:textId="77777777" w:rsidR="00484D6A" w:rsidRPr="002B0E22" w:rsidRDefault="00484D6A" w:rsidP="00484D6A">
                      <w:pPr>
                        <w:spacing w:after="0" w:line="240" w:lineRule="auto"/>
                        <w:jc w:val="center"/>
                        <w:rPr>
                          <w:i/>
                          <w:iCs/>
                          <w:color w:val="000000" w:themeColor="text1"/>
                          <w:sz w:val="18"/>
                          <w:szCs w:val="18"/>
                        </w:rPr>
                      </w:pPr>
                      <w:r w:rsidRPr="002B0E22">
                        <w:rPr>
                          <w:i/>
                          <w:iCs/>
                          <w:color w:val="000000" w:themeColor="text1"/>
                          <w:sz w:val="18"/>
                          <w:szCs w:val="18"/>
                        </w:rPr>
                        <w:t>(hlavní řešitel: Technologické centrum Praha)</w:t>
                      </w:r>
                    </w:p>
                    <w:p w14:paraId="48EF5B6E" w14:textId="77777777" w:rsidR="00484D6A" w:rsidRPr="002B0E22" w:rsidRDefault="00484D6A" w:rsidP="00484D6A">
                      <w:pPr>
                        <w:spacing w:after="0" w:line="240" w:lineRule="auto"/>
                        <w:jc w:val="center"/>
                        <w:rPr>
                          <w:b/>
                          <w:bCs/>
                          <w:color w:val="000000" w:themeColor="text1"/>
                          <w:sz w:val="12"/>
                          <w:szCs w:val="12"/>
                        </w:rPr>
                      </w:pPr>
                    </w:p>
                    <w:p w14:paraId="21936DB8" w14:textId="77777777" w:rsidR="00484D6A" w:rsidRPr="002B0E22" w:rsidRDefault="00484D6A" w:rsidP="00484D6A">
                      <w:pPr>
                        <w:spacing w:after="0" w:line="240" w:lineRule="auto"/>
                        <w:jc w:val="center"/>
                        <w:rPr>
                          <w:color w:val="000000" w:themeColor="text1"/>
                          <w:sz w:val="18"/>
                          <w:szCs w:val="18"/>
                        </w:rPr>
                      </w:pPr>
                      <w:r w:rsidRPr="002B0E22">
                        <w:rPr>
                          <w:color w:val="000000" w:themeColor="text1"/>
                          <w:sz w:val="18"/>
                          <w:szCs w:val="18"/>
                        </w:rPr>
                        <w:t>Schválená podpora celkem: 290 mil. Kč</w:t>
                      </w:r>
                    </w:p>
                    <w:p w14:paraId="2FE4EEC2" w14:textId="77777777" w:rsidR="00484D6A" w:rsidRPr="00A4717E" w:rsidRDefault="00484D6A" w:rsidP="00484D6A">
                      <w:pPr>
                        <w:spacing w:after="0" w:line="240" w:lineRule="auto"/>
                        <w:jc w:val="center"/>
                        <w:rPr>
                          <w:b/>
                          <w:bCs/>
                          <w:color w:val="000000" w:themeColor="text1"/>
                          <w:sz w:val="12"/>
                          <w:szCs w:val="12"/>
                          <w:highlight w:val="yellow"/>
                        </w:rPr>
                      </w:pPr>
                    </w:p>
                    <w:p w14:paraId="7CA843D1" w14:textId="77777777" w:rsidR="00484D6A" w:rsidRDefault="00484D6A" w:rsidP="00484D6A">
                      <w:pPr>
                        <w:spacing w:after="0" w:line="240" w:lineRule="auto"/>
                        <w:jc w:val="center"/>
                        <w:rPr>
                          <w:color w:val="000000" w:themeColor="text1"/>
                          <w:sz w:val="18"/>
                          <w:szCs w:val="18"/>
                        </w:rPr>
                      </w:pPr>
                      <w:r>
                        <w:rPr>
                          <w:color w:val="000000" w:themeColor="text1"/>
                          <w:sz w:val="18"/>
                          <w:szCs w:val="18"/>
                        </w:rPr>
                        <w:t>P</w:t>
                      </w:r>
                      <w:r w:rsidRPr="002B0E22">
                        <w:rPr>
                          <w:color w:val="000000" w:themeColor="text1"/>
                          <w:sz w:val="18"/>
                          <w:szCs w:val="18"/>
                        </w:rPr>
                        <w:t xml:space="preserve">oskytování komplexního portfolia podpůrných služeb nutných pro intenzivní zapojování výzkumných a inovačních stakeholderů ČR do </w:t>
                      </w:r>
                      <w:r>
                        <w:rPr>
                          <w:color w:val="000000" w:themeColor="text1"/>
                          <w:sz w:val="18"/>
                          <w:szCs w:val="18"/>
                        </w:rPr>
                        <w:t>ERA.</w:t>
                      </w:r>
                      <w:r>
                        <w:rPr>
                          <w:color w:val="000000" w:themeColor="text1"/>
                          <w:sz w:val="18"/>
                          <w:szCs w:val="18"/>
                        </w:rPr>
                        <w:br/>
                      </w:r>
                      <w:r>
                        <w:rPr>
                          <w:color w:val="000000" w:themeColor="text1"/>
                          <w:sz w:val="18"/>
                          <w:szCs w:val="18"/>
                        </w:rPr>
                        <w:br/>
                      </w:r>
                    </w:p>
                  </w:txbxContent>
                </v:textbox>
              </v:roundrect>
            </w:pict>
          </mc:Fallback>
        </mc:AlternateContent>
      </w:r>
      <w:r>
        <w:rPr>
          <w:rFonts w:eastAsia="Times New Roman" w:cs="Arial"/>
          <w:b/>
          <w:noProof/>
          <w:lang w:eastAsia="cs-CZ"/>
        </w:rPr>
        <mc:AlternateContent>
          <mc:Choice Requires="wps">
            <w:drawing>
              <wp:anchor distT="0" distB="0" distL="114300" distR="114300" simplePos="0" relativeHeight="251673088" behindDoc="0" locked="0" layoutInCell="1" allowOverlap="1" wp14:anchorId="27CB6131" wp14:editId="738C64D7">
                <wp:simplePos x="0" y="0"/>
                <wp:positionH relativeFrom="column">
                  <wp:posOffset>3137535</wp:posOffset>
                </wp:positionH>
                <wp:positionV relativeFrom="paragraph">
                  <wp:posOffset>39370</wp:posOffset>
                </wp:positionV>
                <wp:extent cx="2699385" cy="2286000"/>
                <wp:effectExtent l="0" t="0" r="24765" b="19050"/>
                <wp:wrapNone/>
                <wp:docPr id="236" name="Obdélník: se zakulacenými rohy 236"/>
                <wp:cNvGraphicFramePr/>
                <a:graphic xmlns:a="http://schemas.openxmlformats.org/drawingml/2006/main">
                  <a:graphicData uri="http://schemas.microsoft.com/office/word/2010/wordprocessingShape">
                    <wps:wsp>
                      <wps:cNvSpPr/>
                      <wps:spPr>
                        <a:xfrm>
                          <a:off x="0" y="0"/>
                          <a:ext cx="2699385" cy="2286000"/>
                        </a:xfrm>
                        <a:prstGeom prst="roundRect">
                          <a:avLst/>
                        </a:prstGeom>
                        <a:solidFill>
                          <a:schemeClr val="bg1"/>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E3EA3BB" w14:textId="77777777" w:rsidR="00484D6A" w:rsidRDefault="00484D6A" w:rsidP="00484D6A">
                            <w:pPr>
                              <w:spacing w:after="0" w:line="240" w:lineRule="auto"/>
                              <w:jc w:val="center"/>
                              <w:rPr>
                                <w:b/>
                                <w:bCs/>
                                <w:color w:val="000000" w:themeColor="text1"/>
                              </w:rPr>
                            </w:pPr>
                            <w:r w:rsidRPr="002B0E22">
                              <w:rPr>
                                <w:b/>
                                <w:bCs/>
                                <w:color w:val="000000" w:themeColor="text1"/>
                              </w:rPr>
                              <w:t>STRATIN+ (2021–202</w:t>
                            </w:r>
                            <w:r>
                              <w:rPr>
                                <w:b/>
                                <w:bCs/>
                                <w:color w:val="000000" w:themeColor="text1"/>
                              </w:rPr>
                              <w:t>4)</w:t>
                            </w:r>
                          </w:p>
                          <w:p w14:paraId="241C320C" w14:textId="77777777" w:rsidR="00484D6A" w:rsidRPr="002B0E22" w:rsidRDefault="00484D6A" w:rsidP="00484D6A">
                            <w:pPr>
                              <w:spacing w:after="0" w:line="240" w:lineRule="auto"/>
                              <w:jc w:val="center"/>
                              <w:rPr>
                                <w:b/>
                                <w:bCs/>
                                <w:color w:val="000000" w:themeColor="text1"/>
                              </w:rPr>
                            </w:pPr>
                            <w:r>
                              <w:rPr>
                                <w:b/>
                                <w:bCs/>
                                <w:color w:val="000000" w:themeColor="text1"/>
                              </w:rPr>
                              <w:t xml:space="preserve">                   (2025–2030)</w:t>
                            </w:r>
                          </w:p>
                          <w:p w14:paraId="68B8CC86" w14:textId="77777777" w:rsidR="00484D6A" w:rsidRPr="002B0E22" w:rsidRDefault="00484D6A" w:rsidP="00484D6A">
                            <w:pPr>
                              <w:spacing w:after="0" w:line="240" w:lineRule="auto"/>
                              <w:jc w:val="center"/>
                              <w:rPr>
                                <w:b/>
                                <w:bCs/>
                                <w:color w:val="000000" w:themeColor="text1"/>
                                <w:sz w:val="12"/>
                                <w:szCs w:val="12"/>
                              </w:rPr>
                            </w:pPr>
                          </w:p>
                          <w:p w14:paraId="148B2C8A" w14:textId="77777777" w:rsidR="00484D6A" w:rsidRPr="002B0E22" w:rsidRDefault="00484D6A" w:rsidP="00484D6A">
                            <w:pPr>
                              <w:spacing w:after="0" w:line="240" w:lineRule="auto"/>
                              <w:jc w:val="center"/>
                              <w:rPr>
                                <w:i/>
                                <w:iCs/>
                                <w:color w:val="000000" w:themeColor="text1"/>
                                <w:sz w:val="18"/>
                                <w:szCs w:val="18"/>
                              </w:rPr>
                            </w:pPr>
                            <w:r w:rsidRPr="002B0E22">
                              <w:rPr>
                                <w:i/>
                                <w:iCs/>
                                <w:color w:val="000000" w:themeColor="text1"/>
                                <w:sz w:val="18"/>
                                <w:szCs w:val="18"/>
                              </w:rPr>
                              <w:t>(hlavní řešitel: Technologické centrum Praha)</w:t>
                            </w:r>
                          </w:p>
                          <w:p w14:paraId="3A386746" w14:textId="77777777" w:rsidR="00484D6A" w:rsidRPr="002B0E22" w:rsidRDefault="00484D6A" w:rsidP="00484D6A">
                            <w:pPr>
                              <w:spacing w:after="0" w:line="240" w:lineRule="auto"/>
                              <w:jc w:val="center"/>
                              <w:rPr>
                                <w:b/>
                                <w:bCs/>
                                <w:color w:val="000000" w:themeColor="text1"/>
                                <w:sz w:val="12"/>
                                <w:szCs w:val="12"/>
                              </w:rPr>
                            </w:pPr>
                          </w:p>
                          <w:p w14:paraId="20DECAAA" w14:textId="77777777" w:rsidR="00484D6A" w:rsidRDefault="00484D6A" w:rsidP="00484D6A">
                            <w:pPr>
                              <w:spacing w:after="0" w:line="240" w:lineRule="auto"/>
                              <w:jc w:val="center"/>
                              <w:rPr>
                                <w:color w:val="000000" w:themeColor="text1"/>
                                <w:sz w:val="18"/>
                                <w:szCs w:val="18"/>
                              </w:rPr>
                            </w:pPr>
                            <w:r w:rsidRPr="002B0E22">
                              <w:rPr>
                                <w:color w:val="000000" w:themeColor="text1"/>
                                <w:sz w:val="18"/>
                                <w:szCs w:val="18"/>
                              </w:rPr>
                              <w:t>Schválená podpora celkem: 92 mil. Kč</w:t>
                            </w:r>
                          </w:p>
                          <w:p w14:paraId="1E119442" w14:textId="77777777" w:rsidR="00484D6A" w:rsidRPr="002B0E22" w:rsidRDefault="00484D6A" w:rsidP="00484D6A">
                            <w:pPr>
                              <w:spacing w:after="0" w:line="240" w:lineRule="auto"/>
                              <w:ind w:left="1559"/>
                              <w:jc w:val="center"/>
                              <w:rPr>
                                <w:color w:val="000000" w:themeColor="text1"/>
                                <w:sz w:val="18"/>
                                <w:szCs w:val="18"/>
                              </w:rPr>
                            </w:pPr>
                            <w:r>
                              <w:rPr>
                                <w:color w:val="000000" w:themeColor="text1"/>
                                <w:sz w:val="18"/>
                                <w:szCs w:val="18"/>
                              </w:rPr>
                              <w:t xml:space="preserve">            292 mil. Kč</w:t>
                            </w:r>
                          </w:p>
                          <w:p w14:paraId="237159CE" w14:textId="77777777" w:rsidR="00484D6A" w:rsidRPr="00A4717E" w:rsidRDefault="00484D6A" w:rsidP="00484D6A">
                            <w:pPr>
                              <w:spacing w:after="0" w:line="240" w:lineRule="auto"/>
                              <w:jc w:val="center"/>
                              <w:rPr>
                                <w:b/>
                                <w:bCs/>
                                <w:color w:val="000000" w:themeColor="text1"/>
                                <w:sz w:val="12"/>
                                <w:szCs w:val="12"/>
                                <w:highlight w:val="yellow"/>
                              </w:rPr>
                            </w:pPr>
                          </w:p>
                          <w:p w14:paraId="4E8F05A8" w14:textId="77777777" w:rsidR="00484D6A" w:rsidRDefault="00484D6A" w:rsidP="00484D6A">
                            <w:pPr>
                              <w:spacing w:after="0" w:line="240" w:lineRule="auto"/>
                              <w:jc w:val="center"/>
                              <w:rPr>
                                <w:color w:val="000000" w:themeColor="text1"/>
                                <w:sz w:val="18"/>
                                <w:szCs w:val="18"/>
                              </w:rPr>
                            </w:pPr>
                            <w:r>
                              <w:rPr>
                                <w:color w:val="000000" w:themeColor="text1"/>
                                <w:sz w:val="18"/>
                                <w:szCs w:val="18"/>
                              </w:rPr>
                              <w:t>S</w:t>
                            </w:r>
                            <w:r w:rsidRPr="002722D2">
                              <w:rPr>
                                <w:color w:val="000000" w:themeColor="text1"/>
                                <w:sz w:val="18"/>
                                <w:szCs w:val="18"/>
                              </w:rPr>
                              <w:t xml:space="preserve">ystematická analýza a evaluace dopadů politiky </w:t>
                            </w:r>
                            <w:proofErr w:type="spellStart"/>
                            <w:r>
                              <w:rPr>
                                <w:color w:val="000000" w:themeColor="text1"/>
                                <w:sz w:val="18"/>
                                <w:szCs w:val="18"/>
                              </w:rPr>
                              <w:t>VaVaI</w:t>
                            </w:r>
                            <w:proofErr w:type="spellEnd"/>
                            <w:r w:rsidRPr="002722D2">
                              <w:rPr>
                                <w:color w:val="000000" w:themeColor="text1"/>
                                <w:sz w:val="18"/>
                                <w:szCs w:val="18"/>
                              </w:rPr>
                              <w:t xml:space="preserve"> na ekonomickou konkurenceschopnost ČR,</w:t>
                            </w:r>
                            <w:r>
                              <w:rPr>
                                <w:color w:val="000000" w:themeColor="text1"/>
                                <w:sz w:val="18"/>
                                <w:szCs w:val="18"/>
                              </w:rPr>
                              <w:t xml:space="preserve"> </w:t>
                            </w:r>
                            <w:r w:rsidRPr="002722D2">
                              <w:rPr>
                                <w:color w:val="000000" w:themeColor="text1"/>
                                <w:sz w:val="18"/>
                                <w:szCs w:val="18"/>
                              </w:rPr>
                              <w:t>identifikace a</w:t>
                            </w:r>
                            <w:r>
                              <w:rPr>
                                <w:color w:val="000000" w:themeColor="text1"/>
                                <w:sz w:val="18"/>
                                <w:szCs w:val="18"/>
                              </w:rPr>
                              <w:t> </w:t>
                            </w:r>
                            <w:r w:rsidRPr="002722D2">
                              <w:rPr>
                                <w:color w:val="000000" w:themeColor="text1"/>
                                <w:sz w:val="18"/>
                                <w:szCs w:val="18"/>
                              </w:rPr>
                              <w:t>vyhodnocování nových technologických trendů a příležitostí či posuzování dopadů nových technologií na společnost</w:t>
                            </w:r>
                            <w:r>
                              <w:rPr>
                                <w:color w:val="000000" w:themeColor="text1"/>
                                <w:sz w:val="18"/>
                                <w:szCs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7CB6131" id="Obdélník: se zakulacenými rohy 236" o:spid="_x0000_s1037" style="position:absolute;left:0;text-align:left;margin-left:247.05pt;margin-top:3.1pt;width:212.55pt;height:180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" fillcolor="white [3212]" strokecolor="#4f81bd [3204]" strokeweight="2pt">
                <v:textbox>
                  <w:txbxContent>
                    <w:p w14:paraId="5E3EA3BB" w14:textId="77777777" w:rsidR="00484D6A" w:rsidRDefault="00484D6A" w:rsidP="00484D6A">
                      <w:pPr>
                        <w:spacing w:after="0" w:line="240" w:lineRule="auto"/>
                        <w:jc w:val="center"/>
                        <w:rPr>
                          <w:b/>
                          <w:bCs/>
                          <w:color w:val="000000" w:themeColor="text1"/>
                        </w:rPr>
                      </w:pPr>
                      <w:r w:rsidRPr="002B0E22">
                        <w:rPr>
                          <w:b/>
                          <w:bCs/>
                          <w:color w:val="000000" w:themeColor="text1"/>
                        </w:rPr>
                        <w:t>STRATIN+ (2021–202</w:t>
                      </w:r>
                      <w:r>
                        <w:rPr>
                          <w:b/>
                          <w:bCs/>
                          <w:color w:val="000000" w:themeColor="text1"/>
                        </w:rPr>
                        <w:t>4)</w:t>
                      </w:r>
                    </w:p>
                    <w:p w14:paraId="241C320C" w14:textId="77777777" w:rsidR="00484D6A" w:rsidRPr="002B0E22" w:rsidRDefault="00484D6A" w:rsidP="00484D6A">
                      <w:pPr>
                        <w:spacing w:after="0" w:line="240" w:lineRule="auto"/>
                        <w:jc w:val="center"/>
                        <w:rPr>
                          <w:b/>
                          <w:bCs/>
                          <w:color w:val="000000" w:themeColor="text1"/>
                        </w:rPr>
                      </w:pPr>
                      <w:r>
                        <w:rPr>
                          <w:b/>
                          <w:bCs/>
                          <w:color w:val="000000" w:themeColor="text1"/>
                        </w:rPr>
                        <w:t xml:space="preserve">                   (2025–2030)</w:t>
                      </w:r>
                    </w:p>
                    <w:p w14:paraId="68B8CC86" w14:textId="77777777" w:rsidR="00484D6A" w:rsidRPr="002B0E22" w:rsidRDefault="00484D6A" w:rsidP="00484D6A">
                      <w:pPr>
                        <w:spacing w:after="0" w:line="240" w:lineRule="auto"/>
                        <w:jc w:val="center"/>
                        <w:rPr>
                          <w:b/>
                          <w:bCs/>
                          <w:color w:val="000000" w:themeColor="text1"/>
                          <w:sz w:val="12"/>
                          <w:szCs w:val="12"/>
                        </w:rPr>
                      </w:pPr>
                    </w:p>
                    <w:p w14:paraId="148B2C8A" w14:textId="77777777" w:rsidR="00484D6A" w:rsidRPr="002B0E22" w:rsidRDefault="00484D6A" w:rsidP="00484D6A">
                      <w:pPr>
                        <w:spacing w:after="0" w:line="240" w:lineRule="auto"/>
                        <w:jc w:val="center"/>
                        <w:rPr>
                          <w:i/>
                          <w:iCs/>
                          <w:color w:val="000000" w:themeColor="text1"/>
                          <w:sz w:val="18"/>
                          <w:szCs w:val="18"/>
                        </w:rPr>
                      </w:pPr>
                      <w:r w:rsidRPr="002B0E22">
                        <w:rPr>
                          <w:i/>
                          <w:iCs/>
                          <w:color w:val="000000" w:themeColor="text1"/>
                          <w:sz w:val="18"/>
                          <w:szCs w:val="18"/>
                        </w:rPr>
                        <w:t>(hlavní řešitel: Technologické centrum Praha)</w:t>
                      </w:r>
                    </w:p>
                    <w:p w14:paraId="3A386746" w14:textId="77777777" w:rsidR="00484D6A" w:rsidRPr="002B0E22" w:rsidRDefault="00484D6A" w:rsidP="00484D6A">
                      <w:pPr>
                        <w:spacing w:after="0" w:line="240" w:lineRule="auto"/>
                        <w:jc w:val="center"/>
                        <w:rPr>
                          <w:b/>
                          <w:bCs/>
                          <w:color w:val="000000" w:themeColor="text1"/>
                          <w:sz w:val="12"/>
                          <w:szCs w:val="12"/>
                        </w:rPr>
                      </w:pPr>
                    </w:p>
                    <w:p w14:paraId="20DECAAA" w14:textId="77777777" w:rsidR="00484D6A" w:rsidRDefault="00484D6A" w:rsidP="00484D6A">
                      <w:pPr>
                        <w:spacing w:after="0" w:line="240" w:lineRule="auto"/>
                        <w:jc w:val="center"/>
                        <w:rPr>
                          <w:color w:val="000000" w:themeColor="text1"/>
                          <w:sz w:val="18"/>
                          <w:szCs w:val="18"/>
                        </w:rPr>
                      </w:pPr>
                      <w:r w:rsidRPr="002B0E22">
                        <w:rPr>
                          <w:color w:val="000000" w:themeColor="text1"/>
                          <w:sz w:val="18"/>
                          <w:szCs w:val="18"/>
                        </w:rPr>
                        <w:t>Schválená podpora celkem: 92 mil. Kč</w:t>
                      </w:r>
                    </w:p>
                    <w:p w14:paraId="1E119442" w14:textId="77777777" w:rsidR="00484D6A" w:rsidRPr="002B0E22" w:rsidRDefault="00484D6A" w:rsidP="00484D6A">
                      <w:pPr>
                        <w:spacing w:after="0" w:line="240" w:lineRule="auto"/>
                        <w:ind w:left="1559"/>
                        <w:jc w:val="center"/>
                        <w:rPr>
                          <w:color w:val="000000" w:themeColor="text1"/>
                          <w:sz w:val="18"/>
                          <w:szCs w:val="18"/>
                        </w:rPr>
                      </w:pPr>
                      <w:r>
                        <w:rPr>
                          <w:color w:val="000000" w:themeColor="text1"/>
                          <w:sz w:val="18"/>
                          <w:szCs w:val="18"/>
                        </w:rPr>
                        <w:t xml:space="preserve">            292 mil. Kč</w:t>
                      </w:r>
                    </w:p>
                    <w:p w14:paraId="237159CE" w14:textId="77777777" w:rsidR="00484D6A" w:rsidRPr="00A4717E" w:rsidRDefault="00484D6A" w:rsidP="00484D6A">
                      <w:pPr>
                        <w:spacing w:after="0" w:line="240" w:lineRule="auto"/>
                        <w:jc w:val="center"/>
                        <w:rPr>
                          <w:b/>
                          <w:bCs/>
                          <w:color w:val="000000" w:themeColor="text1"/>
                          <w:sz w:val="12"/>
                          <w:szCs w:val="12"/>
                          <w:highlight w:val="yellow"/>
                        </w:rPr>
                      </w:pPr>
                    </w:p>
                    <w:p w14:paraId="4E8F05A8" w14:textId="77777777" w:rsidR="00484D6A" w:rsidRDefault="00484D6A" w:rsidP="00484D6A">
                      <w:pPr>
                        <w:spacing w:after="0" w:line="240" w:lineRule="auto"/>
                        <w:jc w:val="center"/>
                        <w:rPr>
                          <w:color w:val="000000" w:themeColor="text1"/>
                          <w:sz w:val="18"/>
                          <w:szCs w:val="18"/>
                        </w:rPr>
                      </w:pPr>
                      <w:r>
                        <w:rPr>
                          <w:color w:val="000000" w:themeColor="text1"/>
                          <w:sz w:val="18"/>
                          <w:szCs w:val="18"/>
                        </w:rPr>
                        <w:t>S</w:t>
                      </w:r>
                      <w:r w:rsidRPr="002722D2">
                        <w:rPr>
                          <w:color w:val="000000" w:themeColor="text1"/>
                          <w:sz w:val="18"/>
                          <w:szCs w:val="18"/>
                        </w:rPr>
                        <w:t xml:space="preserve">ystematická analýza a evaluace dopadů politiky </w:t>
                      </w:r>
                      <w:proofErr w:type="spellStart"/>
                      <w:r>
                        <w:rPr>
                          <w:color w:val="000000" w:themeColor="text1"/>
                          <w:sz w:val="18"/>
                          <w:szCs w:val="18"/>
                        </w:rPr>
                        <w:t>VaVaI</w:t>
                      </w:r>
                      <w:proofErr w:type="spellEnd"/>
                      <w:r w:rsidRPr="002722D2">
                        <w:rPr>
                          <w:color w:val="000000" w:themeColor="text1"/>
                          <w:sz w:val="18"/>
                          <w:szCs w:val="18"/>
                        </w:rPr>
                        <w:t xml:space="preserve"> na ekonomickou konkurenceschopnost ČR,</w:t>
                      </w:r>
                      <w:r>
                        <w:rPr>
                          <w:color w:val="000000" w:themeColor="text1"/>
                          <w:sz w:val="18"/>
                          <w:szCs w:val="18"/>
                        </w:rPr>
                        <w:t xml:space="preserve"> </w:t>
                      </w:r>
                      <w:r w:rsidRPr="002722D2">
                        <w:rPr>
                          <w:color w:val="000000" w:themeColor="text1"/>
                          <w:sz w:val="18"/>
                          <w:szCs w:val="18"/>
                        </w:rPr>
                        <w:t>identifikace a</w:t>
                      </w:r>
                      <w:r>
                        <w:rPr>
                          <w:color w:val="000000" w:themeColor="text1"/>
                          <w:sz w:val="18"/>
                          <w:szCs w:val="18"/>
                        </w:rPr>
                        <w:t> </w:t>
                      </w:r>
                      <w:r w:rsidRPr="002722D2">
                        <w:rPr>
                          <w:color w:val="000000" w:themeColor="text1"/>
                          <w:sz w:val="18"/>
                          <w:szCs w:val="18"/>
                        </w:rPr>
                        <w:t>vyhodnocování nových technologických trendů a příležitostí či posuzování dopadů nových technologií na společnost</w:t>
                      </w:r>
                      <w:r>
                        <w:rPr>
                          <w:color w:val="000000" w:themeColor="text1"/>
                          <w:sz w:val="18"/>
                          <w:szCs w:val="18"/>
                        </w:rPr>
                        <w:t>.</w:t>
                      </w:r>
                    </w:p>
                  </w:txbxContent>
                </v:textbox>
              </v:roundrect>
            </w:pict>
          </mc:Fallback>
        </mc:AlternateContent>
      </w:r>
    </w:p>
    <w:p w14:paraId="26FF1769" w14:textId="77777777" w:rsidR="00484D6A" w:rsidRDefault="00484D6A" w:rsidP="00484D6A">
      <w:pPr>
        <w:spacing w:after="0" w:line="360" w:lineRule="auto"/>
        <w:jc w:val="both"/>
        <w:rPr>
          <w:rFonts w:eastAsia="Times New Roman" w:cs="Arial"/>
          <w:b/>
          <w:lang w:eastAsia="cs-CZ"/>
        </w:rPr>
      </w:pPr>
    </w:p>
    <w:p w14:paraId="2331D0B1" w14:textId="77777777" w:rsidR="00484D6A" w:rsidRDefault="00484D6A" w:rsidP="00484D6A">
      <w:pPr>
        <w:spacing w:after="0" w:line="360" w:lineRule="auto"/>
        <w:jc w:val="both"/>
        <w:rPr>
          <w:rFonts w:eastAsia="Times New Roman" w:cs="Arial"/>
          <w:b/>
          <w:lang w:eastAsia="cs-CZ"/>
        </w:rPr>
      </w:pPr>
    </w:p>
    <w:p w14:paraId="491FDCF5" w14:textId="77777777" w:rsidR="00484D6A" w:rsidRDefault="00484D6A" w:rsidP="00484D6A">
      <w:pPr>
        <w:spacing w:after="0" w:line="360" w:lineRule="auto"/>
        <w:jc w:val="both"/>
        <w:rPr>
          <w:rFonts w:eastAsia="Times New Roman" w:cs="Arial"/>
          <w:b/>
          <w:lang w:eastAsia="cs-CZ"/>
        </w:rPr>
      </w:pPr>
    </w:p>
    <w:p w14:paraId="666C87DB" w14:textId="77777777" w:rsidR="00484D6A" w:rsidRDefault="00484D6A" w:rsidP="00484D6A">
      <w:pPr>
        <w:spacing w:after="0" w:line="360" w:lineRule="auto"/>
        <w:jc w:val="both"/>
        <w:rPr>
          <w:rFonts w:eastAsia="Times New Roman" w:cs="Arial"/>
          <w:b/>
          <w:lang w:eastAsia="cs-CZ"/>
        </w:rPr>
      </w:pPr>
    </w:p>
    <w:p w14:paraId="6CA4C921" w14:textId="77777777" w:rsidR="00484D6A" w:rsidRDefault="00484D6A" w:rsidP="00484D6A">
      <w:pPr>
        <w:spacing w:after="0" w:line="360" w:lineRule="auto"/>
        <w:jc w:val="both"/>
        <w:rPr>
          <w:rFonts w:eastAsia="Times New Roman" w:cs="Arial"/>
          <w:b/>
          <w:lang w:eastAsia="cs-CZ"/>
        </w:rPr>
      </w:pPr>
    </w:p>
    <w:p w14:paraId="08C4D866" w14:textId="77777777" w:rsidR="00484D6A" w:rsidRDefault="00484D6A" w:rsidP="00484D6A">
      <w:pPr>
        <w:spacing w:after="0" w:line="360" w:lineRule="auto"/>
        <w:jc w:val="both"/>
        <w:rPr>
          <w:rFonts w:eastAsia="Times New Roman" w:cs="Arial"/>
          <w:b/>
          <w:lang w:eastAsia="cs-CZ"/>
        </w:rPr>
      </w:pPr>
    </w:p>
    <w:p w14:paraId="02AE79A1" w14:textId="77777777" w:rsidR="00484D6A" w:rsidRDefault="00484D6A" w:rsidP="00484D6A">
      <w:pPr>
        <w:spacing w:after="0" w:line="360" w:lineRule="auto"/>
        <w:jc w:val="both"/>
        <w:rPr>
          <w:rFonts w:eastAsia="Times New Roman" w:cs="Arial"/>
          <w:b/>
          <w:lang w:eastAsia="cs-CZ"/>
        </w:rPr>
      </w:pPr>
    </w:p>
    <w:p w14:paraId="7A7CCE48" w14:textId="77777777" w:rsidR="00484D6A" w:rsidRDefault="00484D6A" w:rsidP="00484D6A">
      <w:pPr>
        <w:spacing w:after="0" w:line="360" w:lineRule="auto"/>
        <w:jc w:val="both"/>
        <w:rPr>
          <w:rFonts w:eastAsia="Times New Roman" w:cs="Arial"/>
          <w:b/>
          <w:lang w:eastAsia="cs-CZ"/>
        </w:rPr>
      </w:pPr>
    </w:p>
    <w:p w14:paraId="2102943A" w14:textId="77777777" w:rsidR="00484D6A" w:rsidRDefault="00484D6A" w:rsidP="00484D6A">
      <w:pPr>
        <w:spacing w:after="0" w:line="360" w:lineRule="auto"/>
        <w:jc w:val="both"/>
        <w:rPr>
          <w:rFonts w:eastAsia="Times New Roman" w:cs="Arial"/>
          <w:b/>
          <w:lang w:eastAsia="cs-CZ"/>
        </w:rPr>
      </w:pPr>
    </w:p>
    <w:p w14:paraId="2271019F" w14:textId="77777777" w:rsidR="00484D6A" w:rsidRDefault="00484D6A" w:rsidP="00484D6A">
      <w:pPr>
        <w:spacing w:after="120" w:line="360" w:lineRule="auto"/>
        <w:jc w:val="both"/>
        <w:rPr>
          <w:rFonts w:eastAsia="Times New Roman" w:cs="Arial"/>
          <w:bCs/>
          <w:lang w:eastAsia="cs-CZ"/>
        </w:rPr>
      </w:pPr>
    </w:p>
    <w:p w14:paraId="4875DB0F" w14:textId="77777777" w:rsidR="00484D6A" w:rsidRDefault="00484D6A" w:rsidP="00484D6A">
      <w:pPr>
        <w:keepNext/>
        <w:keepLines/>
        <w:shd w:val="clear" w:color="auto" w:fill="E3E8F1"/>
        <w:spacing w:after="0" w:line="240" w:lineRule="auto"/>
        <w:jc w:val="both"/>
        <w:rPr>
          <w:rFonts w:eastAsia="Times New Roman" w:cs="Arial"/>
          <w:b/>
          <w:sz w:val="26"/>
          <w:szCs w:val="26"/>
          <w:lang w:eastAsia="cs-CZ"/>
        </w:rPr>
      </w:pPr>
      <w:r w:rsidRPr="00E54A04">
        <w:rPr>
          <w:rFonts w:eastAsia="Times New Roman" w:cs="Arial"/>
          <w:b/>
          <w:sz w:val="26"/>
          <w:szCs w:val="26"/>
          <w:lang w:eastAsia="cs-CZ"/>
        </w:rPr>
        <w:t xml:space="preserve">NCIP </w:t>
      </w:r>
      <w:proofErr w:type="spellStart"/>
      <w:r w:rsidRPr="00E54A04">
        <w:rPr>
          <w:rFonts w:eastAsia="Times New Roman" w:cs="Arial"/>
          <w:b/>
          <w:sz w:val="26"/>
          <w:szCs w:val="26"/>
          <w:lang w:eastAsia="cs-CZ"/>
        </w:rPr>
        <w:t>VaVaI</w:t>
      </w:r>
      <w:proofErr w:type="spellEnd"/>
      <w:r w:rsidRPr="00E54A04">
        <w:rPr>
          <w:rFonts w:eastAsia="Times New Roman" w:cs="Arial"/>
          <w:b/>
          <w:sz w:val="26"/>
          <w:szCs w:val="26"/>
          <w:lang w:eastAsia="cs-CZ"/>
        </w:rPr>
        <w:t xml:space="preserve">: Národní centrum pro informační podporu </w:t>
      </w:r>
      <w:proofErr w:type="spellStart"/>
      <w:r>
        <w:rPr>
          <w:rFonts w:eastAsia="Times New Roman" w:cs="Arial"/>
          <w:b/>
          <w:sz w:val="26"/>
          <w:szCs w:val="26"/>
          <w:lang w:eastAsia="cs-CZ"/>
        </w:rPr>
        <w:t>VaVaI</w:t>
      </w:r>
      <w:proofErr w:type="spellEnd"/>
    </w:p>
    <w:p w14:paraId="6C61B506" w14:textId="77777777" w:rsidR="00484D6A" w:rsidRPr="000E54C6" w:rsidRDefault="00484D6A" w:rsidP="00484D6A">
      <w:pPr>
        <w:keepNext/>
        <w:keepLines/>
        <w:shd w:val="clear" w:color="auto" w:fill="E3E8F1"/>
        <w:spacing w:after="0" w:line="240" w:lineRule="auto"/>
        <w:jc w:val="both"/>
        <w:rPr>
          <w:rFonts w:eastAsia="Times New Roman" w:cs="Arial"/>
          <w:b/>
          <w:sz w:val="12"/>
          <w:szCs w:val="12"/>
          <w:highlight w:val="yellow"/>
          <w:lang w:eastAsia="cs-CZ"/>
        </w:rPr>
      </w:pPr>
    </w:p>
    <w:p w14:paraId="7B6A9A91" w14:textId="77777777" w:rsidR="00484D6A" w:rsidRPr="006209EB" w:rsidRDefault="00484D6A" w:rsidP="00484D6A">
      <w:pPr>
        <w:spacing w:before="120" w:after="0" w:line="360" w:lineRule="auto"/>
        <w:jc w:val="both"/>
        <w:rPr>
          <w:rFonts w:eastAsia="Times New Roman" w:cs="Arial"/>
          <w:b/>
          <w:bCs/>
          <w:lang w:eastAsia="cs-CZ"/>
        </w:rPr>
      </w:pPr>
      <w:r w:rsidRPr="006209EB">
        <w:rPr>
          <w:rFonts w:eastAsia="Times New Roman" w:cs="Arial"/>
          <w:b/>
          <w:bCs/>
          <w:lang w:eastAsia="cs-CZ"/>
        </w:rPr>
        <w:t>Projektové aktivity:</w:t>
      </w:r>
    </w:p>
    <w:p w14:paraId="43B8A263" w14:textId="77777777" w:rsidR="00484D6A" w:rsidRDefault="00484D6A" w:rsidP="00484D6A">
      <w:pPr>
        <w:spacing w:after="0" w:line="360" w:lineRule="auto"/>
        <w:ind w:left="142"/>
        <w:jc w:val="both"/>
        <w:rPr>
          <w:rFonts w:eastAsia="Times New Roman" w:cs="Arial"/>
          <w:bCs/>
          <w:lang w:eastAsia="cs-CZ"/>
        </w:rPr>
      </w:pPr>
      <w:r w:rsidRPr="00487F95">
        <w:rPr>
          <w:rFonts w:eastAsia="Times New Roman" w:cs="Arial"/>
          <w:bCs/>
          <w:lang w:eastAsia="cs-CZ"/>
        </w:rPr>
        <w:t>→</w:t>
      </w:r>
      <w:r>
        <w:rPr>
          <w:rFonts w:eastAsia="Times New Roman" w:cs="Arial"/>
          <w:bCs/>
          <w:lang w:eastAsia="cs-CZ"/>
        </w:rPr>
        <w:t xml:space="preserve"> </w:t>
      </w:r>
      <w:r w:rsidRPr="007E3737">
        <w:rPr>
          <w:rFonts w:eastAsia="Times New Roman" w:cs="Arial"/>
          <w:b/>
          <w:lang w:eastAsia="cs-CZ"/>
        </w:rPr>
        <w:t>Koordinace procesů a služeb</w:t>
      </w:r>
      <w:r>
        <w:rPr>
          <w:rFonts w:eastAsia="Times New Roman" w:cs="Arial"/>
          <w:bCs/>
          <w:lang w:eastAsia="cs-CZ"/>
        </w:rPr>
        <w:t xml:space="preserve"> </w:t>
      </w:r>
      <w:r w:rsidRPr="008A5143">
        <w:rPr>
          <w:rFonts w:eastAsia="Times New Roman" w:cs="Arial"/>
          <w:b/>
          <w:lang w:eastAsia="cs-CZ"/>
        </w:rPr>
        <w:t>Ope</w:t>
      </w:r>
      <w:r>
        <w:rPr>
          <w:rFonts w:eastAsia="Times New Roman" w:cs="Arial"/>
          <w:b/>
          <w:lang w:eastAsia="cs-CZ"/>
        </w:rPr>
        <w:t>n</w:t>
      </w:r>
      <w:r w:rsidRPr="008A5143">
        <w:rPr>
          <w:rFonts w:eastAsia="Times New Roman" w:cs="Arial"/>
          <w:b/>
          <w:lang w:eastAsia="cs-CZ"/>
        </w:rPr>
        <w:t xml:space="preserve"> </w:t>
      </w:r>
      <w:r>
        <w:rPr>
          <w:rFonts w:eastAsia="Times New Roman" w:cs="Arial"/>
          <w:b/>
          <w:lang w:eastAsia="cs-CZ"/>
        </w:rPr>
        <w:t>S</w:t>
      </w:r>
      <w:r w:rsidRPr="008A5143">
        <w:rPr>
          <w:rFonts w:eastAsia="Times New Roman" w:cs="Arial"/>
          <w:b/>
          <w:lang w:eastAsia="cs-CZ"/>
        </w:rPr>
        <w:t>cience</w:t>
      </w:r>
      <w:r w:rsidRPr="00F43611">
        <w:rPr>
          <w:rFonts w:eastAsia="Times New Roman" w:cs="Arial"/>
          <w:b/>
          <w:bCs/>
          <w:lang w:eastAsia="cs-CZ"/>
        </w:rPr>
        <w:t>:</w:t>
      </w:r>
      <w:r>
        <w:rPr>
          <w:rFonts w:eastAsia="Times New Roman" w:cs="Arial"/>
          <w:bCs/>
          <w:lang w:eastAsia="cs-CZ"/>
        </w:rPr>
        <w:t xml:space="preserve"> i</w:t>
      </w:r>
      <w:r w:rsidRPr="00A96CF4">
        <w:rPr>
          <w:rFonts w:eastAsia="Times New Roman" w:cs="Arial"/>
          <w:bCs/>
          <w:lang w:eastAsia="cs-CZ"/>
        </w:rPr>
        <w:t>mplementace evropských standardů do</w:t>
      </w:r>
      <w:r>
        <w:rPr>
          <w:rFonts w:eastAsia="Times New Roman" w:cs="Arial"/>
          <w:bCs/>
          <w:lang w:eastAsia="cs-CZ"/>
        </w:rPr>
        <w:t> </w:t>
      </w:r>
      <w:r w:rsidRPr="00A96CF4">
        <w:rPr>
          <w:rFonts w:eastAsia="Times New Roman" w:cs="Arial"/>
          <w:bCs/>
          <w:lang w:eastAsia="cs-CZ"/>
        </w:rPr>
        <w:t>výzkumného prostředí ČR</w:t>
      </w:r>
      <w:r>
        <w:rPr>
          <w:rFonts w:eastAsia="Times New Roman" w:cs="Arial"/>
          <w:bCs/>
          <w:lang w:eastAsia="cs-CZ"/>
        </w:rPr>
        <w:t>, následné vytvoření Národní platformy Open Science.</w:t>
      </w:r>
    </w:p>
    <w:p w14:paraId="1D3A9798" w14:textId="77777777" w:rsidR="00484D6A" w:rsidRPr="00A96CF4" w:rsidRDefault="00484D6A" w:rsidP="00484D6A">
      <w:pPr>
        <w:spacing w:after="0" w:line="360" w:lineRule="auto"/>
        <w:ind w:left="142"/>
        <w:jc w:val="both"/>
        <w:rPr>
          <w:rFonts w:eastAsia="Times New Roman" w:cs="Arial"/>
          <w:bCs/>
          <w:lang w:eastAsia="cs-CZ"/>
        </w:rPr>
      </w:pPr>
      <w:r w:rsidRPr="00487F95">
        <w:rPr>
          <w:rFonts w:eastAsia="Times New Roman" w:cs="Arial"/>
          <w:bCs/>
          <w:lang w:eastAsia="cs-CZ"/>
        </w:rPr>
        <w:lastRenderedPageBreak/>
        <w:t>→</w:t>
      </w:r>
      <w:r>
        <w:rPr>
          <w:rFonts w:eastAsia="Times New Roman" w:cs="Arial"/>
          <w:bCs/>
          <w:lang w:eastAsia="cs-CZ"/>
        </w:rPr>
        <w:t xml:space="preserve"> </w:t>
      </w:r>
      <w:r>
        <w:rPr>
          <w:rFonts w:eastAsia="Times New Roman" w:cs="Arial"/>
          <w:b/>
          <w:lang w:eastAsia="cs-CZ"/>
        </w:rPr>
        <w:t>Zajištění p</w:t>
      </w:r>
      <w:r w:rsidRPr="00A96CF4">
        <w:rPr>
          <w:rFonts w:eastAsia="Times New Roman" w:cs="Arial"/>
          <w:b/>
          <w:lang w:eastAsia="cs-CZ"/>
        </w:rPr>
        <w:t>rovoz</w:t>
      </w:r>
      <w:r>
        <w:rPr>
          <w:rFonts w:eastAsia="Times New Roman" w:cs="Arial"/>
          <w:b/>
          <w:lang w:eastAsia="cs-CZ"/>
        </w:rPr>
        <w:t>u</w:t>
      </w:r>
      <w:r w:rsidRPr="00A96CF4">
        <w:rPr>
          <w:rFonts w:eastAsia="Times New Roman" w:cs="Arial"/>
          <w:b/>
          <w:lang w:eastAsia="cs-CZ"/>
        </w:rPr>
        <w:t xml:space="preserve"> Národního centra </w:t>
      </w:r>
      <w:proofErr w:type="spellStart"/>
      <w:r w:rsidRPr="00A96CF4">
        <w:rPr>
          <w:rFonts w:eastAsia="Times New Roman" w:cs="Arial"/>
          <w:b/>
          <w:lang w:eastAsia="cs-CZ"/>
        </w:rPr>
        <w:t>CzechELib</w:t>
      </w:r>
      <w:proofErr w:type="spellEnd"/>
      <w:r w:rsidRPr="00F43611">
        <w:rPr>
          <w:rFonts w:eastAsia="Times New Roman" w:cs="Arial"/>
          <w:b/>
          <w:bCs/>
          <w:lang w:eastAsia="cs-CZ"/>
        </w:rPr>
        <w:t>:</w:t>
      </w:r>
      <w:r>
        <w:rPr>
          <w:rFonts w:eastAsia="Times New Roman" w:cs="Arial"/>
          <w:bCs/>
          <w:lang w:eastAsia="cs-CZ"/>
        </w:rPr>
        <w:t xml:space="preserve"> nákup </w:t>
      </w:r>
      <w:r w:rsidRPr="00A96CF4">
        <w:rPr>
          <w:rFonts w:eastAsia="Times New Roman" w:cs="Arial"/>
          <w:bCs/>
          <w:lang w:eastAsia="cs-CZ"/>
        </w:rPr>
        <w:t xml:space="preserve">klíčových elektronických </w:t>
      </w:r>
      <w:r>
        <w:rPr>
          <w:rFonts w:eastAsia="Times New Roman" w:cs="Arial"/>
          <w:bCs/>
          <w:lang w:eastAsia="cs-CZ"/>
        </w:rPr>
        <w:t xml:space="preserve">informačních </w:t>
      </w:r>
      <w:r w:rsidRPr="00A96CF4">
        <w:rPr>
          <w:rFonts w:eastAsia="Times New Roman" w:cs="Arial"/>
          <w:bCs/>
          <w:lang w:eastAsia="cs-CZ"/>
        </w:rPr>
        <w:t xml:space="preserve">zdrojů pro celou výzkumnou a vzdělávací komunitu </w:t>
      </w:r>
      <w:r>
        <w:rPr>
          <w:rFonts w:eastAsia="Times New Roman" w:cs="Arial"/>
          <w:bCs/>
          <w:lang w:eastAsia="cs-CZ"/>
        </w:rPr>
        <w:t>ČR, péče o jejich správu včetně statistik využívání, publikování v režimu otevřeného přístupu.</w:t>
      </w:r>
    </w:p>
    <w:p w14:paraId="6BD65DB6" w14:textId="77777777" w:rsidR="00484D6A" w:rsidRDefault="00484D6A" w:rsidP="00484D6A">
      <w:pPr>
        <w:spacing w:after="0" w:line="360" w:lineRule="auto"/>
        <w:ind w:left="142"/>
        <w:jc w:val="both"/>
        <w:rPr>
          <w:rFonts w:eastAsia="Times New Roman" w:cs="Arial"/>
          <w:b/>
          <w:lang w:eastAsia="cs-CZ"/>
        </w:rPr>
      </w:pPr>
      <w:r w:rsidRPr="00487F95">
        <w:rPr>
          <w:rFonts w:eastAsia="Times New Roman" w:cs="Arial"/>
          <w:bCs/>
          <w:lang w:eastAsia="cs-CZ"/>
        </w:rPr>
        <w:t>→</w:t>
      </w:r>
      <w:r>
        <w:rPr>
          <w:rFonts w:eastAsia="Times New Roman" w:cs="Arial"/>
          <w:bCs/>
          <w:lang w:eastAsia="cs-CZ"/>
        </w:rPr>
        <w:t xml:space="preserve"> </w:t>
      </w:r>
      <w:r>
        <w:rPr>
          <w:rFonts w:eastAsia="Times New Roman" w:cs="Arial"/>
          <w:b/>
          <w:lang w:eastAsia="cs-CZ"/>
        </w:rPr>
        <w:t xml:space="preserve">Služby pro akademiky: </w:t>
      </w:r>
      <w:r w:rsidRPr="000F2F45">
        <w:rPr>
          <w:rFonts w:eastAsia="Times New Roman" w:cs="Arial"/>
          <w:lang w:eastAsia="cs-CZ"/>
        </w:rPr>
        <w:t>p</w:t>
      </w:r>
      <w:r w:rsidRPr="00EE6FFA">
        <w:rPr>
          <w:rFonts w:eastAsia="Times New Roman" w:cs="Arial"/>
          <w:bCs/>
          <w:lang w:eastAsia="cs-CZ"/>
        </w:rPr>
        <w:t>okročilé asistované a samoobslužné informační a datové služby</w:t>
      </w:r>
      <w:r w:rsidRPr="00EE6FFA">
        <w:rPr>
          <w:rFonts w:eastAsia="Times New Roman" w:cs="Arial"/>
          <w:b/>
          <w:lang w:eastAsia="cs-CZ"/>
        </w:rPr>
        <w:t xml:space="preserve"> </w:t>
      </w:r>
      <w:r>
        <w:rPr>
          <w:rFonts w:eastAsia="Times New Roman" w:cs="Arial"/>
          <w:bCs/>
          <w:lang w:eastAsia="cs-CZ"/>
        </w:rPr>
        <w:t xml:space="preserve">formou </w:t>
      </w:r>
      <w:r w:rsidRPr="00EE6FFA">
        <w:rPr>
          <w:rFonts w:eastAsia="Times New Roman" w:cs="Arial"/>
          <w:bCs/>
          <w:lang w:eastAsia="cs-CZ"/>
        </w:rPr>
        <w:t>individuální podpor</w:t>
      </w:r>
      <w:r>
        <w:rPr>
          <w:rFonts w:eastAsia="Times New Roman" w:cs="Arial"/>
          <w:bCs/>
          <w:lang w:eastAsia="cs-CZ"/>
        </w:rPr>
        <w:t>y</w:t>
      </w:r>
      <w:r w:rsidRPr="00EE6FFA">
        <w:rPr>
          <w:rFonts w:eastAsia="Times New Roman" w:cs="Arial"/>
          <w:bCs/>
          <w:lang w:eastAsia="cs-CZ"/>
        </w:rPr>
        <w:t xml:space="preserve"> začínající</w:t>
      </w:r>
      <w:r>
        <w:rPr>
          <w:rFonts w:eastAsia="Times New Roman" w:cs="Arial"/>
          <w:bCs/>
          <w:lang w:eastAsia="cs-CZ"/>
        </w:rPr>
        <w:t>m</w:t>
      </w:r>
      <w:r w:rsidRPr="00EE6FFA">
        <w:rPr>
          <w:rFonts w:eastAsia="Times New Roman" w:cs="Arial"/>
          <w:bCs/>
          <w:lang w:eastAsia="cs-CZ"/>
        </w:rPr>
        <w:t xml:space="preserve"> výzkumníků</w:t>
      </w:r>
      <w:r>
        <w:rPr>
          <w:rFonts w:eastAsia="Times New Roman" w:cs="Arial"/>
          <w:bCs/>
          <w:lang w:eastAsia="cs-CZ"/>
        </w:rPr>
        <w:t>m</w:t>
      </w:r>
      <w:r w:rsidRPr="00EE6FFA">
        <w:rPr>
          <w:rFonts w:eastAsia="Times New Roman" w:cs="Arial"/>
          <w:bCs/>
          <w:lang w:eastAsia="cs-CZ"/>
        </w:rPr>
        <w:t xml:space="preserve"> a jejich mentorů</w:t>
      </w:r>
      <w:r>
        <w:rPr>
          <w:rFonts w:eastAsia="Times New Roman" w:cs="Arial"/>
          <w:bCs/>
          <w:lang w:eastAsia="cs-CZ"/>
        </w:rPr>
        <w:t>m</w:t>
      </w:r>
      <w:r w:rsidRPr="00EE6FFA">
        <w:rPr>
          <w:rFonts w:eastAsia="Times New Roman" w:cs="Arial"/>
          <w:bCs/>
          <w:lang w:eastAsia="cs-CZ"/>
        </w:rPr>
        <w:t xml:space="preserve"> prostřednictvím konzultací, workshopů a online návodů</w:t>
      </w:r>
      <w:r>
        <w:rPr>
          <w:rFonts w:eastAsia="Times New Roman" w:cs="Arial"/>
          <w:bCs/>
          <w:lang w:eastAsia="cs-CZ"/>
        </w:rPr>
        <w:t>.</w:t>
      </w:r>
    </w:p>
    <w:p w14:paraId="19D5F180" w14:textId="0E5A61DE" w:rsidR="00484D6A" w:rsidRPr="00A96CF4" w:rsidRDefault="00484D6A" w:rsidP="00484D6A">
      <w:pPr>
        <w:spacing w:after="0" w:line="360" w:lineRule="auto"/>
        <w:ind w:left="142"/>
        <w:jc w:val="both"/>
        <w:rPr>
          <w:rFonts w:eastAsia="Times New Roman" w:cs="Arial"/>
          <w:bCs/>
          <w:lang w:eastAsia="cs-CZ"/>
        </w:rPr>
      </w:pPr>
      <w:r w:rsidRPr="00487F95">
        <w:rPr>
          <w:rFonts w:eastAsia="Times New Roman" w:cs="Arial"/>
          <w:bCs/>
          <w:lang w:eastAsia="cs-CZ"/>
        </w:rPr>
        <w:t>→</w:t>
      </w:r>
      <w:r>
        <w:rPr>
          <w:rFonts w:eastAsia="Times New Roman" w:cs="Arial"/>
          <w:bCs/>
          <w:lang w:eastAsia="cs-CZ"/>
        </w:rPr>
        <w:t xml:space="preserve"> </w:t>
      </w:r>
      <w:r>
        <w:rPr>
          <w:rFonts w:eastAsia="Times New Roman" w:cs="Arial"/>
          <w:b/>
          <w:lang w:eastAsia="cs-CZ"/>
        </w:rPr>
        <w:t>Služby pro firmy</w:t>
      </w:r>
      <w:r w:rsidRPr="00F43611">
        <w:rPr>
          <w:rFonts w:eastAsia="Times New Roman" w:cs="Arial"/>
          <w:b/>
          <w:bCs/>
          <w:lang w:eastAsia="cs-CZ"/>
        </w:rPr>
        <w:t>:</w:t>
      </w:r>
      <w:r>
        <w:rPr>
          <w:rFonts w:eastAsia="Times New Roman" w:cs="Arial"/>
          <w:bCs/>
          <w:lang w:eastAsia="cs-CZ"/>
        </w:rPr>
        <w:t xml:space="preserve"> </w:t>
      </w:r>
      <w:r w:rsidRPr="00EE6FFA">
        <w:rPr>
          <w:rFonts w:eastAsia="Times New Roman" w:cs="Arial"/>
          <w:bCs/>
          <w:lang w:eastAsia="cs-CZ"/>
        </w:rPr>
        <w:t xml:space="preserve">informační podpora zejména </w:t>
      </w:r>
      <w:r>
        <w:rPr>
          <w:rFonts w:eastAsia="Times New Roman" w:cs="Arial"/>
          <w:bCs/>
          <w:lang w:eastAsia="cs-CZ"/>
        </w:rPr>
        <w:t>MSP</w:t>
      </w:r>
      <w:r w:rsidRPr="00EE6FFA">
        <w:rPr>
          <w:rFonts w:eastAsia="Times New Roman" w:cs="Arial"/>
          <w:bCs/>
          <w:lang w:eastAsia="cs-CZ"/>
        </w:rPr>
        <w:t xml:space="preserve"> s</w:t>
      </w:r>
      <w:r>
        <w:rPr>
          <w:rFonts w:eastAsia="Times New Roman" w:cs="Arial"/>
          <w:bCs/>
          <w:lang w:eastAsia="cs-CZ"/>
        </w:rPr>
        <w:t> </w:t>
      </w:r>
      <w:r w:rsidRPr="00EE6FFA">
        <w:rPr>
          <w:rFonts w:eastAsia="Times New Roman" w:cs="Arial"/>
          <w:bCs/>
          <w:lang w:eastAsia="cs-CZ"/>
        </w:rPr>
        <w:t>důrazem na start-up a spin-</w:t>
      </w:r>
      <w:proofErr w:type="spellStart"/>
      <w:r w:rsidRPr="00EE6FFA">
        <w:rPr>
          <w:rFonts w:eastAsia="Times New Roman" w:cs="Arial"/>
          <w:bCs/>
          <w:lang w:eastAsia="cs-CZ"/>
        </w:rPr>
        <w:t>off</w:t>
      </w:r>
      <w:proofErr w:type="spellEnd"/>
      <w:r>
        <w:rPr>
          <w:rFonts w:eastAsia="Times New Roman" w:cs="Arial"/>
          <w:bCs/>
          <w:lang w:eastAsia="cs-CZ"/>
        </w:rPr>
        <w:t>, tj. </w:t>
      </w:r>
      <w:r w:rsidRPr="00EE6FFA">
        <w:rPr>
          <w:rFonts w:eastAsia="Times New Roman" w:cs="Arial"/>
          <w:bCs/>
          <w:lang w:eastAsia="cs-CZ"/>
        </w:rPr>
        <w:t>profesionální informační podpor</w:t>
      </w:r>
      <w:r>
        <w:rPr>
          <w:rFonts w:eastAsia="Times New Roman" w:cs="Arial"/>
          <w:bCs/>
          <w:lang w:eastAsia="cs-CZ"/>
        </w:rPr>
        <w:t>a</w:t>
      </w:r>
      <w:r w:rsidRPr="00EE6FFA">
        <w:rPr>
          <w:rFonts w:eastAsia="Times New Roman" w:cs="Arial"/>
          <w:bCs/>
          <w:lang w:eastAsia="cs-CZ"/>
        </w:rPr>
        <w:t xml:space="preserve"> v oblasti ochrany duševního vlastnictví, firemního monitoringu, norem</w:t>
      </w:r>
      <w:r>
        <w:rPr>
          <w:rFonts w:eastAsia="Times New Roman" w:cs="Arial"/>
          <w:bCs/>
          <w:lang w:eastAsia="cs-CZ"/>
        </w:rPr>
        <w:t xml:space="preserve"> atd., </w:t>
      </w:r>
      <w:r w:rsidRPr="00EE6FFA">
        <w:rPr>
          <w:rFonts w:eastAsia="Times New Roman" w:cs="Arial"/>
          <w:bCs/>
          <w:lang w:eastAsia="cs-CZ"/>
        </w:rPr>
        <w:t>komplexní informační služby a podpor</w:t>
      </w:r>
      <w:r>
        <w:rPr>
          <w:rFonts w:eastAsia="Times New Roman" w:cs="Arial"/>
          <w:bCs/>
          <w:lang w:eastAsia="cs-CZ"/>
        </w:rPr>
        <w:t>a</w:t>
      </w:r>
      <w:r w:rsidRPr="00EE6FFA">
        <w:rPr>
          <w:rFonts w:eastAsia="Times New Roman" w:cs="Arial"/>
          <w:bCs/>
          <w:lang w:eastAsia="cs-CZ"/>
        </w:rPr>
        <w:t xml:space="preserve"> pro</w:t>
      </w:r>
      <w:r>
        <w:rPr>
          <w:rFonts w:eastAsia="Times New Roman" w:cs="Arial"/>
          <w:bCs/>
          <w:lang w:eastAsia="cs-CZ"/>
        </w:rPr>
        <w:t> </w:t>
      </w:r>
      <w:r w:rsidRPr="00EE6FFA">
        <w:rPr>
          <w:rFonts w:eastAsia="Times New Roman" w:cs="Arial"/>
          <w:bCs/>
          <w:lang w:eastAsia="cs-CZ"/>
        </w:rPr>
        <w:t xml:space="preserve">transfer </w:t>
      </w:r>
      <w:proofErr w:type="spellStart"/>
      <w:r w:rsidRPr="00EE6FFA">
        <w:rPr>
          <w:rFonts w:eastAsia="Times New Roman" w:cs="Arial"/>
          <w:bCs/>
          <w:lang w:eastAsia="cs-CZ"/>
        </w:rPr>
        <w:t>VaV</w:t>
      </w:r>
      <w:proofErr w:type="spellEnd"/>
      <w:r w:rsidRPr="00EE6FFA">
        <w:rPr>
          <w:rFonts w:eastAsia="Times New Roman" w:cs="Arial"/>
          <w:bCs/>
          <w:lang w:eastAsia="cs-CZ"/>
        </w:rPr>
        <w:t xml:space="preserve"> do praxe (průmyslu a</w:t>
      </w:r>
      <w:r>
        <w:rPr>
          <w:rFonts w:eastAsia="Times New Roman" w:cs="Arial"/>
          <w:bCs/>
          <w:lang w:eastAsia="cs-CZ"/>
        </w:rPr>
        <w:t> </w:t>
      </w:r>
      <w:r w:rsidRPr="00EE6FFA">
        <w:rPr>
          <w:rFonts w:eastAsia="Times New Roman" w:cs="Arial"/>
          <w:bCs/>
          <w:lang w:eastAsia="cs-CZ"/>
        </w:rPr>
        <w:t xml:space="preserve">služeb) </w:t>
      </w:r>
      <w:r>
        <w:rPr>
          <w:rFonts w:eastAsia="Times New Roman" w:cs="Arial"/>
          <w:bCs/>
          <w:lang w:eastAsia="cs-CZ"/>
        </w:rPr>
        <w:t>představující</w:t>
      </w:r>
      <w:r w:rsidRPr="00EE6FFA">
        <w:rPr>
          <w:rFonts w:eastAsia="Times New Roman" w:cs="Arial"/>
          <w:bCs/>
          <w:lang w:eastAsia="cs-CZ"/>
        </w:rPr>
        <w:t xml:space="preserve"> podpor</w:t>
      </w:r>
      <w:r>
        <w:rPr>
          <w:rFonts w:eastAsia="Times New Roman" w:cs="Arial"/>
          <w:bCs/>
          <w:lang w:eastAsia="cs-CZ"/>
        </w:rPr>
        <w:t>u</w:t>
      </w:r>
      <w:r w:rsidRPr="00EE6FFA">
        <w:rPr>
          <w:rFonts w:eastAsia="Times New Roman" w:cs="Arial"/>
          <w:bCs/>
          <w:lang w:eastAsia="cs-CZ"/>
        </w:rPr>
        <w:t xml:space="preserve"> cel</w:t>
      </w:r>
      <w:r>
        <w:rPr>
          <w:rFonts w:eastAsia="Times New Roman" w:cs="Arial"/>
          <w:bCs/>
          <w:lang w:eastAsia="cs-CZ"/>
        </w:rPr>
        <w:t>ého</w:t>
      </w:r>
      <w:r w:rsidRPr="00EE6FFA">
        <w:rPr>
          <w:rFonts w:eastAsia="Times New Roman" w:cs="Arial"/>
          <w:bCs/>
          <w:lang w:eastAsia="cs-CZ"/>
        </w:rPr>
        <w:t xml:space="preserve"> proces</w:t>
      </w:r>
      <w:r>
        <w:rPr>
          <w:rFonts w:eastAsia="Times New Roman" w:cs="Arial"/>
          <w:bCs/>
          <w:lang w:eastAsia="cs-CZ"/>
        </w:rPr>
        <w:t>u</w:t>
      </w:r>
      <w:r w:rsidRPr="00EE6FFA">
        <w:rPr>
          <w:rFonts w:eastAsia="Times New Roman" w:cs="Arial"/>
          <w:bCs/>
          <w:lang w:eastAsia="cs-CZ"/>
        </w:rPr>
        <w:t xml:space="preserve"> transferu a</w:t>
      </w:r>
      <w:r>
        <w:rPr>
          <w:rFonts w:eastAsia="Times New Roman" w:cs="Arial"/>
          <w:bCs/>
          <w:lang w:eastAsia="cs-CZ"/>
        </w:rPr>
        <w:t> </w:t>
      </w:r>
      <w:r w:rsidRPr="00EE6FFA">
        <w:rPr>
          <w:rFonts w:eastAsia="Times New Roman" w:cs="Arial"/>
          <w:bCs/>
          <w:lang w:eastAsia="cs-CZ"/>
        </w:rPr>
        <w:t>vývoje od návrhu až</w:t>
      </w:r>
      <w:r>
        <w:rPr>
          <w:rFonts w:eastAsia="Times New Roman" w:cs="Arial"/>
          <w:bCs/>
          <w:lang w:eastAsia="cs-CZ"/>
        </w:rPr>
        <w:t> </w:t>
      </w:r>
      <w:r w:rsidRPr="00EE6FFA">
        <w:rPr>
          <w:rFonts w:eastAsia="Times New Roman" w:cs="Arial"/>
          <w:bCs/>
          <w:lang w:eastAsia="cs-CZ"/>
        </w:rPr>
        <w:t>po</w:t>
      </w:r>
      <w:r>
        <w:rPr>
          <w:rFonts w:eastAsia="Times New Roman" w:cs="Arial"/>
          <w:bCs/>
          <w:lang w:eastAsia="cs-CZ"/>
        </w:rPr>
        <w:t> </w:t>
      </w:r>
      <w:r w:rsidRPr="00EE6FFA">
        <w:rPr>
          <w:rFonts w:eastAsia="Times New Roman" w:cs="Arial"/>
          <w:bCs/>
          <w:lang w:eastAsia="cs-CZ"/>
        </w:rPr>
        <w:t>prototyp</w:t>
      </w:r>
      <w:r>
        <w:rPr>
          <w:rFonts w:eastAsia="Times New Roman" w:cs="Arial"/>
          <w:bCs/>
          <w:lang w:eastAsia="cs-CZ"/>
        </w:rPr>
        <w:t>.</w:t>
      </w:r>
    </w:p>
    <w:p w14:paraId="3F9E8202" w14:textId="77777777" w:rsidR="00484D6A" w:rsidRPr="00A96CF4" w:rsidRDefault="00484D6A" w:rsidP="00484D6A">
      <w:pPr>
        <w:spacing w:after="0" w:line="360" w:lineRule="auto"/>
        <w:ind w:left="142"/>
        <w:jc w:val="both"/>
        <w:rPr>
          <w:rFonts w:eastAsia="Times New Roman" w:cs="Arial"/>
          <w:bCs/>
          <w:lang w:eastAsia="cs-CZ"/>
        </w:rPr>
      </w:pPr>
      <w:r w:rsidRPr="00487F95">
        <w:rPr>
          <w:rFonts w:eastAsia="Times New Roman" w:cs="Arial"/>
          <w:bCs/>
          <w:lang w:eastAsia="cs-CZ"/>
        </w:rPr>
        <w:t>→</w:t>
      </w:r>
      <w:r>
        <w:rPr>
          <w:rFonts w:eastAsia="Times New Roman" w:cs="Arial"/>
          <w:bCs/>
          <w:lang w:eastAsia="cs-CZ"/>
        </w:rPr>
        <w:t xml:space="preserve"> </w:t>
      </w:r>
      <w:r w:rsidRPr="008A5143">
        <w:rPr>
          <w:rFonts w:eastAsia="Times New Roman" w:cs="Arial"/>
          <w:b/>
          <w:lang w:eastAsia="cs-CZ"/>
        </w:rPr>
        <w:t xml:space="preserve">Národní </w:t>
      </w:r>
      <w:proofErr w:type="spellStart"/>
      <w:r w:rsidRPr="008A5143">
        <w:rPr>
          <w:rFonts w:eastAsia="Times New Roman" w:cs="Arial"/>
          <w:b/>
          <w:lang w:eastAsia="cs-CZ"/>
        </w:rPr>
        <w:t>repo</w:t>
      </w:r>
      <w:r>
        <w:rPr>
          <w:rFonts w:eastAsia="Times New Roman" w:cs="Arial"/>
          <w:b/>
          <w:lang w:eastAsia="cs-CZ"/>
        </w:rPr>
        <w:t>z</w:t>
      </w:r>
      <w:r w:rsidRPr="008A5143">
        <w:rPr>
          <w:rFonts w:eastAsia="Times New Roman" w:cs="Arial"/>
          <w:b/>
          <w:lang w:eastAsia="cs-CZ"/>
        </w:rPr>
        <w:t>itář</w:t>
      </w:r>
      <w:proofErr w:type="spellEnd"/>
      <w:r w:rsidRPr="00F43611">
        <w:rPr>
          <w:rFonts w:eastAsia="Times New Roman" w:cs="Arial"/>
          <w:b/>
          <w:bCs/>
          <w:lang w:eastAsia="cs-CZ"/>
        </w:rPr>
        <w:t>:</w:t>
      </w:r>
      <w:r>
        <w:rPr>
          <w:rFonts w:eastAsia="Times New Roman" w:cs="Arial"/>
          <w:bCs/>
          <w:lang w:eastAsia="cs-CZ"/>
        </w:rPr>
        <w:t xml:space="preserve"> </w:t>
      </w:r>
      <w:r w:rsidRPr="008A5143">
        <w:rPr>
          <w:rFonts w:eastAsia="Times New Roman" w:cs="Arial"/>
          <w:bCs/>
          <w:lang w:eastAsia="cs-CZ"/>
        </w:rPr>
        <w:t>bezplatn</w:t>
      </w:r>
      <w:r>
        <w:rPr>
          <w:rFonts w:eastAsia="Times New Roman" w:cs="Arial"/>
          <w:bCs/>
          <w:lang w:eastAsia="cs-CZ"/>
        </w:rPr>
        <w:t>é</w:t>
      </w:r>
      <w:r w:rsidRPr="008A5143">
        <w:rPr>
          <w:rFonts w:eastAsia="Times New Roman" w:cs="Arial"/>
          <w:bCs/>
          <w:lang w:eastAsia="cs-CZ"/>
        </w:rPr>
        <w:t xml:space="preserve"> úložiště</w:t>
      </w:r>
      <w:r>
        <w:rPr>
          <w:rFonts w:eastAsia="Times New Roman" w:cs="Arial"/>
          <w:bCs/>
          <w:lang w:eastAsia="cs-CZ"/>
        </w:rPr>
        <w:t xml:space="preserve"> výzkumných výstupů textové</w:t>
      </w:r>
      <w:r w:rsidRPr="008A5143">
        <w:rPr>
          <w:rFonts w:eastAsia="Times New Roman" w:cs="Arial"/>
          <w:bCs/>
          <w:lang w:eastAsia="cs-CZ"/>
        </w:rPr>
        <w:t xml:space="preserve"> </w:t>
      </w:r>
      <w:r>
        <w:rPr>
          <w:rFonts w:eastAsia="Times New Roman" w:cs="Arial"/>
          <w:bCs/>
          <w:lang w:eastAsia="cs-CZ"/>
        </w:rPr>
        <w:t>povahy a centrální vyhledávací bod pro vědecké publikace.</w:t>
      </w:r>
    </w:p>
    <w:p w14:paraId="3EEE5DA5" w14:textId="77777777" w:rsidR="00484D6A" w:rsidRPr="00A96CF4" w:rsidRDefault="00484D6A" w:rsidP="00484D6A">
      <w:pPr>
        <w:spacing w:after="360" w:line="360" w:lineRule="auto"/>
        <w:ind w:left="142"/>
        <w:jc w:val="both"/>
        <w:rPr>
          <w:rFonts w:eastAsia="Times New Roman" w:cs="Arial"/>
          <w:bCs/>
          <w:lang w:eastAsia="cs-CZ"/>
        </w:rPr>
      </w:pPr>
      <w:r w:rsidRPr="00487F95">
        <w:rPr>
          <w:rFonts w:eastAsia="Times New Roman" w:cs="Arial"/>
          <w:bCs/>
          <w:lang w:eastAsia="cs-CZ"/>
        </w:rPr>
        <w:t>→</w:t>
      </w:r>
      <w:r>
        <w:rPr>
          <w:rFonts w:eastAsia="Times New Roman" w:cs="Arial"/>
          <w:bCs/>
          <w:lang w:eastAsia="cs-CZ"/>
        </w:rPr>
        <w:t xml:space="preserve"> </w:t>
      </w:r>
      <w:r w:rsidRPr="008A5143">
        <w:rPr>
          <w:rFonts w:eastAsia="Times New Roman" w:cs="Arial"/>
          <w:b/>
          <w:lang w:eastAsia="cs-CZ"/>
        </w:rPr>
        <w:t>Technické a softwarové zabezpečení:</w:t>
      </w:r>
      <w:r>
        <w:rPr>
          <w:rFonts w:eastAsia="Times New Roman" w:cs="Arial"/>
          <w:bCs/>
          <w:lang w:eastAsia="cs-CZ"/>
        </w:rPr>
        <w:t xml:space="preserve"> zajištění </w:t>
      </w:r>
      <w:r w:rsidRPr="008A5143">
        <w:rPr>
          <w:rFonts w:eastAsia="Times New Roman" w:cs="Arial"/>
          <w:bCs/>
          <w:lang w:eastAsia="cs-CZ"/>
        </w:rPr>
        <w:t>specializovan</w:t>
      </w:r>
      <w:r>
        <w:rPr>
          <w:rFonts w:eastAsia="Times New Roman" w:cs="Arial"/>
          <w:bCs/>
          <w:lang w:eastAsia="cs-CZ"/>
        </w:rPr>
        <w:t>ých</w:t>
      </w:r>
      <w:r w:rsidRPr="008A5143">
        <w:rPr>
          <w:rFonts w:eastAsia="Times New Roman" w:cs="Arial"/>
          <w:bCs/>
          <w:lang w:eastAsia="cs-CZ"/>
        </w:rPr>
        <w:t xml:space="preserve"> softwarov</w:t>
      </w:r>
      <w:r>
        <w:rPr>
          <w:rFonts w:eastAsia="Times New Roman" w:cs="Arial"/>
          <w:bCs/>
          <w:lang w:eastAsia="cs-CZ"/>
        </w:rPr>
        <w:t>ých</w:t>
      </w:r>
      <w:r w:rsidRPr="008A5143">
        <w:rPr>
          <w:rFonts w:eastAsia="Times New Roman" w:cs="Arial"/>
          <w:bCs/>
          <w:lang w:eastAsia="cs-CZ"/>
        </w:rPr>
        <w:t xml:space="preserve"> nástroj</w:t>
      </w:r>
      <w:r>
        <w:rPr>
          <w:rFonts w:eastAsia="Times New Roman" w:cs="Arial"/>
          <w:bCs/>
          <w:lang w:eastAsia="cs-CZ"/>
        </w:rPr>
        <w:t>ů</w:t>
      </w:r>
      <w:r w:rsidRPr="008A5143">
        <w:rPr>
          <w:rFonts w:eastAsia="Times New Roman" w:cs="Arial"/>
          <w:bCs/>
          <w:lang w:eastAsia="cs-CZ"/>
        </w:rPr>
        <w:t>, které umožní celkovou nebo částečnou automatizaci informačních procesů a služeb</w:t>
      </w:r>
      <w:r>
        <w:rPr>
          <w:rFonts w:eastAsia="Times New Roman" w:cs="Arial"/>
          <w:bCs/>
          <w:lang w:eastAsia="cs-CZ"/>
        </w:rPr>
        <w:t xml:space="preserve"> při zpracování velkých dat s využitím umělé inteligence.</w:t>
      </w:r>
    </w:p>
    <w:p w14:paraId="598B5164" w14:textId="77777777" w:rsidR="00484D6A" w:rsidRPr="000E54C6" w:rsidRDefault="00484D6A" w:rsidP="00484D6A">
      <w:pPr>
        <w:keepNext/>
        <w:keepLines/>
        <w:shd w:val="clear" w:color="auto" w:fill="E3E8F1"/>
        <w:spacing w:after="0" w:line="240" w:lineRule="auto"/>
        <w:jc w:val="both"/>
        <w:rPr>
          <w:rFonts w:eastAsia="Times New Roman" w:cs="Arial"/>
          <w:b/>
          <w:sz w:val="12"/>
          <w:szCs w:val="12"/>
          <w:lang w:eastAsia="cs-CZ"/>
        </w:rPr>
      </w:pPr>
    </w:p>
    <w:p w14:paraId="50BE49FC" w14:textId="77777777" w:rsidR="00484D6A" w:rsidRDefault="00484D6A" w:rsidP="00484D6A">
      <w:pPr>
        <w:keepNext/>
        <w:keepLines/>
        <w:shd w:val="clear" w:color="auto" w:fill="E3E8F1"/>
        <w:spacing w:after="0" w:line="240" w:lineRule="auto"/>
        <w:jc w:val="both"/>
        <w:rPr>
          <w:rFonts w:eastAsia="Times New Roman" w:cs="Arial"/>
          <w:b/>
          <w:sz w:val="26"/>
          <w:szCs w:val="26"/>
          <w:lang w:eastAsia="cs-CZ"/>
        </w:rPr>
      </w:pPr>
      <w:r w:rsidRPr="00E54A04">
        <w:rPr>
          <w:rFonts w:eastAsia="Times New Roman" w:cs="Arial"/>
          <w:b/>
          <w:sz w:val="26"/>
          <w:szCs w:val="26"/>
          <w:lang w:eastAsia="cs-CZ"/>
        </w:rPr>
        <w:t>CZELO: Česká styčná kancelář pro výzkum v</w:t>
      </w:r>
      <w:r>
        <w:rPr>
          <w:rFonts w:eastAsia="Times New Roman" w:cs="Arial"/>
          <w:b/>
          <w:sz w:val="26"/>
          <w:szCs w:val="26"/>
          <w:lang w:eastAsia="cs-CZ"/>
        </w:rPr>
        <w:t> </w:t>
      </w:r>
      <w:r w:rsidRPr="00E54A04">
        <w:rPr>
          <w:rFonts w:eastAsia="Times New Roman" w:cs="Arial"/>
          <w:b/>
          <w:sz w:val="26"/>
          <w:szCs w:val="26"/>
          <w:lang w:eastAsia="cs-CZ"/>
        </w:rPr>
        <w:t>Bruselu</w:t>
      </w:r>
    </w:p>
    <w:p w14:paraId="2F292E87" w14:textId="77777777" w:rsidR="00484D6A" w:rsidRPr="000E54C6" w:rsidRDefault="00484D6A" w:rsidP="00484D6A">
      <w:pPr>
        <w:keepNext/>
        <w:keepLines/>
        <w:shd w:val="clear" w:color="auto" w:fill="E3E8F1"/>
        <w:spacing w:after="0" w:line="240" w:lineRule="auto"/>
        <w:jc w:val="both"/>
        <w:rPr>
          <w:rFonts w:eastAsia="Times New Roman" w:cs="Arial"/>
          <w:b/>
          <w:sz w:val="12"/>
          <w:szCs w:val="12"/>
          <w:lang w:eastAsia="cs-CZ"/>
        </w:rPr>
      </w:pPr>
    </w:p>
    <w:p w14:paraId="59EAACAF" w14:textId="77777777" w:rsidR="00484D6A" w:rsidRPr="006209EB" w:rsidRDefault="00484D6A" w:rsidP="00484D6A">
      <w:pPr>
        <w:spacing w:before="120" w:after="0" w:line="360" w:lineRule="auto"/>
        <w:jc w:val="both"/>
        <w:rPr>
          <w:rFonts w:eastAsia="Times New Roman" w:cs="Arial"/>
          <w:b/>
          <w:bCs/>
          <w:lang w:eastAsia="cs-CZ"/>
        </w:rPr>
      </w:pPr>
      <w:r w:rsidRPr="006209EB">
        <w:rPr>
          <w:rFonts w:eastAsia="Times New Roman" w:cs="Arial"/>
          <w:b/>
          <w:bCs/>
          <w:lang w:eastAsia="cs-CZ"/>
        </w:rPr>
        <w:t>Projektové aktivity:</w:t>
      </w:r>
    </w:p>
    <w:p w14:paraId="1AEFA5E5" w14:textId="77777777" w:rsidR="00484D6A" w:rsidRDefault="00484D6A" w:rsidP="00484D6A">
      <w:pPr>
        <w:spacing w:after="0" w:line="360" w:lineRule="auto"/>
        <w:ind w:left="142"/>
        <w:jc w:val="both"/>
        <w:rPr>
          <w:rFonts w:eastAsia="Times New Roman" w:cs="Arial"/>
          <w:bCs/>
          <w:lang w:eastAsia="cs-CZ"/>
        </w:rPr>
      </w:pPr>
      <w:r w:rsidRPr="00104D9E">
        <w:rPr>
          <w:rFonts w:eastAsia="Times New Roman" w:cs="Arial"/>
          <w:b/>
          <w:lang w:eastAsia="cs-CZ"/>
        </w:rPr>
        <w:t>→ Informační a konzultační činnost:</w:t>
      </w:r>
      <w:r>
        <w:rPr>
          <w:rFonts w:eastAsia="Times New Roman" w:cs="Arial"/>
          <w:bCs/>
          <w:lang w:eastAsia="cs-CZ"/>
        </w:rPr>
        <w:t xml:space="preserve"> m</w:t>
      </w:r>
      <w:r w:rsidRPr="005735F4">
        <w:rPr>
          <w:rFonts w:eastAsia="Times New Roman" w:cs="Arial"/>
          <w:bCs/>
          <w:lang w:eastAsia="cs-CZ"/>
        </w:rPr>
        <w:t>onitoring aktuálního dění v politice vzdělávání, vědy, výzkumu a inovací na úrovni EU</w:t>
      </w:r>
      <w:r>
        <w:rPr>
          <w:rFonts w:eastAsia="Times New Roman" w:cs="Arial"/>
          <w:bCs/>
          <w:lang w:eastAsia="cs-CZ"/>
        </w:rPr>
        <w:t xml:space="preserve">, </w:t>
      </w:r>
      <w:r w:rsidRPr="005735F4">
        <w:rPr>
          <w:rFonts w:eastAsia="Times New Roman" w:cs="Arial"/>
          <w:bCs/>
          <w:lang w:eastAsia="cs-CZ"/>
        </w:rPr>
        <w:t>po</w:t>
      </w:r>
      <w:r>
        <w:rPr>
          <w:rFonts w:eastAsia="Times New Roman" w:cs="Arial"/>
          <w:bCs/>
          <w:lang w:eastAsia="cs-CZ"/>
        </w:rPr>
        <w:t>skytování informací českým subjektům o aktuálním dění a poskytování odborných konzultací.</w:t>
      </w:r>
    </w:p>
    <w:p w14:paraId="76BC0061" w14:textId="77777777" w:rsidR="00484D6A" w:rsidRDefault="00484D6A" w:rsidP="00484D6A">
      <w:pPr>
        <w:spacing w:after="0" w:line="360" w:lineRule="auto"/>
        <w:ind w:left="142"/>
        <w:jc w:val="both"/>
        <w:rPr>
          <w:rFonts w:eastAsia="Times New Roman" w:cs="Arial"/>
          <w:b/>
          <w:lang w:eastAsia="cs-CZ"/>
        </w:rPr>
      </w:pPr>
      <w:r w:rsidRPr="00104D9E">
        <w:rPr>
          <w:rFonts w:eastAsia="Times New Roman" w:cs="Arial"/>
          <w:b/>
          <w:lang w:eastAsia="cs-CZ"/>
        </w:rPr>
        <w:t xml:space="preserve">→ Rozvoj kontaktů a partnerství </w:t>
      </w:r>
      <w:r>
        <w:rPr>
          <w:rFonts w:eastAsia="Times New Roman" w:cs="Arial"/>
          <w:b/>
          <w:lang w:eastAsia="cs-CZ"/>
        </w:rPr>
        <w:t xml:space="preserve">v Bruselu: </w:t>
      </w:r>
      <w:r>
        <w:rPr>
          <w:rFonts w:eastAsia="Times New Roman" w:cs="Arial"/>
          <w:bCs/>
          <w:lang w:eastAsia="cs-CZ"/>
        </w:rPr>
        <w:t xml:space="preserve">spolupráce </w:t>
      </w:r>
      <w:r w:rsidRPr="003B3937">
        <w:rPr>
          <w:rFonts w:eastAsia="Times New Roman" w:cs="Arial"/>
          <w:bCs/>
          <w:lang w:eastAsia="cs-CZ"/>
        </w:rPr>
        <w:t>s ostatními styčnými kancelářemi, institucemi EU</w:t>
      </w:r>
      <w:r>
        <w:rPr>
          <w:rFonts w:eastAsia="Times New Roman" w:cs="Arial"/>
          <w:bCs/>
          <w:lang w:eastAsia="cs-CZ"/>
        </w:rPr>
        <w:t xml:space="preserve"> a dalšími relevantními aktéry, </w:t>
      </w:r>
      <w:r w:rsidRPr="000F2F45">
        <w:rPr>
          <w:rFonts w:eastAsia="Times New Roman" w:cs="Arial"/>
          <w:lang w:eastAsia="cs-CZ"/>
        </w:rPr>
        <w:t>a</w:t>
      </w:r>
      <w:r w:rsidRPr="003B3937">
        <w:rPr>
          <w:rFonts w:eastAsia="Times New Roman" w:cs="Arial"/>
          <w:bCs/>
          <w:lang w:eastAsia="cs-CZ"/>
        </w:rPr>
        <w:t>ktivní účast v mezinárodních oborových organizacích a asociacích</w:t>
      </w:r>
      <w:r>
        <w:rPr>
          <w:rFonts w:eastAsia="Times New Roman" w:cs="Arial"/>
          <w:bCs/>
          <w:lang w:eastAsia="cs-CZ"/>
        </w:rPr>
        <w:t>.</w:t>
      </w:r>
    </w:p>
    <w:p w14:paraId="2567804D" w14:textId="77777777" w:rsidR="00484D6A" w:rsidRDefault="00484D6A" w:rsidP="00484D6A">
      <w:pPr>
        <w:spacing w:after="0" w:line="360" w:lineRule="auto"/>
        <w:ind w:left="142"/>
        <w:jc w:val="both"/>
        <w:rPr>
          <w:rFonts w:eastAsia="Times New Roman" w:cs="Arial"/>
          <w:bCs/>
          <w:lang w:eastAsia="cs-CZ"/>
        </w:rPr>
      </w:pPr>
      <w:r w:rsidRPr="00104D9E">
        <w:rPr>
          <w:rFonts w:eastAsia="Times New Roman" w:cs="Arial"/>
          <w:b/>
          <w:lang w:eastAsia="cs-CZ"/>
        </w:rPr>
        <w:t>→ Propagace českého vzdělávání a výzkumu</w:t>
      </w:r>
      <w:r>
        <w:rPr>
          <w:rFonts w:eastAsia="Times New Roman" w:cs="Arial"/>
          <w:b/>
          <w:lang w:eastAsia="cs-CZ"/>
        </w:rPr>
        <w:t xml:space="preserve">: </w:t>
      </w:r>
      <w:r w:rsidRPr="00507301">
        <w:rPr>
          <w:rFonts w:eastAsia="Times New Roman" w:cs="Arial"/>
          <w:bCs/>
          <w:lang w:eastAsia="cs-CZ"/>
        </w:rPr>
        <w:t>organizace akcí na poptávku českých účastníků,</w:t>
      </w:r>
      <w:r>
        <w:rPr>
          <w:rFonts w:eastAsia="Times New Roman" w:cs="Arial"/>
          <w:bCs/>
          <w:lang w:eastAsia="cs-CZ"/>
        </w:rPr>
        <w:t xml:space="preserve"> zajišťování prezentačních stánků,</w:t>
      </w:r>
      <w:r>
        <w:rPr>
          <w:rFonts w:eastAsia="Times New Roman" w:cs="Arial"/>
          <w:b/>
          <w:lang w:eastAsia="cs-CZ"/>
        </w:rPr>
        <w:t xml:space="preserve"> </w:t>
      </w:r>
      <w:r>
        <w:rPr>
          <w:rFonts w:eastAsia="Times New Roman" w:cs="Arial"/>
          <w:bCs/>
          <w:lang w:eastAsia="cs-CZ"/>
        </w:rPr>
        <w:t>p</w:t>
      </w:r>
      <w:r w:rsidRPr="00580C5C">
        <w:rPr>
          <w:rFonts w:eastAsia="Times New Roman" w:cs="Arial"/>
          <w:bCs/>
          <w:lang w:eastAsia="cs-CZ"/>
        </w:rPr>
        <w:t xml:space="preserve">rezentace úspěchů </w:t>
      </w:r>
      <w:r>
        <w:rPr>
          <w:rFonts w:eastAsia="Times New Roman" w:cs="Arial"/>
          <w:bCs/>
          <w:lang w:eastAsia="cs-CZ"/>
        </w:rPr>
        <w:t xml:space="preserve">českého výzkumu prostřednictvím CZELO Bulletinu, popularizace českého výzkumu, prezentace českých úspěchů </w:t>
      </w:r>
      <w:r w:rsidRPr="00580C5C">
        <w:rPr>
          <w:rFonts w:eastAsia="Times New Roman" w:cs="Arial"/>
          <w:bCs/>
          <w:lang w:eastAsia="cs-CZ"/>
        </w:rPr>
        <w:t>v mezinárodním vzdělávání, diseminace výsledků účasti ČR v evropských vzdělávacích programech</w:t>
      </w:r>
      <w:r>
        <w:rPr>
          <w:rFonts w:eastAsia="Times New Roman" w:cs="Arial"/>
          <w:bCs/>
          <w:lang w:eastAsia="cs-CZ"/>
        </w:rPr>
        <w:t>, rozvoj marketingových aktivit.</w:t>
      </w:r>
    </w:p>
    <w:p w14:paraId="0EB1D594" w14:textId="77777777" w:rsidR="00484D6A" w:rsidRDefault="00484D6A" w:rsidP="00484D6A">
      <w:pPr>
        <w:spacing w:after="0" w:line="360" w:lineRule="auto"/>
        <w:ind w:left="142"/>
        <w:jc w:val="both"/>
        <w:rPr>
          <w:rFonts w:eastAsia="Times New Roman" w:cs="Arial"/>
          <w:bCs/>
          <w:lang w:eastAsia="cs-CZ"/>
        </w:rPr>
      </w:pPr>
      <w:r w:rsidRPr="00104D9E">
        <w:rPr>
          <w:rFonts w:eastAsia="Times New Roman" w:cs="Arial"/>
          <w:b/>
          <w:lang w:eastAsia="cs-CZ"/>
        </w:rPr>
        <w:t>→</w:t>
      </w:r>
      <w:r>
        <w:rPr>
          <w:rFonts w:eastAsia="Times New Roman" w:cs="Arial"/>
          <w:b/>
          <w:lang w:eastAsia="cs-CZ"/>
        </w:rPr>
        <w:t xml:space="preserve"> P</w:t>
      </w:r>
      <w:r w:rsidRPr="00104D9E">
        <w:rPr>
          <w:rFonts w:eastAsia="Times New Roman" w:cs="Arial"/>
          <w:b/>
          <w:lang w:eastAsia="cs-CZ"/>
        </w:rPr>
        <w:t>odpora mezinárodních aktivit českých subjektů v</w:t>
      </w:r>
      <w:r>
        <w:rPr>
          <w:rFonts w:eastAsia="Times New Roman" w:cs="Arial"/>
          <w:b/>
          <w:lang w:eastAsia="cs-CZ"/>
        </w:rPr>
        <w:t> </w:t>
      </w:r>
      <w:r w:rsidRPr="00104D9E">
        <w:rPr>
          <w:rFonts w:eastAsia="Times New Roman" w:cs="Arial"/>
          <w:b/>
          <w:lang w:eastAsia="cs-CZ"/>
        </w:rPr>
        <w:t>Bruselu</w:t>
      </w:r>
      <w:r>
        <w:rPr>
          <w:rFonts w:eastAsia="Times New Roman" w:cs="Arial"/>
          <w:b/>
          <w:lang w:eastAsia="cs-CZ"/>
        </w:rPr>
        <w:t xml:space="preserve">: </w:t>
      </w:r>
      <w:r>
        <w:rPr>
          <w:rFonts w:eastAsia="Times New Roman" w:cs="Arial"/>
          <w:bCs/>
          <w:lang w:eastAsia="cs-CZ"/>
        </w:rPr>
        <w:t xml:space="preserve">pomoc při vyhledávání partnerských organizací, </w:t>
      </w:r>
      <w:r w:rsidRPr="00580C5C">
        <w:rPr>
          <w:rFonts w:eastAsia="Times New Roman" w:cs="Arial"/>
          <w:bCs/>
          <w:lang w:eastAsia="cs-CZ"/>
        </w:rPr>
        <w:t>podpora členství v</w:t>
      </w:r>
      <w:r>
        <w:rPr>
          <w:rFonts w:eastAsia="Times New Roman" w:cs="Arial"/>
          <w:bCs/>
          <w:lang w:eastAsia="cs-CZ"/>
        </w:rPr>
        <w:t> </w:t>
      </w:r>
      <w:r w:rsidRPr="00580C5C">
        <w:rPr>
          <w:rFonts w:eastAsia="Times New Roman" w:cs="Arial"/>
          <w:bCs/>
          <w:lang w:eastAsia="cs-CZ"/>
        </w:rPr>
        <w:t>mezinárodních sítích a konsorciích, organizování projektových setkání</w:t>
      </w:r>
      <w:r>
        <w:rPr>
          <w:rFonts w:eastAsia="Times New Roman" w:cs="Arial"/>
          <w:bCs/>
          <w:lang w:eastAsia="cs-CZ"/>
        </w:rPr>
        <w:t>, poskytování logistické podpory a asistence veřejným a soukromým subjektům ČR při realizaci mezinárodních aktivit v Bruselu, zastupování českých subjektů na setkáních v Bruselu.</w:t>
      </w:r>
    </w:p>
    <w:p w14:paraId="575B4CCE" w14:textId="77777777" w:rsidR="00484D6A" w:rsidRDefault="00484D6A" w:rsidP="00484D6A">
      <w:pPr>
        <w:spacing w:after="360" w:line="360" w:lineRule="auto"/>
        <w:ind w:left="142"/>
        <w:jc w:val="both"/>
        <w:rPr>
          <w:rFonts w:eastAsia="Times New Roman" w:cs="Arial"/>
          <w:bCs/>
          <w:lang w:eastAsia="cs-CZ"/>
        </w:rPr>
      </w:pPr>
      <w:r w:rsidRPr="00104D9E">
        <w:rPr>
          <w:rFonts w:eastAsia="Times New Roman" w:cs="Arial"/>
          <w:b/>
          <w:lang w:eastAsia="cs-CZ"/>
        </w:rPr>
        <w:t>→ Zvyšování odborných kapacit projektových manažerů výzkumných a vzdělávacích organizací ČR</w:t>
      </w:r>
      <w:r>
        <w:rPr>
          <w:rFonts w:eastAsia="Times New Roman" w:cs="Arial"/>
          <w:b/>
          <w:lang w:eastAsia="cs-CZ"/>
        </w:rPr>
        <w:t xml:space="preserve">: </w:t>
      </w:r>
      <w:r>
        <w:rPr>
          <w:rFonts w:eastAsia="Times New Roman" w:cs="Arial"/>
          <w:bCs/>
          <w:lang w:eastAsia="cs-CZ"/>
        </w:rPr>
        <w:t>realizace k</w:t>
      </w:r>
      <w:r w:rsidRPr="00580C5C">
        <w:rPr>
          <w:rFonts w:eastAsia="Times New Roman" w:cs="Arial"/>
          <w:bCs/>
          <w:lang w:eastAsia="cs-CZ"/>
        </w:rPr>
        <w:t>rátkodob</w:t>
      </w:r>
      <w:r>
        <w:rPr>
          <w:rFonts w:eastAsia="Times New Roman" w:cs="Arial"/>
          <w:bCs/>
          <w:lang w:eastAsia="cs-CZ"/>
        </w:rPr>
        <w:t>ých</w:t>
      </w:r>
      <w:r w:rsidRPr="00580C5C">
        <w:rPr>
          <w:rFonts w:eastAsia="Times New Roman" w:cs="Arial"/>
          <w:bCs/>
          <w:lang w:eastAsia="cs-CZ"/>
        </w:rPr>
        <w:t xml:space="preserve"> odborn</w:t>
      </w:r>
      <w:r>
        <w:rPr>
          <w:rFonts w:eastAsia="Times New Roman" w:cs="Arial"/>
          <w:bCs/>
          <w:lang w:eastAsia="cs-CZ"/>
        </w:rPr>
        <w:t>ých</w:t>
      </w:r>
      <w:r w:rsidRPr="00580C5C">
        <w:rPr>
          <w:rFonts w:eastAsia="Times New Roman" w:cs="Arial"/>
          <w:bCs/>
          <w:lang w:eastAsia="cs-CZ"/>
        </w:rPr>
        <w:t xml:space="preserve"> stáž</w:t>
      </w:r>
      <w:r>
        <w:rPr>
          <w:rFonts w:eastAsia="Times New Roman" w:cs="Arial"/>
          <w:bCs/>
          <w:lang w:eastAsia="cs-CZ"/>
        </w:rPr>
        <w:t>í</w:t>
      </w:r>
      <w:r w:rsidRPr="00580C5C">
        <w:rPr>
          <w:rFonts w:eastAsia="Times New Roman" w:cs="Arial"/>
          <w:bCs/>
          <w:lang w:eastAsia="cs-CZ"/>
        </w:rPr>
        <w:t xml:space="preserve"> </w:t>
      </w:r>
      <w:r>
        <w:rPr>
          <w:rFonts w:eastAsia="Times New Roman" w:cs="Arial"/>
          <w:bCs/>
          <w:lang w:eastAsia="cs-CZ"/>
        </w:rPr>
        <w:t>či m</w:t>
      </w:r>
      <w:r w:rsidRPr="00580C5C">
        <w:rPr>
          <w:rFonts w:eastAsia="Times New Roman" w:cs="Arial"/>
          <w:bCs/>
          <w:lang w:eastAsia="cs-CZ"/>
        </w:rPr>
        <w:t>ezinárodní</w:t>
      </w:r>
      <w:r>
        <w:rPr>
          <w:rFonts w:eastAsia="Times New Roman" w:cs="Arial"/>
          <w:bCs/>
          <w:lang w:eastAsia="cs-CZ"/>
        </w:rPr>
        <w:t>ch</w:t>
      </w:r>
      <w:r w:rsidRPr="00580C5C">
        <w:rPr>
          <w:rFonts w:eastAsia="Times New Roman" w:cs="Arial"/>
          <w:bCs/>
          <w:lang w:eastAsia="cs-CZ"/>
        </w:rPr>
        <w:t xml:space="preserve"> školení pořádan</w:t>
      </w:r>
      <w:r>
        <w:rPr>
          <w:rFonts w:eastAsia="Times New Roman" w:cs="Arial"/>
          <w:bCs/>
          <w:lang w:eastAsia="cs-CZ"/>
        </w:rPr>
        <w:t>ých</w:t>
      </w:r>
      <w:r w:rsidRPr="00580C5C">
        <w:rPr>
          <w:rFonts w:eastAsia="Times New Roman" w:cs="Arial"/>
          <w:bCs/>
          <w:lang w:eastAsia="cs-CZ"/>
        </w:rPr>
        <w:t xml:space="preserve"> v</w:t>
      </w:r>
      <w:r>
        <w:rPr>
          <w:rFonts w:eastAsia="Times New Roman" w:cs="Arial"/>
          <w:bCs/>
          <w:lang w:eastAsia="cs-CZ"/>
        </w:rPr>
        <w:t> </w:t>
      </w:r>
      <w:r w:rsidRPr="00580C5C">
        <w:rPr>
          <w:rFonts w:eastAsia="Times New Roman" w:cs="Arial"/>
          <w:bCs/>
          <w:lang w:eastAsia="cs-CZ"/>
        </w:rPr>
        <w:t>Bruselu</w:t>
      </w:r>
      <w:r>
        <w:rPr>
          <w:rFonts w:eastAsia="Times New Roman" w:cs="Arial"/>
          <w:bCs/>
          <w:lang w:eastAsia="cs-CZ"/>
        </w:rPr>
        <w:t>.</w:t>
      </w:r>
    </w:p>
    <w:p w14:paraId="649E63F5" w14:textId="77777777" w:rsidR="00484D6A" w:rsidRPr="000E54C6" w:rsidRDefault="00484D6A" w:rsidP="00484D6A">
      <w:pPr>
        <w:keepNext/>
        <w:keepLines/>
        <w:shd w:val="clear" w:color="auto" w:fill="E3E8F1"/>
        <w:spacing w:after="0" w:line="240" w:lineRule="auto"/>
        <w:jc w:val="both"/>
        <w:rPr>
          <w:rFonts w:eastAsia="Times New Roman" w:cs="Arial"/>
          <w:b/>
          <w:sz w:val="12"/>
          <w:szCs w:val="12"/>
          <w:lang w:eastAsia="cs-CZ"/>
        </w:rPr>
      </w:pPr>
    </w:p>
    <w:p w14:paraId="2B6DA823" w14:textId="77777777" w:rsidR="00484D6A" w:rsidRDefault="00484D6A" w:rsidP="00484D6A">
      <w:pPr>
        <w:keepNext/>
        <w:keepLines/>
        <w:shd w:val="clear" w:color="auto" w:fill="E3E8F1"/>
        <w:spacing w:after="0" w:line="240" w:lineRule="auto"/>
        <w:jc w:val="both"/>
        <w:rPr>
          <w:rFonts w:eastAsia="Times New Roman" w:cs="Arial"/>
          <w:b/>
          <w:sz w:val="26"/>
          <w:szCs w:val="26"/>
          <w:lang w:eastAsia="cs-CZ"/>
        </w:rPr>
      </w:pPr>
      <w:r w:rsidRPr="00E54A04">
        <w:rPr>
          <w:rFonts w:eastAsia="Times New Roman" w:cs="Arial"/>
          <w:b/>
          <w:sz w:val="26"/>
          <w:szCs w:val="26"/>
          <w:lang w:eastAsia="cs-CZ"/>
        </w:rPr>
        <w:t>CZERA: Prohloubení integrace výzkumného a inovačního ekosystému ČR do</w:t>
      </w:r>
      <w:r>
        <w:rPr>
          <w:rFonts w:eastAsia="Times New Roman" w:cs="Arial"/>
          <w:b/>
          <w:sz w:val="26"/>
          <w:szCs w:val="26"/>
          <w:lang w:eastAsia="cs-CZ"/>
        </w:rPr>
        <w:t> </w:t>
      </w:r>
      <w:r w:rsidRPr="00E54A04">
        <w:rPr>
          <w:rFonts w:eastAsia="Times New Roman" w:cs="Arial"/>
          <w:b/>
          <w:sz w:val="26"/>
          <w:szCs w:val="26"/>
          <w:lang w:eastAsia="cs-CZ"/>
        </w:rPr>
        <w:t xml:space="preserve">ERA a podpora intenzivní mezinárodní spolupráce </w:t>
      </w:r>
      <w:r>
        <w:rPr>
          <w:rFonts w:eastAsia="Times New Roman" w:cs="Arial"/>
          <w:b/>
          <w:sz w:val="26"/>
          <w:szCs w:val="26"/>
          <w:lang w:eastAsia="cs-CZ"/>
        </w:rPr>
        <w:t>VO</w:t>
      </w:r>
      <w:r w:rsidRPr="00E54A04">
        <w:rPr>
          <w:rFonts w:eastAsia="Times New Roman" w:cs="Arial"/>
          <w:b/>
          <w:sz w:val="26"/>
          <w:szCs w:val="26"/>
          <w:lang w:eastAsia="cs-CZ"/>
        </w:rPr>
        <w:t xml:space="preserve"> a podniků ČR ve</w:t>
      </w:r>
      <w:r>
        <w:rPr>
          <w:rFonts w:eastAsia="Times New Roman" w:cs="Arial"/>
          <w:b/>
          <w:sz w:val="26"/>
          <w:szCs w:val="26"/>
          <w:lang w:eastAsia="cs-CZ"/>
        </w:rPr>
        <w:t> </w:t>
      </w:r>
      <w:proofErr w:type="spellStart"/>
      <w:r w:rsidRPr="00E54A04">
        <w:rPr>
          <w:rFonts w:eastAsia="Times New Roman" w:cs="Arial"/>
          <w:b/>
          <w:sz w:val="26"/>
          <w:szCs w:val="26"/>
          <w:lang w:eastAsia="cs-CZ"/>
        </w:rPr>
        <w:t>VaVaI</w:t>
      </w:r>
      <w:proofErr w:type="spellEnd"/>
    </w:p>
    <w:p w14:paraId="28D82367" w14:textId="77777777" w:rsidR="00484D6A" w:rsidRPr="000E54C6" w:rsidRDefault="00484D6A" w:rsidP="00484D6A">
      <w:pPr>
        <w:keepNext/>
        <w:keepLines/>
        <w:shd w:val="clear" w:color="auto" w:fill="E3E8F1"/>
        <w:spacing w:after="0" w:line="240" w:lineRule="auto"/>
        <w:jc w:val="both"/>
        <w:rPr>
          <w:rFonts w:eastAsia="Times New Roman" w:cs="Arial"/>
          <w:b/>
          <w:sz w:val="12"/>
          <w:szCs w:val="12"/>
          <w:lang w:eastAsia="cs-CZ"/>
        </w:rPr>
      </w:pPr>
    </w:p>
    <w:p w14:paraId="06D2F459" w14:textId="77777777" w:rsidR="00484D6A" w:rsidRPr="006209EB" w:rsidRDefault="00484D6A" w:rsidP="00484D6A">
      <w:pPr>
        <w:spacing w:before="120" w:after="0" w:line="360" w:lineRule="auto"/>
        <w:jc w:val="both"/>
        <w:rPr>
          <w:rFonts w:eastAsia="Times New Roman" w:cs="Arial"/>
          <w:b/>
          <w:bCs/>
          <w:lang w:eastAsia="cs-CZ"/>
        </w:rPr>
      </w:pPr>
      <w:r w:rsidRPr="006209EB">
        <w:rPr>
          <w:rFonts w:eastAsia="Times New Roman" w:cs="Arial"/>
          <w:b/>
          <w:bCs/>
          <w:lang w:eastAsia="cs-CZ"/>
        </w:rPr>
        <w:t>Projektové moduly:</w:t>
      </w:r>
    </w:p>
    <w:p w14:paraId="65F4AA36" w14:textId="77777777" w:rsidR="00484D6A" w:rsidRDefault="00484D6A" w:rsidP="00484D6A">
      <w:pPr>
        <w:spacing w:after="0" w:line="360" w:lineRule="auto"/>
        <w:ind w:left="142"/>
        <w:jc w:val="both"/>
        <w:rPr>
          <w:rFonts w:eastAsia="Times New Roman" w:cs="Arial"/>
          <w:bCs/>
          <w:lang w:eastAsia="cs-CZ"/>
        </w:rPr>
      </w:pPr>
      <w:r w:rsidRPr="00104D9E">
        <w:rPr>
          <w:rFonts w:eastAsia="Times New Roman" w:cs="Arial"/>
          <w:b/>
          <w:lang w:eastAsia="cs-CZ"/>
        </w:rPr>
        <w:t xml:space="preserve">→ </w:t>
      </w:r>
      <w:r w:rsidRPr="002722D2">
        <w:rPr>
          <w:rFonts w:eastAsia="Times New Roman" w:cs="Arial"/>
          <w:b/>
          <w:lang w:eastAsia="cs-CZ"/>
        </w:rPr>
        <w:t>Národní informační centrum pro evropský výzkum (NICER)</w:t>
      </w:r>
      <w:r>
        <w:rPr>
          <w:rFonts w:eastAsia="Times New Roman" w:cs="Arial"/>
          <w:b/>
          <w:lang w:eastAsia="cs-CZ"/>
        </w:rPr>
        <w:t xml:space="preserve">: </w:t>
      </w:r>
      <w:r w:rsidRPr="000F2F45">
        <w:rPr>
          <w:rFonts w:eastAsia="Times New Roman" w:cs="Arial"/>
          <w:lang w:eastAsia="cs-CZ"/>
        </w:rPr>
        <w:t>p</w:t>
      </w:r>
      <w:r w:rsidRPr="00996116">
        <w:rPr>
          <w:rFonts w:eastAsia="Times New Roman" w:cs="Arial"/>
          <w:bCs/>
          <w:lang w:eastAsia="cs-CZ"/>
        </w:rPr>
        <w:t>oskytuje komplexní podporu účasti národních týmů v projektech mezinárodní výzkumné spolupráce, především v</w:t>
      </w:r>
      <w:r>
        <w:rPr>
          <w:rFonts w:eastAsia="Times New Roman" w:cs="Arial"/>
          <w:bCs/>
          <w:lang w:eastAsia="cs-CZ"/>
        </w:rPr>
        <w:t xml:space="preserve"> RP </w:t>
      </w:r>
      <w:r w:rsidRPr="00996116">
        <w:rPr>
          <w:rFonts w:eastAsia="Times New Roman" w:cs="Arial"/>
          <w:bCs/>
          <w:lang w:eastAsia="cs-CZ"/>
        </w:rPr>
        <w:t>EU</w:t>
      </w:r>
      <w:r>
        <w:rPr>
          <w:rFonts w:eastAsia="Times New Roman" w:cs="Arial"/>
          <w:bCs/>
          <w:lang w:eastAsia="cs-CZ"/>
        </w:rPr>
        <w:t>.</w:t>
      </w:r>
    </w:p>
    <w:p w14:paraId="7632B613" w14:textId="77777777" w:rsidR="00484D6A" w:rsidRDefault="00484D6A" w:rsidP="00484D6A">
      <w:pPr>
        <w:spacing w:after="0" w:line="360" w:lineRule="auto"/>
        <w:ind w:left="142"/>
        <w:jc w:val="both"/>
        <w:rPr>
          <w:rFonts w:eastAsia="Times New Roman" w:cs="Arial"/>
          <w:bCs/>
          <w:lang w:eastAsia="cs-CZ"/>
        </w:rPr>
      </w:pPr>
      <w:r w:rsidRPr="00104D9E">
        <w:rPr>
          <w:rFonts w:eastAsia="Times New Roman" w:cs="Arial"/>
          <w:b/>
          <w:lang w:eastAsia="cs-CZ"/>
        </w:rPr>
        <w:t xml:space="preserve">→ </w:t>
      </w:r>
      <w:r>
        <w:rPr>
          <w:rFonts w:eastAsia="Times New Roman" w:cs="Arial"/>
          <w:b/>
          <w:lang w:eastAsia="cs-CZ"/>
        </w:rPr>
        <w:t>E</w:t>
      </w:r>
      <w:r w:rsidRPr="00996116">
        <w:rPr>
          <w:rFonts w:eastAsia="Times New Roman" w:cs="Arial"/>
          <w:b/>
          <w:lang w:eastAsia="cs-CZ"/>
        </w:rPr>
        <w:t>xpertní a analytick</w:t>
      </w:r>
      <w:r>
        <w:rPr>
          <w:rFonts w:eastAsia="Times New Roman" w:cs="Arial"/>
          <w:b/>
          <w:lang w:eastAsia="cs-CZ"/>
        </w:rPr>
        <w:t>á</w:t>
      </w:r>
      <w:r w:rsidRPr="00996116">
        <w:rPr>
          <w:rFonts w:eastAsia="Times New Roman" w:cs="Arial"/>
          <w:b/>
          <w:lang w:eastAsia="cs-CZ"/>
        </w:rPr>
        <w:t xml:space="preserve"> podpor</w:t>
      </w:r>
      <w:r>
        <w:rPr>
          <w:rFonts w:eastAsia="Times New Roman" w:cs="Arial"/>
          <w:b/>
          <w:lang w:eastAsia="cs-CZ"/>
        </w:rPr>
        <w:t>a</w:t>
      </w:r>
      <w:r w:rsidRPr="00996116">
        <w:rPr>
          <w:rFonts w:eastAsia="Times New Roman" w:cs="Arial"/>
          <w:b/>
          <w:lang w:eastAsia="cs-CZ"/>
        </w:rPr>
        <w:t xml:space="preserve"> orgánů státní správy formou poskytování podkladů, konzultací, podnětů</w:t>
      </w:r>
      <w:r>
        <w:rPr>
          <w:rFonts w:eastAsia="Times New Roman" w:cs="Arial"/>
          <w:b/>
          <w:lang w:eastAsia="cs-CZ"/>
        </w:rPr>
        <w:t xml:space="preserve">: </w:t>
      </w:r>
      <w:r w:rsidRPr="00996116">
        <w:rPr>
          <w:rFonts w:eastAsia="Times New Roman" w:cs="Arial"/>
          <w:bCs/>
          <w:lang w:eastAsia="cs-CZ"/>
        </w:rPr>
        <w:t>organizování veřejných akcí a osvětov</w:t>
      </w:r>
      <w:r>
        <w:rPr>
          <w:rFonts w:eastAsia="Times New Roman" w:cs="Arial"/>
          <w:bCs/>
          <w:lang w:eastAsia="cs-CZ"/>
        </w:rPr>
        <w:t>é</w:t>
      </w:r>
      <w:r w:rsidRPr="00996116">
        <w:rPr>
          <w:rFonts w:eastAsia="Times New Roman" w:cs="Arial"/>
          <w:bCs/>
          <w:lang w:eastAsia="cs-CZ"/>
        </w:rPr>
        <w:t xml:space="preserve"> činnost</w:t>
      </w:r>
      <w:r>
        <w:rPr>
          <w:rFonts w:eastAsia="Times New Roman" w:cs="Arial"/>
          <w:bCs/>
          <w:lang w:eastAsia="cs-CZ"/>
        </w:rPr>
        <w:t>i,</w:t>
      </w:r>
      <w:r w:rsidRPr="00996116">
        <w:rPr>
          <w:rFonts w:eastAsia="Times New Roman" w:cs="Arial"/>
          <w:bCs/>
          <w:lang w:eastAsia="cs-CZ"/>
        </w:rPr>
        <w:t xml:space="preserve"> Národní informační centrum pro genderové otázky v evropském výzkumu</w:t>
      </w:r>
      <w:r>
        <w:rPr>
          <w:rFonts w:eastAsia="Times New Roman" w:cs="Arial"/>
          <w:bCs/>
          <w:lang w:eastAsia="cs-CZ"/>
        </w:rPr>
        <w:t>.</w:t>
      </w:r>
    </w:p>
    <w:p w14:paraId="127FFCA7" w14:textId="77777777" w:rsidR="00484D6A" w:rsidRDefault="00484D6A" w:rsidP="00484D6A">
      <w:pPr>
        <w:spacing w:after="360" w:line="360" w:lineRule="auto"/>
        <w:ind w:left="142"/>
        <w:jc w:val="both"/>
        <w:rPr>
          <w:rFonts w:eastAsia="Times New Roman" w:cs="Arial"/>
          <w:bCs/>
          <w:lang w:eastAsia="cs-CZ"/>
        </w:rPr>
      </w:pPr>
      <w:r w:rsidRPr="00104D9E">
        <w:rPr>
          <w:rFonts w:eastAsia="Times New Roman" w:cs="Arial"/>
          <w:b/>
          <w:lang w:eastAsia="cs-CZ"/>
        </w:rPr>
        <w:t xml:space="preserve">→ </w:t>
      </w:r>
      <w:r>
        <w:rPr>
          <w:rFonts w:eastAsia="Times New Roman" w:cs="Arial"/>
          <w:b/>
          <w:lang w:eastAsia="cs-CZ"/>
        </w:rPr>
        <w:t>Ú</w:t>
      </w:r>
      <w:r w:rsidRPr="00EF08F4">
        <w:rPr>
          <w:rFonts w:eastAsia="Times New Roman" w:cs="Arial"/>
          <w:b/>
          <w:lang w:eastAsia="cs-CZ"/>
        </w:rPr>
        <w:t>čast v expertních a poradních orgán</w:t>
      </w:r>
      <w:r>
        <w:rPr>
          <w:rFonts w:eastAsia="Times New Roman" w:cs="Arial"/>
          <w:b/>
          <w:lang w:eastAsia="cs-CZ"/>
        </w:rPr>
        <w:t>e</w:t>
      </w:r>
      <w:r w:rsidRPr="00EF08F4">
        <w:rPr>
          <w:rFonts w:eastAsia="Times New Roman" w:cs="Arial"/>
          <w:b/>
          <w:lang w:eastAsia="cs-CZ"/>
        </w:rPr>
        <w:t>ch a vedení těchto orgánů</w:t>
      </w:r>
      <w:r>
        <w:rPr>
          <w:rFonts w:eastAsia="Times New Roman" w:cs="Arial"/>
          <w:b/>
          <w:lang w:eastAsia="cs-CZ"/>
        </w:rPr>
        <w:t xml:space="preserve">: </w:t>
      </w:r>
      <w:r w:rsidRPr="00EF08F4">
        <w:rPr>
          <w:rFonts w:eastAsia="Times New Roman" w:cs="Arial"/>
          <w:bCs/>
          <w:lang w:eastAsia="cs-CZ"/>
        </w:rPr>
        <w:t>naplňování závazků ČR v oblasti genderové rovnosti na evropské úrovni</w:t>
      </w:r>
      <w:r>
        <w:rPr>
          <w:rFonts w:eastAsia="Times New Roman" w:cs="Arial"/>
          <w:bCs/>
          <w:lang w:eastAsia="cs-CZ"/>
        </w:rPr>
        <w:t>.</w:t>
      </w:r>
    </w:p>
    <w:p w14:paraId="530C4EFC" w14:textId="77777777" w:rsidR="00484D6A" w:rsidRPr="000E54C6" w:rsidRDefault="00484D6A" w:rsidP="00484D6A">
      <w:pPr>
        <w:widowControl w:val="0"/>
        <w:shd w:val="clear" w:color="auto" w:fill="E3E8F1"/>
        <w:spacing w:after="0" w:line="240" w:lineRule="auto"/>
        <w:jc w:val="both"/>
        <w:rPr>
          <w:rFonts w:eastAsia="Times New Roman" w:cs="Arial"/>
          <w:b/>
          <w:sz w:val="12"/>
          <w:szCs w:val="12"/>
          <w:lang w:eastAsia="cs-CZ"/>
        </w:rPr>
      </w:pPr>
    </w:p>
    <w:p w14:paraId="1A3EFBDB" w14:textId="77777777" w:rsidR="00484D6A" w:rsidRDefault="00484D6A" w:rsidP="00484D6A">
      <w:pPr>
        <w:widowControl w:val="0"/>
        <w:shd w:val="clear" w:color="auto" w:fill="E3E8F1"/>
        <w:spacing w:after="0" w:line="240" w:lineRule="auto"/>
        <w:jc w:val="both"/>
        <w:rPr>
          <w:rFonts w:eastAsia="Times New Roman" w:cs="Arial"/>
          <w:b/>
          <w:sz w:val="26"/>
          <w:szCs w:val="26"/>
          <w:lang w:eastAsia="cs-CZ"/>
        </w:rPr>
      </w:pPr>
      <w:r w:rsidRPr="00E54A04">
        <w:rPr>
          <w:rFonts w:eastAsia="Times New Roman" w:cs="Arial"/>
          <w:b/>
          <w:sz w:val="26"/>
          <w:szCs w:val="26"/>
          <w:lang w:eastAsia="cs-CZ"/>
        </w:rPr>
        <w:t>STRATIN+: Strategická inteligence pro výzkum a inovace</w:t>
      </w:r>
    </w:p>
    <w:p w14:paraId="7D50C005" w14:textId="77777777" w:rsidR="00484D6A" w:rsidRPr="000E54C6" w:rsidRDefault="00484D6A" w:rsidP="00484D6A">
      <w:pPr>
        <w:widowControl w:val="0"/>
        <w:shd w:val="clear" w:color="auto" w:fill="E3E8F1"/>
        <w:spacing w:after="0" w:line="240" w:lineRule="auto"/>
        <w:jc w:val="both"/>
        <w:rPr>
          <w:rFonts w:eastAsia="Times New Roman" w:cs="Arial"/>
          <w:b/>
          <w:sz w:val="12"/>
          <w:szCs w:val="12"/>
          <w:lang w:eastAsia="cs-CZ"/>
        </w:rPr>
      </w:pPr>
    </w:p>
    <w:p w14:paraId="1DE37A40" w14:textId="77777777" w:rsidR="00484D6A" w:rsidRPr="006209EB" w:rsidRDefault="00484D6A" w:rsidP="00484D6A">
      <w:pPr>
        <w:widowControl w:val="0"/>
        <w:spacing w:before="120" w:after="0" w:line="360" w:lineRule="auto"/>
        <w:jc w:val="both"/>
        <w:rPr>
          <w:rFonts w:eastAsia="Times New Roman" w:cs="Arial"/>
          <w:b/>
          <w:bCs/>
          <w:lang w:eastAsia="cs-CZ"/>
        </w:rPr>
      </w:pPr>
      <w:r w:rsidRPr="006209EB">
        <w:rPr>
          <w:rFonts w:eastAsia="Times New Roman" w:cs="Arial"/>
          <w:b/>
          <w:bCs/>
          <w:lang w:eastAsia="cs-CZ"/>
        </w:rPr>
        <w:t>Projektové moduly:</w:t>
      </w:r>
    </w:p>
    <w:p w14:paraId="3AD5BB99" w14:textId="77777777" w:rsidR="00484D6A" w:rsidRPr="0095269D" w:rsidRDefault="00484D6A" w:rsidP="00484D6A">
      <w:pPr>
        <w:widowControl w:val="0"/>
        <w:spacing w:after="0" w:line="360" w:lineRule="auto"/>
        <w:ind w:left="142"/>
        <w:jc w:val="both"/>
        <w:rPr>
          <w:rFonts w:eastAsia="Times New Roman" w:cs="Arial"/>
          <w:bCs/>
          <w:lang w:eastAsia="cs-CZ"/>
        </w:rPr>
      </w:pPr>
      <w:r w:rsidRPr="00104D9E">
        <w:rPr>
          <w:rFonts w:eastAsia="Times New Roman" w:cs="Arial"/>
          <w:b/>
          <w:lang w:eastAsia="cs-CZ"/>
        </w:rPr>
        <w:t xml:space="preserve">→ </w:t>
      </w:r>
      <w:r w:rsidRPr="00E54A04">
        <w:rPr>
          <w:rFonts w:eastAsia="Times New Roman" w:cs="Arial"/>
          <w:b/>
          <w:lang w:eastAsia="cs-CZ"/>
        </w:rPr>
        <w:t>Výzkumné a inovační systémy</w:t>
      </w:r>
      <w:r>
        <w:rPr>
          <w:rFonts w:eastAsia="Times New Roman" w:cs="Arial"/>
          <w:b/>
          <w:lang w:eastAsia="cs-CZ"/>
        </w:rPr>
        <w:t xml:space="preserve">: </w:t>
      </w:r>
      <w:r w:rsidRPr="0095269D">
        <w:rPr>
          <w:rFonts w:eastAsia="Times New Roman" w:cs="Arial"/>
          <w:bCs/>
          <w:lang w:eastAsia="cs-CZ"/>
        </w:rPr>
        <w:t xml:space="preserve">Analytická podpora politik na podporu internacionalizace </w:t>
      </w:r>
      <w:proofErr w:type="spellStart"/>
      <w:r w:rsidRPr="0095269D">
        <w:rPr>
          <w:rFonts w:eastAsia="Times New Roman" w:cs="Arial"/>
          <w:bCs/>
          <w:lang w:eastAsia="cs-CZ"/>
        </w:rPr>
        <w:t>VaVaI</w:t>
      </w:r>
      <w:proofErr w:type="spellEnd"/>
      <w:r w:rsidRPr="0095269D">
        <w:rPr>
          <w:rFonts w:eastAsia="Times New Roman" w:cs="Arial"/>
          <w:bCs/>
          <w:lang w:eastAsia="cs-CZ"/>
        </w:rPr>
        <w:t xml:space="preserve"> v ČR; Analytická podpora řízení a aktualizace RIS3; Evaluace průběhu, výsledků a</w:t>
      </w:r>
      <w:r>
        <w:rPr>
          <w:rFonts w:eastAsia="Times New Roman" w:cs="Arial"/>
          <w:bCs/>
          <w:lang w:eastAsia="cs-CZ"/>
        </w:rPr>
        <w:t> </w:t>
      </w:r>
      <w:r w:rsidRPr="0095269D">
        <w:rPr>
          <w:rFonts w:eastAsia="Times New Roman" w:cs="Arial"/>
          <w:bCs/>
          <w:lang w:eastAsia="cs-CZ"/>
        </w:rPr>
        <w:t>přínosů RIS3 a souvisejících strategií</w:t>
      </w:r>
      <w:r>
        <w:rPr>
          <w:rFonts w:eastAsia="Times New Roman" w:cs="Arial"/>
          <w:bCs/>
          <w:lang w:eastAsia="cs-CZ"/>
        </w:rPr>
        <w:t xml:space="preserve">; </w:t>
      </w:r>
      <w:r w:rsidRPr="0095269D">
        <w:rPr>
          <w:rFonts w:eastAsia="Times New Roman" w:cs="Arial"/>
          <w:bCs/>
          <w:lang w:eastAsia="cs-CZ"/>
        </w:rPr>
        <w:t xml:space="preserve">Analýza socioekonomických přínosů a dopadů </w:t>
      </w:r>
      <w:r>
        <w:rPr>
          <w:rFonts w:eastAsia="Times New Roman" w:cs="Arial"/>
          <w:bCs/>
          <w:lang w:eastAsia="cs-CZ"/>
        </w:rPr>
        <w:t>velkých výzkumných infrastruktur (VVI).</w:t>
      </w:r>
    </w:p>
    <w:p w14:paraId="348AA7F6" w14:textId="77777777" w:rsidR="00484D6A" w:rsidRDefault="00484D6A" w:rsidP="00484D6A">
      <w:pPr>
        <w:spacing w:after="0" w:line="360" w:lineRule="auto"/>
        <w:ind w:left="142"/>
        <w:jc w:val="both"/>
        <w:rPr>
          <w:rFonts w:eastAsia="Times New Roman" w:cs="Arial"/>
          <w:bCs/>
          <w:lang w:eastAsia="cs-CZ"/>
        </w:rPr>
      </w:pPr>
      <w:r w:rsidRPr="00104D9E">
        <w:rPr>
          <w:rFonts w:eastAsia="Times New Roman" w:cs="Arial"/>
          <w:b/>
          <w:lang w:eastAsia="cs-CZ"/>
        </w:rPr>
        <w:t xml:space="preserve">→ </w:t>
      </w:r>
      <w:r w:rsidRPr="00E54A04">
        <w:rPr>
          <w:rFonts w:eastAsia="Times New Roman" w:cs="Arial"/>
          <w:b/>
          <w:lang w:eastAsia="cs-CZ"/>
        </w:rPr>
        <w:t xml:space="preserve">Horizon </w:t>
      </w:r>
      <w:proofErr w:type="spellStart"/>
      <w:r w:rsidRPr="00E54A04">
        <w:rPr>
          <w:rFonts w:eastAsia="Times New Roman" w:cs="Arial"/>
          <w:b/>
          <w:lang w:eastAsia="cs-CZ"/>
        </w:rPr>
        <w:t>scanning</w:t>
      </w:r>
      <w:proofErr w:type="spellEnd"/>
      <w:r w:rsidRPr="00E54A04">
        <w:rPr>
          <w:rFonts w:eastAsia="Times New Roman" w:cs="Arial"/>
          <w:b/>
          <w:lang w:eastAsia="cs-CZ"/>
        </w:rPr>
        <w:t xml:space="preserve"> a strategický </w:t>
      </w:r>
      <w:proofErr w:type="spellStart"/>
      <w:r w:rsidRPr="00E54A04">
        <w:rPr>
          <w:rFonts w:eastAsia="Times New Roman" w:cs="Arial"/>
          <w:b/>
          <w:lang w:eastAsia="cs-CZ"/>
        </w:rPr>
        <w:t>foresight</w:t>
      </w:r>
      <w:proofErr w:type="spellEnd"/>
      <w:r>
        <w:rPr>
          <w:rFonts w:eastAsia="Times New Roman" w:cs="Arial"/>
          <w:b/>
          <w:lang w:eastAsia="cs-CZ"/>
        </w:rPr>
        <w:t xml:space="preserve">: </w:t>
      </w:r>
      <w:r w:rsidRPr="0095269D">
        <w:rPr>
          <w:rFonts w:eastAsia="Times New Roman" w:cs="Arial"/>
          <w:bCs/>
          <w:lang w:eastAsia="cs-CZ"/>
        </w:rPr>
        <w:t xml:space="preserve">Technology </w:t>
      </w:r>
      <w:proofErr w:type="spellStart"/>
      <w:r w:rsidRPr="0095269D">
        <w:rPr>
          <w:rFonts w:eastAsia="Times New Roman" w:cs="Arial"/>
          <w:bCs/>
          <w:lang w:eastAsia="cs-CZ"/>
        </w:rPr>
        <w:t>scanning</w:t>
      </w:r>
      <w:proofErr w:type="spellEnd"/>
      <w:r w:rsidRPr="0095269D">
        <w:rPr>
          <w:rFonts w:eastAsia="Times New Roman" w:cs="Arial"/>
          <w:bCs/>
          <w:lang w:eastAsia="cs-CZ"/>
        </w:rPr>
        <w:t xml:space="preserve"> – identifikace a</w:t>
      </w:r>
      <w:r>
        <w:rPr>
          <w:rFonts w:eastAsia="Times New Roman" w:cs="Arial"/>
          <w:bCs/>
          <w:lang w:eastAsia="cs-CZ"/>
        </w:rPr>
        <w:t> </w:t>
      </w:r>
      <w:r w:rsidRPr="0095269D">
        <w:rPr>
          <w:rFonts w:eastAsia="Times New Roman" w:cs="Arial"/>
          <w:bCs/>
          <w:lang w:eastAsia="cs-CZ"/>
        </w:rPr>
        <w:t>posuzování nových technologií</w:t>
      </w:r>
      <w:r>
        <w:rPr>
          <w:rFonts w:eastAsia="Times New Roman" w:cs="Arial"/>
          <w:bCs/>
          <w:lang w:eastAsia="cs-CZ"/>
        </w:rPr>
        <w:t xml:space="preserve">; </w:t>
      </w:r>
      <w:r w:rsidRPr="0095269D">
        <w:rPr>
          <w:rFonts w:eastAsia="Times New Roman" w:cs="Arial"/>
          <w:bCs/>
          <w:lang w:eastAsia="cs-CZ"/>
        </w:rPr>
        <w:t xml:space="preserve">Strategický </w:t>
      </w:r>
      <w:proofErr w:type="spellStart"/>
      <w:r w:rsidRPr="0095269D">
        <w:rPr>
          <w:rFonts w:eastAsia="Times New Roman" w:cs="Arial"/>
          <w:bCs/>
          <w:lang w:eastAsia="cs-CZ"/>
        </w:rPr>
        <w:t>foresight</w:t>
      </w:r>
      <w:proofErr w:type="spellEnd"/>
      <w:r w:rsidRPr="0095269D">
        <w:rPr>
          <w:rFonts w:eastAsia="Times New Roman" w:cs="Arial"/>
          <w:bCs/>
          <w:lang w:eastAsia="cs-CZ"/>
        </w:rPr>
        <w:t xml:space="preserve"> pro internacionalizaci </w:t>
      </w:r>
      <w:proofErr w:type="spellStart"/>
      <w:r w:rsidRPr="0095269D">
        <w:rPr>
          <w:rFonts w:eastAsia="Times New Roman" w:cs="Arial"/>
          <w:bCs/>
          <w:lang w:eastAsia="cs-CZ"/>
        </w:rPr>
        <w:t>VaVaI</w:t>
      </w:r>
      <w:proofErr w:type="spellEnd"/>
      <w:r>
        <w:rPr>
          <w:rFonts w:eastAsia="Times New Roman" w:cs="Arial"/>
          <w:bCs/>
          <w:lang w:eastAsia="cs-CZ"/>
        </w:rPr>
        <w:t xml:space="preserve">; </w:t>
      </w:r>
      <w:r w:rsidRPr="0095269D">
        <w:rPr>
          <w:rFonts w:eastAsia="Times New Roman" w:cs="Arial"/>
          <w:bCs/>
          <w:lang w:eastAsia="cs-CZ"/>
        </w:rPr>
        <w:t xml:space="preserve">Strategický </w:t>
      </w:r>
      <w:proofErr w:type="spellStart"/>
      <w:r w:rsidRPr="0095269D">
        <w:rPr>
          <w:rFonts w:eastAsia="Times New Roman" w:cs="Arial"/>
          <w:bCs/>
          <w:lang w:eastAsia="cs-CZ"/>
        </w:rPr>
        <w:t>foresight</w:t>
      </w:r>
      <w:proofErr w:type="spellEnd"/>
      <w:r w:rsidRPr="0095269D">
        <w:rPr>
          <w:rFonts w:eastAsia="Times New Roman" w:cs="Arial"/>
          <w:bCs/>
          <w:lang w:eastAsia="cs-CZ"/>
        </w:rPr>
        <w:t xml:space="preserve"> pro</w:t>
      </w:r>
      <w:r>
        <w:rPr>
          <w:rFonts w:eastAsia="Times New Roman" w:cs="Arial"/>
          <w:bCs/>
          <w:lang w:eastAsia="cs-CZ"/>
        </w:rPr>
        <w:t> </w:t>
      </w:r>
      <w:r w:rsidRPr="0095269D">
        <w:rPr>
          <w:rFonts w:eastAsia="Times New Roman" w:cs="Arial"/>
          <w:bCs/>
          <w:lang w:eastAsia="cs-CZ"/>
        </w:rPr>
        <w:t>inteligentní specializaci</w:t>
      </w:r>
      <w:r>
        <w:rPr>
          <w:rFonts w:eastAsia="Times New Roman" w:cs="Arial"/>
          <w:bCs/>
          <w:lang w:eastAsia="cs-CZ"/>
        </w:rPr>
        <w:t>.</w:t>
      </w:r>
    </w:p>
    <w:p w14:paraId="465A57DE" w14:textId="77777777" w:rsidR="00484D6A" w:rsidRDefault="00484D6A" w:rsidP="00484D6A">
      <w:pPr>
        <w:spacing w:after="0" w:line="360" w:lineRule="auto"/>
        <w:ind w:left="142"/>
        <w:jc w:val="both"/>
        <w:rPr>
          <w:rFonts w:eastAsia="Times New Roman" w:cs="Arial"/>
          <w:bCs/>
          <w:lang w:eastAsia="cs-CZ"/>
        </w:rPr>
      </w:pPr>
      <w:r w:rsidRPr="00104D9E">
        <w:rPr>
          <w:rFonts w:eastAsia="Times New Roman" w:cs="Arial"/>
          <w:b/>
          <w:lang w:eastAsia="cs-CZ"/>
        </w:rPr>
        <w:t xml:space="preserve">→ </w:t>
      </w:r>
      <w:r w:rsidRPr="00E54A04">
        <w:rPr>
          <w:rFonts w:eastAsia="Times New Roman" w:cs="Arial"/>
          <w:b/>
          <w:lang w:eastAsia="cs-CZ"/>
        </w:rPr>
        <w:t>Věda, vzdělávání a trh práce</w:t>
      </w:r>
      <w:r>
        <w:rPr>
          <w:rFonts w:eastAsia="Times New Roman" w:cs="Arial"/>
          <w:b/>
          <w:lang w:eastAsia="cs-CZ"/>
        </w:rPr>
        <w:t xml:space="preserve">: </w:t>
      </w:r>
      <w:r w:rsidRPr="0095269D">
        <w:rPr>
          <w:rFonts w:eastAsia="Times New Roman" w:cs="Arial"/>
          <w:bCs/>
          <w:lang w:eastAsia="cs-CZ"/>
        </w:rPr>
        <w:t xml:space="preserve">Analýzy přípravy odborníků pro uplatnění ve </w:t>
      </w:r>
      <w:proofErr w:type="spellStart"/>
      <w:r w:rsidRPr="0095269D">
        <w:rPr>
          <w:rFonts w:eastAsia="Times New Roman" w:cs="Arial"/>
          <w:bCs/>
          <w:lang w:eastAsia="cs-CZ"/>
        </w:rPr>
        <w:t>VaVaI</w:t>
      </w:r>
      <w:proofErr w:type="spellEnd"/>
      <w:r>
        <w:rPr>
          <w:rFonts w:eastAsia="Times New Roman" w:cs="Arial"/>
          <w:bCs/>
          <w:lang w:eastAsia="cs-CZ"/>
        </w:rPr>
        <w:t xml:space="preserve">; </w:t>
      </w:r>
      <w:r w:rsidRPr="0095269D">
        <w:rPr>
          <w:rFonts w:eastAsia="Times New Roman" w:cs="Arial"/>
          <w:bCs/>
          <w:lang w:eastAsia="cs-CZ"/>
        </w:rPr>
        <w:t xml:space="preserve">Analýzy podmínek pro uplatnění ve </w:t>
      </w:r>
      <w:proofErr w:type="spellStart"/>
      <w:r w:rsidRPr="0095269D">
        <w:rPr>
          <w:rFonts w:eastAsia="Times New Roman" w:cs="Arial"/>
          <w:bCs/>
          <w:lang w:eastAsia="cs-CZ"/>
        </w:rPr>
        <w:t>VaVaI</w:t>
      </w:r>
      <w:proofErr w:type="spellEnd"/>
      <w:r>
        <w:rPr>
          <w:rFonts w:eastAsia="Times New Roman" w:cs="Arial"/>
          <w:bCs/>
          <w:lang w:eastAsia="cs-CZ"/>
        </w:rPr>
        <w:t xml:space="preserve">; </w:t>
      </w:r>
      <w:r w:rsidRPr="0095269D">
        <w:rPr>
          <w:rFonts w:eastAsia="Times New Roman" w:cs="Arial"/>
          <w:bCs/>
          <w:lang w:eastAsia="cs-CZ"/>
        </w:rPr>
        <w:t xml:space="preserve">Analýzy vybavenosti podniků odborníky v oblasti </w:t>
      </w:r>
      <w:proofErr w:type="spellStart"/>
      <w:r w:rsidRPr="0095269D">
        <w:rPr>
          <w:rFonts w:eastAsia="Times New Roman" w:cs="Arial"/>
          <w:bCs/>
          <w:lang w:eastAsia="cs-CZ"/>
        </w:rPr>
        <w:t>VaVaI</w:t>
      </w:r>
      <w:proofErr w:type="spellEnd"/>
      <w:r w:rsidRPr="0095269D">
        <w:rPr>
          <w:rFonts w:eastAsia="Times New Roman" w:cs="Arial"/>
          <w:bCs/>
          <w:lang w:eastAsia="cs-CZ"/>
        </w:rPr>
        <w:t xml:space="preserve"> a</w:t>
      </w:r>
      <w:r>
        <w:rPr>
          <w:rFonts w:eastAsia="Times New Roman" w:cs="Arial"/>
          <w:bCs/>
          <w:lang w:eastAsia="cs-CZ"/>
        </w:rPr>
        <w:t> </w:t>
      </w:r>
      <w:r w:rsidRPr="0095269D">
        <w:rPr>
          <w:rFonts w:eastAsia="Times New Roman" w:cs="Arial"/>
          <w:bCs/>
          <w:lang w:eastAsia="cs-CZ"/>
        </w:rPr>
        <w:t>jejich připravenosti pro spolupráci s výzkumnou sférou</w:t>
      </w:r>
      <w:r>
        <w:rPr>
          <w:rFonts w:eastAsia="Times New Roman" w:cs="Arial"/>
          <w:bCs/>
          <w:lang w:eastAsia="cs-CZ"/>
        </w:rPr>
        <w:t xml:space="preserve">; </w:t>
      </w:r>
      <w:r w:rsidRPr="0095269D">
        <w:rPr>
          <w:rFonts w:eastAsia="Times New Roman" w:cs="Arial"/>
          <w:bCs/>
          <w:lang w:eastAsia="cs-CZ"/>
        </w:rPr>
        <w:t xml:space="preserve">Analýzy změn trhu práce vlivem využívání výsledků </w:t>
      </w:r>
      <w:proofErr w:type="spellStart"/>
      <w:r w:rsidRPr="0095269D">
        <w:rPr>
          <w:rFonts w:eastAsia="Times New Roman" w:cs="Arial"/>
          <w:bCs/>
          <w:lang w:eastAsia="cs-CZ"/>
        </w:rPr>
        <w:t>VaVaI</w:t>
      </w:r>
      <w:proofErr w:type="spellEnd"/>
      <w:r w:rsidRPr="0095269D">
        <w:rPr>
          <w:rFonts w:eastAsia="Times New Roman" w:cs="Arial"/>
          <w:bCs/>
          <w:lang w:eastAsia="cs-CZ"/>
        </w:rPr>
        <w:t xml:space="preserve"> v</w:t>
      </w:r>
      <w:r>
        <w:rPr>
          <w:rFonts w:eastAsia="Times New Roman" w:cs="Arial"/>
          <w:bCs/>
          <w:lang w:eastAsia="cs-CZ"/>
        </w:rPr>
        <w:t> </w:t>
      </w:r>
      <w:r w:rsidRPr="0095269D">
        <w:rPr>
          <w:rFonts w:eastAsia="Times New Roman" w:cs="Arial"/>
          <w:bCs/>
          <w:lang w:eastAsia="cs-CZ"/>
        </w:rPr>
        <w:t>praxi</w:t>
      </w:r>
      <w:r>
        <w:rPr>
          <w:rFonts w:eastAsia="Times New Roman" w:cs="Arial"/>
          <w:bCs/>
          <w:lang w:eastAsia="cs-CZ"/>
        </w:rPr>
        <w:t xml:space="preserve">; </w:t>
      </w:r>
      <w:r w:rsidRPr="0095269D">
        <w:rPr>
          <w:rFonts w:eastAsia="Times New Roman" w:cs="Arial"/>
          <w:bCs/>
          <w:lang w:eastAsia="cs-CZ"/>
        </w:rPr>
        <w:t>Analýzy stavu a dynamiky mezinárodní vědecko-výzkumné mobility</w:t>
      </w:r>
      <w:r>
        <w:rPr>
          <w:rFonts w:eastAsia="Times New Roman" w:cs="Arial"/>
          <w:bCs/>
          <w:lang w:eastAsia="cs-CZ"/>
        </w:rPr>
        <w:t xml:space="preserve">; </w:t>
      </w:r>
      <w:r w:rsidRPr="0095269D">
        <w:rPr>
          <w:rFonts w:eastAsia="Times New Roman" w:cs="Arial"/>
          <w:bCs/>
          <w:lang w:eastAsia="cs-CZ"/>
        </w:rPr>
        <w:t>Monitorování administrativních bariér mezinárodní mobility</w:t>
      </w:r>
      <w:r>
        <w:rPr>
          <w:rFonts w:eastAsia="Times New Roman" w:cs="Arial"/>
          <w:bCs/>
          <w:lang w:eastAsia="cs-CZ"/>
        </w:rPr>
        <w:t>.</w:t>
      </w:r>
    </w:p>
    <w:p w14:paraId="12E9AEC7" w14:textId="77777777" w:rsidR="00484D6A" w:rsidRDefault="00484D6A" w:rsidP="00484D6A">
      <w:pPr>
        <w:spacing w:after="0" w:line="360" w:lineRule="auto"/>
        <w:ind w:left="142"/>
        <w:jc w:val="both"/>
        <w:rPr>
          <w:rFonts w:eastAsia="Times New Roman" w:cs="Arial"/>
          <w:bCs/>
          <w:lang w:eastAsia="cs-CZ"/>
        </w:rPr>
      </w:pPr>
      <w:r w:rsidRPr="00104D9E">
        <w:rPr>
          <w:rFonts w:eastAsia="Times New Roman" w:cs="Arial"/>
          <w:b/>
          <w:lang w:eastAsia="cs-CZ"/>
        </w:rPr>
        <w:t xml:space="preserve">→ </w:t>
      </w:r>
      <w:r w:rsidRPr="00E54A04">
        <w:rPr>
          <w:rFonts w:eastAsia="Times New Roman" w:cs="Arial"/>
          <w:b/>
          <w:lang w:eastAsia="cs-CZ"/>
        </w:rPr>
        <w:t>Gender a věda</w:t>
      </w:r>
      <w:r>
        <w:rPr>
          <w:rFonts w:eastAsia="Times New Roman" w:cs="Arial"/>
          <w:b/>
          <w:lang w:eastAsia="cs-CZ"/>
        </w:rPr>
        <w:t xml:space="preserve">: </w:t>
      </w:r>
      <w:r w:rsidRPr="005A697F">
        <w:rPr>
          <w:rFonts w:eastAsia="Times New Roman" w:cs="Arial"/>
          <w:bCs/>
          <w:lang w:eastAsia="cs-CZ"/>
        </w:rPr>
        <w:t xml:space="preserve">Monitoring a evaluace plnění strategických cílů a politik genderové rovnosti ve </w:t>
      </w:r>
      <w:proofErr w:type="spellStart"/>
      <w:r w:rsidRPr="005A697F">
        <w:rPr>
          <w:rFonts w:eastAsia="Times New Roman" w:cs="Arial"/>
          <w:bCs/>
          <w:lang w:eastAsia="cs-CZ"/>
        </w:rPr>
        <w:t>VaVaI</w:t>
      </w:r>
      <w:proofErr w:type="spellEnd"/>
      <w:r w:rsidRPr="005A697F">
        <w:rPr>
          <w:rFonts w:eastAsia="Times New Roman" w:cs="Arial"/>
          <w:bCs/>
          <w:lang w:eastAsia="cs-CZ"/>
        </w:rPr>
        <w:t xml:space="preserve"> a návrhy strategických řešení</w:t>
      </w:r>
      <w:r>
        <w:rPr>
          <w:rFonts w:eastAsia="Times New Roman" w:cs="Arial"/>
          <w:bCs/>
          <w:lang w:eastAsia="cs-CZ"/>
        </w:rPr>
        <w:t xml:space="preserve">; </w:t>
      </w:r>
      <w:r w:rsidRPr="005A697F">
        <w:rPr>
          <w:rFonts w:eastAsia="Times New Roman" w:cs="Arial"/>
          <w:bCs/>
          <w:lang w:eastAsia="cs-CZ"/>
        </w:rPr>
        <w:t>Tvorba a implementace metodiky hodnocení dopadu aktivit na podporu genderové rovnosti</w:t>
      </w:r>
      <w:r>
        <w:rPr>
          <w:rFonts w:eastAsia="Times New Roman" w:cs="Arial"/>
          <w:bCs/>
          <w:lang w:eastAsia="cs-CZ"/>
        </w:rPr>
        <w:t xml:space="preserve">; </w:t>
      </w:r>
      <w:r w:rsidRPr="005A697F">
        <w:rPr>
          <w:rFonts w:eastAsia="Times New Roman" w:cs="Arial"/>
          <w:bCs/>
          <w:lang w:eastAsia="cs-CZ"/>
        </w:rPr>
        <w:t xml:space="preserve">Odborná podpora veřejné správy při implementaci pravidel pro vyrovnávání příležitostí ve </w:t>
      </w:r>
      <w:proofErr w:type="spellStart"/>
      <w:r w:rsidRPr="005A697F">
        <w:rPr>
          <w:rFonts w:eastAsia="Times New Roman" w:cs="Arial"/>
          <w:bCs/>
          <w:lang w:eastAsia="cs-CZ"/>
        </w:rPr>
        <w:t>VaVaI</w:t>
      </w:r>
      <w:proofErr w:type="spellEnd"/>
      <w:r>
        <w:rPr>
          <w:rFonts w:eastAsia="Times New Roman" w:cs="Arial"/>
          <w:bCs/>
          <w:lang w:eastAsia="cs-CZ"/>
        </w:rPr>
        <w:t xml:space="preserve">; zpracování zprávy </w:t>
      </w:r>
      <w:proofErr w:type="spellStart"/>
      <w:r w:rsidRPr="005A697F">
        <w:rPr>
          <w:rFonts w:eastAsia="Times New Roman" w:cs="Arial"/>
          <w:bCs/>
          <w:lang w:eastAsia="cs-CZ"/>
        </w:rPr>
        <w:t>She</w:t>
      </w:r>
      <w:proofErr w:type="spellEnd"/>
      <w:r w:rsidRPr="005A697F">
        <w:rPr>
          <w:rFonts w:eastAsia="Times New Roman" w:cs="Arial"/>
          <w:bCs/>
          <w:lang w:eastAsia="cs-CZ"/>
        </w:rPr>
        <w:t xml:space="preserve"> </w:t>
      </w:r>
      <w:proofErr w:type="spellStart"/>
      <w:r w:rsidRPr="005A697F">
        <w:rPr>
          <w:rFonts w:eastAsia="Times New Roman" w:cs="Arial"/>
          <w:bCs/>
          <w:lang w:eastAsia="cs-CZ"/>
        </w:rPr>
        <w:t>Figures</w:t>
      </w:r>
      <w:proofErr w:type="spellEnd"/>
      <w:r w:rsidRPr="005A697F">
        <w:rPr>
          <w:rFonts w:eastAsia="Times New Roman" w:cs="Arial"/>
          <w:bCs/>
          <w:lang w:eastAsia="cs-CZ"/>
        </w:rPr>
        <w:t xml:space="preserve"> Czech Republic</w:t>
      </w:r>
      <w:r>
        <w:rPr>
          <w:rFonts w:eastAsia="Times New Roman" w:cs="Arial"/>
          <w:bCs/>
          <w:lang w:eastAsia="cs-CZ"/>
        </w:rPr>
        <w:t>.</w:t>
      </w:r>
    </w:p>
    <w:p w14:paraId="29E2B494" w14:textId="77777777" w:rsidR="00484D6A" w:rsidRDefault="00484D6A" w:rsidP="00484D6A">
      <w:pPr>
        <w:spacing w:after="0" w:line="360" w:lineRule="auto"/>
        <w:ind w:left="142"/>
        <w:jc w:val="both"/>
        <w:rPr>
          <w:rFonts w:eastAsia="Times New Roman" w:cs="Arial"/>
          <w:bCs/>
          <w:lang w:eastAsia="cs-CZ"/>
        </w:rPr>
      </w:pPr>
      <w:r w:rsidRPr="00104D9E">
        <w:rPr>
          <w:rFonts w:eastAsia="Times New Roman" w:cs="Arial"/>
          <w:b/>
          <w:lang w:eastAsia="cs-CZ"/>
        </w:rPr>
        <w:t xml:space="preserve">→ </w:t>
      </w:r>
      <w:r w:rsidRPr="00E54A04">
        <w:rPr>
          <w:rFonts w:eastAsia="Times New Roman" w:cs="Arial"/>
          <w:b/>
          <w:lang w:eastAsia="cs-CZ"/>
        </w:rPr>
        <w:t>Věda, technologie a společnost</w:t>
      </w:r>
      <w:r>
        <w:rPr>
          <w:rFonts w:eastAsia="Times New Roman" w:cs="Arial"/>
          <w:b/>
          <w:lang w:eastAsia="cs-CZ"/>
        </w:rPr>
        <w:t xml:space="preserve">: </w:t>
      </w:r>
      <w:r w:rsidRPr="005A697F">
        <w:rPr>
          <w:rFonts w:eastAsia="Times New Roman" w:cs="Arial"/>
          <w:bCs/>
          <w:lang w:eastAsia="cs-CZ"/>
        </w:rPr>
        <w:t xml:space="preserve">Podpora odpovědného </w:t>
      </w:r>
      <w:proofErr w:type="spellStart"/>
      <w:r w:rsidRPr="005A697F">
        <w:rPr>
          <w:rFonts w:eastAsia="Times New Roman" w:cs="Arial"/>
          <w:bCs/>
          <w:lang w:eastAsia="cs-CZ"/>
        </w:rPr>
        <w:t>VaVaI</w:t>
      </w:r>
      <w:proofErr w:type="spellEnd"/>
      <w:r>
        <w:rPr>
          <w:rFonts w:eastAsia="Times New Roman" w:cs="Arial"/>
          <w:bCs/>
          <w:lang w:eastAsia="cs-CZ"/>
        </w:rPr>
        <w:t xml:space="preserve">; </w:t>
      </w:r>
      <w:r w:rsidRPr="005A697F">
        <w:rPr>
          <w:rFonts w:eastAsia="Times New Roman" w:cs="Arial"/>
          <w:bCs/>
          <w:lang w:eastAsia="cs-CZ"/>
        </w:rPr>
        <w:t>Technologie pro udržitelný rozvoj</w:t>
      </w:r>
      <w:r>
        <w:rPr>
          <w:rFonts w:eastAsia="Times New Roman" w:cs="Arial"/>
          <w:bCs/>
          <w:lang w:eastAsia="cs-CZ"/>
        </w:rPr>
        <w:t>.</w:t>
      </w:r>
    </w:p>
    <w:p w14:paraId="793652A6" w14:textId="77777777" w:rsidR="00484D6A" w:rsidRDefault="00484D6A" w:rsidP="00484D6A">
      <w:pPr>
        <w:spacing w:after="0" w:line="360" w:lineRule="auto"/>
        <w:ind w:left="142"/>
        <w:jc w:val="both"/>
        <w:rPr>
          <w:rFonts w:eastAsia="Times New Roman" w:cs="Arial"/>
          <w:bCs/>
          <w:lang w:eastAsia="cs-CZ"/>
        </w:rPr>
      </w:pPr>
      <w:r w:rsidRPr="00104D9E">
        <w:rPr>
          <w:rFonts w:eastAsia="Times New Roman" w:cs="Arial"/>
          <w:b/>
          <w:lang w:eastAsia="cs-CZ"/>
        </w:rPr>
        <w:t xml:space="preserve">→ </w:t>
      </w:r>
      <w:r w:rsidRPr="00E54A04">
        <w:rPr>
          <w:rFonts w:eastAsia="Times New Roman" w:cs="Arial"/>
          <w:b/>
          <w:lang w:eastAsia="cs-CZ"/>
        </w:rPr>
        <w:t xml:space="preserve">Odborná komunita pro </w:t>
      </w:r>
      <w:proofErr w:type="spellStart"/>
      <w:r w:rsidRPr="00E54A04">
        <w:rPr>
          <w:rFonts w:eastAsia="Times New Roman" w:cs="Arial"/>
          <w:b/>
          <w:lang w:eastAsia="cs-CZ"/>
        </w:rPr>
        <w:t>VaVaI</w:t>
      </w:r>
      <w:proofErr w:type="spellEnd"/>
      <w:r>
        <w:rPr>
          <w:rFonts w:eastAsia="Times New Roman" w:cs="Arial"/>
          <w:b/>
          <w:lang w:eastAsia="cs-CZ"/>
        </w:rPr>
        <w:t xml:space="preserve">: </w:t>
      </w:r>
      <w:r w:rsidRPr="005A697F">
        <w:rPr>
          <w:rFonts w:eastAsia="Times New Roman" w:cs="Arial"/>
          <w:bCs/>
          <w:lang w:eastAsia="cs-CZ"/>
        </w:rPr>
        <w:t>Odborné semináře a workshopy</w:t>
      </w:r>
      <w:r>
        <w:rPr>
          <w:rFonts w:eastAsia="Times New Roman" w:cs="Arial"/>
          <w:bCs/>
          <w:lang w:eastAsia="cs-CZ"/>
        </w:rPr>
        <w:t xml:space="preserve">; </w:t>
      </w:r>
      <w:r w:rsidRPr="005A697F">
        <w:rPr>
          <w:rFonts w:eastAsia="Times New Roman" w:cs="Arial"/>
          <w:bCs/>
          <w:lang w:eastAsia="cs-CZ"/>
        </w:rPr>
        <w:t>Krátkodobé stáže pracovníků veřejné správy</w:t>
      </w:r>
      <w:r>
        <w:rPr>
          <w:rFonts w:eastAsia="Times New Roman" w:cs="Arial"/>
          <w:bCs/>
          <w:lang w:eastAsia="cs-CZ"/>
        </w:rPr>
        <w:t xml:space="preserve">; </w:t>
      </w:r>
      <w:r w:rsidRPr="005A697F">
        <w:rPr>
          <w:rFonts w:eastAsia="Times New Roman" w:cs="Arial"/>
          <w:bCs/>
          <w:lang w:eastAsia="cs-CZ"/>
        </w:rPr>
        <w:t>Vydávání periodika Ergo</w:t>
      </w:r>
      <w:r>
        <w:rPr>
          <w:rFonts w:eastAsia="Times New Roman" w:cs="Arial"/>
          <w:bCs/>
          <w:lang w:eastAsia="cs-CZ"/>
        </w:rPr>
        <w:t>.</w:t>
      </w:r>
    </w:p>
    <w:p w14:paraId="5C88724F" w14:textId="77777777" w:rsidR="00A96CF4" w:rsidRDefault="00A96CF4" w:rsidP="006209EB">
      <w:pPr>
        <w:spacing w:after="0" w:line="360" w:lineRule="auto"/>
        <w:jc w:val="both"/>
        <w:rPr>
          <w:rFonts w:eastAsia="Times New Roman" w:cs="Arial"/>
          <w:bCs/>
          <w:lang w:eastAsia="cs-CZ"/>
        </w:rPr>
      </w:pPr>
    </w:p>
    <w:p w14:paraId="16ED0794" w14:textId="77777777" w:rsidR="00A96CF4" w:rsidRDefault="00A96CF4" w:rsidP="006209EB">
      <w:pPr>
        <w:spacing w:after="0" w:line="360" w:lineRule="auto"/>
        <w:jc w:val="both"/>
        <w:rPr>
          <w:rFonts w:eastAsia="Times New Roman" w:cs="Arial"/>
          <w:bCs/>
          <w:lang w:eastAsia="cs-CZ"/>
        </w:rPr>
      </w:pPr>
    </w:p>
    <w:p w14:paraId="26DFD7AE" w14:textId="07FB82E4" w:rsidR="002B71BE" w:rsidRDefault="0019303E" w:rsidP="000B487A">
      <w:pPr>
        <w:pStyle w:val="Nadpis1"/>
        <w:pageBreakBefore/>
      </w:pPr>
      <w:bookmarkStart w:id="18" w:name="_Toc215589297"/>
      <w:r>
        <w:lastRenderedPageBreak/>
        <w:t>Finance</w:t>
      </w:r>
      <w:bookmarkEnd w:id="18"/>
    </w:p>
    <w:p w14:paraId="4FAE44A7" w14:textId="53A6BE22" w:rsidR="00C669D5" w:rsidRPr="00987A35" w:rsidRDefault="00C669D5" w:rsidP="00DD71D2">
      <w:pPr>
        <w:spacing w:before="360" w:after="120"/>
        <w:ind w:firstLine="1559"/>
        <w:jc w:val="both"/>
        <w:rPr>
          <w:rFonts w:cs="Arial"/>
          <w:b/>
          <w:bCs/>
        </w:rPr>
      </w:pPr>
      <w:r w:rsidRPr="00987A35">
        <w:rPr>
          <w:rFonts w:cs="Arial"/>
          <w:b/>
          <w:bCs/>
        </w:rPr>
        <w:t>FINANCE</w:t>
      </w:r>
    </w:p>
    <w:p w14:paraId="5DA04E58" w14:textId="3ED90946" w:rsidR="00426596" w:rsidRDefault="001C6AC9" w:rsidP="00235652">
      <w:pPr>
        <w:pStyle w:val="Odstavecseseznamem"/>
        <w:numPr>
          <w:ilvl w:val="3"/>
          <w:numId w:val="19"/>
        </w:numPr>
        <w:spacing w:after="60" w:line="240" w:lineRule="auto"/>
        <w:ind w:left="2268"/>
        <w:contextualSpacing w:val="0"/>
        <w:jc w:val="both"/>
        <w:rPr>
          <w:rFonts w:cs="Arial"/>
        </w:rPr>
      </w:pPr>
      <w:r w:rsidRPr="00426979">
        <w:rPr>
          <w:rFonts w:cs="Arial"/>
          <w:b/>
          <w:bCs/>
          <w:noProof/>
          <w:color w:val="1F2046"/>
        </w:rPr>
        <w:drawing>
          <wp:anchor distT="0" distB="0" distL="114300" distR="114300" simplePos="0" relativeHeight="251644416" behindDoc="0" locked="0" layoutInCell="1" allowOverlap="1" wp14:anchorId="71B2F024" wp14:editId="0B2E9A21">
            <wp:simplePos x="0" y="0"/>
            <wp:positionH relativeFrom="margin">
              <wp:posOffset>142875</wp:posOffset>
            </wp:positionH>
            <wp:positionV relativeFrom="margin">
              <wp:posOffset>803275</wp:posOffset>
            </wp:positionV>
            <wp:extent cx="647700" cy="647700"/>
            <wp:effectExtent l="0" t="0" r="0" b="0"/>
            <wp:wrapNone/>
            <wp:docPr id="2020175324" name="Grafický objekt 12" descr="Euro se souvislou výpln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0683136" name="Grafický objekt 640683136" descr="Euro se souvislou výplní"/>
                    <pic:cNvPicPr/>
                  </pic:nvPicPr>
                  <pic:blipFill>
                    <a:blip r:embed="rId25">
                      <a:extLst>
                        <a:ext uri="{96DAC541-7B7A-43D3-8B79-37D633B846F1}">
                          <asvg:svgBlip xmlns:asvg="http://schemas.microsoft.com/office/drawing/2016/SVG/main" r:embed="rId26"/>
                        </a:ext>
                      </a:extLst>
                    </a:blip>
                    <a:stretch>
                      <a:fillRect/>
                    </a:stretch>
                  </pic:blipFill>
                  <pic:spPr>
                    <a:xfrm>
                      <a:off x="0" y="0"/>
                      <a:ext cx="647700" cy="647700"/>
                    </a:xfrm>
                    <a:prstGeom prst="rect">
                      <a:avLst/>
                    </a:prstGeom>
                  </pic:spPr>
                </pic:pic>
              </a:graphicData>
            </a:graphic>
            <wp14:sizeRelH relativeFrom="margin">
              <wp14:pctWidth>0</wp14:pctWidth>
            </wp14:sizeRelH>
            <wp14:sizeRelV relativeFrom="margin">
              <wp14:pctHeight>0</wp14:pctHeight>
            </wp14:sizeRelV>
          </wp:anchor>
        </w:drawing>
      </w:r>
      <w:r w:rsidR="00426596">
        <w:rPr>
          <w:rFonts w:cs="Arial"/>
        </w:rPr>
        <w:t>Makroekonomické ukazatele</w:t>
      </w:r>
    </w:p>
    <w:p w14:paraId="6B8C9BFF" w14:textId="1A53BC87" w:rsidR="00C669D5" w:rsidRPr="00987A35" w:rsidRDefault="00C669D5" w:rsidP="00235652">
      <w:pPr>
        <w:pStyle w:val="Odstavecseseznamem"/>
        <w:numPr>
          <w:ilvl w:val="3"/>
          <w:numId w:val="19"/>
        </w:numPr>
        <w:spacing w:after="60" w:line="240" w:lineRule="auto"/>
        <w:ind w:left="2268"/>
        <w:contextualSpacing w:val="0"/>
        <w:jc w:val="both"/>
        <w:rPr>
          <w:rFonts w:cs="Arial"/>
        </w:rPr>
      </w:pPr>
      <w:r w:rsidRPr="00987A35">
        <w:rPr>
          <w:rFonts w:cs="Arial"/>
        </w:rPr>
        <w:t xml:space="preserve">Finanční toky ve </w:t>
      </w:r>
      <w:proofErr w:type="spellStart"/>
      <w:r w:rsidR="00F43611">
        <w:rPr>
          <w:rFonts w:cs="Arial"/>
        </w:rPr>
        <w:t>VaV</w:t>
      </w:r>
      <w:proofErr w:type="spellEnd"/>
    </w:p>
    <w:p w14:paraId="0C4983F8" w14:textId="77777777" w:rsidR="00C669D5" w:rsidRPr="00987A35" w:rsidRDefault="00C669D5" w:rsidP="00235652">
      <w:pPr>
        <w:pStyle w:val="Odstavecseseznamem"/>
        <w:numPr>
          <w:ilvl w:val="3"/>
          <w:numId w:val="19"/>
        </w:numPr>
        <w:spacing w:after="60" w:line="240" w:lineRule="auto"/>
        <w:ind w:left="2268"/>
        <w:contextualSpacing w:val="0"/>
        <w:jc w:val="both"/>
        <w:rPr>
          <w:rFonts w:cs="Arial"/>
        </w:rPr>
      </w:pPr>
      <w:r w:rsidRPr="00987A35">
        <w:rPr>
          <w:rFonts w:cs="Arial"/>
        </w:rPr>
        <w:t xml:space="preserve">Přímá veřejná podpora </w:t>
      </w:r>
      <w:proofErr w:type="spellStart"/>
      <w:r w:rsidRPr="00987A35">
        <w:rPr>
          <w:rFonts w:cs="Arial"/>
        </w:rPr>
        <w:t>VaV</w:t>
      </w:r>
      <w:proofErr w:type="spellEnd"/>
      <w:r w:rsidRPr="00987A35">
        <w:rPr>
          <w:rFonts w:cs="Arial"/>
        </w:rPr>
        <w:t xml:space="preserve"> (zaměřeno na SR a EU fondy)</w:t>
      </w:r>
    </w:p>
    <w:p w14:paraId="7B587E28" w14:textId="77777777" w:rsidR="00C669D5" w:rsidRPr="00987A35" w:rsidRDefault="00C669D5" w:rsidP="00DD71D2">
      <w:pPr>
        <w:pStyle w:val="Odstavecseseznamem"/>
        <w:numPr>
          <w:ilvl w:val="3"/>
          <w:numId w:val="19"/>
        </w:numPr>
        <w:spacing w:after="480" w:line="240" w:lineRule="auto"/>
        <w:ind w:left="2268" w:hanging="357"/>
        <w:contextualSpacing w:val="0"/>
        <w:jc w:val="both"/>
        <w:rPr>
          <w:rFonts w:cs="Arial"/>
        </w:rPr>
      </w:pPr>
      <w:r w:rsidRPr="00987A35">
        <w:rPr>
          <w:rFonts w:cs="Arial"/>
        </w:rPr>
        <w:t xml:space="preserve">Nepřímá veřejná podpora </w:t>
      </w:r>
      <w:proofErr w:type="spellStart"/>
      <w:r w:rsidRPr="00987A35">
        <w:rPr>
          <w:rFonts w:cs="Arial"/>
        </w:rPr>
        <w:t>VaV</w:t>
      </w:r>
      <w:proofErr w:type="spellEnd"/>
    </w:p>
    <w:p w14:paraId="12591272" w14:textId="2437FD1E" w:rsidR="00426596" w:rsidRDefault="00426596" w:rsidP="00725492">
      <w:pPr>
        <w:pStyle w:val="Nadpis2"/>
        <w:ind w:left="578" w:hanging="578"/>
        <w:rPr>
          <w:rFonts w:eastAsia="Times New Roman"/>
        </w:rPr>
      </w:pPr>
      <w:bookmarkStart w:id="19" w:name="_Toc215589298"/>
      <w:r>
        <w:rPr>
          <w:rFonts w:eastAsia="Times New Roman"/>
        </w:rPr>
        <w:t>Makroekonomické ukazatele</w:t>
      </w:r>
      <w:bookmarkEnd w:id="19"/>
    </w:p>
    <w:p w14:paraId="55C8C07C" w14:textId="353DE81B" w:rsidR="00DB4F10" w:rsidRPr="0052627A" w:rsidRDefault="00DB4F10" w:rsidP="00DB4F10">
      <w:pPr>
        <w:spacing w:after="240" w:line="360" w:lineRule="auto"/>
        <w:ind w:firstLine="709"/>
        <w:jc w:val="both"/>
        <w:rPr>
          <w:rFonts w:cs="Arial"/>
        </w:rPr>
      </w:pPr>
      <w:r w:rsidRPr="0052627A">
        <w:rPr>
          <w:rFonts w:cs="Arial"/>
        </w:rPr>
        <w:t xml:space="preserve">Prostředí </w:t>
      </w:r>
      <w:proofErr w:type="spellStart"/>
      <w:r>
        <w:rPr>
          <w:rFonts w:cs="Arial"/>
        </w:rPr>
        <w:t>VaVaI</w:t>
      </w:r>
      <w:proofErr w:type="spellEnd"/>
      <w:r w:rsidRPr="0052627A">
        <w:rPr>
          <w:rFonts w:cs="Arial"/>
        </w:rPr>
        <w:t xml:space="preserve"> v ČR se v posledních </w:t>
      </w:r>
      <w:r>
        <w:rPr>
          <w:rFonts w:cs="Arial"/>
        </w:rPr>
        <w:t>několika</w:t>
      </w:r>
      <w:r w:rsidRPr="0052627A">
        <w:rPr>
          <w:rFonts w:cs="Arial"/>
        </w:rPr>
        <w:t xml:space="preserve"> letech dynamicky rozvíjí. Tabulka </w:t>
      </w:r>
      <w:r w:rsidRPr="00777C6D">
        <w:rPr>
          <w:rFonts w:cs="Arial"/>
        </w:rPr>
        <w:t>B.1</w:t>
      </w:r>
      <w:r>
        <w:rPr>
          <w:rFonts w:cs="Arial"/>
        </w:rPr>
        <w:t>.1</w:t>
      </w:r>
      <w:r w:rsidRPr="0052627A">
        <w:rPr>
          <w:rFonts w:cs="Arial"/>
        </w:rPr>
        <w:t xml:space="preserve"> </w:t>
      </w:r>
      <w:r>
        <w:rPr>
          <w:rFonts w:cs="Arial"/>
        </w:rPr>
        <w:t>zobrazuje</w:t>
      </w:r>
      <w:r w:rsidRPr="0052627A">
        <w:rPr>
          <w:rFonts w:cs="Arial"/>
        </w:rPr>
        <w:t xml:space="preserve"> vývoj základních finančních ukazatelů </w:t>
      </w:r>
      <w:proofErr w:type="spellStart"/>
      <w:r w:rsidRPr="0052627A">
        <w:rPr>
          <w:rFonts w:cs="Arial"/>
        </w:rPr>
        <w:t>VaVaI</w:t>
      </w:r>
      <w:proofErr w:type="spellEnd"/>
      <w:r>
        <w:rPr>
          <w:rFonts w:cs="Arial"/>
        </w:rPr>
        <w:t xml:space="preserve"> a</w:t>
      </w:r>
      <w:r w:rsidRPr="0052627A">
        <w:rPr>
          <w:rFonts w:cs="Arial"/>
        </w:rPr>
        <w:t xml:space="preserve"> jejich meziroční </w:t>
      </w:r>
      <w:r>
        <w:rPr>
          <w:rFonts w:cs="Arial"/>
        </w:rPr>
        <w:t>změny,</w:t>
      </w:r>
      <w:r w:rsidRPr="0052627A">
        <w:rPr>
          <w:rFonts w:cs="Arial"/>
        </w:rPr>
        <w:t xml:space="preserve"> včetně vybraných makroekonomických </w:t>
      </w:r>
      <w:r>
        <w:rPr>
          <w:rFonts w:cs="Arial"/>
        </w:rPr>
        <w:t>agregátů</w:t>
      </w:r>
      <w:r w:rsidRPr="0052627A">
        <w:rPr>
          <w:rFonts w:cs="Arial"/>
        </w:rPr>
        <w:t>.</w:t>
      </w:r>
    </w:p>
    <w:p w14:paraId="7447404F" w14:textId="2E513F5E" w:rsidR="00426596" w:rsidRPr="0052627A" w:rsidRDefault="00426596" w:rsidP="00725492">
      <w:pPr>
        <w:pStyle w:val="Obrzek-nadpis"/>
        <w:spacing w:before="0"/>
        <w:rPr>
          <w:rFonts w:cs="Arial"/>
        </w:rPr>
      </w:pPr>
      <w:r w:rsidRPr="00E8772A">
        <w:rPr>
          <w:rFonts w:cs="Arial"/>
        </w:rPr>
        <w:t xml:space="preserve">Tabulka </w:t>
      </w:r>
      <w:r w:rsidR="009F7964" w:rsidRPr="00E8772A">
        <w:rPr>
          <w:rFonts w:cs="Arial"/>
        </w:rPr>
        <w:t>B</w:t>
      </w:r>
      <w:r w:rsidR="00A83889" w:rsidRPr="00E8772A">
        <w:rPr>
          <w:rFonts w:cs="Arial"/>
        </w:rPr>
        <w:t>.</w:t>
      </w:r>
      <w:r w:rsidRPr="00E8772A">
        <w:rPr>
          <w:rFonts w:cs="Arial"/>
        </w:rPr>
        <w:t>1</w:t>
      </w:r>
      <w:r w:rsidR="00E8772A" w:rsidRPr="00E8772A">
        <w:rPr>
          <w:rFonts w:cs="Arial"/>
        </w:rPr>
        <w:t>.1</w:t>
      </w:r>
      <w:r w:rsidRPr="00E8772A">
        <w:rPr>
          <w:rFonts w:cs="Arial"/>
        </w:rPr>
        <w:t>:</w:t>
      </w:r>
      <w:r w:rsidRPr="0052627A">
        <w:rPr>
          <w:rFonts w:cs="Arial"/>
        </w:rPr>
        <w:t xml:space="preserve"> Výdaje na </w:t>
      </w:r>
      <w:proofErr w:type="spellStart"/>
      <w:r w:rsidR="00EB6353">
        <w:rPr>
          <w:rFonts w:cs="Arial"/>
        </w:rPr>
        <w:t>VaV</w:t>
      </w:r>
      <w:proofErr w:type="spellEnd"/>
      <w:r w:rsidRPr="0052627A">
        <w:rPr>
          <w:rFonts w:cs="Arial"/>
        </w:rPr>
        <w:t xml:space="preserve"> a jejich meziroční změny v porovnání se základními makroekonomickými ukazateli</w:t>
      </w:r>
    </w:p>
    <w:tbl>
      <w:tblPr>
        <w:tblW w:w="5000" w:type="pct"/>
        <w:tblLayout w:type="fixed"/>
        <w:tblLook w:val="04A0" w:firstRow="1" w:lastRow="0" w:firstColumn="1" w:lastColumn="0" w:noHBand="0" w:noVBand="1"/>
      </w:tblPr>
      <w:tblGrid>
        <w:gridCol w:w="2687"/>
        <w:gridCol w:w="894"/>
        <w:gridCol w:w="897"/>
        <w:gridCol w:w="897"/>
        <w:gridCol w:w="899"/>
        <w:gridCol w:w="897"/>
        <w:gridCol w:w="897"/>
        <w:gridCol w:w="895"/>
        <w:gridCol w:w="891"/>
      </w:tblGrid>
      <w:tr w:rsidR="00DB4F10" w:rsidRPr="00986209" w14:paraId="5D77697B" w14:textId="77777777" w:rsidTr="00326A8C">
        <w:trPr>
          <w:trHeight w:val="20"/>
        </w:trPr>
        <w:tc>
          <w:tcPr>
            <w:tcW w:w="1364" w:type="pct"/>
            <w:tcBorders>
              <w:top w:val="single" w:sz="8" w:space="0" w:color="auto"/>
              <w:left w:val="nil"/>
              <w:bottom w:val="single" w:sz="8" w:space="0" w:color="auto"/>
              <w:right w:val="nil"/>
            </w:tcBorders>
            <w:shd w:val="clear" w:color="auto" w:fill="D9D9D9" w:themeFill="background1" w:themeFillShade="D9"/>
            <w:noWrap/>
            <w:vAlign w:val="center"/>
            <w:hideMark/>
          </w:tcPr>
          <w:p w14:paraId="6167C4E7" w14:textId="77777777" w:rsidR="00DB4F10" w:rsidRPr="00AD28CE" w:rsidRDefault="00DB4F10" w:rsidP="00326A8C">
            <w:pPr>
              <w:spacing w:after="0" w:line="240" w:lineRule="auto"/>
              <w:jc w:val="center"/>
              <w:rPr>
                <w:rFonts w:eastAsia="Times New Roman" w:cs="Arial"/>
                <w:b/>
                <w:bCs/>
                <w:color w:val="000000"/>
                <w:sz w:val="18"/>
                <w:szCs w:val="18"/>
                <w:lang w:eastAsia="en-GB"/>
              </w:rPr>
            </w:pPr>
          </w:p>
        </w:tc>
        <w:tc>
          <w:tcPr>
            <w:tcW w:w="454" w:type="pct"/>
            <w:tcBorders>
              <w:top w:val="single" w:sz="8" w:space="0" w:color="auto"/>
              <w:left w:val="nil"/>
              <w:bottom w:val="single" w:sz="8" w:space="0" w:color="auto"/>
              <w:right w:val="nil"/>
            </w:tcBorders>
            <w:shd w:val="clear" w:color="auto" w:fill="D9D9D9" w:themeFill="background1" w:themeFillShade="D9"/>
            <w:noWrap/>
            <w:vAlign w:val="center"/>
            <w:hideMark/>
          </w:tcPr>
          <w:p w14:paraId="64F9B0ED" w14:textId="77777777" w:rsidR="00DB4F10" w:rsidRPr="00AD28CE" w:rsidRDefault="00DB4F10" w:rsidP="00326A8C">
            <w:pPr>
              <w:spacing w:after="0" w:line="240" w:lineRule="auto"/>
              <w:jc w:val="center"/>
              <w:rPr>
                <w:rFonts w:eastAsia="Times New Roman" w:cs="Arial"/>
                <w:b/>
                <w:bCs/>
                <w:color w:val="000000"/>
                <w:sz w:val="18"/>
                <w:szCs w:val="18"/>
                <w:lang w:eastAsia="en-GB"/>
              </w:rPr>
            </w:pPr>
          </w:p>
        </w:tc>
        <w:tc>
          <w:tcPr>
            <w:tcW w:w="455" w:type="pct"/>
            <w:tcBorders>
              <w:top w:val="single" w:sz="8" w:space="0" w:color="auto"/>
              <w:left w:val="nil"/>
              <w:bottom w:val="single" w:sz="8" w:space="0" w:color="auto"/>
              <w:right w:val="nil"/>
            </w:tcBorders>
            <w:shd w:val="clear" w:color="auto" w:fill="D9D9D9" w:themeFill="background1" w:themeFillShade="D9"/>
            <w:noWrap/>
            <w:vAlign w:val="center"/>
            <w:hideMark/>
          </w:tcPr>
          <w:p w14:paraId="5A055A39" w14:textId="77777777" w:rsidR="00DB4F10" w:rsidRPr="00AD28CE" w:rsidRDefault="00DB4F10" w:rsidP="00326A8C">
            <w:pPr>
              <w:spacing w:after="0" w:line="240" w:lineRule="auto"/>
              <w:jc w:val="right"/>
              <w:rPr>
                <w:rFonts w:eastAsia="Times New Roman" w:cs="Arial"/>
                <w:b/>
                <w:bCs/>
                <w:color w:val="000000"/>
                <w:sz w:val="18"/>
                <w:szCs w:val="18"/>
                <w:lang w:eastAsia="en-GB"/>
              </w:rPr>
            </w:pPr>
            <w:r w:rsidRPr="00AD28CE">
              <w:rPr>
                <w:rFonts w:eastAsia="Times New Roman" w:cs="Arial"/>
                <w:b/>
                <w:bCs/>
                <w:color w:val="000000"/>
                <w:sz w:val="18"/>
                <w:szCs w:val="18"/>
                <w:lang w:eastAsia="en-GB"/>
              </w:rPr>
              <w:t>201</w:t>
            </w:r>
            <w:r>
              <w:rPr>
                <w:rFonts w:eastAsia="Times New Roman" w:cs="Arial"/>
                <w:b/>
                <w:bCs/>
                <w:color w:val="000000"/>
                <w:sz w:val="18"/>
                <w:szCs w:val="18"/>
                <w:lang w:eastAsia="en-GB"/>
              </w:rPr>
              <w:t>8</w:t>
            </w:r>
          </w:p>
        </w:tc>
        <w:tc>
          <w:tcPr>
            <w:tcW w:w="455" w:type="pct"/>
            <w:tcBorders>
              <w:top w:val="single" w:sz="8" w:space="0" w:color="auto"/>
              <w:left w:val="nil"/>
              <w:bottom w:val="single" w:sz="8" w:space="0" w:color="auto"/>
              <w:right w:val="nil"/>
            </w:tcBorders>
            <w:shd w:val="clear" w:color="auto" w:fill="D9D9D9" w:themeFill="background1" w:themeFillShade="D9"/>
            <w:noWrap/>
            <w:vAlign w:val="center"/>
            <w:hideMark/>
          </w:tcPr>
          <w:p w14:paraId="1A632CA7" w14:textId="77777777" w:rsidR="00DB4F10" w:rsidRPr="00AD28CE" w:rsidRDefault="00DB4F10" w:rsidP="00326A8C">
            <w:pPr>
              <w:spacing w:after="0" w:line="240" w:lineRule="auto"/>
              <w:jc w:val="right"/>
              <w:rPr>
                <w:rFonts w:eastAsia="Times New Roman" w:cs="Arial"/>
                <w:b/>
                <w:bCs/>
                <w:color w:val="000000"/>
                <w:sz w:val="18"/>
                <w:szCs w:val="18"/>
                <w:lang w:eastAsia="en-GB"/>
              </w:rPr>
            </w:pPr>
            <w:r w:rsidRPr="00AD28CE">
              <w:rPr>
                <w:rFonts w:eastAsia="Times New Roman" w:cs="Arial"/>
                <w:b/>
                <w:bCs/>
                <w:color w:val="000000"/>
                <w:sz w:val="18"/>
                <w:szCs w:val="18"/>
                <w:lang w:eastAsia="en-GB"/>
              </w:rPr>
              <w:t>201</w:t>
            </w:r>
            <w:r>
              <w:rPr>
                <w:rFonts w:eastAsia="Times New Roman" w:cs="Arial"/>
                <w:b/>
                <w:bCs/>
                <w:color w:val="000000"/>
                <w:sz w:val="18"/>
                <w:szCs w:val="18"/>
                <w:lang w:eastAsia="en-GB"/>
              </w:rPr>
              <w:t>9</w:t>
            </w:r>
          </w:p>
        </w:tc>
        <w:tc>
          <w:tcPr>
            <w:tcW w:w="456" w:type="pct"/>
            <w:tcBorders>
              <w:top w:val="single" w:sz="8" w:space="0" w:color="auto"/>
              <w:left w:val="nil"/>
              <w:bottom w:val="single" w:sz="8" w:space="0" w:color="auto"/>
              <w:right w:val="nil"/>
            </w:tcBorders>
            <w:shd w:val="clear" w:color="auto" w:fill="D9D9D9" w:themeFill="background1" w:themeFillShade="D9"/>
            <w:noWrap/>
            <w:vAlign w:val="center"/>
            <w:hideMark/>
          </w:tcPr>
          <w:p w14:paraId="69B4C461" w14:textId="77777777" w:rsidR="00DB4F10" w:rsidRPr="00AD28CE" w:rsidRDefault="00DB4F10" w:rsidP="00326A8C">
            <w:pPr>
              <w:spacing w:after="0" w:line="240" w:lineRule="auto"/>
              <w:jc w:val="right"/>
              <w:rPr>
                <w:rFonts w:eastAsia="Times New Roman" w:cs="Arial"/>
                <w:b/>
                <w:bCs/>
                <w:color w:val="000000"/>
                <w:sz w:val="18"/>
                <w:szCs w:val="18"/>
                <w:lang w:eastAsia="en-GB"/>
              </w:rPr>
            </w:pPr>
            <w:r w:rsidRPr="00AD28CE">
              <w:rPr>
                <w:rFonts w:eastAsia="Times New Roman" w:cs="Arial"/>
                <w:b/>
                <w:bCs/>
                <w:color w:val="000000"/>
                <w:sz w:val="18"/>
                <w:szCs w:val="18"/>
                <w:lang w:eastAsia="en-GB"/>
              </w:rPr>
              <w:t>20</w:t>
            </w:r>
            <w:r>
              <w:rPr>
                <w:rFonts w:eastAsia="Times New Roman" w:cs="Arial"/>
                <w:b/>
                <w:bCs/>
                <w:color w:val="000000"/>
                <w:sz w:val="18"/>
                <w:szCs w:val="18"/>
                <w:lang w:eastAsia="en-GB"/>
              </w:rPr>
              <w:t>20</w:t>
            </w:r>
          </w:p>
        </w:tc>
        <w:tc>
          <w:tcPr>
            <w:tcW w:w="455" w:type="pct"/>
            <w:tcBorders>
              <w:top w:val="single" w:sz="8" w:space="0" w:color="auto"/>
              <w:left w:val="nil"/>
              <w:bottom w:val="single" w:sz="8" w:space="0" w:color="auto"/>
              <w:right w:val="nil"/>
            </w:tcBorders>
            <w:shd w:val="clear" w:color="auto" w:fill="D9D9D9" w:themeFill="background1" w:themeFillShade="D9"/>
            <w:noWrap/>
            <w:vAlign w:val="center"/>
            <w:hideMark/>
          </w:tcPr>
          <w:p w14:paraId="56DEA28A" w14:textId="77777777" w:rsidR="00DB4F10" w:rsidRPr="00AD28CE" w:rsidRDefault="00DB4F10" w:rsidP="00326A8C">
            <w:pPr>
              <w:spacing w:after="0" w:line="240" w:lineRule="auto"/>
              <w:jc w:val="right"/>
              <w:rPr>
                <w:rFonts w:eastAsia="Times New Roman" w:cs="Arial"/>
                <w:b/>
                <w:bCs/>
                <w:color w:val="000000"/>
                <w:sz w:val="18"/>
                <w:szCs w:val="18"/>
                <w:lang w:eastAsia="en-GB"/>
              </w:rPr>
            </w:pPr>
            <w:r w:rsidRPr="00AD28CE">
              <w:rPr>
                <w:rFonts w:eastAsia="Times New Roman" w:cs="Arial"/>
                <w:b/>
                <w:bCs/>
                <w:color w:val="000000"/>
                <w:sz w:val="18"/>
                <w:szCs w:val="18"/>
                <w:lang w:eastAsia="en-GB"/>
              </w:rPr>
              <w:t>202</w:t>
            </w:r>
            <w:r>
              <w:rPr>
                <w:rFonts w:eastAsia="Times New Roman" w:cs="Arial"/>
                <w:b/>
                <w:bCs/>
                <w:color w:val="000000"/>
                <w:sz w:val="18"/>
                <w:szCs w:val="18"/>
                <w:lang w:eastAsia="en-GB"/>
              </w:rPr>
              <w:t>1</w:t>
            </w:r>
          </w:p>
        </w:tc>
        <w:tc>
          <w:tcPr>
            <w:tcW w:w="455" w:type="pct"/>
            <w:tcBorders>
              <w:top w:val="single" w:sz="8" w:space="0" w:color="auto"/>
              <w:left w:val="nil"/>
              <w:bottom w:val="single" w:sz="8" w:space="0" w:color="auto"/>
              <w:right w:val="nil"/>
            </w:tcBorders>
            <w:shd w:val="clear" w:color="auto" w:fill="D9D9D9" w:themeFill="background1" w:themeFillShade="D9"/>
            <w:noWrap/>
            <w:vAlign w:val="center"/>
            <w:hideMark/>
          </w:tcPr>
          <w:p w14:paraId="360E7827" w14:textId="77777777" w:rsidR="00DB4F10" w:rsidRPr="00AD28CE" w:rsidRDefault="00DB4F10" w:rsidP="00326A8C">
            <w:pPr>
              <w:spacing w:after="0" w:line="240" w:lineRule="auto"/>
              <w:jc w:val="right"/>
              <w:rPr>
                <w:rFonts w:eastAsia="Times New Roman" w:cs="Arial"/>
                <w:b/>
                <w:bCs/>
                <w:color w:val="000000"/>
                <w:sz w:val="18"/>
                <w:szCs w:val="18"/>
                <w:lang w:eastAsia="en-GB"/>
              </w:rPr>
            </w:pPr>
            <w:r w:rsidRPr="00AD28CE">
              <w:rPr>
                <w:rFonts w:eastAsia="Times New Roman" w:cs="Arial"/>
                <w:b/>
                <w:bCs/>
                <w:color w:val="000000"/>
                <w:sz w:val="18"/>
                <w:szCs w:val="18"/>
                <w:lang w:eastAsia="en-GB"/>
              </w:rPr>
              <w:t>202</w:t>
            </w:r>
            <w:r>
              <w:rPr>
                <w:rFonts w:eastAsia="Times New Roman" w:cs="Arial"/>
                <w:b/>
                <w:bCs/>
                <w:color w:val="000000"/>
                <w:sz w:val="18"/>
                <w:szCs w:val="18"/>
                <w:lang w:eastAsia="en-GB"/>
              </w:rPr>
              <w:t>2</w:t>
            </w:r>
          </w:p>
        </w:tc>
        <w:tc>
          <w:tcPr>
            <w:tcW w:w="454" w:type="pct"/>
            <w:tcBorders>
              <w:top w:val="single" w:sz="8" w:space="0" w:color="auto"/>
              <w:left w:val="nil"/>
              <w:bottom w:val="single" w:sz="8" w:space="0" w:color="auto"/>
              <w:right w:val="nil"/>
            </w:tcBorders>
            <w:shd w:val="clear" w:color="auto" w:fill="D9D9D9" w:themeFill="background1" w:themeFillShade="D9"/>
            <w:noWrap/>
            <w:vAlign w:val="center"/>
            <w:hideMark/>
          </w:tcPr>
          <w:p w14:paraId="642438D9" w14:textId="77777777" w:rsidR="00DB4F10" w:rsidRPr="00AD28CE" w:rsidRDefault="00DB4F10" w:rsidP="00326A8C">
            <w:pPr>
              <w:spacing w:after="0" w:line="240" w:lineRule="auto"/>
              <w:jc w:val="right"/>
              <w:rPr>
                <w:rFonts w:eastAsia="Times New Roman" w:cs="Arial"/>
                <w:b/>
                <w:bCs/>
                <w:color w:val="000000"/>
                <w:sz w:val="18"/>
                <w:szCs w:val="18"/>
                <w:lang w:eastAsia="en-GB"/>
              </w:rPr>
            </w:pPr>
            <w:r w:rsidRPr="00AD28CE">
              <w:rPr>
                <w:rFonts w:eastAsia="Times New Roman" w:cs="Arial"/>
                <w:b/>
                <w:bCs/>
                <w:color w:val="000000"/>
                <w:sz w:val="18"/>
                <w:szCs w:val="18"/>
                <w:lang w:eastAsia="en-GB"/>
              </w:rPr>
              <w:t>202</w:t>
            </w:r>
            <w:r>
              <w:rPr>
                <w:rFonts w:eastAsia="Times New Roman" w:cs="Arial"/>
                <w:b/>
                <w:bCs/>
                <w:color w:val="000000"/>
                <w:sz w:val="18"/>
                <w:szCs w:val="18"/>
                <w:lang w:eastAsia="en-GB"/>
              </w:rPr>
              <w:t>3</w:t>
            </w:r>
          </w:p>
        </w:tc>
        <w:tc>
          <w:tcPr>
            <w:tcW w:w="452" w:type="pct"/>
            <w:tcBorders>
              <w:top w:val="single" w:sz="8" w:space="0" w:color="auto"/>
              <w:left w:val="nil"/>
              <w:bottom w:val="single" w:sz="8" w:space="0" w:color="auto"/>
              <w:right w:val="nil"/>
            </w:tcBorders>
            <w:shd w:val="clear" w:color="auto" w:fill="D9D9D9" w:themeFill="background1" w:themeFillShade="D9"/>
            <w:vAlign w:val="center"/>
          </w:tcPr>
          <w:p w14:paraId="5CA5BE03" w14:textId="77777777" w:rsidR="00DB4F10" w:rsidRPr="00AD28CE" w:rsidRDefault="00DB4F10" w:rsidP="00326A8C">
            <w:pPr>
              <w:spacing w:after="0" w:line="240" w:lineRule="auto"/>
              <w:jc w:val="right"/>
              <w:rPr>
                <w:rFonts w:eastAsia="Times New Roman" w:cs="Arial"/>
                <w:b/>
                <w:bCs/>
                <w:color w:val="000000"/>
                <w:sz w:val="18"/>
                <w:szCs w:val="18"/>
                <w:lang w:eastAsia="en-GB"/>
              </w:rPr>
            </w:pPr>
            <w:r w:rsidRPr="00AD28CE">
              <w:rPr>
                <w:rFonts w:eastAsia="Times New Roman" w:cs="Arial"/>
                <w:b/>
                <w:bCs/>
                <w:color w:val="000000"/>
                <w:sz w:val="18"/>
                <w:szCs w:val="18"/>
                <w:lang w:eastAsia="en-GB"/>
              </w:rPr>
              <w:t>202</w:t>
            </w:r>
            <w:r>
              <w:rPr>
                <w:rFonts w:eastAsia="Times New Roman" w:cs="Arial"/>
                <w:b/>
                <w:bCs/>
                <w:color w:val="000000"/>
                <w:sz w:val="18"/>
                <w:szCs w:val="18"/>
                <w:lang w:eastAsia="en-GB"/>
              </w:rPr>
              <w:t>4</w:t>
            </w:r>
          </w:p>
        </w:tc>
      </w:tr>
      <w:tr w:rsidR="00DB4F10" w:rsidRPr="00986209" w14:paraId="6B5CEFA8" w14:textId="77777777" w:rsidTr="00326A8C">
        <w:trPr>
          <w:trHeight w:val="20"/>
        </w:trPr>
        <w:tc>
          <w:tcPr>
            <w:tcW w:w="1364" w:type="pct"/>
            <w:tcBorders>
              <w:top w:val="nil"/>
              <w:left w:val="nil"/>
              <w:bottom w:val="single" w:sz="4" w:space="0" w:color="auto"/>
              <w:right w:val="nil"/>
            </w:tcBorders>
            <w:vAlign w:val="center"/>
            <w:hideMark/>
          </w:tcPr>
          <w:p w14:paraId="49167F35" w14:textId="77777777" w:rsidR="00DB4F10" w:rsidRPr="00AD28CE" w:rsidRDefault="00DB4F10" w:rsidP="00326A8C">
            <w:pPr>
              <w:spacing w:after="0" w:line="240" w:lineRule="auto"/>
              <w:rPr>
                <w:rFonts w:eastAsia="Times New Roman" w:cs="Arial"/>
                <w:color w:val="000000"/>
                <w:sz w:val="18"/>
                <w:szCs w:val="18"/>
                <w:lang w:eastAsia="en-GB"/>
              </w:rPr>
            </w:pPr>
            <w:r w:rsidRPr="00AD28CE">
              <w:rPr>
                <w:rFonts w:eastAsia="Times New Roman" w:cs="Arial"/>
                <w:color w:val="000000"/>
                <w:sz w:val="18"/>
                <w:szCs w:val="18"/>
                <w:lang w:eastAsia="en-GB"/>
              </w:rPr>
              <w:t xml:space="preserve">celkové výdaje na </w:t>
            </w:r>
            <w:proofErr w:type="spellStart"/>
            <w:r w:rsidRPr="00AD28CE">
              <w:rPr>
                <w:rFonts w:eastAsia="Times New Roman" w:cs="Arial"/>
                <w:color w:val="000000"/>
                <w:sz w:val="18"/>
                <w:szCs w:val="18"/>
                <w:lang w:eastAsia="en-GB"/>
              </w:rPr>
              <w:t>VaV</w:t>
            </w:r>
            <w:proofErr w:type="spellEnd"/>
            <w:r w:rsidRPr="00AD28CE">
              <w:rPr>
                <w:rFonts w:eastAsia="Times New Roman" w:cs="Arial"/>
                <w:color w:val="000000"/>
                <w:sz w:val="18"/>
                <w:szCs w:val="18"/>
                <w:lang w:eastAsia="en-GB"/>
              </w:rPr>
              <w:t xml:space="preserve"> (GERD)</w:t>
            </w:r>
          </w:p>
        </w:tc>
        <w:tc>
          <w:tcPr>
            <w:tcW w:w="454" w:type="pct"/>
            <w:tcBorders>
              <w:top w:val="nil"/>
              <w:left w:val="nil"/>
              <w:bottom w:val="single" w:sz="4" w:space="0" w:color="auto"/>
              <w:right w:val="nil"/>
            </w:tcBorders>
            <w:noWrap/>
            <w:vAlign w:val="center"/>
            <w:hideMark/>
          </w:tcPr>
          <w:p w14:paraId="7F1AE0D4" w14:textId="77777777" w:rsidR="00DB4F10" w:rsidRPr="00AD28CE" w:rsidRDefault="00DB4F10" w:rsidP="00326A8C">
            <w:pPr>
              <w:keepNext/>
              <w:spacing w:after="0" w:line="240" w:lineRule="auto"/>
              <w:jc w:val="center"/>
              <w:rPr>
                <w:rFonts w:eastAsia="Times New Roman" w:cs="Arial"/>
                <w:color w:val="000000"/>
                <w:sz w:val="18"/>
                <w:szCs w:val="18"/>
                <w:lang w:eastAsia="en-GB"/>
              </w:rPr>
            </w:pPr>
            <w:r w:rsidRPr="00AD28CE">
              <w:rPr>
                <w:rFonts w:eastAsia="Times New Roman" w:cs="Arial"/>
                <w:color w:val="000000"/>
                <w:sz w:val="18"/>
                <w:szCs w:val="18"/>
                <w:lang w:eastAsia="en-GB"/>
              </w:rPr>
              <w:t>mld. Kč</w:t>
            </w:r>
          </w:p>
        </w:tc>
        <w:tc>
          <w:tcPr>
            <w:tcW w:w="455" w:type="pct"/>
            <w:tcBorders>
              <w:top w:val="nil"/>
              <w:left w:val="nil"/>
              <w:bottom w:val="single" w:sz="4" w:space="0" w:color="auto"/>
              <w:right w:val="nil"/>
            </w:tcBorders>
            <w:noWrap/>
            <w:vAlign w:val="center"/>
            <w:hideMark/>
          </w:tcPr>
          <w:p w14:paraId="45301748"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102,8</w:t>
            </w:r>
          </w:p>
        </w:tc>
        <w:tc>
          <w:tcPr>
            <w:tcW w:w="455" w:type="pct"/>
            <w:tcBorders>
              <w:top w:val="nil"/>
              <w:left w:val="nil"/>
              <w:bottom w:val="single" w:sz="4" w:space="0" w:color="auto"/>
              <w:right w:val="nil"/>
            </w:tcBorders>
            <w:noWrap/>
            <w:vAlign w:val="center"/>
          </w:tcPr>
          <w:p w14:paraId="60F9FF25"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111,6</w:t>
            </w:r>
          </w:p>
        </w:tc>
        <w:tc>
          <w:tcPr>
            <w:tcW w:w="456" w:type="pct"/>
            <w:tcBorders>
              <w:top w:val="nil"/>
              <w:left w:val="nil"/>
              <w:bottom w:val="single" w:sz="4" w:space="0" w:color="auto"/>
              <w:right w:val="nil"/>
            </w:tcBorders>
            <w:noWrap/>
            <w:vAlign w:val="center"/>
          </w:tcPr>
          <w:p w14:paraId="71BE0E0C"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113,4</w:t>
            </w:r>
          </w:p>
        </w:tc>
        <w:tc>
          <w:tcPr>
            <w:tcW w:w="455" w:type="pct"/>
            <w:tcBorders>
              <w:top w:val="nil"/>
              <w:left w:val="nil"/>
              <w:bottom w:val="single" w:sz="4" w:space="0" w:color="auto"/>
              <w:right w:val="nil"/>
            </w:tcBorders>
            <w:noWrap/>
            <w:vAlign w:val="center"/>
          </w:tcPr>
          <w:p w14:paraId="232DD9DF"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121,9</w:t>
            </w:r>
          </w:p>
        </w:tc>
        <w:tc>
          <w:tcPr>
            <w:tcW w:w="455" w:type="pct"/>
            <w:tcBorders>
              <w:top w:val="nil"/>
              <w:left w:val="nil"/>
              <w:bottom w:val="single" w:sz="4" w:space="0" w:color="auto"/>
              <w:right w:val="nil"/>
            </w:tcBorders>
            <w:noWrap/>
            <w:vAlign w:val="center"/>
          </w:tcPr>
          <w:p w14:paraId="310C0F10"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133,3</w:t>
            </w:r>
          </w:p>
        </w:tc>
        <w:tc>
          <w:tcPr>
            <w:tcW w:w="454" w:type="pct"/>
            <w:tcBorders>
              <w:top w:val="nil"/>
              <w:left w:val="nil"/>
              <w:bottom w:val="single" w:sz="4" w:space="0" w:color="auto"/>
              <w:right w:val="nil"/>
            </w:tcBorders>
            <w:noWrap/>
            <w:vAlign w:val="center"/>
          </w:tcPr>
          <w:p w14:paraId="36AAA47E"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139,7</w:t>
            </w:r>
          </w:p>
        </w:tc>
        <w:tc>
          <w:tcPr>
            <w:tcW w:w="452" w:type="pct"/>
            <w:tcBorders>
              <w:top w:val="nil"/>
              <w:left w:val="nil"/>
              <w:bottom w:val="single" w:sz="4" w:space="0" w:color="auto"/>
              <w:right w:val="nil"/>
            </w:tcBorders>
            <w:vAlign w:val="center"/>
          </w:tcPr>
          <w:p w14:paraId="4B753AC8" w14:textId="77777777" w:rsidR="00DB4F10" w:rsidRPr="00530715" w:rsidRDefault="00DB4F10" w:rsidP="00326A8C">
            <w:pPr>
              <w:spacing w:after="0" w:line="240" w:lineRule="auto"/>
              <w:jc w:val="right"/>
              <w:rPr>
                <w:rFonts w:eastAsia="Times New Roman" w:cs="Arial"/>
                <w:color w:val="000000"/>
                <w:sz w:val="18"/>
                <w:szCs w:val="18"/>
                <w:lang w:eastAsia="en-GB"/>
              </w:rPr>
            </w:pPr>
            <w:r w:rsidRPr="00530715">
              <w:rPr>
                <w:rFonts w:eastAsia="Times New Roman" w:cs="Arial"/>
                <w:color w:val="000000"/>
                <w:sz w:val="18"/>
                <w:szCs w:val="18"/>
                <w:lang w:eastAsia="en-GB"/>
              </w:rPr>
              <w:t>146,9</w:t>
            </w:r>
          </w:p>
        </w:tc>
      </w:tr>
      <w:tr w:rsidR="00DB4F10" w:rsidRPr="00986209" w14:paraId="704943A3" w14:textId="77777777" w:rsidTr="00326A8C">
        <w:trPr>
          <w:trHeight w:val="20"/>
        </w:trPr>
        <w:tc>
          <w:tcPr>
            <w:tcW w:w="1364" w:type="pct"/>
            <w:tcBorders>
              <w:top w:val="nil"/>
              <w:left w:val="nil"/>
              <w:bottom w:val="nil"/>
              <w:right w:val="nil"/>
            </w:tcBorders>
            <w:noWrap/>
            <w:vAlign w:val="center"/>
            <w:hideMark/>
          </w:tcPr>
          <w:p w14:paraId="6762FA89" w14:textId="77777777" w:rsidR="00DB4F10" w:rsidRPr="00AD28CE" w:rsidRDefault="00DB4F10" w:rsidP="00326A8C">
            <w:pPr>
              <w:spacing w:after="0" w:line="240" w:lineRule="auto"/>
              <w:rPr>
                <w:rFonts w:eastAsia="Times New Roman" w:cs="Arial"/>
                <w:color w:val="000000"/>
                <w:sz w:val="18"/>
                <w:szCs w:val="18"/>
                <w:lang w:eastAsia="en-GB"/>
              </w:rPr>
            </w:pPr>
            <w:r w:rsidRPr="00AD28CE">
              <w:rPr>
                <w:rFonts w:eastAsia="Times New Roman" w:cs="Arial"/>
                <w:color w:val="000000"/>
                <w:sz w:val="18"/>
                <w:szCs w:val="18"/>
                <w:lang w:eastAsia="en-GB"/>
              </w:rPr>
              <w:t>podíl GERD na HDP</w:t>
            </w:r>
          </w:p>
        </w:tc>
        <w:tc>
          <w:tcPr>
            <w:tcW w:w="454" w:type="pct"/>
            <w:tcBorders>
              <w:top w:val="nil"/>
              <w:left w:val="nil"/>
              <w:bottom w:val="nil"/>
              <w:right w:val="nil"/>
            </w:tcBorders>
            <w:noWrap/>
            <w:vAlign w:val="center"/>
            <w:hideMark/>
          </w:tcPr>
          <w:p w14:paraId="5B32595F" w14:textId="77777777" w:rsidR="00DB4F10" w:rsidRPr="00AD28CE" w:rsidRDefault="00DB4F10" w:rsidP="00326A8C">
            <w:pPr>
              <w:keepNext/>
              <w:spacing w:after="0" w:line="240" w:lineRule="auto"/>
              <w:jc w:val="center"/>
              <w:rPr>
                <w:rFonts w:eastAsia="Times New Roman" w:cs="Arial"/>
                <w:color w:val="000000"/>
                <w:sz w:val="18"/>
                <w:szCs w:val="18"/>
                <w:lang w:eastAsia="en-GB"/>
              </w:rPr>
            </w:pPr>
            <w:r w:rsidRPr="00AD28CE">
              <w:rPr>
                <w:rFonts w:eastAsia="Times New Roman" w:cs="Arial"/>
                <w:color w:val="000000"/>
                <w:sz w:val="18"/>
                <w:szCs w:val="18"/>
                <w:lang w:eastAsia="en-GB"/>
              </w:rPr>
              <w:t>%</w:t>
            </w:r>
          </w:p>
        </w:tc>
        <w:tc>
          <w:tcPr>
            <w:tcW w:w="455" w:type="pct"/>
            <w:tcBorders>
              <w:top w:val="nil"/>
              <w:left w:val="nil"/>
              <w:bottom w:val="nil"/>
              <w:right w:val="nil"/>
            </w:tcBorders>
            <w:noWrap/>
            <w:vAlign w:val="center"/>
            <w:hideMark/>
          </w:tcPr>
          <w:p w14:paraId="359B782A"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1,88</w:t>
            </w:r>
          </w:p>
        </w:tc>
        <w:tc>
          <w:tcPr>
            <w:tcW w:w="455" w:type="pct"/>
            <w:tcBorders>
              <w:top w:val="nil"/>
              <w:left w:val="nil"/>
              <w:bottom w:val="nil"/>
              <w:right w:val="nil"/>
            </w:tcBorders>
            <w:noWrap/>
            <w:vAlign w:val="center"/>
          </w:tcPr>
          <w:p w14:paraId="285DB741"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1,90</w:t>
            </w:r>
          </w:p>
        </w:tc>
        <w:tc>
          <w:tcPr>
            <w:tcW w:w="456" w:type="pct"/>
            <w:tcBorders>
              <w:top w:val="nil"/>
              <w:left w:val="nil"/>
              <w:bottom w:val="nil"/>
              <w:right w:val="nil"/>
            </w:tcBorders>
            <w:noWrap/>
            <w:vAlign w:val="center"/>
          </w:tcPr>
          <w:p w14:paraId="2E4C03D8"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1,95</w:t>
            </w:r>
          </w:p>
        </w:tc>
        <w:tc>
          <w:tcPr>
            <w:tcW w:w="455" w:type="pct"/>
            <w:tcBorders>
              <w:top w:val="nil"/>
              <w:left w:val="nil"/>
              <w:bottom w:val="nil"/>
              <w:right w:val="nil"/>
            </w:tcBorders>
            <w:noWrap/>
            <w:vAlign w:val="center"/>
          </w:tcPr>
          <w:p w14:paraId="353C3708"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1,93</w:t>
            </w:r>
          </w:p>
        </w:tc>
        <w:tc>
          <w:tcPr>
            <w:tcW w:w="455" w:type="pct"/>
            <w:tcBorders>
              <w:top w:val="nil"/>
              <w:left w:val="nil"/>
              <w:bottom w:val="nil"/>
              <w:right w:val="nil"/>
            </w:tcBorders>
            <w:noWrap/>
            <w:vAlign w:val="center"/>
          </w:tcPr>
          <w:p w14:paraId="62180545"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1,89</w:t>
            </w:r>
          </w:p>
        </w:tc>
        <w:tc>
          <w:tcPr>
            <w:tcW w:w="454" w:type="pct"/>
            <w:tcBorders>
              <w:top w:val="nil"/>
              <w:left w:val="nil"/>
              <w:bottom w:val="nil"/>
              <w:right w:val="nil"/>
            </w:tcBorders>
            <w:noWrap/>
            <w:vAlign w:val="center"/>
          </w:tcPr>
          <w:p w14:paraId="4E8F2053"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1,8</w:t>
            </w:r>
            <w:r>
              <w:rPr>
                <w:rFonts w:cs="Arial"/>
                <w:color w:val="000000"/>
                <w:sz w:val="18"/>
                <w:szCs w:val="18"/>
              </w:rPr>
              <w:t>2</w:t>
            </w:r>
          </w:p>
        </w:tc>
        <w:tc>
          <w:tcPr>
            <w:tcW w:w="452" w:type="pct"/>
            <w:tcBorders>
              <w:top w:val="nil"/>
              <w:left w:val="nil"/>
              <w:bottom w:val="nil"/>
              <w:right w:val="nil"/>
            </w:tcBorders>
            <w:vAlign w:val="center"/>
          </w:tcPr>
          <w:p w14:paraId="63D7FE72" w14:textId="77777777" w:rsidR="00DB4F10" w:rsidRPr="00530715" w:rsidRDefault="00DB4F10" w:rsidP="00326A8C">
            <w:pPr>
              <w:spacing w:after="0" w:line="240" w:lineRule="auto"/>
              <w:jc w:val="right"/>
              <w:rPr>
                <w:rFonts w:eastAsia="Times New Roman" w:cs="Arial"/>
                <w:color w:val="000000"/>
                <w:sz w:val="18"/>
                <w:szCs w:val="18"/>
                <w:lang w:eastAsia="en-GB"/>
              </w:rPr>
            </w:pPr>
            <w:r>
              <w:rPr>
                <w:rFonts w:eastAsia="Times New Roman" w:cs="Arial"/>
                <w:color w:val="000000"/>
                <w:sz w:val="18"/>
                <w:szCs w:val="18"/>
                <w:lang w:eastAsia="en-GB"/>
              </w:rPr>
              <w:t>1,82</w:t>
            </w:r>
          </w:p>
        </w:tc>
      </w:tr>
      <w:tr w:rsidR="00DB4F10" w:rsidRPr="00986209" w14:paraId="71983633" w14:textId="77777777" w:rsidTr="00326A8C">
        <w:trPr>
          <w:trHeight w:val="20"/>
        </w:trPr>
        <w:tc>
          <w:tcPr>
            <w:tcW w:w="1364" w:type="pct"/>
            <w:tcBorders>
              <w:top w:val="single" w:sz="8" w:space="0" w:color="auto"/>
              <w:left w:val="nil"/>
              <w:bottom w:val="single" w:sz="4" w:space="0" w:color="auto"/>
              <w:right w:val="nil"/>
            </w:tcBorders>
            <w:vAlign w:val="center"/>
            <w:hideMark/>
          </w:tcPr>
          <w:p w14:paraId="45B4B774" w14:textId="77777777" w:rsidR="00DB4F10" w:rsidRPr="00AD28CE" w:rsidRDefault="00DB4F10" w:rsidP="00326A8C">
            <w:pPr>
              <w:spacing w:after="0" w:line="240" w:lineRule="auto"/>
              <w:rPr>
                <w:rFonts w:eastAsia="Times New Roman" w:cs="Arial"/>
                <w:color w:val="000000"/>
                <w:sz w:val="18"/>
                <w:szCs w:val="18"/>
                <w:lang w:eastAsia="en-GB"/>
              </w:rPr>
            </w:pPr>
            <w:r w:rsidRPr="00AD28CE">
              <w:rPr>
                <w:rFonts w:eastAsia="Times New Roman" w:cs="Arial"/>
                <w:color w:val="000000"/>
                <w:sz w:val="18"/>
                <w:szCs w:val="18"/>
                <w:lang w:eastAsia="en-GB"/>
              </w:rPr>
              <w:t xml:space="preserve">výdaje na </w:t>
            </w:r>
            <w:proofErr w:type="spellStart"/>
            <w:r w:rsidRPr="00AD28CE">
              <w:rPr>
                <w:rFonts w:eastAsia="Times New Roman" w:cs="Arial"/>
                <w:color w:val="000000"/>
                <w:sz w:val="18"/>
                <w:szCs w:val="18"/>
                <w:lang w:eastAsia="en-GB"/>
              </w:rPr>
              <w:t>VaV</w:t>
            </w:r>
            <w:proofErr w:type="spellEnd"/>
            <w:r w:rsidRPr="00AD28CE">
              <w:rPr>
                <w:rFonts w:eastAsia="Times New Roman" w:cs="Arial"/>
                <w:color w:val="000000"/>
                <w:sz w:val="18"/>
                <w:szCs w:val="18"/>
                <w:lang w:eastAsia="en-GB"/>
              </w:rPr>
              <w:t xml:space="preserve"> z</w:t>
            </w:r>
            <w:r>
              <w:rPr>
                <w:rFonts w:eastAsia="Times New Roman" w:cs="Arial"/>
                <w:color w:val="000000"/>
                <w:sz w:val="18"/>
                <w:szCs w:val="18"/>
                <w:lang w:eastAsia="en-GB"/>
              </w:rPr>
              <w:t> </w:t>
            </w:r>
            <w:r w:rsidRPr="00AD28CE">
              <w:rPr>
                <w:rFonts w:eastAsia="Times New Roman" w:cs="Arial"/>
                <w:color w:val="000000"/>
                <w:sz w:val="18"/>
                <w:szCs w:val="18"/>
                <w:lang w:eastAsia="en-GB"/>
              </w:rPr>
              <w:t>veřejných</w:t>
            </w:r>
            <w:r>
              <w:rPr>
                <w:rFonts w:eastAsia="Times New Roman" w:cs="Arial"/>
                <w:color w:val="000000"/>
                <w:sz w:val="18"/>
                <w:szCs w:val="18"/>
                <w:lang w:eastAsia="en-GB"/>
              </w:rPr>
              <w:t xml:space="preserve"> národních</w:t>
            </w:r>
            <w:r w:rsidRPr="00AD28CE">
              <w:rPr>
                <w:rFonts w:eastAsia="Times New Roman" w:cs="Arial"/>
                <w:color w:val="000000"/>
                <w:sz w:val="18"/>
                <w:szCs w:val="18"/>
                <w:lang w:eastAsia="en-GB"/>
              </w:rPr>
              <w:t xml:space="preserve"> zdrojů</w:t>
            </w:r>
          </w:p>
        </w:tc>
        <w:tc>
          <w:tcPr>
            <w:tcW w:w="454" w:type="pct"/>
            <w:tcBorders>
              <w:top w:val="single" w:sz="8" w:space="0" w:color="auto"/>
              <w:left w:val="nil"/>
              <w:bottom w:val="single" w:sz="4" w:space="0" w:color="auto"/>
              <w:right w:val="nil"/>
            </w:tcBorders>
            <w:noWrap/>
            <w:vAlign w:val="center"/>
            <w:hideMark/>
          </w:tcPr>
          <w:p w14:paraId="40EEC511" w14:textId="77777777" w:rsidR="00DB4F10" w:rsidRPr="00AD28CE" w:rsidRDefault="00DB4F10" w:rsidP="00326A8C">
            <w:pPr>
              <w:keepNext/>
              <w:spacing w:after="0" w:line="240" w:lineRule="auto"/>
              <w:jc w:val="center"/>
              <w:rPr>
                <w:rFonts w:eastAsia="Times New Roman" w:cs="Arial"/>
                <w:color w:val="000000"/>
                <w:sz w:val="18"/>
                <w:szCs w:val="18"/>
                <w:lang w:eastAsia="en-GB"/>
              </w:rPr>
            </w:pPr>
            <w:r w:rsidRPr="00AD28CE">
              <w:rPr>
                <w:rFonts w:eastAsia="Times New Roman" w:cs="Arial"/>
                <w:color w:val="000000"/>
                <w:sz w:val="18"/>
                <w:szCs w:val="18"/>
                <w:lang w:eastAsia="en-GB"/>
              </w:rPr>
              <w:t>mld. Kč</w:t>
            </w:r>
          </w:p>
        </w:tc>
        <w:tc>
          <w:tcPr>
            <w:tcW w:w="455" w:type="pct"/>
            <w:tcBorders>
              <w:top w:val="single" w:sz="8" w:space="0" w:color="auto"/>
              <w:left w:val="nil"/>
              <w:bottom w:val="single" w:sz="4" w:space="0" w:color="auto"/>
              <w:right w:val="nil"/>
            </w:tcBorders>
            <w:noWrap/>
            <w:vAlign w:val="center"/>
            <w:hideMark/>
          </w:tcPr>
          <w:p w14:paraId="230AF48B"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35,0</w:t>
            </w:r>
          </w:p>
        </w:tc>
        <w:tc>
          <w:tcPr>
            <w:tcW w:w="455" w:type="pct"/>
            <w:tcBorders>
              <w:top w:val="single" w:sz="8" w:space="0" w:color="auto"/>
              <w:left w:val="nil"/>
              <w:bottom w:val="single" w:sz="4" w:space="0" w:color="auto"/>
              <w:right w:val="nil"/>
            </w:tcBorders>
            <w:noWrap/>
            <w:vAlign w:val="center"/>
          </w:tcPr>
          <w:p w14:paraId="76544A64"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37,6</w:t>
            </w:r>
          </w:p>
        </w:tc>
        <w:tc>
          <w:tcPr>
            <w:tcW w:w="456" w:type="pct"/>
            <w:tcBorders>
              <w:top w:val="single" w:sz="8" w:space="0" w:color="auto"/>
              <w:left w:val="nil"/>
              <w:bottom w:val="single" w:sz="4" w:space="0" w:color="auto"/>
              <w:right w:val="nil"/>
            </w:tcBorders>
            <w:noWrap/>
            <w:vAlign w:val="center"/>
          </w:tcPr>
          <w:p w14:paraId="1AB6CCA0"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38,6</w:t>
            </w:r>
          </w:p>
        </w:tc>
        <w:tc>
          <w:tcPr>
            <w:tcW w:w="455" w:type="pct"/>
            <w:tcBorders>
              <w:top w:val="single" w:sz="8" w:space="0" w:color="auto"/>
              <w:left w:val="nil"/>
              <w:bottom w:val="single" w:sz="4" w:space="0" w:color="auto"/>
              <w:right w:val="nil"/>
            </w:tcBorders>
            <w:noWrap/>
            <w:vAlign w:val="center"/>
          </w:tcPr>
          <w:p w14:paraId="71D4D7FC"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39,4</w:t>
            </w:r>
          </w:p>
        </w:tc>
        <w:tc>
          <w:tcPr>
            <w:tcW w:w="455" w:type="pct"/>
            <w:tcBorders>
              <w:top w:val="single" w:sz="8" w:space="0" w:color="auto"/>
              <w:left w:val="nil"/>
              <w:bottom w:val="single" w:sz="4" w:space="0" w:color="auto"/>
              <w:right w:val="nil"/>
            </w:tcBorders>
            <w:noWrap/>
            <w:vAlign w:val="center"/>
          </w:tcPr>
          <w:p w14:paraId="0D6ED1CA"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40,4</w:t>
            </w:r>
          </w:p>
        </w:tc>
        <w:tc>
          <w:tcPr>
            <w:tcW w:w="454" w:type="pct"/>
            <w:tcBorders>
              <w:top w:val="single" w:sz="8" w:space="0" w:color="auto"/>
              <w:left w:val="nil"/>
              <w:bottom w:val="single" w:sz="4" w:space="0" w:color="auto"/>
              <w:right w:val="nil"/>
            </w:tcBorders>
            <w:noWrap/>
            <w:vAlign w:val="center"/>
          </w:tcPr>
          <w:p w14:paraId="6F72F3F1"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41,8</w:t>
            </w:r>
          </w:p>
        </w:tc>
        <w:tc>
          <w:tcPr>
            <w:tcW w:w="452" w:type="pct"/>
            <w:tcBorders>
              <w:top w:val="single" w:sz="8" w:space="0" w:color="auto"/>
              <w:left w:val="nil"/>
              <w:bottom w:val="single" w:sz="4" w:space="0" w:color="auto"/>
              <w:right w:val="nil"/>
            </w:tcBorders>
            <w:vAlign w:val="center"/>
          </w:tcPr>
          <w:p w14:paraId="28056248" w14:textId="77777777" w:rsidR="00DB4F10" w:rsidRPr="00530715" w:rsidRDefault="00DB4F10" w:rsidP="00326A8C">
            <w:pPr>
              <w:spacing w:after="0" w:line="240" w:lineRule="auto"/>
              <w:jc w:val="right"/>
              <w:rPr>
                <w:rFonts w:eastAsia="Times New Roman" w:cs="Arial"/>
                <w:color w:val="000000"/>
                <w:sz w:val="18"/>
                <w:szCs w:val="18"/>
                <w:lang w:eastAsia="en-GB"/>
              </w:rPr>
            </w:pPr>
            <w:r>
              <w:rPr>
                <w:rFonts w:eastAsia="Times New Roman" w:cs="Arial"/>
                <w:color w:val="000000"/>
                <w:sz w:val="18"/>
                <w:szCs w:val="18"/>
                <w:lang w:eastAsia="en-GB"/>
              </w:rPr>
              <w:t>43,1</w:t>
            </w:r>
          </w:p>
        </w:tc>
      </w:tr>
      <w:tr w:rsidR="00DB4F10" w:rsidRPr="00986209" w14:paraId="24E3ECAD" w14:textId="77777777" w:rsidTr="00326A8C">
        <w:trPr>
          <w:trHeight w:val="20"/>
        </w:trPr>
        <w:tc>
          <w:tcPr>
            <w:tcW w:w="1364" w:type="pct"/>
            <w:tcBorders>
              <w:top w:val="nil"/>
              <w:left w:val="nil"/>
              <w:bottom w:val="nil"/>
              <w:right w:val="nil"/>
            </w:tcBorders>
            <w:noWrap/>
            <w:vAlign w:val="center"/>
            <w:hideMark/>
          </w:tcPr>
          <w:p w14:paraId="77643EC1" w14:textId="77777777" w:rsidR="00DB4F10" w:rsidRPr="00AD28CE" w:rsidRDefault="00DB4F10" w:rsidP="00326A8C">
            <w:pPr>
              <w:spacing w:after="0" w:line="240" w:lineRule="auto"/>
              <w:rPr>
                <w:rFonts w:eastAsia="Times New Roman" w:cs="Arial"/>
                <w:color w:val="000000"/>
                <w:sz w:val="18"/>
                <w:szCs w:val="18"/>
                <w:lang w:eastAsia="en-GB"/>
              </w:rPr>
            </w:pPr>
            <w:r w:rsidRPr="00AD28CE">
              <w:rPr>
                <w:rFonts w:eastAsia="Times New Roman" w:cs="Arial"/>
                <w:color w:val="000000"/>
                <w:sz w:val="18"/>
                <w:szCs w:val="18"/>
                <w:lang w:eastAsia="en-GB"/>
              </w:rPr>
              <w:t>podíl na HDP</w:t>
            </w:r>
          </w:p>
        </w:tc>
        <w:tc>
          <w:tcPr>
            <w:tcW w:w="454" w:type="pct"/>
            <w:tcBorders>
              <w:top w:val="nil"/>
              <w:left w:val="nil"/>
              <w:bottom w:val="nil"/>
              <w:right w:val="nil"/>
            </w:tcBorders>
            <w:noWrap/>
            <w:vAlign w:val="center"/>
            <w:hideMark/>
          </w:tcPr>
          <w:p w14:paraId="5BC8789C" w14:textId="77777777" w:rsidR="00DB4F10" w:rsidRPr="00AD28CE" w:rsidRDefault="00DB4F10" w:rsidP="00326A8C">
            <w:pPr>
              <w:keepNext/>
              <w:spacing w:after="0" w:line="240" w:lineRule="auto"/>
              <w:jc w:val="center"/>
              <w:rPr>
                <w:rFonts w:eastAsia="Times New Roman" w:cs="Arial"/>
                <w:color w:val="000000"/>
                <w:sz w:val="18"/>
                <w:szCs w:val="18"/>
                <w:lang w:eastAsia="en-GB"/>
              </w:rPr>
            </w:pPr>
            <w:r w:rsidRPr="00AD28CE">
              <w:rPr>
                <w:rFonts w:eastAsia="Times New Roman" w:cs="Arial"/>
                <w:color w:val="000000"/>
                <w:sz w:val="18"/>
                <w:szCs w:val="18"/>
                <w:lang w:eastAsia="en-GB"/>
              </w:rPr>
              <w:t>%</w:t>
            </w:r>
          </w:p>
        </w:tc>
        <w:tc>
          <w:tcPr>
            <w:tcW w:w="455" w:type="pct"/>
            <w:tcBorders>
              <w:top w:val="nil"/>
              <w:left w:val="nil"/>
              <w:bottom w:val="nil"/>
              <w:right w:val="nil"/>
            </w:tcBorders>
            <w:noWrap/>
            <w:vAlign w:val="center"/>
            <w:hideMark/>
          </w:tcPr>
          <w:p w14:paraId="34C7D44F"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0,64</w:t>
            </w:r>
          </w:p>
        </w:tc>
        <w:tc>
          <w:tcPr>
            <w:tcW w:w="455" w:type="pct"/>
            <w:tcBorders>
              <w:top w:val="nil"/>
              <w:left w:val="nil"/>
              <w:bottom w:val="nil"/>
              <w:right w:val="nil"/>
            </w:tcBorders>
            <w:noWrap/>
            <w:vAlign w:val="center"/>
          </w:tcPr>
          <w:p w14:paraId="7128BA28"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0,64</w:t>
            </w:r>
          </w:p>
        </w:tc>
        <w:tc>
          <w:tcPr>
            <w:tcW w:w="456" w:type="pct"/>
            <w:tcBorders>
              <w:top w:val="nil"/>
              <w:left w:val="nil"/>
              <w:bottom w:val="nil"/>
              <w:right w:val="nil"/>
            </w:tcBorders>
            <w:noWrap/>
            <w:vAlign w:val="center"/>
          </w:tcPr>
          <w:p w14:paraId="427A7A1B"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0,66</w:t>
            </w:r>
          </w:p>
        </w:tc>
        <w:tc>
          <w:tcPr>
            <w:tcW w:w="455" w:type="pct"/>
            <w:tcBorders>
              <w:top w:val="nil"/>
              <w:left w:val="nil"/>
              <w:bottom w:val="nil"/>
              <w:right w:val="nil"/>
            </w:tcBorders>
            <w:noWrap/>
            <w:vAlign w:val="center"/>
          </w:tcPr>
          <w:p w14:paraId="6FAB3519"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0,62</w:t>
            </w:r>
          </w:p>
        </w:tc>
        <w:tc>
          <w:tcPr>
            <w:tcW w:w="455" w:type="pct"/>
            <w:tcBorders>
              <w:top w:val="nil"/>
              <w:left w:val="nil"/>
              <w:bottom w:val="nil"/>
              <w:right w:val="nil"/>
            </w:tcBorders>
            <w:noWrap/>
            <w:vAlign w:val="center"/>
          </w:tcPr>
          <w:p w14:paraId="1620F160"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0,57</w:t>
            </w:r>
          </w:p>
        </w:tc>
        <w:tc>
          <w:tcPr>
            <w:tcW w:w="454" w:type="pct"/>
            <w:tcBorders>
              <w:top w:val="nil"/>
              <w:left w:val="nil"/>
              <w:bottom w:val="nil"/>
              <w:right w:val="nil"/>
            </w:tcBorders>
            <w:noWrap/>
            <w:vAlign w:val="center"/>
          </w:tcPr>
          <w:p w14:paraId="08D8BBEE"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0,55</w:t>
            </w:r>
          </w:p>
        </w:tc>
        <w:tc>
          <w:tcPr>
            <w:tcW w:w="452" w:type="pct"/>
            <w:tcBorders>
              <w:top w:val="nil"/>
              <w:left w:val="nil"/>
              <w:bottom w:val="nil"/>
              <w:right w:val="nil"/>
            </w:tcBorders>
            <w:vAlign w:val="center"/>
          </w:tcPr>
          <w:p w14:paraId="7DAE5AF2" w14:textId="77777777" w:rsidR="00DB4F10" w:rsidRPr="00530715" w:rsidRDefault="00DB4F10" w:rsidP="00326A8C">
            <w:pPr>
              <w:spacing w:after="0" w:line="240" w:lineRule="auto"/>
              <w:jc w:val="right"/>
              <w:rPr>
                <w:rFonts w:eastAsia="Times New Roman" w:cs="Arial"/>
                <w:color w:val="000000"/>
                <w:sz w:val="18"/>
                <w:szCs w:val="18"/>
                <w:lang w:eastAsia="en-GB"/>
              </w:rPr>
            </w:pPr>
            <w:r>
              <w:rPr>
                <w:rFonts w:eastAsia="Times New Roman" w:cs="Arial"/>
                <w:color w:val="000000"/>
                <w:sz w:val="18"/>
                <w:szCs w:val="18"/>
                <w:lang w:eastAsia="en-GB"/>
              </w:rPr>
              <w:t>0,54</w:t>
            </w:r>
          </w:p>
        </w:tc>
      </w:tr>
      <w:tr w:rsidR="00DB4F10" w:rsidRPr="00986209" w14:paraId="3B6E1EE2" w14:textId="77777777" w:rsidTr="00326A8C">
        <w:trPr>
          <w:trHeight w:val="20"/>
        </w:trPr>
        <w:tc>
          <w:tcPr>
            <w:tcW w:w="1364" w:type="pct"/>
            <w:tcBorders>
              <w:top w:val="single" w:sz="8" w:space="0" w:color="auto"/>
              <w:left w:val="nil"/>
              <w:bottom w:val="single" w:sz="4" w:space="0" w:color="auto"/>
              <w:right w:val="nil"/>
            </w:tcBorders>
            <w:vAlign w:val="center"/>
            <w:hideMark/>
          </w:tcPr>
          <w:p w14:paraId="56FB7EF0" w14:textId="77777777" w:rsidR="00DB4F10" w:rsidRPr="00AD28CE" w:rsidRDefault="00DB4F10" w:rsidP="00326A8C">
            <w:pPr>
              <w:spacing w:after="0" w:line="240" w:lineRule="auto"/>
              <w:rPr>
                <w:rFonts w:eastAsia="Times New Roman" w:cs="Arial"/>
                <w:color w:val="000000"/>
                <w:sz w:val="18"/>
                <w:szCs w:val="18"/>
                <w:lang w:eastAsia="en-GB"/>
              </w:rPr>
            </w:pPr>
            <w:r w:rsidRPr="00AD28CE">
              <w:rPr>
                <w:rFonts w:eastAsia="Times New Roman" w:cs="Arial"/>
                <w:color w:val="000000"/>
                <w:sz w:val="18"/>
                <w:szCs w:val="18"/>
                <w:lang w:eastAsia="en-GB"/>
              </w:rPr>
              <w:t xml:space="preserve">výdaje na </w:t>
            </w:r>
            <w:proofErr w:type="spellStart"/>
            <w:r w:rsidRPr="00AD28CE">
              <w:rPr>
                <w:rFonts w:eastAsia="Times New Roman" w:cs="Arial"/>
                <w:color w:val="000000"/>
                <w:sz w:val="18"/>
                <w:szCs w:val="18"/>
                <w:lang w:eastAsia="en-GB"/>
              </w:rPr>
              <w:t>VaV</w:t>
            </w:r>
            <w:proofErr w:type="spellEnd"/>
            <w:r w:rsidRPr="00AD28CE">
              <w:rPr>
                <w:rFonts w:eastAsia="Times New Roman" w:cs="Arial"/>
                <w:color w:val="000000"/>
                <w:sz w:val="18"/>
                <w:szCs w:val="18"/>
                <w:lang w:eastAsia="en-GB"/>
              </w:rPr>
              <w:t xml:space="preserve"> z</w:t>
            </w:r>
            <w:r>
              <w:rPr>
                <w:rFonts w:eastAsia="Times New Roman" w:cs="Arial"/>
                <w:color w:val="000000"/>
                <w:sz w:val="18"/>
                <w:szCs w:val="18"/>
                <w:lang w:eastAsia="en-GB"/>
              </w:rPr>
              <w:t>e zdrojů EU</w:t>
            </w:r>
          </w:p>
        </w:tc>
        <w:tc>
          <w:tcPr>
            <w:tcW w:w="454" w:type="pct"/>
            <w:tcBorders>
              <w:top w:val="single" w:sz="8" w:space="0" w:color="auto"/>
              <w:left w:val="nil"/>
              <w:bottom w:val="single" w:sz="4" w:space="0" w:color="auto"/>
              <w:right w:val="nil"/>
            </w:tcBorders>
            <w:noWrap/>
            <w:vAlign w:val="center"/>
            <w:hideMark/>
          </w:tcPr>
          <w:p w14:paraId="0941B214" w14:textId="77777777" w:rsidR="00DB4F10" w:rsidRPr="00AD28CE" w:rsidRDefault="00DB4F10" w:rsidP="00326A8C">
            <w:pPr>
              <w:keepNext/>
              <w:spacing w:after="0" w:line="240" w:lineRule="auto"/>
              <w:jc w:val="center"/>
              <w:rPr>
                <w:rFonts w:eastAsia="Times New Roman" w:cs="Arial"/>
                <w:color w:val="000000"/>
                <w:sz w:val="18"/>
                <w:szCs w:val="18"/>
                <w:lang w:eastAsia="en-GB"/>
              </w:rPr>
            </w:pPr>
            <w:r w:rsidRPr="00AD28CE">
              <w:rPr>
                <w:rFonts w:eastAsia="Times New Roman" w:cs="Arial"/>
                <w:color w:val="000000"/>
                <w:sz w:val="18"/>
                <w:szCs w:val="18"/>
                <w:lang w:eastAsia="en-GB"/>
              </w:rPr>
              <w:t>mld. Kč</w:t>
            </w:r>
          </w:p>
        </w:tc>
        <w:tc>
          <w:tcPr>
            <w:tcW w:w="455" w:type="pct"/>
            <w:tcBorders>
              <w:top w:val="single" w:sz="8" w:space="0" w:color="auto"/>
              <w:left w:val="nil"/>
              <w:bottom w:val="single" w:sz="4" w:space="0" w:color="auto"/>
              <w:right w:val="nil"/>
            </w:tcBorders>
            <w:noWrap/>
            <w:vAlign w:val="center"/>
            <w:hideMark/>
          </w:tcPr>
          <w:p w14:paraId="38596A87" w14:textId="77777777" w:rsidR="00DB4F10" w:rsidRPr="004B5BE4" w:rsidRDefault="00DB4F10" w:rsidP="00326A8C">
            <w:pPr>
              <w:spacing w:after="0" w:line="240" w:lineRule="auto"/>
              <w:jc w:val="right"/>
              <w:rPr>
                <w:rFonts w:cs="Arial"/>
                <w:color w:val="000000"/>
                <w:sz w:val="18"/>
                <w:szCs w:val="18"/>
              </w:rPr>
            </w:pPr>
            <w:r w:rsidRPr="004B5BE4">
              <w:rPr>
                <w:rFonts w:cs="Arial"/>
                <w:color w:val="000000"/>
                <w:sz w:val="18"/>
                <w:szCs w:val="18"/>
              </w:rPr>
              <w:t>6,3</w:t>
            </w:r>
          </w:p>
        </w:tc>
        <w:tc>
          <w:tcPr>
            <w:tcW w:w="455" w:type="pct"/>
            <w:tcBorders>
              <w:top w:val="single" w:sz="8" w:space="0" w:color="auto"/>
              <w:left w:val="nil"/>
              <w:bottom w:val="single" w:sz="4" w:space="0" w:color="auto"/>
              <w:right w:val="nil"/>
            </w:tcBorders>
            <w:noWrap/>
            <w:vAlign w:val="center"/>
          </w:tcPr>
          <w:p w14:paraId="59589EE6" w14:textId="77777777" w:rsidR="00DB4F10" w:rsidRPr="004B5BE4" w:rsidRDefault="00DB4F10" w:rsidP="00326A8C">
            <w:pPr>
              <w:spacing w:after="0" w:line="240" w:lineRule="auto"/>
              <w:jc w:val="right"/>
              <w:rPr>
                <w:rFonts w:cs="Arial"/>
                <w:color w:val="000000"/>
                <w:sz w:val="18"/>
                <w:szCs w:val="18"/>
              </w:rPr>
            </w:pPr>
            <w:r w:rsidRPr="004B5BE4">
              <w:rPr>
                <w:rFonts w:cs="Arial"/>
                <w:color w:val="000000"/>
                <w:sz w:val="18"/>
                <w:szCs w:val="18"/>
              </w:rPr>
              <w:t>7,7</w:t>
            </w:r>
          </w:p>
        </w:tc>
        <w:tc>
          <w:tcPr>
            <w:tcW w:w="456" w:type="pct"/>
            <w:tcBorders>
              <w:top w:val="single" w:sz="8" w:space="0" w:color="auto"/>
              <w:left w:val="nil"/>
              <w:bottom w:val="single" w:sz="4" w:space="0" w:color="auto"/>
              <w:right w:val="nil"/>
            </w:tcBorders>
            <w:noWrap/>
            <w:vAlign w:val="center"/>
          </w:tcPr>
          <w:p w14:paraId="37D4BFF0" w14:textId="77777777" w:rsidR="00DB4F10" w:rsidRPr="004B5BE4" w:rsidRDefault="00DB4F10" w:rsidP="00326A8C">
            <w:pPr>
              <w:spacing w:after="0" w:line="240" w:lineRule="auto"/>
              <w:jc w:val="right"/>
              <w:rPr>
                <w:rFonts w:cs="Arial"/>
                <w:color w:val="000000"/>
                <w:sz w:val="18"/>
                <w:szCs w:val="18"/>
              </w:rPr>
            </w:pPr>
            <w:r w:rsidRPr="004B5BE4">
              <w:rPr>
                <w:rFonts w:cs="Arial"/>
                <w:color w:val="000000"/>
                <w:sz w:val="18"/>
                <w:szCs w:val="18"/>
              </w:rPr>
              <w:t>6,8</w:t>
            </w:r>
          </w:p>
        </w:tc>
        <w:tc>
          <w:tcPr>
            <w:tcW w:w="455" w:type="pct"/>
            <w:tcBorders>
              <w:top w:val="single" w:sz="8" w:space="0" w:color="auto"/>
              <w:left w:val="nil"/>
              <w:bottom w:val="single" w:sz="4" w:space="0" w:color="auto"/>
              <w:right w:val="nil"/>
            </w:tcBorders>
            <w:noWrap/>
            <w:vAlign w:val="center"/>
          </w:tcPr>
          <w:p w14:paraId="77D4209E" w14:textId="77777777" w:rsidR="00DB4F10" w:rsidRPr="004B5BE4" w:rsidRDefault="00DB4F10" w:rsidP="00326A8C">
            <w:pPr>
              <w:spacing w:after="0" w:line="240" w:lineRule="auto"/>
              <w:jc w:val="right"/>
              <w:rPr>
                <w:rFonts w:cs="Arial"/>
                <w:color w:val="000000"/>
                <w:sz w:val="18"/>
                <w:szCs w:val="18"/>
              </w:rPr>
            </w:pPr>
            <w:r w:rsidRPr="004B5BE4">
              <w:rPr>
                <w:rFonts w:cs="Arial"/>
                <w:color w:val="000000"/>
                <w:sz w:val="18"/>
                <w:szCs w:val="18"/>
              </w:rPr>
              <w:t>7,8</w:t>
            </w:r>
          </w:p>
        </w:tc>
        <w:tc>
          <w:tcPr>
            <w:tcW w:w="455" w:type="pct"/>
            <w:tcBorders>
              <w:top w:val="single" w:sz="8" w:space="0" w:color="auto"/>
              <w:left w:val="nil"/>
              <w:bottom w:val="single" w:sz="4" w:space="0" w:color="auto"/>
              <w:right w:val="nil"/>
            </w:tcBorders>
            <w:noWrap/>
            <w:vAlign w:val="center"/>
          </w:tcPr>
          <w:p w14:paraId="1FF443B6" w14:textId="77777777" w:rsidR="00DB4F10" w:rsidRPr="004B5BE4" w:rsidRDefault="00DB4F10" w:rsidP="00326A8C">
            <w:pPr>
              <w:spacing w:after="0" w:line="240" w:lineRule="auto"/>
              <w:jc w:val="right"/>
              <w:rPr>
                <w:rFonts w:cs="Arial"/>
                <w:color w:val="000000"/>
                <w:sz w:val="18"/>
                <w:szCs w:val="18"/>
              </w:rPr>
            </w:pPr>
            <w:r w:rsidRPr="004B5BE4">
              <w:rPr>
                <w:rFonts w:cs="Arial"/>
                <w:color w:val="000000"/>
                <w:sz w:val="18"/>
                <w:szCs w:val="18"/>
              </w:rPr>
              <w:t>8,8</w:t>
            </w:r>
          </w:p>
        </w:tc>
        <w:tc>
          <w:tcPr>
            <w:tcW w:w="454" w:type="pct"/>
            <w:tcBorders>
              <w:top w:val="single" w:sz="8" w:space="0" w:color="auto"/>
              <w:left w:val="nil"/>
              <w:bottom w:val="single" w:sz="4" w:space="0" w:color="auto"/>
              <w:right w:val="nil"/>
            </w:tcBorders>
            <w:noWrap/>
            <w:vAlign w:val="center"/>
          </w:tcPr>
          <w:p w14:paraId="78D66FC3" w14:textId="77777777" w:rsidR="00DB4F10" w:rsidRPr="004B5BE4" w:rsidRDefault="00DB4F10" w:rsidP="00326A8C">
            <w:pPr>
              <w:spacing w:after="0" w:line="240" w:lineRule="auto"/>
              <w:jc w:val="right"/>
              <w:rPr>
                <w:rFonts w:cs="Arial"/>
                <w:color w:val="000000"/>
                <w:sz w:val="18"/>
                <w:szCs w:val="18"/>
              </w:rPr>
            </w:pPr>
            <w:r w:rsidRPr="004B5BE4">
              <w:rPr>
                <w:rFonts w:cs="Arial"/>
                <w:color w:val="000000"/>
                <w:sz w:val="18"/>
                <w:szCs w:val="18"/>
              </w:rPr>
              <w:t>7,5</w:t>
            </w:r>
          </w:p>
        </w:tc>
        <w:tc>
          <w:tcPr>
            <w:tcW w:w="452" w:type="pct"/>
            <w:tcBorders>
              <w:top w:val="single" w:sz="8" w:space="0" w:color="auto"/>
              <w:left w:val="nil"/>
              <w:bottom w:val="single" w:sz="4" w:space="0" w:color="auto"/>
              <w:right w:val="nil"/>
            </w:tcBorders>
            <w:vAlign w:val="center"/>
          </w:tcPr>
          <w:p w14:paraId="558A7317" w14:textId="77777777" w:rsidR="00DB4F10" w:rsidRPr="004B5BE4" w:rsidRDefault="00DB4F10" w:rsidP="00326A8C">
            <w:pPr>
              <w:spacing w:after="0" w:line="240" w:lineRule="auto"/>
              <w:jc w:val="right"/>
              <w:rPr>
                <w:rFonts w:cs="Arial"/>
                <w:color w:val="000000"/>
                <w:sz w:val="18"/>
                <w:szCs w:val="18"/>
              </w:rPr>
            </w:pPr>
            <w:r w:rsidRPr="004B5BE4">
              <w:rPr>
                <w:rFonts w:cs="Arial"/>
                <w:color w:val="000000"/>
                <w:sz w:val="18"/>
                <w:szCs w:val="18"/>
              </w:rPr>
              <w:t>9,2</w:t>
            </w:r>
          </w:p>
        </w:tc>
      </w:tr>
      <w:tr w:rsidR="00DB4F10" w:rsidRPr="00E64FC5" w14:paraId="3FFBDD4E" w14:textId="77777777" w:rsidTr="00326A8C">
        <w:trPr>
          <w:trHeight w:val="20"/>
        </w:trPr>
        <w:tc>
          <w:tcPr>
            <w:tcW w:w="1364" w:type="pct"/>
            <w:tcBorders>
              <w:top w:val="nil"/>
              <w:left w:val="nil"/>
              <w:bottom w:val="nil"/>
              <w:right w:val="nil"/>
            </w:tcBorders>
            <w:noWrap/>
            <w:vAlign w:val="center"/>
            <w:hideMark/>
          </w:tcPr>
          <w:p w14:paraId="0AA3A2AA" w14:textId="77777777" w:rsidR="00DB4F10" w:rsidRPr="00AD28CE" w:rsidRDefault="00DB4F10" w:rsidP="00326A8C">
            <w:pPr>
              <w:spacing w:after="0" w:line="240" w:lineRule="auto"/>
              <w:rPr>
                <w:rFonts w:eastAsia="Times New Roman" w:cs="Arial"/>
                <w:color w:val="000000"/>
                <w:sz w:val="18"/>
                <w:szCs w:val="18"/>
                <w:lang w:eastAsia="en-GB"/>
              </w:rPr>
            </w:pPr>
            <w:r w:rsidRPr="00AD28CE">
              <w:rPr>
                <w:rFonts w:eastAsia="Times New Roman" w:cs="Arial"/>
                <w:color w:val="000000"/>
                <w:sz w:val="18"/>
                <w:szCs w:val="18"/>
                <w:lang w:eastAsia="en-GB"/>
              </w:rPr>
              <w:t>podíl na HDP</w:t>
            </w:r>
          </w:p>
        </w:tc>
        <w:tc>
          <w:tcPr>
            <w:tcW w:w="454" w:type="pct"/>
            <w:tcBorders>
              <w:top w:val="nil"/>
              <w:left w:val="nil"/>
              <w:bottom w:val="nil"/>
              <w:right w:val="nil"/>
            </w:tcBorders>
            <w:noWrap/>
            <w:vAlign w:val="center"/>
            <w:hideMark/>
          </w:tcPr>
          <w:p w14:paraId="42A41013" w14:textId="77777777" w:rsidR="00DB4F10" w:rsidRPr="00AD28CE" w:rsidRDefault="00DB4F10" w:rsidP="00326A8C">
            <w:pPr>
              <w:keepNext/>
              <w:spacing w:after="0" w:line="240" w:lineRule="auto"/>
              <w:jc w:val="center"/>
              <w:rPr>
                <w:rFonts w:eastAsia="Times New Roman" w:cs="Arial"/>
                <w:color w:val="000000"/>
                <w:sz w:val="18"/>
                <w:szCs w:val="18"/>
                <w:lang w:eastAsia="en-GB"/>
              </w:rPr>
            </w:pPr>
            <w:r w:rsidRPr="00AD28CE">
              <w:rPr>
                <w:rFonts w:eastAsia="Times New Roman" w:cs="Arial"/>
                <w:color w:val="000000"/>
                <w:sz w:val="18"/>
                <w:szCs w:val="18"/>
                <w:lang w:eastAsia="en-GB"/>
              </w:rPr>
              <w:t>%</w:t>
            </w:r>
          </w:p>
        </w:tc>
        <w:tc>
          <w:tcPr>
            <w:tcW w:w="455" w:type="pct"/>
            <w:tcBorders>
              <w:top w:val="nil"/>
              <w:left w:val="nil"/>
              <w:bottom w:val="nil"/>
              <w:right w:val="nil"/>
            </w:tcBorders>
            <w:noWrap/>
            <w:vAlign w:val="center"/>
            <w:hideMark/>
          </w:tcPr>
          <w:p w14:paraId="2B098B36" w14:textId="77777777" w:rsidR="00DB4F10" w:rsidRPr="004B5BE4" w:rsidRDefault="00DB4F10" w:rsidP="00326A8C">
            <w:pPr>
              <w:spacing w:after="0" w:line="240" w:lineRule="auto"/>
              <w:jc w:val="right"/>
              <w:rPr>
                <w:rFonts w:cs="Arial"/>
                <w:color w:val="000000"/>
                <w:sz w:val="18"/>
                <w:szCs w:val="18"/>
              </w:rPr>
            </w:pPr>
            <w:r w:rsidRPr="004B5BE4">
              <w:rPr>
                <w:rFonts w:cs="Arial"/>
                <w:color w:val="000000"/>
                <w:sz w:val="18"/>
                <w:szCs w:val="18"/>
              </w:rPr>
              <w:t>0,12</w:t>
            </w:r>
          </w:p>
        </w:tc>
        <w:tc>
          <w:tcPr>
            <w:tcW w:w="455" w:type="pct"/>
            <w:tcBorders>
              <w:top w:val="nil"/>
              <w:left w:val="nil"/>
              <w:bottom w:val="nil"/>
              <w:right w:val="nil"/>
            </w:tcBorders>
            <w:noWrap/>
            <w:vAlign w:val="center"/>
          </w:tcPr>
          <w:p w14:paraId="282E5615" w14:textId="77777777" w:rsidR="00DB4F10" w:rsidRPr="004B5BE4" w:rsidRDefault="00DB4F10" w:rsidP="00326A8C">
            <w:pPr>
              <w:spacing w:after="0" w:line="240" w:lineRule="auto"/>
              <w:jc w:val="right"/>
              <w:rPr>
                <w:rFonts w:cs="Arial"/>
                <w:color w:val="000000"/>
                <w:sz w:val="18"/>
                <w:szCs w:val="18"/>
              </w:rPr>
            </w:pPr>
            <w:r w:rsidRPr="004B5BE4">
              <w:rPr>
                <w:rFonts w:cs="Arial"/>
                <w:color w:val="000000"/>
                <w:sz w:val="18"/>
                <w:szCs w:val="18"/>
              </w:rPr>
              <w:t>0,13</w:t>
            </w:r>
          </w:p>
        </w:tc>
        <w:tc>
          <w:tcPr>
            <w:tcW w:w="456" w:type="pct"/>
            <w:tcBorders>
              <w:top w:val="nil"/>
              <w:left w:val="nil"/>
              <w:bottom w:val="nil"/>
              <w:right w:val="nil"/>
            </w:tcBorders>
            <w:noWrap/>
            <w:vAlign w:val="center"/>
          </w:tcPr>
          <w:p w14:paraId="14A937B4" w14:textId="77777777" w:rsidR="00DB4F10" w:rsidRPr="004B5BE4" w:rsidRDefault="00DB4F10" w:rsidP="00326A8C">
            <w:pPr>
              <w:spacing w:after="0" w:line="240" w:lineRule="auto"/>
              <w:jc w:val="right"/>
              <w:rPr>
                <w:rFonts w:cs="Arial"/>
                <w:color w:val="000000"/>
                <w:sz w:val="18"/>
                <w:szCs w:val="18"/>
              </w:rPr>
            </w:pPr>
            <w:r w:rsidRPr="004B5BE4">
              <w:rPr>
                <w:rFonts w:cs="Arial"/>
                <w:color w:val="000000"/>
                <w:sz w:val="18"/>
                <w:szCs w:val="18"/>
              </w:rPr>
              <w:t>0,12</w:t>
            </w:r>
          </w:p>
        </w:tc>
        <w:tc>
          <w:tcPr>
            <w:tcW w:w="455" w:type="pct"/>
            <w:tcBorders>
              <w:top w:val="nil"/>
              <w:left w:val="nil"/>
              <w:bottom w:val="nil"/>
              <w:right w:val="nil"/>
            </w:tcBorders>
            <w:noWrap/>
            <w:vAlign w:val="center"/>
          </w:tcPr>
          <w:p w14:paraId="3ACAA039" w14:textId="77777777" w:rsidR="00DB4F10" w:rsidRPr="004B5BE4" w:rsidRDefault="00DB4F10" w:rsidP="00326A8C">
            <w:pPr>
              <w:spacing w:after="0" w:line="240" w:lineRule="auto"/>
              <w:jc w:val="right"/>
              <w:rPr>
                <w:rFonts w:cs="Arial"/>
                <w:color w:val="000000"/>
                <w:sz w:val="18"/>
                <w:szCs w:val="18"/>
              </w:rPr>
            </w:pPr>
            <w:r w:rsidRPr="004B5BE4">
              <w:rPr>
                <w:rFonts w:cs="Arial"/>
                <w:color w:val="000000"/>
                <w:sz w:val="18"/>
                <w:szCs w:val="18"/>
              </w:rPr>
              <w:t>0,12</w:t>
            </w:r>
          </w:p>
        </w:tc>
        <w:tc>
          <w:tcPr>
            <w:tcW w:w="455" w:type="pct"/>
            <w:tcBorders>
              <w:top w:val="nil"/>
              <w:left w:val="nil"/>
              <w:bottom w:val="nil"/>
              <w:right w:val="nil"/>
            </w:tcBorders>
            <w:noWrap/>
            <w:vAlign w:val="center"/>
          </w:tcPr>
          <w:p w14:paraId="0A718E84" w14:textId="77777777" w:rsidR="00DB4F10" w:rsidRPr="004B5BE4" w:rsidRDefault="00DB4F10" w:rsidP="00326A8C">
            <w:pPr>
              <w:spacing w:after="0" w:line="240" w:lineRule="auto"/>
              <w:jc w:val="right"/>
              <w:rPr>
                <w:rFonts w:cs="Arial"/>
                <w:color w:val="000000"/>
                <w:sz w:val="18"/>
                <w:szCs w:val="18"/>
              </w:rPr>
            </w:pPr>
            <w:r w:rsidRPr="004B5BE4">
              <w:rPr>
                <w:rFonts w:cs="Arial"/>
                <w:color w:val="000000"/>
                <w:sz w:val="18"/>
                <w:szCs w:val="18"/>
              </w:rPr>
              <w:t>0,13</w:t>
            </w:r>
          </w:p>
        </w:tc>
        <w:tc>
          <w:tcPr>
            <w:tcW w:w="454" w:type="pct"/>
            <w:tcBorders>
              <w:top w:val="nil"/>
              <w:left w:val="nil"/>
              <w:bottom w:val="nil"/>
              <w:right w:val="nil"/>
            </w:tcBorders>
            <w:noWrap/>
            <w:vAlign w:val="center"/>
          </w:tcPr>
          <w:p w14:paraId="41750F55" w14:textId="77777777" w:rsidR="00DB4F10" w:rsidRPr="004B5BE4" w:rsidRDefault="00DB4F10" w:rsidP="00326A8C">
            <w:pPr>
              <w:spacing w:after="0" w:line="240" w:lineRule="auto"/>
              <w:jc w:val="right"/>
              <w:rPr>
                <w:rFonts w:cs="Arial"/>
                <w:color w:val="000000"/>
                <w:sz w:val="18"/>
                <w:szCs w:val="18"/>
              </w:rPr>
            </w:pPr>
            <w:r w:rsidRPr="004B5BE4">
              <w:rPr>
                <w:rFonts w:cs="Arial"/>
                <w:color w:val="000000"/>
                <w:sz w:val="18"/>
                <w:szCs w:val="18"/>
              </w:rPr>
              <w:t>0,10</w:t>
            </w:r>
          </w:p>
        </w:tc>
        <w:tc>
          <w:tcPr>
            <w:tcW w:w="452" w:type="pct"/>
            <w:tcBorders>
              <w:top w:val="nil"/>
              <w:left w:val="nil"/>
              <w:bottom w:val="nil"/>
              <w:right w:val="nil"/>
            </w:tcBorders>
            <w:vAlign w:val="center"/>
          </w:tcPr>
          <w:p w14:paraId="42D9FE41" w14:textId="77777777" w:rsidR="00DB4F10" w:rsidRPr="004B5BE4" w:rsidRDefault="00DB4F10" w:rsidP="00326A8C">
            <w:pPr>
              <w:spacing w:after="0" w:line="240" w:lineRule="auto"/>
              <w:jc w:val="right"/>
              <w:rPr>
                <w:rFonts w:cs="Arial"/>
                <w:color w:val="000000"/>
                <w:sz w:val="18"/>
                <w:szCs w:val="18"/>
              </w:rPr>
            </w:pPr>
            <w:r w:rsidRPr="004B5BE4">
              <w:rPr>
                <w:rFonts w:cs="Arial"/>
                <w:color w:val="000000"/>
                <w:sz w:val="18"/>
                <w:szCs w:val="18"/>
              </w:rPr>
              <w:t>0,11</w:t>
            </w:r>
          </w:p>
        </w:tc>
      </w:tr>
      <w:tr w:rsidR="00DB4F10" w:rsidRPr="00986209" w14:paraId="4BEBD99B" w14:textId="77777777" w:rsidTr="00326A8C">
        <w:trPr>
          <w:trHeight w:val="20"/>
        </w:trPr>
        <w:tc>
          <w:tcPr>
            <w:tcW w:w="1364" w:type="pct"/>
            <w:tcBorders>
              <w:top w:val="single" w:sz="8" w:space="0" w:color="auto"/>
              <w:left w:val="nil"/>
              <w:bottom w:val="single" w:sz="8" w:space="0" w:color="auto"/>
              <w:right w:val="nil"/>
            </w:tcBorders>
            <w:vAlign w:val="center"/>
            <w:hideMark/>
          </w:tcPr>
          <w:p w14:paraId="3C65BD12" w14:textId="77777777" w:rsidR="00DB4F10" w:rsidRPr="00AD28CE" w:rsidRDefault="00DB4F10" w:rsidP="00326A8C">
            <w:pPr>
              <w:spacing w:after="0" w:line="240" w:lineRule="auto"/>
              <w:rPr>
                <w:rFonts w:eastAsia="Times New Roman" w:cs="Arial"/>
                <w:color w:val="000000"/>
                <w:sz w:val="18"/>
                <w:szCs w:val="18"/>
                <w:lang w:eastAsia="en-GB"/>
              </w:rPr>
            </w:pPr>
            <w:r w:rsidRPr="00AD28CE">
              <w:rPr>
                <w:rFonts w:eastAsia="Times New Roman" w:cs="Arial"/>
                <w:color w:val="000000"/>
                <w:sz w:val="18"/>
                <w:szCs w:val="18"/>
                <w:lang w:eastAsia="en-GB"/>
              </w:rPr>
              <w:t>Průměrná roční míra inflace</w:t>
            </w:r>
          </w:p>
        </w:tc>
        <w:tc>
          <w:tcPr>
            <w:tcW w:w="454" w:type="pct"/>
            <w:tcBorders>
              <w:top w:val="single" w:sz="8" w:space="0" w:color="auto"/>
              <w:left w:val="nil"/>
              <w:bottom w:val="single" w:sz="8" w:space="0" w:color="auto"/>
              <w:right w:val="nil"/>
            </w:tcBorders>
            <w:noWrap/>
            <w:vAlign w:val="center"/>
            <w:hideMark/>
          </w:tcPr>
          <w:p w14:paraId="26133D2C" w14:textId="77777777" w:rsidR="00DB4F10" w:rsidRPr="00AD28CE" w:rsidRDefault="00DB4F10" w:rsidP="00326A8C">
            <w:pPr>
              <w:keepNext/>
              <w:spacing w:after="0" w:line="240" w:lineRule="auto"/>
              <w:jc w:val="center"/>
              <w:rPr>
                <w:rFonts w:eastAsia="Times New Roman" w:cs="Arial"/>
                <w:color w:val="000000"/>
                <w:sz w:val="18"/>
                <w:szCs w:val="18"/>
                <w:lang w:eastAsia="en-GB"/>
              </w:rPr>
            </w:pPr>
            <w:r w:rsidRPr="00AD28CE">
              <w:rPr>
                <w:rFonts w:eastAsia="Times New Roman" w:cs="Arial"/>
                <w:color w:val="000000"/>
                <w:sz w:val="18"/>
                <w:szCs w:val="18"/>
                <w:lang w:eastAsia="en-GB"/>
              </w:rPr>
              <w:t>%</w:t>
            </w:r>
          </w:p>
        </w:tc>
        <w:tc>
          <w:tcPr>
            <w:tcW w:w="455" w:type="pct"/>
            <w:tcBorders>
              <w:top w:val="single" w:sz="8" w:space="0" w:color="auto"/>
              <w:left w:val="nil"/>
              <w:bottom w:val="single" w:sz="8" w:space="0" w:color="auto"/>
              <w:right w:val="nil"/>
            </w:tcBorders>
            <w:noWrap/>
            <w:vAlign w:val="center"/>
            <w:hideMark/>
          </w:tcPr>
          <w:p w14:paraId="4B1E8E76"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2,1</w:t>
            </w:r>
          </w:p>
        </w:tc>
        <w:tc>
          <w:tcPr>
            <w:tcW w:w="455" w:type="pct"/>
            <w:tcBorders>
              <w:top w:val="single" w:sz="8" w:space="0" w:color="auto"/>
              <w:left w:val="nil"/>
              <w:bottom w:val="single" w:sz="8" w:space="0" w:color="auto"/>
              <w:right w:val="nil"/>
            </w:tcBorders>
            <w:noWrap/>
            <w:vAlign w:val="center"/>
          </w:tcPr>
          <w:p w14:paraId="6E4C17A9"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2,8</w:t>
            </w:r>
          </w:p>
        </w:tc>
        <w:tc>
          <w:tcPr>
            <w:tcW w:w="456" w:type="pct"/>
            <w:tcBorders>
              <w:top w:val="single" w:sz="8" w:space="0" w:color="auto"/>
              <w:left w:val="nil"/>
              <w:bottom w:val="single" w:sz="8" w:space="0" w:color="auto"/>
              <w:right w:val="nil"/>
            </w:tcBorders>
            <w:noWrap/>
            <w:vAlign w:val="center"/>
          </w:tcPr>
          <w:p w14:paraId="7834A394"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3,2</w:t>
            </w:r>
          </w:p>
        </w:tc>
        <w:tc>
          <w:tcPr>
            <w:tcW w:w="455" w:type="pct"/>
            <w:tcBorders>
              <w:top w:val="single" w:sz="8" w:space="0" w:color="auto"/>
              <w:left w:val="nil"/>
              <w:bottom w:val="single" w:sz="8" w:space="0" w:color="auto"/>
              <w:right w:val="nil"/>
            </w:tcBorders>
            <w:noWrap/>
            <w:vAlign w:val="center"/>
          </w:tcPr>
          <w:p w14:paraId="16746845"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3,8</w:t>
            </w:r>
          </w:p>
        </w:tc>
        <w:tc>
          <w:tcPr>
            <w:tcW w:w="455" w:type="pct"/>
            <w:tcBorders>
              <w:top w:val="single" w:sz="8" w:space="0" w:color="auto"/>
              <w:left w:val="nil"/>
              <w:bottom w:val="single" w:sz="8" w:space="0" w:color="auto"/>
              <w:right w:val="nil"/>
            </w:tcBorders>
            <w:noWrap/>
            <w:vAlign w:val="center"/>
          </w:tcPr>
          <w:p w14:paraId="0AD0CA27"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15,1</w:t>
            </w:r>
          </w:p>
        </w:tc>
        <w:tc>
          <w:tcPr>
            <w:tcW w:w="454" w:type="pct"/>
            <w:tcBorders>
              <w:top w:val="single" w:sz="8" w:space="0" w:color="auto"/>
              <w:left w:val="nil"/>
              <w:bottom w:val="single" w:sz="8" w:space="0" w:color="auto"/>
              <w:right w:val="nil"/>
            </w:tcBorders>
            <w:noWrap/>
            <w:vAlign w:val="center"/>
          </w:tcPr>
          <w:p w14:paraId="06E7FEA8"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10,7</w:t>
            </w:r>
          </w:p>
        </w:tc>
        <w:tc>
          <w:tcPr>
            <w:tcW w:w="452" w:type="pct"/>
            <w:tcBorders>
              <w:top w:val="single" w:sz="8" w:space="0" w:color="auto"/>
              <w:left w:val="nil"/>
              <w:bottom w:val="single" w:sz="8" w:space="0" w:color="auto"/>
              <w:right w:val="nil"/>
            </w:tcBorders>
            <w:vAlign w:val="center"/>
          </w:tcPr>
          <w:p w14:paraId="0D212742" w14:textId="77777777" w:rsidR="00DB4F10" w:rsidRPr="00530715" w:rsidRDefault="00DB4F10" w:rsidP="00326A8C">
            <w:pPr>
              <w:spacing w:after="0" w:line="240" w:lineRule="auto"/>
              <w:jc w:val="right"/>
              <w:rPr>
                <w:rFonts w:eastAsia="Times New Roman" w:cs="Arial"/>
                <w:color w:val="000000"/>
                <w:sz w:val="18"/>
                <w:szCs w:val="18"/>
                <w:lang w:eastAsia="en-GB"/>
              </w:rPr>
            </w:pPr>
            <w:r>
              <w:rPr>
                <w:rFonts w:eastAsia="Times New Roman" w:cs="Arial"/>
                <w:color w:val="000000"/>
                <w:sz w:val="18"/>
                <w:szCs w:val="18"/>
                <w:lang w:eastAsia="en-GB"/>
              </w:rPr>
              <w:t>2,4</w:t>
            </w:r>
          </w:p>
        </w:tc>
      </w:tr>
      <w:tr w:rsidR="00DB4F10" w:rsidRPr="00986209" w14:paraId="76D95777" w14:textId="77777777" w:rsidTr="00326A8C">
        <w:trPr>
          <w:trHeight w:val="20"/>
        </w:trPr>
        <w:tc>
          <w:tcPr>
            <w:tcW w:w="1364" w:type="pct"/>
            <w:tcBorders>
              <w:top w:val="nil"/>
              <w:left w:val="nil"/>
              <w:bottom w:val="nil"/>
              <w:right w:val="nil"/>
            </w:tcBorders>
            <w:vAlign w:val="center"/>
            <w:hideMark/>
          </w:tcPr>
          <w:p w14:paraId="3207E5DA" w14:textId="77777777" w:rsidR="00DB4F10" w:rsidRPr="00AD28CE" w:rsidRDefault="00DB4F10" w:rsidP="00326A8C">
            <w:pPr>
              <w:spacing w:after="0" w:line="240" w:lineRule="auto"/>
              <w:rPr>
                <w:rFonts w:eastAsia="Times New Roman" w:cs="Arial"/>
                <w:color w:val="000000"/>
                <w:sz w:val="18"/>
                <w:szCs w:val="18"/>
                <w:lang w:eastAsia="en-GB"/>
              </w:rPr>
            </w:pPr>
            <w:r w:rsidRPr="00AD28CE">
              <w:rPr>
                <w:rFonts w:eastAsia="Times New Roman" w:cs="Arial"/>
                <w:color w:val="000000"/>
                <w:sz w:val="18"/>
                <w:szCs w:val="18"/>
                <w:lang w:eastAsia="en-GB"/>
              </w:rPr>
              <w:t xml:space="preserve">Podíl rozpočtovaných výdajů na </w:t>
            </w:r>
            <w:proofErr w:type="spellStart"/>
            <w:r w:rsidRPr="00AD28CE">
              <w:rPr>
                <w:rFonts w:eastAsia="Times New Roman" w:cs="Arial"/>
                <w:color w:val="000000"/>
                <w:sz w:val="18"/>
                <w:szCs w:val="18"/>
                <w:lang w:eastAsia="en-GB"/>
              </w:rPr>
              <w:t>VaVaI</w:t>
            </w:r>
            <w:proofErr w:type="spellEnd"/>
            <w:r w:rsidRPr="00AD28CE">
              <w:rPr>
                <w:rFonts w:eastAsia="Times New Roman" w:cs="Arial"/>
                <w:color w:val="000000"/>
                <w:sz w:val="18"/>
                <w:szCs w:val="18"/>
                <w:lang w:eastAsia="en-GB"/>
              </w:rPr>
              <w:t xml:space="preserve"> ze SR na celkových výdajích SR ČR dle zák. o SR</w:t>
            </w:r>
          </w:p>
        </w:tc>
        <w:tc>
          <w:tcPr>
            <w:tcW w:w="454" w:type="pct"/>
            <w:tcBorders>
              <w:top w:val="nil"/>
              <w:left w:val="nil"/>
              <w:bottom w:val="nil"/>
              <w:right w:val="nil"/>
            </w:tcBorders>
            <w:noWrap/>
            <w:vAlign w:val="center"/>
            <w:hideMark/>
          </w:tcPr>
          <w:p w14:paraId="7409AE2A" w14:textId="77777777" w:rsidR="00DB4F10" w:rsidRPr="00AD28CE" w:rsidRDefault="00DB4F10" w:rsidP="00326A8C">
            <w:pPr>
              <w:keepNext/>
              <w:spacing w:after="0" w:line="240" w:lineRule="auto"/>
              <w:jc w:val="center"/>
              <w:rPr>
                <w:rFonts w:eastAsia="Times New Roman" w:cs="Arial"/>
                <w:color w:val="000000"/>
                <w:sz w:val="18"/>
                <w:szCs w:val="18"/>
                <w:lang w:eastAsia="en-GB"/>
              </w:rPr>
            </w:pPr>
            <w:r w:rsidRPr="00AD28CE">
              <w:rPr>
                <w:rFonts w:eastAsia="Times New Roman" w:cs="Arial"/>
                <w:color w:val="000000"/>
                <w:sz w:val="18"/>
                <w:szCs w:val="18"/>
                <w:lang w:eastAsia="en-GB"/>
              </w:rPr>
              <w:t>%</w:t>
            </w:r>
          </w:p>
        </w:tc>
        <w:tc>
          <w:tcPr>
            <w:tcW w:w="455" w:type="pct"/>
            <w:tcBorders>
              <w:top w:val="nil"/>
              <w:left w:val="nil"/>
              <w:bottom w:val="nil"/>
              <w:right w:val="nil"/>
            </w:tcBorders>
            <w:noWrap/>
            <w:vAlign w:val="center"/>
            <w:hideMark/>
          </w:tcPr>
          <w:p w14:paraId="326B7686"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2,55</w:t>
            </w:r>
          </w:p>
        </w:tc>
        <w:tc>
          <w:tcPr>
            <w:tcW w:w="455" w:type="pct"/>
            <w:tcBorders>
              <w:top w:val="nil"/>
              <w:left w:val="nil"/>
              <w:bottom w:val="nil"/>
              <w:right w:val="nil"/>
            </w:tcBorders>
            <w:noWrap/>
            <w:vAlign w:val="center"/>
          </w:tcPr>
          <w:p w14:paraId="5FAEB07E"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2,39</w:t>
            </w:r>
          </w:p>
        </w:tc>
        <w:tc>
          <w:tcPr>
            <w:tcW w:w="456" w:type="pct"/>
            <w:tcBorders>
              <w:top w:val="nil"/>
              <w:left w:val="nil"/>
              <w:bottom w:val="nil"/>
              <w:right w:val="nil"/>
            </w:tcBorders>
            <w:noWrap/>
            <w:vAlign w:val="center"/>
          </w:tcPr>
          <w:p w14:paraId="4BB5CC5B"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2,24</w:t>
            </w:r>
          </w:p>
        </w:tc>
        <w:tc>
          <w:tcPr>
            <w:tcW w:w="455" w:type="pct"/>
            <w:tcBorders>
              <w:top w:val="nil"/>
              <w:left w:val="nil"/>
              <w:bottom w:val="nil"/>
              <w:right w:val="nil"/>
            </w:tcBorders>
            <w:noWrap/>
            <w:vAlign w:val="center"/>
          </w:tcPr>
          <w:p w14:paraId="186D9F32"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1,99</w:t>
            </w:r>
          </w:p>
        </w:tc>
        <w:tc>
          <w:tcPr>
            <w:tcW w:w="455" w:type="pct"/>
            <w:tcBorders>
              <w:top w:val="nil"/>
              <w:left w:val="nil"/>
              <w:bottom w:val="nil"/>
              <w:right w:val="nil"/>
            </w:tcBorders>
            <w:noWrap/>
            <w:vAlign w:val="center"/>
          </w:tcPr>
          <w:p w14:paraId="4080F65D"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1,90</w:t>
            </w:r>
          </w:p>
        </w:tc>
        <w:tc>
          <w:tcPr>
            <w:tcW w:w="454" w:type="pct"/>
            <w:tcBorders>
              <w:top w:val="nil"/>
              <w:left w:val="nil"/>
              <w:bottom w:val="nil"/>
              <w:right w:val="nil"/>
            </w:tcBorders>
            <w:noWrap/>
            <w:vAlign w:val="center"/>
          </w:tcPr>
          <w:p w14:paraId="2E782647"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1,81</w:t>
            </w:r>
          </w:p>
        </w:tc>
        <w:tc>
          <w:tcPr>
            <w:tcW w:w="452" w:type="pct"/>
            <w:tcBorders>
              <w:top w:val="nil"/>
              <w:left w:val="nil"/>
              <w:bottom w:val="nil"/>
              <w:right w:val="nil"/>
            </w:tcBorders>
            <w:vAlign w:val="center"/>
          </w:tcPr>
          <w:p w14:paraId="52613920" w14:textId="77777777" w:rsidR="00DB4F10" w:rsidRPr="00530715" w:rsidRDefault="00DB4F10" w:rsidP="00326A8C">
            <w:pPr>
              <w:spacing w:after="0" w:line="240" w:lineRule="auto"/>
              <w:jc w:val="right"/>
              <w:rPr>
                <w:rFonts w:eastAsia="Times New Roman" w:cs="Arial"/>
                <w:color w:val="000000"/>
                <w:sz w:val="18"/>
                <w:szCs w:val="18"/>
                <w:lang w:eastAsia="en-GB"/>
              </w:rPr>
            </w:pPr>
            <w:r>
              <w:rPr>
                <w:rFonts w:eastAsia="Times New Roman" w:cs="Arial"/>
                <w:color w:val="000000"/>
                <w:sz w:val="18"/>
                <w:szCs w:val="18"/>
                <w:lang w:eastAsia="en-GB"/>
              </w:rPr>
              <w:t>1,81</w:t>
            </w:r>
          </w:p>
        </w:tc>
      </w:tr>
      <w:tr w:rsidR="00DB4F10" w:rsidRPr="00986209" w14:paraId="48508E33" w14:textId="77777777" w:rsidTr="00326A8C">
        <w:trPr>
          <w:trHeight w:val="20"/>
        </w:trPr>
        <w:tc>
          <w:tcPr>
            <w:tcW w:w="1364" w:type="pct"/>
            <w:tcBorders>
              <w:top w:val="single" w:sz="8" w:space="0" w:color="auto"/>
              <w:left w:val="nil"/>
              <w:bottom w:val="single" w:sz="4" w:space="0" w:color="auto"/>
              <w:right w:val="nil"/>
            </w:tcBorders>
            <w:vAlign w:val="center"/>
            <w:hideMark/>
          </w:tcPr>
          <w:p w14:paraId="0AFD5E14" w14:textId="77777777" w:rsidR="00DB4F10" w:rsidRPr="00AD28CE" w:rsidRDefault="00DB4F10" w:rsidP="00326A8C">
            <w:pPr>
              <w:spacing w:after="0" w:line="240" w:lineRule="auto"/>
              <w:rPr>
                <w:rFonts w:eastAsia="Times New Roman" w:cs="Arial"/>
                <w:color w:val="000000"/>
                <w:sz w:val="18"/>
                <w:szCs w:val="18"/>
                <w:lang w:eastAsia="en-GB"/>
              </w:rPr>
            </w:pPr>
            <w:r w:rsidRPr="00AD28CE">
              <w:rPr>
                <w:rFonts w:eastAsia="Times New Roman" w:cs="Arial"/>
                <w:color w:val="000000"/>
                <w:sz w:val="18"/>
                <w:szCs w:val="18"/>
                <w:lang w:eastAsia="en-GB"/>
              </w:rPr>
              <w:t xml:space="preserve">výdaje na </w:t>
            </w:r>
            <w:proofErr w:type="spellStart"/>
            <w:r w:rsidRPr="00AD28CE">
              <w:rPr>
                <w:rFonts w:eastAsia="Times New Roman" w:cs="Arial"/>
                <w:color w:val="000000"/>
                <w:sz w:val="18"/>
                <w:szCs w:val="18"/>
                <w:lang w:eastAsia="en-GB"/>
              </w:rPr>
              <w:t>VaV</w:t>
            </w:r>
            <w:proofErr w:type="spellEnd"/>
            <w:r w:rsidRPr="00AD28CE">
              <w:rPr>
                <w:rFonts w:eastAsia="Times New Roman" w:cs="Arial"/>
                <w:color w:val="000000"/>
                <w:sz w:val="18"/>
                <w:szCs w:val="18"/>
                <w:lang w:eastAsia="en-GB"/>
              </w:rPr>
              <w:t xml:space="preserve"> z podnik</w:t>
            </w:r>
            <w:r>
              <w:rPr>
                <w:rFonts w:eastAsia="Times New Roman" w:cs="Arial"/>
                <w:color w:val="000000"/>
                <w:sz w:val="18"/>
                <w:szCs w:val="18"/>
                <w:lang w:eastAsia="en-GB"/>
              </w:rPr>
              <w:t>ových</w:t>
            </w:r>
            <w:r w:rsidRPr="00AD28CE">
              <w:rPr>
                <w:rFonts w:eastAsia="Times New Roman" w:cs="Arial"/>
                <w:color w:val="000000"/>
                <w:sz w:val="18"/>
                <w:szCs w:val="18"/>
                <w:lang w:eastAsia="en-GB"/>
              </w:rPr>
              <w:t xml:space="preserve"> zdrojů</w:t>
            </w:r>
          </w:p>
        </w:tc>
        <w:tc>
          <w:tcPr>
            <w:tcW w:w="454" w:type="pct"/>
            <w:tcBorders>
              <w:top w:val="single" w:sz="8" w:space="0" w:color="auto"/>
              <w:left w:val="nil"/>
              <w:bottom w:val="single" w:sz="4" w:space="0" w:color="auto"/>
              <w:right w:val="nil"/>
            </w:tcBorders>
            <w:noWrap/>
            <w:vAlign w:val="center"/>
            <w:hideMark/>
          </w:tcPr>
          <w:p w14:paraId="350EE3D5" w14:textId="77777777" w:rsidR="00DB4F10" w:rsidRPr="00AD28CE" w:rsidRDefault="00DB4F10" w:rsidP="00326A8C">
            <w:pPr>
              <w:keepNext/>
              <w:spacing w:after="0" w:line="240" w:lineRule="auto"/>
              <w:jc w:val="center"/>
              <w:rPr>
                <w:rFonts w:eastAsia="Times New Roman" w:cs="Arial"/>
                <w:color w:val="000000"/>
                <w:sz w:val="18"/>
                <w:szCs w:val="18"/>
                <w:lang w:eastAsia="en-GB"/>
              </w:rPr>
            </w:pPr>
            <w:r w:rsidRPr="00AD28CE">
              <w:rPr>
                <w:rFonts w:eastAsia="Times New Roman" w:cs="Arial"/>
                <w:color w:val="000000"/>
                <w:sz w:val="18"/>
                <w:szCs w:val="18"/>
                <w:lang w:eastAsia="en-GB"/>
              </w:rPr>
              <w:t>mld. Kč</w:t>
            </w:r>
          </w:p>
        </w:tc>
        <w:tc>
          <w:tcPr>
            <w:tcW w:w="455" w:type="pct"/>
            <w:tcBorders>
              <w:top w:val="single" w:sz="8" w:space="0" w:color="auto"/>
              <w:left w:val="nil"/>
              <w:bottom w:val="single" w:sz="4" w:space="0" w:color="auto"/>
              <w:right w:val="nil"/>
            </w:tcBorders>
            <w:noWrap/>
            <w:vAlign w:val="center"/>
            <w:hideMark/>
          </w:tcPr>
          <w:p w14:paraId="17472F8F"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59,9</w:t>
            </w:r>
          </w:p>
        </w:tc>
        <w:tc>
          <w:tcPr>
            <w:tcW w:w="455" w:type="pct"/>
            <w:tcBorders>
              <w:top w:val="single" w:sz="8" w:space="0" w:color="auto"/>
              <w:left w:val="nil"/>
              <w:bottom w:val="single" w:sz="4" w:space="0" w:color="auto"/>
              <w:right w:val="nil"/>
            </w:tcBorders>
            <w:noWrap/>
            <w:vAlign w:val="center"/>
          </w:tcPr>
          <w:p w14:paraId="20F837E0"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64,7</w:t>
            </w:r>
          </w:p>
        </w:tc>
        <w:tc>
          <w:tcPr>
            <w:tcW w:w="456" w:type="pct"/>
            <w:tcBorders>
              <w:top w:val="single" w:sz="8" w:space="0" w:color="auto"/>
              <w:left w:val="nil"/>
              <w:bottom w:val="single" w:sz="4" w:space="0" w:color="auto"/>
              <w:right w:val="nil"/>
            </w:tcBorders>
            <w:noWrap/>
            <w:vAlign w:val="center"/>
          </w:tcPr>
          <w:p w14:paraId="6D844551"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66,1</w:t>
            </w:r>
          </w:p>
        </w:tc>
        <w:tc>
          <w:tcPr>
            <w:tcW w:w="455" w:type="pct"/>
            <w:tcBorders>
              <w:top w:val="single" w:sz="8" w:space="0" w:color="auto"/>
              <w:left w:val="nil"/>
              <w:bottom w:val="single" w:sz="4" w:space="0" w:color="auto"/>
              <w:right w:val="nil"/>
            </w:tcBorders>
            <w:noWrap/>
            <w:vAlign w:val="center"/>
          </w:tcPr>
          <w:p w14:paraId="0664366E"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72,8</w:t>
            </w:r>
          </w:p>
        </w:tc>
        <w:tc>
          <w:tcPr>
            <w:tcW w:w="455" w:type="pct"/>
            <w:tcBorders>
              <w:top w:val="single" w:sz="8" w:space="0" w:color="auto"/>
              <w:left w:val="nil"/>
              <w:bottom w:val="single" w:sz="4" w:space="0" w:color="auto"/>
              <w:right w:val="nil"/>
            </w:tcBorders>
            <w:noWrap/>
            <w:vAlign w:val="center"/>
          </w:tcPr>
          <w:p w14:paraId="4D88D321"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81,7</w:t>
            </w:r>
          </w:p>
        </w:tc>
        <w:tc>
          <w:tcPr>
            <w:tcW w:w="454" w:type="pct"/>
            <w:tcBorders>
              <w:top w:val="single" w:sz="8" w:space="0" w:color="auto"/>
              <w:left w:val="nil"/>
              <w:bottom w:val="single" w:sz="4" w:space="0" w:color="auto"/>
              <w:right w:val="nil"/>
            </w:tcBorders>
            <w:noWrap/>
            <w:vAlign w:val="center"/>
          </w:tcPr>
          <w:p w14:paraId="15188989"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87,6</w:t>
            </w:r>
          </w:p>
        </w:tc>
        <w:tc>
          <w:tcPr>
            <w:tcW w:w="452" w:type="pct"/>
            <w:tcBorders>
              <w:top w:val="single" w:sz="8" w:space="0" w:color="auto"/>
              <w:left w:val="nil"/>
              <w:bottom w:val="single" w:sz="4" w:space="0" w:color="auto"/>
              <w:right w:val="nil"/>
            </w:tcBorders>
            <w:vAlign w:val="center"/>
          </w:tcPr>
          <w:p w14:paraId="6960F980" w14:textId="77777777" w:rsidR="00DB4F10" w:rsidRPr="00530715" w:rsidRDefault="00DB4F10" w:rsidP="00326A8C">
            <w:pPr>
              <w:spacing w:after="0" w:line="240" w:lineRule="auto"/>
              <w:jc w:val="right"/>
              <w:rPr>
                <w:rFonts w:eastAsia="Times New Roman" w:cs="Arial"/>
                <w:color w:val="000000"/>
                <w:sz w:val="18"/>
                <w:szCs w:val="18"/>
                <w:lang w:eastAsia="en-GB"/>
              </w:rPr>
            </w:pPr>
            <w:r>
              <w:rPr>
                <w:rFonts w:eastAsia="Times New Roman" w:cs="Arial"/>
                <w:color w:val="000000"/>
                <w:sz w:val="18"/>
                <w:szCs w:val="18"/>
                <w:lang w:eastAsia="en-GB"/>
              </w:rPr>
              <w:t>93,1</w:t>
            </w:r>
          </w:p>
        </w:tc>
      </w:tr>
      <w:tr w:rsidR="00DB4F10" w:rsidRPr="00986209" w14:paraId="7D6982E6" w14:textId="77777777" w:rsidTr="00326A8C">
        <w:trPr>
          <w:trHeight w:val="20"/>
        </w:trPr>
        <w:tc>
          <w:tcPr>
            <w:tcW w:w="1364" w:type="pct"/>
            <w:tcBorders>
              <w:top w:val="nil"/>
              <w:left w:val="nil"/>
              <w:bottom w:val="nil"/>
              <w:right w:val="nil"/>
            </w:tcBorders>
            <w:noWrap/>
            <w:vAlign w:val="center"/>
            <w:hideMark/>
          </w:tcPr>
          <w:p w14:paraId="556C072E" w14:textId="77777777" w:rsidR="00DB4F10" w:rsidRPr="00AD28CE" w:rsidRDefault="00DB4F10" w:rsidP="00326A8C">
            <w:pPr>
              <w:spacing w:after="0" w:line="240" w:lineRule="auto"/>
              <w:rPr>
                <w:rFonts w:eastAsia="Times New Roman" w:cs="Arial"/>
                <w:color w:val="000000"/>
                <w:sz w:val="18"/>
                <w:szCs w:val="18"/>
                <w:lang w:eastAsia="en-GB"/>
              </w:rPr>
            </w:pPr>
            <w:r w:rsidRPr="00AD28CE">
              <w:rPr>
                <w:rFonts w:eastAsia="Times New Roman" w:cs="Arial"/>
                <w:color w:val="000000"/>
                <w:sz w:val="18"/>
                <w:szCs w:val="18"/>
                <w:lang w:eastAsia="en-GB"/>
              </w:rPr>
              <w:t>podíl na HDP</w:t>
            </w:r>
          </w:p>
        </w:tc>
        <w:tc>
          <w:tcPr>
            <w:tcW w:w="454" w:type="pct"/>
            <w:tcBorders>
              <w:top w:val="nil"/>
              <w:left w:val="nil"/>
              <w:bottom w:val="nil"/>
              <w:right w:val="nil"/>
            </w:tcBorders>
            <w:noWrap/>
            <w:vAlign w:val="center"/>
            <w:hideMark/>
          </w:tcPr>
          <w:p w14:paraId="2C5C4295" w14:textId="77777777" w:rsidR="00DB4F10" w:rsidRPr="00AD28CE" w:rsidRDefault="00DB4F10" w:rsidP="00326A8C">
            <w:pPr>
              <w:keepNext/>
              <w:spacing w:after="0" w:line="240" w:lineRule="auto"/>
              <w:jc w:val="center"/>
              <w:rPr>
                <w:rFonts w:eastAsia="Times New Roman" w:cs="Arial"/>
                <w:color w:val="000000"/>
                <w:sz w:val="18"/>
                <w:szCs w:val="18"/>
                <w:lang w:eastAsia="en-GB"/>
              </w:rPr>
            </w:pPr>
            <w:r w:rsidRPr="00AD28CE">
              <w:rPr>
                <w:rFonts w:eastAsia="Times New Roman" w:cs="Arial"/>
                <w:color w:val="000000"/>
                <w:sz w:val="18"/>
                <w:szCs w:val="18"/>
                <w:lang w:eastAsia="en-GB"/>
              </w:rPr>
              <w:t>%</w:t>
            </w:r>
          </w:p>
        </w:tc>
        <w:tc>
          <w:tcPr>
            <w:tcW w:w="455" w:type="pct"/>
            <w:tcBorders>
              <w:top w:val="nil"/>
              <w:left w:val="nil"/>
              <w:bottom w:val="nil"/>
              <w:right w:val="nil"/>
            </w:tcBorders>
            <w:noWrap/>
            <w:vAlign w:val="center"/>
            <w:hideMark/>
          </w:tcPr>
          <w:p w14:paraId="6A7323EB"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1,09</w:t>
            </w:r>
          </w:p>
        </w:tc>
        <w:tc>
          <w:tcPr>
            <w:tcW w:w="455" w:type="pct"/>
            <w:tcBorders>
              <w:top w:val="nil"/>
              <w:left w:val="nil"/>
              <w:bottom w:val="nil"/>
              <w:right w:val="nil"/>
            </w:tcBorders>
            <w:noWrap/>
            <w:vAlign w:val="center"/>
          </w:tcPr>
          <w:p w14:paraId="5E35EDBF"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1,10</w:t>
            </w:r>
          </w:p>
        </w:tc>
        <w:tc>
          <w:tcPr>
            <w:tcW w:w="456" w:type="pct"/>
            <w:tcBorders>
              <w:top w:val="nil"/>
              <w:left w:val="nil"/>
              <w:bottom w:val="nil"/>
              <w:right w:val="nil"/>
            </w:tcBorders>
            <w:noWrap/>
            <w:vAlign w:val="center"/>
          </w:tcPr>
          <w:p w14:paraId="55EEB07F"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1,13</w:t>
            </w:r>
          </w:p>
        </w:tc>
        <w:tc>
          <w:tcPr>
            <w:tcW w:w="455" w:type="pct"/>
            <w:tcBorders>
              <w:top w:val="nil"/>
              <w:left w:val="nil"/>
              <w:bottom w:val="nil"/>
              <w:right w:val="nil"/>
            </w:tcBorders>
            <w:noWrap/>
            <w:vAlign w:val="center"/>
          </w:tcPr>
          <w:p w14:paraId="40F5D87F"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1,15</w:t>
            </w:r>
          </w:p>
        </w:tc>
        <w:tc>
          <w:tcPr>
            <w:tcW w:w="455" w:type="pct"/>
            <w:tcBorders>
              <w:top w:val="nil"/>
              <w:left w:val="nil"/>
              <w:bottom w:val="nil"/>
              <w:right w:val="nil"/>
            </w:tcBorders>
            <w:noWrap/>
            <w:vAlign w:val="center"/>
          </w:tcPr>
          <w:p w14:paraId="327F4A3E"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1,16</w:t>
            </w:r>
          </w:p>
        </w:tc>
        <w:tc>
          <w:tcPr>
            <w:tcW w:w="454" w:type="pct"/>
            <w:tcBorders>
              <w:top w:val="nil"/>
              <w:left w:val="nil"/>
              <w:bottom w:val="nil"/>
              <w:right w:val="nil"/>
            </w:tcBorders>
            <w:noWrap/>
            <w:vAlign w:val="center"/>
          </w:tcPr>
          <w:p w14:paraId="584FF8A6"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1,1</w:t>
            </w:r>
            <w:r>
              <w:rPr>
                <w:rFonts w:cs="Arial"/>
                <w:color w:val="000000"/>
                <w:sz w:val="18"/>
                <w:szCs w:val="18"/>
              </w:rPr>
              <w:t>4</w:t>
            </w:r>
          </w:p>
        </w:tc>
        <w:tc>
          <w:tcPr>
            <w:tcW w:w="452" w:type="pct"/>
            <w:tcBorders>
              <w:top w:val="nil"/>
              <w:left w:val="nil"/>
              <w:bottom w:val="nil"/>
              <w:right w:val="nil"/>
            </w:tcBorders>
            <w:vAlign w:val="center"/>
          </w:tcPr>
          <w:p w14:paraId="0F02E720" w14:textId="77777777" w:rsidR="00DB4F10" w:rsidRPr="00530715" w:rsidRDefault="00DB4F10" w:rsidP="00326A8C">
            <w:pPr>
              <w:spacing w:after="0" w:line="240" w:lineRule="auto"/>
              <w:jc w:val="right"/>
              <w:rPr>
                <w:rFonts w:eastAsia="Times New Roman" w:cs="Arial"/>
                <w:color w:val="000000"/>
                <w:sz w:val="18"/>
                <w:szCs w:val="18"/>
                <w:lang w:eastAsia="en-GB"/>
              </w:rPr>
            </w:pPr>
            <w:r>
              <w:rPr>
                <w:rFonts w:eastAsia="Times New Roman" w:cs="Arial"/>
                <w:color w:val="000000"/>
                <w:sz w:val="18"/>
                <w:szCs w:val="18"/>
                <w:lang w:eastAsia="en-GB"/>
              </w:rPr>
              <w:t>1,16</w:t>
            </w:r>
          </w:p>
        </w:tc>
      </w:tr>
      <w:tr w:rsidR="00DB4F10" w:rsidRPr="00986209" w14:paraId="39C77855" w14:textId="77777777" w:rsidTr="00326A8C">
        <w:trPr>
          <w:trHeight w:val="20"/>
        </w:trPr>
        <w:tc>
          <w:tcPr>
            <w:tcW w:w="1364" w:type="pct"/>
            <w:tcBorders>
              <w:top w:val="single" w:sz="8" w:space="0" w:color="auto"/>
              <w:left w:val="nil"/>
              <w:bottom w:val="single" w:sz="4" w:space="0" w:color="auto"/>
              <w:right w:val="nil"/>
            </w:tcBorders>
            <w:vAlign w:val="center"/>
            <w:hideMark/>
          </w:tcPr>
          <w:p w14:paraId="53CFAE4F" w14:textId="77777777" w:rsidR="00DB4F10" w:rsidRPr="00AD28CE" w:rsidRDefault="00DB4F10" w:rsidP="00326A8C">
            <w:pPr>
              <w:spacing w:after="0" w:line="240" w:lineRule="auto"/>
              <w:rPr>
                <w:rFonts w:eastAsia="Times New Roman" w:cs="Arial"/>
                <w:color w:val="000000"/>
                <w:sz w:val="18"/>
                <w:szCs w:val="18"/>
                <w:lang w:eastAsia="en-GB"/>
              </w:rPr>
            </w:pPr>
            <w:r w:rsidRPr="00AD28CE">
              <w:rPr>
                <w:rFonts w:eastAsia="Times New Roman" w:cs="Arial"/>
                <w:color w:val="000000"/>
                <w:sz w:val="18"/>
                <w:szCs w:val="18"/>
                <w:lang w:eastAsia="en-GB"/>
              </w:rPr>
              <w:t>Nepřímá podpora soukromým podnikům</w:t>
            </w:r>
          </w:p>
        </w:tc>
        <w:tc>
          <w:tcPr>
            <w:tcW w:w="454" w:type="pct"/>
            <w:tcBorders>
              <w:top w:val="single" w:sz="8" w:space="0" w:color="auto"/>
              <w:left w:val="nil"/>
              <w:bottom w:val="single" w:sz="4" w:space="0" w:color="auto"/>
              <w:right w:val="nil"/>
            </w:tcBorders>
            <w:noWrap/>
            <w:vAlign w:val="center"/>
            <w:hideMark/>
          </w:tcPr>
          <w:p w14:paraId="615EF72C" w14:textId="77777777" w:rsidR="00DB4F10" w:rsidRPr="00AD28CE" w:rsidRDefault="00DB4F10" w:rsidP="00326A8C">
            <w:pPr>
              <w:keepNext/>
              <w:spacing w:after="0" w:line="240" w:lineRule="auto"/>
              <w:jc w:val="center"/>
              <w:rPr>
                <w:rFonts w:eastAsia="Times New Roman" w:cs="Arial"/>
                <w:color w:val="000000"/>
                <w:sz w:val="18"/>
                <w:szCs w:val="18"/>
                <w:lang w:eastAsia="en-GB"/>
              </w:rPr>
            </w:pPr>
            <w:r w:rsidRPr="00AD28CE">
              <w:rPr>
                <w:rFonts w:eastAsia="Times New Roman" w:cs="Arial"/>
                <w:color w:val="000000"/>
                <w:sz w:val="18"/>
                <w:szCs w:val="18"/>
                <w:lang w:eastAsia="en-GB"/>
              </w:rPr>
              <w:t>mld. Kč</w:t>
            </w:r>
          </w:p>
        </w:tc>
        <w:tc>
          <w:tcPr>
            <w:tcW w:w="455" w:type="pct"/>
            <w:tcBorders>
              <w:top w:val="single" w:sz="8" w:space="0" w:color="auto"/>
              <w:left w:val="nil"/>
              <w:bottom w:val="single" w:sz="4" w:space="0" w:color="auto"/>
              <w:right w:val="nil"/>
            </w:tcBorders>
            <w:noWrap/>
            <w:vAlign w:val="center"/>
            <w:hideMark/>
          </w:tcPr>
          <w:p w14:paraId="133D3119"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2,58</w:t>
            </w:r>
          </w:p>
        </w:tc>
        <w:tc>
          <w:tcPr>
            <w:tcW w:w="455" w:type="pct"/>
            <w:tcBorders>
              <w:top w:val="single" w:sz="8" w:space="0" w:color="auto"/>
              <w:left w:val="nil"/>
              <w:bottom w:val="single" w:sz="4" w:space="0" w:color="auto"/>
              <w:right w:val="nil"/>
            </w:tcBorders>
            <w:noWrap/>
            <w:vAlign w:val="center"/>
          </w:tcPr>
          <w:p w14:paraId="2D9144F4"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2,73</w:t>
            </w:r>
          </w:p>
        </w:tc>
        <w:tc>
          <w:tcPr>
            <w:tcW w:w="456" w:type="pct"/>
            <w:tcBorders>
              <w:top w:val="single" w:sz="8" w:space="0" w:color="auto"/>
              <w:left w:val="nil"/>
              <w:bottom w:val="single" w:sz="4" w:space="0" w:color="auto"/>
              <w:right w:val="nil"/>
            </w:tcBorders>
            <w:noWrap/>
            <w:vAlign w:val="center"/>
          </w:tcPr>
          <w:p w14:paraId="390F194F"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2,10</w:t>
            </w:r>
          </w:p>
        </w:tc>
        <w:tc>
          <w:tcPr>
            <w:tcW w:w="455" w:type="pct"/>
            <w:tcBorders>
              <w:top w:val="single" w:sz="8" w:space="0" w:color="auto"/>
              <w:left w:val="nil"/>
              <w:bottom w:val="single" w:sz="4" w:space="0" w:color="auto"/>
              <w:right w:val="nil"/>
            </w:tcBorders>
            <w:noWrap/>
            <w:vAlign w:val="center"/>
          </w:tcPr>
          <w:p w14:paraId="134ACF48" w14:textId="77777777" w:rsidR="00DB4F10" w:rsidRPr="00AD28CE" w:rsidRDefault="00DB4F10" w:rsidP="00326A8C">
            <w:pPr>
              <w:spacing w:after="0" w:line="240" w:lineRule="auto"/>
              <w:jc w:val="right"/>
              <w:rPr>
                <w:rFonts w:eastAsia="Times New Roman" w:cs="Arial"/>
                <w:color w:val="000000"/>
                <w:sz w:val="18"/>
                <w:szCs w:val="18"/>
                <w:lang w:eastAsia="en-GB"/>
              </w:rPr>
            </w:pPr>
            <w:r>
              <w:rPr>
                <w:rFonts w:eastAsia="Times New Roman" w:cs="Arial"/>
                <w:color w:val="000000"/>
                <w:sz w:val="18"/>
                <w:szCs w:val="18"/>
                <w:lang w:eastAsia="en-GB"/>
              </w:rPr>
              <w:t>2,43</w:t>
            </w:r>
          </w:p>
        </w:tc>
        <w:tc>
          <w:tcPr>
            <w:tcW w:w="455" w:type="pct"/>
            <w:tcBorders>
              <w:top w:val="single" w:sz="8" w:space="0" w:color="auto"/>
              <w:left w:val="nil"/>
              <w:bottom w:val="single" w:sz="4" w:space="0" w:color="auto"/>
              <w:right w:val="nil"/>
            </w:tcBorders>
            <w:noWrap/>
            <w:vAlign w:val="center"/>
          </w:tcPr>
          <w:p w14:paraId="37FEBFFE" w14:textId="77777777" w:rsidR="00DB4F10" w:rsidRPr="00AD28CE" w:rsidRDefault="00DB4F10" w:rsidP="00326A8C">
            <w:pPr>
              <w:spacing w:after="0" w:line="240" w:lineRule="auto"/>
              <w:jc w:val="right"/>
              <w:rPr>
                <w:rFonts w:eastAsia="Times New Roman" w:cs="Arial"/>
                <w:color w:val="000000"/>
                <w:sz w:val="18"/>
                <w:szCs w:val="18"/>
                <w:lang w:eastAsia="en-GB"/>
              </w:rPr>
            </w:pPr>
            <w:r>
              <w:rPr>
                <w:rFonts w:eastAsia="Times New Roman" w:cs="Arial"/>
                <w:color w:val="000000"/>
                <w:sz w:val="18"/>
                <w:szCs w:val="18"/>
                <w:lang w:eastAsia="en-GB"/>
              </w:rPr>
              <w:t>3,10</w:t>
            </w:r>
          </w:p>
        </w:tc>
        <w:tc>
          <w:tcPr>
            <w:tcW w:w="454" w:type="pct"/>
            <w:tcBorders>
              <w:top w:val="single" w:sz="8" w:space="0" w:color="auto"/>
              <w:left w:val="nil"/>
              <w:bottom w:val="single" w:sz="4" w:space="0" w:color="auto"/>
              <w:right w:val="nil"/>
            </w:tcBorders>
            <w:noWrap/>
            <w:vAlign w:val="center"/>
          </w:tcPr>
          <w:p w14:paraId="43184E03" w14:textId="77777777" w:rsidR="00DB4F10" w:rsidRPr="00AD28CE" w:rsidRDefault="00DB4F10" w:rsidP="00326A8C">
            <w:pPr>
              <w:spacing w:after="0" w:line="240" w:lineRule="auto"/>
              <w:jc w:val="right"/>
              <w:rPr>
                <w:rFonts w:eastAsia="Times New Roman" w:cs="Arial"/>
                <w:color w:val="000000"/>
                <w:sz w:val="18"/>
                <w:szCs w:val="18"/>
                <w:lang w:eastAsia="en-GB"/>
              </w:rPr>
            </w:pPr>
            <w:r w:rsidRPr="00C87CEA">
              <w:rPr>
                <w:rFonts w:eastAsia="Times New Roman" w:cs="Arial"/>
                <w:color w:val="000000"/>
                <w:sz w:val="18"/>
                <w:szCs w:val="18"/>
                <w:lang w:eastAsia="en-GB"/>
              </w:rPr>
              <w:t>2,73</w:t>
            </w:r>
          </w:p>
        </w:tc>
        <w:tc>
          <w:tcPr>
            <w:tcW w:w="452" w:type="pct"/>
            <w:tcBorders>
              <w:top w:val="single" w:sz="8" w:space="0" w:color="auto"/>
              <w:left w:val="nil"/>
              <w:bottom w:val="single" w:sz="4" w:space="0" w:color="auto"/>
              <w:right w:val="nil"/>
            </w:tcBorders>
            <w:vAlign w:val="center"/>
          </w:tcPr>
          <w:p w14:paraId="1675A1A8" w14:textId="77777777" w:rsidR="00DB4F10" w:rsidRPr="00CA51D4" w:rsidRDefault="00DB4F10" w:rsidP="00326A8C">
            <w:pPr>
              <w:spacing w:after="0" w:line="240" w:lineRule="auto"/>
              <w:jc w:val="right"/>
              <w:rPr>
                <w:rFonts w:eastAsia="Times New Roman" w:cs="Arial"/>
                <w:color w:val="000000"/>
                <w:sz w:val="18"/>
                <w:szCs w:val="18"/>
                <w:highlight w:val="yellow"/>
                <w:lang w:eastAsia="en-GB"/>
              </w:rPr>
            </w:pPr>
            <w:r w:rsidRPr="00CA51D4">
              <w:rPr>
                <w:rFonts w:eastAsia="Times New Roman" w:cs="Arial"/>
                <w:color w:val="000000"/>
                <w:sz w:val="18"/>
                <w:szCs w:val="18"/>
                <w:highlight w:val="yellow"/>
                <w:lang w:eastAsia="en-GB"/>
              </w:rPr>
              <w:t>-</w:t>
            </w:r>
          </w:p>
        </w:tc>
      </w:tr>
      <w:tr w:rsidR="00DB4F10" w:rsidRPr="00986209" w14:paraId="5A8FC643" w14:textId="77777777" w:rsidTr="00326A8C">
        <w:trPr>
          <w:trHeight w:val="20"/>
        </w:trPr>
        <w:tc>
          <w:tcPr>
            <w:tcW w:w="1364" w:type="pct"/>
            <w:tcBorders>
              <w:top w:val="nil"/>
              <w:left w:val="nil"/>
              <w:bottom w:val="nil"/>
              <w:right w:val="nil"/>
            </w:tcBorders>
            <w:vAlign w:val="center"/>
            <w:hideMark/>
          </w:tcPr>
          <w:p w14:paraId="3460279A" w14:textId="77777777" w:rsidR="00DB4F10" w:rsidRPr="00AD28CE" w:rsidRDefault="00DB4F10" w:rsidP="00326A8C">
            <w:pPr>
              <w:spacing w:after="0" w:line="240" w:lineRule="auto"/>
              <w:rPr>
                <w:rFonts w:eastAsia="Times New Roman" w:cs="Arial"/>
                <w:color w:val="000000"/>
                <w:sz w:val="18"/>
                <w:szCs w:val="18"/>
                <w:lang w:eastAsia="en-GB"/>
              </w:rPr>
            </w:pPr>
            <w:r w:rsidRPr="00AD28CE">
              <w:rPr>
                <w:rFonts w:eastAsia="Times New Roman" w:cs="Arial"/>
                <w:color w:val="000000"/>
                <w:sz w:val="18"/>
                <w:szCs w:val="18"/>
                <w:lang w:eastAsia="en-GB"/>
              </w:rPr>
              <w:t xml:space="preserve">Pracovníci ve </w:t>
            </w:r>
            <w:proofErr w:type="spellStart"/>
            <w:r w:rsidRPr="00AD28CE">
              <w:rPr>
                <w:rFonts w:eastAsia="Times New Roman" w:cs="Arial"/>
                <w:color w:val="000000"/>
                <w:sz w:val="18"/>
                <w:szCs w:val="18"/>
                <w:lang w:eastAsia="en-GB"/>
              </w:rPr>
              <w:t>VaV</w:t>
            </w:r>
            <w:proofErr w:type="spellEnd"/>
          </w:p>
        </w:tc>
        <w:tc>
          <w:tcPr>
            <w:tcW w:w="454" w:type="pct"/>
            <w:tcBorders>
              <w:top w:val="nil"/>
              <w:left w:val="nil"/>
              <w:bottom w:val="nil"/>
              <w:right w:val="nil"/>
            </w:tcBorders>
            <w:noWrap/>
            <w:vAlign w:val="center"/>
            <w:hideMark/>
          </w:tcPr>
          <w:p w14:paraId="67DC06CD" w14:textId="77777777" w:rsidR="00DB4F10" w:rsidRPr="00AD28CE" w:rsidRDefault="00DB4F10" w:rsidP="00326A8C">
            <w:pPr>
              <w:keepNext/>
              <w:spacing w:after="0" w:line="240" w:lineRule="auto"/>
              <w:jc w:val="center"/>
              <w:rPr>
                <w:rFonts w:eastAsia="Times New Roman" w:cs="Arial"/>
                <w:color w:val="000000"/>
                <w:sz w:val="18"/>
                <w:szCs w:val="18"/>
                <w:lang w:eastAsia="en-GB"/>
              </w:rPr>
            </w:pPr>
            <w:r w:rsidRPr="00AD28CE">
              <w:rPr>
                <w:rFonts w:eastAsia="Times New Roman" w:cs="Arial"/>
                <w:color w:val="000000"/>
                <w:sz w:val="18"/>
                <w:szCs w:val="18"/>
                <w:lang w:eastAsia="en-GB"/>
              </w:rPr>
              <w:t>FTE</w:t>
            </w:r>
          </w:p>
        </w:tc>
        <w:tc>
          <w:tcPr>
            <w:tcW w:w="455" w:type="pct"/>
            <w:tcBorders>
              <w:top w:val="nil"/>
              <w:left w:val="nil"/>
              <w:bottom w:val="nil"/>
              <w:right w:val="nil"/>
            </w:tcBorders>
            <w:noWrap/>
            <w:vAlign w:val="center"/>
            <w:hideMark/>
          </w:tcPr>
          <w:p w14:paraId="7EFDC7BA"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74 969</w:t>
            </w:r>
          </w:p>
        </w:tc>
        <w:tc>
          <w:tcPr>
            <w:tcW w:w="455" w:type="pct"/>
            <w:tcBorders>
              <w:top w:val="nil"/>
              <w:left w:val="nil"/>
              <w:bottom w:val="nil"/>
              <w:right w:val="nil"/>
            </w:tcBorders>
            <w:noWrap/>
            <w:vAlign w:val="center"/>
          </w:tcPr>
          <w:p w14:paraId="68E421EE"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79 245</w:t>
            </w:r>
          </w:p>
        </w:tc>
        <w:tc>
          <w:tcPr>
            <w:tcW w:w="456" w:type="pct"/>
            <w:tcBorders>
              <w:top w:val="nil"/>
              <w:left w:val="nil"/>
              <w:bottom w:val="nil"/>
              <w:right w:val="nil"/>
            </w:tcBorders>
            <w:noWrap/>
            <w:vAlign w:val="center"/>
          </w:tcPr>
          <w:p w14:paraId="12F68EF1"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80 958</w:t>
            </w:r>
          </w:p>
        </w:tc>
        <w:tc>
          <w:tcPr>
            <w:tcW w:w="455" w:type="pct"/>
            <w:tcBorders>
              <w:top w:val="nil"/>
              <w:left w:val="nil"/>
              <w:bottom w:val="nil"/>
              <w:right w:val="nil"/>
            </w:tcBorders>
            <w:noWrap/>
            <w:vAlign w:val="center"/>
          </w:tcPr>
          <w:p w14:paraId="17D6611C"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84 671</w:t>
            </w:r>
          </w:p>
        </w:tc>
        <w:tc>
          <w:tcPr>
            <w:tcW w:w="455" w:type="pct"/>
            <w:tcBorders>
              <w:top w:val="nil"/>
              <w:left w:val="nil"/>
              <w:bottom w:val="nil"/>
              <w:right w:val="nil"/>
            </w:tcBorders>
            <w:noWrap/>
            <w:vAlign w:val="center"/>
          </w:tcPr>
          <w:p w14:paraId="1658336F"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86 125</w:t>
            </w:r>
          </w:p>
        </w:tc>
        <w:tc>
          <w:tcPr>
            <w:tcW w:w="454" w:type="pct"/>
            <w:tcBorders>
              <w:top w:val="nil"/>
              <w:left w:val="nil"/>
              <w:bottom w:val="nil"/>
              <w:right w:val="nil"/>
            </w:tcBorders>
            <w:noWrap/>
            <w:vAlign w:val="center"/>
          </w:tcPr>
          <w:p w14:paraId="50B9EF02"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85 468</w:t>
            </w:r>
          </w:p>
        </w:tc>
        <w:tc>
          <w:tcPr>
            <w:tcW w:w="452" w:type="pct"/>
            <w:tcBorders>
              <w:top w:val="nil"/>
              <w:left w:val="nil"/>
              <w:bottom w:val="nil"/>
              <w:right w:val="nil"/>
            </w:tcBorders>
            <w:vAlign w:val="center"/>
          </w:tcPr>
          <w:p w14:paraId="0812F6B9" w14:textId="77777777" w:rsidR="00DB4F10" w:rsidRPr="00530715" w:rsidRDefault="00DB4F10" w:rsidP="00326A8C">
            <w:pPr>
              <w:spacing w:after="0" w:line="240" w:lineRule="auto"/>
              <w:jc w:val="right"/>
              <w:rPr>
                <w:rFonts w:eastAsia="Times New Roman" w:cs="Arial"/>
                <w:color w:val="000000"/>
                <w:sz w:val="18"/>
                <w:szCs w:val="18"/>
                <w:lang w:eastAsia="en-GB"/>
              </w:rPr>
            </w:pPr>
            <w:r>
              <w:rPr>
                <w:rFonts w:eastAsia="Times New Roman" w:cs="Arial"/>
                <w:color w:val="000000"/>
                <w:sz w:val="18"/>
                <w:szCs w:val="18"/>
                <w:lang w:eastAsia="en-GB"/>
              </w:rPr>
              <w:t>86 948</w:t>
            </w:r>
          </w:p>
        </w:tc>
      </w:tr>
      <w:tr w:rsidR="00DB4F10" w:rsidRPr="00986209" w14:paraId="6DB4DD9E" w14:textId="77777777" w:rsidTr="00326A8C">
        <w:trPr>
          <w:trHeight w:val="20"/>
        </w:trPr>
        <w:tc>
          <w:tcPr>
            <w:tcW w:w="1364" w:type="pct"/>
            <w:tcBorders>
              <w:top w:val="single" w:sz="8" w:space="0" w:color="auto"/>
              <w:left w:val="nil"/>
              <w:bottom w:val="nil"/>
              <w:right w:val="nil"/>
            </w:tcBorders>
            <w:vAlign w:val="center"/>
            <w:hideMark/>
          </w:tcPr>
          <w:p w14:paraId="58B5D4E0" w14:textId="77777777" w:rsidR="00DB4F10" w:rsidRPr="00AD28CE" w:rsidRDefault="00DB4F10" w:rsidP="00326A8C">
            <w:pPr>
              <w:spacing w:after="0" w:line="240" w:lineRule="auto"/>
              <w:rPr>
                <w:rFonts w:eastAsia="Times New Roman" w:cs="Arial"/>
                <w:color w:val="000000"/>
                <w:sz w:val="18"/>
                <w:szCs w:val="18"/>
                <w:lang w:eastAsia="en-GB"/>
              </w:rPr>
            </w:pPr>
            <w:r w:rsidRPr="00AD28CE">
              <w:rPr>
                <w:rFonts w:eastAsia="Times New Roman" w:cs="Arial"/>
                <w:color w:val="000000"/>
                <w:sz w:val="18"/>
                <w:szCs w:val="18"/>
                <w:lang w:eastAsia="en-GB"/>
              </w:rPr>
              <w:t>Patenty udělené v ČR</w:t>
            </w:r>
          </w:p>
        </w:tc>
        <w:tc>
          <w:tcPr>
            <w:tcW w:w="454" w:type="pct"/>
            <w:tcBorders>
              <w:top w:val="single" w:sz="8" w:space="0" w:color="auto"/>
              <w:left w:val="nil"/>
              <w:bottom w:val="nil"/>
              <w:right w:val="nil"/>
            </w:tcBorders>
            <w:noWrap/>
            <w:vAlign w:val="center"/>
            <w:hideMark/>
          </w:tcPr>
          <w:p w14:paraId="52B47BBA" w14:textId="77777777" w:rsidR="00DB4F10" w:rsidRPr="00AD28CE" w:rsidRDefault="00DB4F10" w:rsidP="00326A8C">
            <w:pPr>
              <w:keepNext/>
              <w:spacing w:after="0" w:line="240" w:lineRule="auto"/>
              <w:jc w:val="center"/>
              <w:rPr>
                <w:rFonts w:eastAsia="Times New Roman" w:cs="Arial"/>
                <w:color w:val="000000"/>
                <w:sz w:val="18"/>
                <w:szCs w:val="18"/>
                <w:lang w:eastAsia="en-GB"/>
              </w:rPr>
            </w:pPr>
            <w:r w:rsidRPr="00AD28CE">
              <w:rPr>
                <w:rFonts w:eastAsia="Times New Roman" w:cs="Arial"/>
                <w:color w:val="000000"/>
                <w:sz w:val="18"/>
                <w:szCs w:val="18"/>
                <w:lang w:eastAsia="en-GB"/>
              </w:rPr>
              <w:t>počet</w:t>
            </w:r>
          </w:p>
        </w:tc>
        <w:tc>
          <w:tcPr>
            <w:tcW w:w="455" w:type="pct"/>
            <w:tcBorders>
              <w:top w:val="single" w:sz="8" w:space="0" w:color="auto"/>
              <w:left w:val="nil"/>
              <w:bottom w:val="nil"/>
              <w:right w:val="nil"/>
            </w:tcBorders>
            <w:noWrap/>
            <w:vAlign w:val="center"/>
            <w:hideMark/>
          </w:tcPr>
          <w:p w14:paraId="70FB6D0D"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 xml:space="preserve">4 </w:t>
            </w:r>
            <w:r>
              <w:rPr>
                <w:rFonts w:cs="Arial"/>
                <w:color w:val="000000"/>
                <w:sz w:val="18"/>
                <w:szCs w:val="18"/>
              </w:rPr>
              <w:t>241</w:t>
            </w:r>
          </w:p>
        </w:tc>
        <w:tc>
          <w:tcPr>
            <w:tcW w:w="455" w:type="pct"/>
            <w:tcBorders>
              <w:top w:val="single" w:sz="8" w:space="0" w:color="auto"/>
              <w:left w:val="nil"/>
              <w:bottom w:val="nil"/>
              <w:right w:val="nil"/>
            </w:tcBorders>
            <w:noWrap/>
            <w:vAlign w:val="center"/>
          </w:tcPr>
          <w:p w14:paraId="78938DCC"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 xml:space="preserve">5 </w:t>
            </w:r>
            <w:r>
              <w:rPr>
                <w:rFonts w:cs="Arial"/>
                <w:color w:val="000000"/>
                <w:sz w:val="18"/>
                <w:szCs w:val="18"/>
              </w:rPr>
              <w:t>186</w:t>
            </w:r>
          </w:p>
        </w:tc>
        <w:tc>
          <w:tcPr>
            <w:tcW w:w="456" w:type="pct"/>
            <w:tcBorders>
              <w:top w:val="single" w:sz="8" w:space="0" w:color="auto"/>
              <w:left w:val="nil"/>
              <w:bottom w:val="nil"/>
              <w:right w:val="nil"/>
            </w:tcBorders>
            <w:noWrap/>
            <w:vAlign w:val="center"/>
          </w:tcPr>
          <w:p w14:paraId="4FB3B189" w14:textId="77777777" w:rsidR="00DB4F10" w:rsidRPr="00AD28CE" w:rsidRDefault="00DB4F10" w:rsidP="00326A8C">
            <w:pPr>
              <w:spacing w:after="0" w:line="240" w:lineRule="auto"/>
              <w:jc w:val="right"/>
              <w:rPr>
                <w:rFonts w:eastAsia="Times New Roman" w:cs="Arial"/>
                <w:color w:val="000000"/>
                <w:sz w:val="18"/>
                <w:szCs w:val="18"/>
                <w:lang w:eastAsia="en-GB"/>
              </w:rPr>
            </w:pPr>
            <w:r>
              <w:rPr>
                <w:rFonts w:eastAsia="Times New Roman" w:cs="Arial"/>
                <w:color w:val="000000"/>
                <w:sz w:val="18"/>
                <w:szCs w:val="18"/>
                <w:lang w:eastAsia="en-GB"/>
              </w:rPr>
              <w:t>5 522</w:t>
            </w:r>
          </w:p>
        </w:tc>
        <w:tc>
          <w:tcPr>
            <w:tcW w:w="455" w:type="pct"/>
            <w:tcBorders>
              <w:top w:val="single" w:sz="8" w:space="0" w:color="auto"/>
              <w:left w:val="nil"/>
              <w:bottom w:val="nil"/>
              <w:right w:val="nil"/>
            </w:tcBorders>
            <w:noWrap/>
            <w:vAlign w:val="center"/>
          </w:tcPr>
          <w:p w14:paraId="3BAEBA4C" w14:textId="77777777" w:rsidR="00DB4F10" w:rsidRPr="00AD28CE" w:rsidRDefault="00DB4F10" w:rsidP="00326A8C">
            <w:pPr>
              <w:spacing w:after="0" w:line="240" w:lineRule="auto"/>
              <w:jc w:val="right"/>
              <w:rPr>
                <w:rFonts w:eastAsia="Times New Roman" w:cs="Arial"/>
                <w:color w:val="000000"/>
                <w:sz w:val="18"/>
                <w:szCs w:val="18"/>
                <w:lang w:eastAsia="en-GB"/>
              </w:rPr>
            </w:pPr>
            <w:r>
              <w:rPr>
                <w:rFonts w:eastAsia="Times New Roman" w:cs="Arial"/>
                <w:color w:val="000000"/>
                <w:sz w:val="18"/>
                <w:szCs w:val="18"/>
                <w:lang w:eastAsia="en-GB"/>
              </w:rPr>
              <w:t>5 588</w:t>
            </w:r>
          </w:p>
        </w:tc>
        <w:tc>
          <w:tcPr>
            <w:tcW w:w="455" w:type="pct"/>
            <w:tcBorders>
              <w:top w:val="single" w:sz="8" w:space="0" w:color="auto"/>
              <w:left w:val="nil"/>
              <w:bottom w:val="nil"/>
              <w:right w:val="nil"/>
            </w:tcBorders>
            <w:noWrap/>
            <w:vAlign w:val="center"/>
          </w:tcPr>
          <w:p w14:paraId="392DD42B"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4</w:t>
            </w:r>
            <w:r>
              <w:rPr>
                <w:rFonts w:cs="Arial"/>
                <w:color w:val="000000"/>
                <w:sz w:val="18"/>
                <w:szCs w:val="18"/>
              </w:rPr>
              <w:t xml:space="preserve"> 506</w:t>
            </w:r>
          </w:p>
        </w:tc>
        <w:tc>
          <w:tcPr>
            <w:tcW w:w="454" w:type="pct"/>
            <w:tcBorders>
              <w:top w:val="single" w:sz="8" w:space="0" w:color="auto"/>
              <w:left w:val="nil"/>
              <w:bottom w:val="nil"/>
              <w:right w:val="nil"/>
            </w:tcBorders>
            <w:noWrap/>
            <w:vAlign w:val="center"/>
          </w:tcPr>
          <w:p w14:paraId="2E31584E"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 xml:space="preserve">5 </w:t>
            </w:r>
            <w:r>
              <w:rPr>
                <w:rFonts w:cs="Arial"/>
                <w:color w:val="000000"/>
                <w:sz w:val="18"/>
                <w:szCs w:val="18"/>
              </w:rPr>
              <w:t>277</w:t>
            </w:r>
          </w:p>
        </w:tc>
        <w:tc>
          <w:tcPr>
            <w:tcW w:w="452" w:type="pct"/>
            <w:tcBorders>
              <w:top w:val="single" w:sz="8" w:space="0" w:color="auto"/>
              <w:left w:val="nil"/>
              <w:bottom w:val="nil"/>
              <w:right w:val="nil"/>
            </w:tcBorders>
            <w:vAlign w:val="center"/>
          </w:tcPr>
          <w:p w14:paraId="36156448" w14:textId="77777777" w:rsidR="00DB4F10" w:rsidRPr="00530715" w:rsidRDefault="00DB4F10" w:rsidP="00326A8C">
            <w:pPr>
              <w:spacing w:after="0" w:line="240" w:lineRule="auto"/>
              <w:jc w:val="right"/>
              <w:rPr>
                <w:rFonts w:eastAsia="Times New Roman" w:cs="Arial"/>
                <w:color w:val="000000"/>
                <w:sz w:val="18"/>
                <w:szCs w:val="18"/>
                <w:lang w:eastAsia="en-GB"/>
              </w:rPr>
            </w:pPr>
            <w:r>
              <w:rPr>
                <w:rFonts w:eastAsia="Times New Roman" w:cs="Arial"/>
                <w:color w:val="000000"/>
                <w:sz w:val="18"/>
                <w:szCs w:val="18"/>
                <w:lang w:eastAsia="en-GB"/>
              </w:rPr>
              <w:t>5 664</w:t>
            </w:r>
          </w:p>
        </w:tc>
      </w:tr>
      <w:tr w:rsidR="00DB4F10" w:rsidRPr="00E64FC5" w14:paraId="6BF4F92B" w14:textId="77777777" w:rsidTr="00326A8C">
        <w:trPr>
          <w:trHeight w:val="20"/>
        </w:trPr>
        <w:tc>
          <w:tcPr>
            <w:tcW w:w="1364" w:type="pct"/>
            <w:tcBorders>
              <w:top w:val="single" w:sz="8" w:space="0" w:color="auto"/>
              <w:left w:val="nil"/>
              <w:bottom w:val="nil"/>
              <w:right w:val="nil"/>
            </w:tcBorders>
            <w:vAlign w:val="center"/>
            <w:hideMark/>
          </w:tcPr>
          <w:p w14:paraId="4EA6F0D5" w14:textId="77777777" w:rsidR="00DB4F10" w:rsidRPr="00AD28CE" w:rsidRDefault="00DB4F10" w:rsidP="00326A8C">
            <w:pPr>
              <w:spacing w:after="0" w:line="240" w:lineRule="auto"/>
              <w:ind w:firstLineChars="100" w:firstLine="180"/>
              <w:rPr>
                <w:rFonts w:eastAsia="Times New Roman" w:cs="Arial"/>
                <w:color w:val="000000"/>
                <w:sz w:val="18"/>
                <w:szCs w:val="18"/>
                <w:lang w:eastAsia="en-GB"/>
              </w:rPr>
            </w:pPr>
            <w:r w:rsidRPr="00AD28CE">
              <w:rPr>
                <w:rFonts w:eastAsia="Times New Roman" w:cs="Arial"/>
                <w:color w:val="000000"/>
                <w:sz w:val="18"/>
                <w:szCs w:val="18"/>
                <w:lang w:eastAsia="en-GB"/>
              </w:rPr>
              <w:t>přihlašovatelům z ČR</w:t>
            </w:r>
          </w:p>
        </w:tc>
        <w:tc>
          <w:tcPr>
            <w:tcW w:w="454" w:type="pct"/>
            <w:tcBorders>
              <w:top w:val="single" w:sz="8" w:space="0" w:color="auto"/>
              <w:left w:val="nil"/>
              <w:bottom w:val="nil"/>
              <w:right w:val="nil"/>
            </w:tcBorders>
            <w:noWrap/>
            <w:vAlign w:val="center"/>
            <w:hideMark/>
          </w:tcPr>
          <w:p w14:paraId="7571EDB9" w14:textId="77777777" w:rsidR="00DB4F10" w:rsidRPr="00AD28CE" w:rsidRDefault="00DB4F10" w:rsidP="00326A8C">
            <w:pPr>
              <w:keepNext/>
              <w:spacing w:after="0" w:line="240" w:lineRule="auto"/>
              <w:jc w:val="center"/>
              <w:rPr>
                <w:rFonts w:eastAsia="Times New Roman" w:cs="Arial"/>
                <w:color w:val="000000"/>
                <w:sz w:val="18"/>
                <w:szCs w:val="18"/>
                <w:lang w:eastAsia="en-GB"/>
              </w:rPr>
            </w:pPr>
            <w:r w:rsidRPr="00AD28CE">
              <w:rPr>
                <w:rFonts w:eastAsia="Times New Roman" w:cs="Arial"/>
                <w:color w:val="000000"/>
                <w:sz w:val="18"/>
                <w:szCs w:val="18"/>
                <w:lang w:eastAsia="en-GB"/>
              </w:rPr>
              <w:t>počet</w:t>
            </w:r>
          </w:p>
        </w:tc>
        <w:tc>
          <w:tcPr>
            <w:tcW w:w="455" w:type="pct"/>
            <w:tcBorders>
              <w:top w:val="single" w:sz="8" w:space="0" w:color="auto"/>
              <w:left w:val="nil"/>
              <w:bottom w:val="nil"/>
              <w:right w:val="nil"/>
            </w:tcBorders>
            <w:noWrap/>
            <w:vAlign w:val="center"/>
            <w:hideMark/>
          </w:tcPr>
          <w:p w14:paraId="2EB9C3F3" w14:textId="77777777" w:rsidR="00DB4F10" w:rsidRPr="00E64FC5" w:rsidRDefault="00DB4F10" w:rsidP="00326A8C">
            <w:pPr>
              <w:spacing w:after="0" w:line="240" w:lineRule="auto"/>
              <w:jc w:val="right"/>
              <w:rPr>
                <w:rFonts w:cs="Arial"/>
                <w:color w:val="000000"/>
                <w:sz w:val="18"/>
                <w:szCs w:val="18"/>
              </w:rPr>
            </w:pPr>
            <w:r w:rsidRPr="00E64FC5">
              <w:rPr>
                <w:rFonts w:cs="Arial"/>
                <w:color w:val="000000"/>
                <w:sz w:val="18"/>
                <w:szCs w:val="18"/>
              </w:rPr>
              <w:t>224</w:t>
            </w:r>
          </w:p>
        </w:tc>
        <w:tc>
          <w:tcPr>
            <w:tcW w:w="455" w:type="pct"/>
            <w:tcBorders>
              <w:top w:val="single" w:sz="8" w:space="0" w:color="auto"/>
              <w:left w:val="nil"/>
              <w:bottom w:val="nil"/>
              <w:right w:val="nil"/>
            </w:tcBorders>
            <w:noWrap/>
            <w:vAlign w:val="center"/>
          </w:tcPr>
          <w:p w14:paraId="279F10EE" w14:textId="77777777" w:rsidR="00DB4F10" w:rsidRPr="00E64FC5" w:rsidRDefault="00DB4F10" w:rsidP="00326A8C">
            <w:pPr>
              <w:spacing w:after="0" w:line="240" w:lineRule="auto"/>
              <w:jc w:val="right"/>
              <w:rPr>
                <w:rFonts w:cs="Arial"/>
                <w:color w:val="000000"/>
                <w:sz w:val="18"/>
                <w:szCs w:val="18"/>
              </w:rPr>
            </w:pPr>
            <w:r w:rsidRPr="00E64FC5">
              <w:rPr>
                <w:rFonts w:cs="Arial"/>
                <w:color w:val="000000"/>
                <w:sz w:val="18"/>
                <w:szCs w:val="18"/>
              </w:rPr>
              <w:t>304</w:t>
            </w:r>
          </w:p>
        </w:tc>
        <w:tc>
          <w:tcPr>
            <w:tcW w:w="456" w:type="pct"/>
            <w:tcBorders>
              <w:top w:val="single" w:sz="8" w:space="0" w:color="auto"/>
              <w:left w:val="nil"/>
              <w:bottom w:val="nil"/>
              <w:right w:val="nil"/>
            </w:tcBorders>
            <w:noWrap/>
            <w:vAlign w:val="center"/>
          </w:tcPr>
          <w:p w14:paraId="1C593129" w14:textId="77777777" w:rsidR="00DB4F10" w:rsidRPr="00E64FC5" w:rsidRDefault="00DB4F10" w:rsidP="00326A8C">
            <w:pPr>
              <w:spacing w:after="0" w:line="240" w:lineRule="auto"/>
              <w:jc w:val="right"/>
              <w:rPr>
                <w:rFonts w:cs="Arial"/>
                <w:color w:val="000000"/>
                <w:sz w:val="18"/>
                <w:szCs w:val="18"/>
              </w:rPr>
            </w:pPr>
            <w:r w:rsidRPr="00E64FC5">
              <w:rPr>
                <w:rFonts w:cs="Arial"/>
                <w:color w:val="000000"/>
                <w:sz w:val="18"/>
                <w:szCs w:val="18"/>
              </w:rPr>
              <w:t>366</w:t>
            </w:r>
          </w:p>
        </w:tc>
        <w:tc>
          <w:tcPr>
            <w:tcW w:w="455" w:type="pct"/>
            <w:tcBorders>
              <w:top w:val="single" w:sz="8" w:space="0" w:color="auto"/>
              <w:left w:val="nil"/>
              <w:bottom w:val="nil"/>
              <w:right w:val="nil"/>
            </w:tcBorders>
            <w:noWrap/>
            <w:vAlign w:val="center"/>
          </w:tcPr>
          <w:p w14:paraId="24BFBC4D" w14:textId="77777777" w:rsidR="00DB4F10" w:rsidRPr="00E64FC5" w:rsidRDefault="00DB4F10" w:rsidP="00326A8C">
            <w:pPr>
              <w:spacing w:after="0" w:line="240" w:lineRule="auto"/>
              <w:jc w:val="right"/>
              <w:rPr>
                <w:rFonts w:cs="Arial"/>
                <w:color w:val="000000"/>
                <w:sz w:val="18"/>
                <w:szCs w:val="18"/>
              </w:rPr>
            </w:pPr>
            <w:r w:rsidRPr="00E64FC5">
              <w:rPr>
                <w:rFonts w:cs="Arial"/>
                <w:color w:val="000000"/>
                <w:sz w:val="18"/>
                <w:szCs w:val="18"/>
              </w:rPr>
              <w:t>337</w:t>
            </w:r>
          </w:p>
        </w:tc>
        <w:tc>
          <w:tcPr>
            <w:tcW w:w="455" w:type="pct"/>
            <w:tcBorders>
              <w:top w:val="single" w:sz="8" w:space="0" w:color="auto"/>
              <w:left w:val="nil"/>
              <w:bottom w:val="nil"/>
              <w:right w:val="nil"/>
            </w:tcBorders>
            <w:noWrap/>
            <w:vAlign w:val="center"/>
          </w:tcPr>
          <w:p w14:paraId="6AA7979C" w14:textId="77777777" w:rsidR="00DB4F10" w:rsidRPr="00E64FC5" w:rsidRDefault="00DB4F10" w:rsidP="00326A8C">
            <w:pPr>
              <w:spacing w:after="0" w:line="240" w:lineRule="auto"/>
              <w:jc w:val="right"/>
              <w:rPr>
                <w:rFonts w:cs="Arial"/>
                <w:color w:val="000000"/>
                <w:sz w:val="18"/>
                <w:szCs w:val="18"/>
              </w:rPr>
            </w:pPr>
            <w:r w:rsidRPr="00E64FC5">
              <w:rPr>
                <w:rFonts w:cs="Arial"/>
                <w:color w:val="000000"/>
                <w:sz w:val="18"/>
                <w:szCs w:val="18"/>
              </w:rPr>
              <w:t>277</w:t>
            </w:r>
          </w:p>
        </w:tc>
        <w:tc>
          <w:tcPr>
            <w:tcW w:w="454" w:type="pct"/>
            <w:tcBorders>
              <w:top w:val="single" w:sz="8" w:space="0" w:color="auto"/>
              <w:left w:val="nil"/>
              <w:bottom w:val="nil"/>
              <w:right w:val="nil"/>
            </w:tcBorders>
            <w:noWrap/>
            <w:vAlign w:val="center"/>
          </w:tcPr>
          <w:p w14:paraId="3A701A02" w14:textId="77777777" w:rsidR="00DB4F10" w:rsidRPr="00E64FC5" w:rsidRDefault="00DB4F10" w:rsidP="00326A8C">
            <w:pPr>
              <w:spacing w:after="0" w:line="240" w:lineRule="auto"/>
              <w:jc w:val="right"/>
              <w:rPr>
                <w:rFonts w:cs="Arial"/>
                <w:color w:val="000000"/>
                <w:sz w:val="18"/>
                <w:szCs w:val="18"/>
              </w:rPr>
            </w:pPr>
            <w:r w:rsidRPr="00E64FC5">
              <w:rPr>
                <w:rFonts w:cs="Arial"/>
                <w:color w:val="000000"/>
                <w:sz w:val="18"/>
                <w:szCs w:val="18"/>
              </w:rPr>
              <w:t>424</w:t>
            </w:r>
          </w:p>
        </w:tc>
        <w:tc>
          <w:tcPr>
            <w:tcW w:w="452" w:type="pct"/>
            <w:tcBorders>
              <w:top w:val="single" w:sz="8" w:space="0" w:color="auto"/>
              <w:left w:val="nil"/>
              <w:bottom w:val="nil"/>
              <w:right w:val="nil"/>
            </w:tcBorders>
            <w:vAlign w:val="center"/>
          </w:tcPr>
          <w:p w14:paraId="79A28C80" w14:textId="77777777" w:rsidR="00DB4F10" w:rsidRPr="00E64FC5" w:rsidRDefault="00DB4F10" w:rsidP="00326A8C">
            <w:pPr>
              <w:spacing w:after="0" w:line="240" w:lineRule="auto"/>
              <w:jc w:val="right"/>
              <w:rPr>
                <w:rFonts w:cs="Arial"/>
                <w:color w:val="000000"/>
                <w:sz w:val="18"/>
                <w:szCs w:val="18"/>
              </w:rPr>
            </w:pPr>
            <w:r w:rsidRPr="00E64FC5">
              <w:rPr>
                <w:rFonts w:cs="Arial"/>
                <w:color w:val="000000"/>
                <w:sz w:val="18"/>
                <w:szCs w:val="18"/>
              </w:rPr>
              <w:t>377</w:t>
            </w:r>
          </w:p>
        </w:tc>
      </w:tr>
      <w:tr w:rsidR="00DB4F10" w:rsidRPr="00986209" w14:paraId="0AB5CC9C" w14:textId="77777777" w:rsidTr="00326A8C">
        <w:trPr>
          <w:trHeight w:val="20"/>
        </w:trPr>
        <w:tc>
          <w:tcPr>
            <w:tcW w:w="1364" w:type="pct"/>
            <w:tcBorders>
              <w:top w:val="single" w:sz="8" w:space="0" w:color="auto"/>
              <w:left w:val="nil"/>
              <w:bottom w:val="single" w:sz="4" w:space="0" w:color="auto"/>
              <w:right w:val="nil"/>
            </w:tcBorders>
            <w:vAlign w:val="center"/>
            <w:hideMark/>
          </w:tcPr>
          <w:p w14:paraId="3007CB67" w14:textId="77777777" w:rsidR="00DB4F10" w:rsidRPr="00AD28CE" w:rsidRDefault="00DB4F10" w:rsidP="00326A8C">
            <w:pPr>
              <w:spacing w:after="0" w:line="240" w:lineRule="auto"/>
              <w:ind w:firstLineChars="100" w:firstLine="180"/>
              <w:rPr>
                <w:rFonts w:eastAsia="Times New Roman" w:cs="Arial"/>
                <w:color w:val="000000"/>
                <w:sz w:val="18"/>
                <w:szCs w:val="18"/>
                <w:lang w:eastAsia="en-GB"/>
              </w:rPr>
            </w:pPr>
            <w:r w:rsidRPr="00AD28CE">
              <w:rPr>
                <w:rFonts w:eastAsia="Times New Roman" w:cs="Arial"/>
                <w:color w:val="000000"/>
                <w:sz w:val="18"/>
                <w:szCs w:val="18"/>
                <w:lang w:eastAsia="en-GB"/>
              </w:rPr>
              <w:t xml:space="preserve">přihlašovatelům ze  </w:t>
            </w:r>
          </w:p>
          <w:p w14:paraId="3612EDBC" w14:textId="77777777" w:rsidR="00DB4F10" w:rsidRPr="00AD28CE" w:rsidRDefault="00DB4F10" w:rsidP="00326A8C">
            <w:pPr>
              <w:spacing w:after="0" w:line="240" w:lineRule="auto"/>
              <w:ind w:firstLineChars="100" w:firstLine="180"/>
              <w:rPr>
                <w:rFonts w:eastAsia="Times New Roman" w:cs="Arial"/>
                <w:color w:val="000000"/>
                <w:sz w:val="18"/>
                <w:szCs w:val="18"/>
                <w:lang w:eastAsia="en-GB"/>
              </w:rPr>
            </w:pPr>
            <w:r w:rsidRPr="00AD28CE">
              <w:rPr>
                <w:rFonts w:eastAsia="Times New Roman" w:cs="Arial"/>
                <w:color w:val="000000"/>
                <w:sz w:val="18"/>
                <w:szCs w:val="18"/>
                <w:lang w:eastAsia="en-GB"/>
              </w:rPr>
              <w:t xml:space="preserve">   zahraničí</w:t>
            </w:r>
          </w:p>
        </w:tc>
        <w:tc>
          <w:tcPr>
            <w:tcW w:w="454" w:type="pct"/>
            <w:tcBorders>
              <w:top w:val="single" w:sz="8" w:space="0" w:color="auto"/>
              <w:left w:val="nil"/>
              <w:bottom w:val="single" w:sz="4" w:space="0" w:color="auto"/>
              <w:right w:val="nil"/>
            </w:tcBorders>
            <w:noWrap/>
            <w:vAlign w:val="center"/>
            <w:hideMark/>
          </w:tcPr>
          <w:p w14:paraId="0F370B6F" w14:textId="77777777" w:rsidR="00DB4F10" w:rsidRPr="00AD28CE" w:rsidRDefault="00DB4F10" w:rsidP="00326A8C">
            <w:pPr>
              <w:keepNext/>
              <w:spacing w:after="0" w:line="240" w:lineRule="auto"/>
              <w:jc w:val="center"/>
              <w:rPr>
                <w:rFonts w:eastAsia="Times New Roman" w:cs="Arial"/>
                <w:color w:val="000000"/>
                <w:sz w:val="18"/>
                <w:szCs w:val="18"/>
                <w:lang w:eastAsia="en-GB"/>
              </w:rPr>
            </w:pPr>
            <w:r w:rsidRPr="00AD28CE">
              <w:rPr>
                <w:rFonts w:eastAsia="Times New Roman" w:cs="Arial"/>
                <w:color w:val="000000"/>
                <w:sz w:val="18"/>
                <w:szCs w:val="18"/>
                <w:lang w:eastAsia="en-GB"/>
              </w:rPr>
              <w:t>počet</w:t>
            </w:r>
          </w:p>
        </w:tc>
        <w:tc>
          <w:tcPr>
            <w:tcW w:w="455" w:type="pct"/>
            <w:tcBorders>
              <w:top w:val="single" w:sz="8" w:space="0" w:color="auto"/>
              <w:left w:val="nil"/>
              <w:bottom w:val="single" w:sz="4" w:space="0" w:color="auto"/>
              <w:right w:val="nil"/>
            </w:tcBorders>
            <w:noWrap/>
            <w:vAlign w:val="center"/>
            <w:hideMark/>
          </w:tcPr>
          <w:p w14:paraId="4DBE5566" w14:textId="77777777" w:rsidR="00DB4F10" w:rsidRPr="00E64FC5" w:rsidRDefault="00DB4F10" w:rsidP="00326A8C">
            <w:pPr>
              <w:spacing w:after="0" w:line="240" w:lineRule="auto"/>
              <w:jc w:val="right"/>
              <w:rPr>
                <w:rFonts w:cs="Arial"/>
                <w:color w:val="000000"/>
                <w:sz w:val="18"/>
                <w:szCs w:val="18"/>
              </w:rPr>
            </w:pPr>
            <w:r w:rsidRPr="00E64FC5">
              <w:rPr>
                <w:rFonts w:cs="Arial"/>
                <w:color w:val="000000"/>
                <w:sz w:val="18"/>
                <w:szCs w:val="18"/>
              </w:rPr>
              <w:t>4 017</w:t>
            </w:r>
          </w:p>
        </w:tc>
        <w:tc>
          <w:tcPr>
            <w:tcW w:w="455" w:type="pct"/>
            <w:tcBorders>
              <w:top w:val="single" w:sz="8" w:space="0" w:color="auto"/>
              <w:left w:val="nil"/>
              <w:bottom w:val="single" w:sz="4" w:space="0" w:color="auto"/>
              <w:right w:val="nil"/>
            </w:tcBorders>
            <w:noWrap/>
            <w:vAlign w:val="center"/>
          </w:tcPr>
          <w:p w14:paraId="19DF0D1D" w14:textId="77777777" w:rsidR="00DB4F10" w:rsidRPr="00E64FC5" w:rsidRDefault="00DB4F10" w:rsidP="00326A8C">
            <w:pPr>
              <w:spacing w:after="0" w:line="240" w:lineRule="auto"/>
              <w:jc w:val="right"/>
              <w:rPr>
                <w:rFonts w:cs="Arial"/>
                <w:color w:val="000000"/>
                <w:sz w:val="18"/>
                <w:szCs w:val="18"/>
              </w:rPr>
            </w:pPr>
            <w:r w:rsidRPr="00E64FC5">
              <w:rPr>
                <w:rFonts w:cs="Arial"/>
                <w:color w:val="000000"/>
                <w:sz w:val="18"/>
                <w:szCs w:val="18"/>
              </w:rPr>
              <w:t>4 882</w:t>
            </w:r>
          </w:p>
        </w:tc>
        <w:tc>
          <w:tcPr>
            <w:tcW w:w="456" w:type="pct"/>
            <w:tcBorders>
              <w:top w:val="single" w:sz="8" w:space="0" w:color="auto"/>
              <w:left w:val="nil"/>
              <w:bottom w:val="single" w:sz="4" w:space="0" w:color="auto"/>
              <w:right w:val="nil"/>
            </w:tcBorders>
            <w:noWrap/>
            <w:vAlign w:val="center"/>
          </w:tcPr>
          <w:p w14:paraId="1D06C9F5" w14:textId="77777777" w:rsidR="00DB4F10" w:rsidRPr="00E64FC5" w:rsidRDefault="00DB4F10" w:rsidP="00326A8C">
            <w:pPr>
              <w:spacing w:after="0" w:line="240" w:lineRule="auto"/>
              <w:jc w:val="right"/>
              <w:rPr>
                <w:rFonts w:cs="Arial"/>
                <w:color w:val="000000"/>
                <w:sz w:val="18"/>
                <w:szCs w:val="18"/>
              </w:rPr>
            </w:pPr>
            <w:r w:rsidRPr="00E64FC5">
              <w:rPr>
                <w:rFonts w:cs="Arial"/>
                <w:color w:val="000000"/>
                <w:sz w:val="18"/>
                <w:szCs w:val="18"/>
              </w:rPr>
              <w:t>5 156</w:t>
            </w:r>
          </w:p>
        </w:tc>
        <w:tc>
          <w:tcPr>
            <w:tcW w:w="455" w:type="pct"/>
            <w:tcBorders>
              <w:top w:val="single" w:sz="8" w:space="0" w:color="auto"/>
              <w:left w:val="nil"/>
              <w:bottom w:val="single" w:sz="4" w:space="0" w:color="auto"/>
              <w:right w:val="nil"/>
            </w:tcBorders>
            <w:noWrap/>
            <w:vAlign w:val="center"/>
          </w:tcPr>
          <w:p w14:paraId="287E8D3A" w14:textId="77777777" w:rsidR="00DB4F10" w:rsidRPr="00E64FC5" w:rsidRDefault="00DB4F10" w:rsidP="00326A8C">
            <w:pPr>
              <w:spacing w:after="0" w:line="240" w:lineRule="auto"/>
              <w:jc w:val="right"/>
              <w:rPr>
                <w:rFonts w:cs="Arial"/>
                <w:color w:val="000000"/>
                <w:sz w:val="18"/>
                <w:szCs w:val="18"/>
              </w:rPr>
            </w:pPr>
            <w:r w:rsidRPr="00E64FC5">
              <w:rPr>
                <w:rFonts w:cs="Arial"/>
                <w:color w:val="000000"/>
                <w:sz w:val="18"/>
                <w:szCs w:val="18"/>
              </w:rPr>
              <w:t>5 251</w:t>
            </w:r>
          </w:p>
        </w:tc>
        <w:tc>
          <w:tcPr>
            <w:tcW w:w="455" w:type="pct"/>
            <w:tcBorders>
              <w:top w:val="single" w:sz="8" w:space="0" w:color="auto"/>
              <w:left w:val="nil"/>
              <w:bottom w:val="single" w:sz="4" w:space="0" w:color="auto"/>
              <w:right w:val="nil"/>
            </w:tcBorders>
            <w:noWrap/>
            <w:vAlign w:val="center"/>
          </w:tcPr>
          <w:p w14:paraId="19FCC004" w14:textId="77777777" w:rsidR="00DB4F10" w:rsidRPr="00E64FC5" w:rsidRDefault="00DB4F10" w:rsidP="00326A8C">
            <w:pPr>
              <w:spacing w:after="0" w:line="240" w:lineRule="auto"/>
              <w:jc w:val="right"/>
              <w:rPr>
                <w:rFonts w:cs="Arial"/>
                <w:color w:val="000000"/>
                <w:sz w:val="18"/>
                <w:szCs w:val="18"/>
              </w:rPr>
            </w:pPr>
            <w:r w:rsidRPr="00E64FC5">
              <w:rPr>
                <w:rFonts w:cs="Arial"/>
                <w:color w:val="000000"/>
                <w:sz w:val="18"/>
                <w:szCs w:val="18"/>
              </w:rPr>
              <w:t>4 229</w:t>
            </w:r>
          </w:p>
        </w:tc>
        <w:tc>
          <w:tcPr>
            <w:tcW w:w="454" w:type="pct"/>
            <w:tcBorders>
              <w:top w:val="single" w:sz="8" w:space="0" w:color="auto"/>
              <w:left w:val="nil"/>
              <w:bottom w:val="single" w:sz="4" w:space="0" w:color="auto"/>
              <w:right w:val="nil"/>
            </w:tcBorders>
            <w:noWrap/>
            <w:vAlign w:val="center"/>
          </w:tcPr>
          <w:p w14:paraId="105F1A0B" w14:textId="77777777" w:rsidR="00DB4F10" w:rsidRPr="00E64FC5" w:rsidRDefault="00DB4F10" w:rsidP="00326A8C">
            <w:pPr>
              <w:spacing w:after="0" w:line="240" w:lineRule="auto"/>
              <w:jc w:val="right"/>
              <w:rPr>
                <w:rFonts w:cs="Arial"/>
                <w:color w:val="000000"/>
                <w:sz w:val="18"/>
                <w:szCs w:val="18"/>
              </w:rPr>
            </w:pPr>
            <w:r w:rsidRPr="00E64FC5">
              <w:rPr>
                <w:rFonts w:cs="Arial"/>
                <w:color w:val="000000"/>
                <w:sz w:val="18"/>
                <w:szCs w:val="18"/>
              </w:rPr>
              <w:t>4 853</w:t>
            </w:r>
          </w:p>
        </w:tc>
        <w:tc>
          <w:tcPr>
            <w:tcW w:w="452" w:type="pct"/>
            <w:tcBorders>
              <w:top w:val="single" w:sz="8" w:space="0" w:color="auto"/>
              <w:left w:val="nil"/>
              <w:bottom w:val="single" w:sz="4" w:space="0" w:color="auto"/>
              <w:right w:val="nil"/>
            </w:tcBorders>
            <w:vAlign w:val="center"/>
          </w:tcPr>
          <w:p w14:paraId="2B76E181" w14:textId="77777777" w:rsidR="00DB4F10" w:rsidRPr="00E64FC5" w:rsidRDefault="00DB4F10" w:rsidP="00326A8C">
            <w:pPr>
              <w:spacing w:after="0" w:line="240" w:lineRule="auto"/>
              <w:jc w:val="right"/>
              <w:rPr>
                <w:rFonts w:cs="Arial"/>
                <w:color w:val="000000"/>
                <w:sz w:val="18"/>
                <w:szCs w:val="18"/>
              </w:rPr>
            </w:pPr>
            <w:r w:rsidRPr="00E64FC5">
              <w:rPr>
                <w:rFonts w:cs="Arial"/>
                <w:color w:val="000000"/>
                <w:sz w:val="18"/>
                <w:szCs w:val="18"/>
              </w:rPr>
              <w:t>5 287</w:t>
            </w:r>
          </w:p>
        </w:tc>
      </w:tr>
      <w:tr w:rsidR="00DB4F10" w:rsidRPr="00986209" w14:paraId="69D2C5F0" w14:textId="77777777" w:rsidTr="00326A8C">
        <w:trPr>
          <w:trHeight w:val="20"/>
        </w:trPr>
        <w:tc>
          <w:tcPr>
            <w:tcW w:w="1364" w:type="pct"/>
            <w:tcBorders>
              <w:top w:val="nil"/>
              <w:left w:val="nil"/>
              <w:bottom w:val="single" w:sz="8" w:space="0" w:color="auto"/>
              <w:right w:val="nil"/>
            </w:tcBorders>
            <w:vAlign w:val="center"/>
            <w:hideMark/>
          </w:tcPr>
          <w:p w14:paraId="7B773FBB" w14:textId="77777777" w:rsidR="00DB4F10" w:rsidRPr="00AD28CE" w:rsidRDefault="00DB4F10" w:rsidP="00326A8C">
            <w:pPr>
              <w:spacing w:after="0" w:line="240" w:lineRule="auto"/>
              <w:rPr>
                <w:rFonts w:eastAsia="Times New Roman" w:cs="Arial"/>
                <w:color w:val="000000"/>
                <w:sz w:val="18"/>
                <w:szCs w:val="18"/>
                <w:lang w:eastAsia="en-GB"/>
              </w:rPr>
            </w:pPr>
            <w:r w:rsidRPr="00AD28CE">
              <w:rPr>
                <w:rFonts w:eastAsia="Times New Roman" w:cs="Arial"/>
                <w:color w:val="000000"/>
                <w:sz w:val="18"/>
                <w:szCs w:val="18"/>
                <w:lang w:eastAsia="en-GB"/>
              </w:rPr>
              <w:t>Příjmy z poskytnutých patentových licencí</w:t>
            </w:r>
          </w:p>
        </w:tc>
        <w:tc>
          <w:tcPr>
            <w:tcW w:w="454" w:type="pct"/>
            <w:tcBorders>
              <w:top w:val="nil"/>
              <w:left w:val="nil"/>
              <w:bottom w:val="single" w:sz="8" w:space="0" w:color="auto"/>
              <w:right w:val="nil"/>
            </w:tcBorders>
            <w:noWrap/>
            <w:vAlign w:val="center"/>
            <w:hideMark/>
          </w:tcPr>
          <w:p w14:paraId="28D4D894" w14:textId="77777777" w:rsidR="00DB4F10" w:rsidRPr="00AD28CE" w:rsidRDefault="00DB4F10" w:rsidP="00326A8C">
            <w:pPr>
              <w:keepNext/>
              <w:spacing w:after="0" w:line="240" w:lineRule="auto"/>
              <w:jc w:val="center"/>
              <w:rPr>
                <w:rFonts w:eastAsia="Times New Roman" w:cs="Arial"/>
                <w:color w:val="000000"/>
                <w:sz w:val="18"/>
                <w:szCs w:val="18"/>
                <w:lang w:eastAsia="en-GB"/>
              </w:rPr>
            </w:pPr>
            <w:r w:rsidRPr="00AD28CE">
              <w:rPr>
                <w:rFonts w:eastAsia="Times New Roman" w:cs="Arial"/>
                <w:color w:val="000000"/>
                <w:sz w:val="18"/>
                <w:szCs w:val="18"/>
                <w:lang w:eastAsia="en-GB"/>
              </w:rPr>
              <w:t>mld. Kč</w:t>
            </w:r>
          </w:p>
        </w:tc>
        <w:tc>
          <w:tcPr>
            <w:tcW w:w="455" w:type="pct"/>
            <w:tcBorders>
              <w:top w:val="nil"/>
              <w:left w:val="nil"/>
              <w:bottom w:val="single" w:sz="8" w:space="0" w:color="auto"/>
              <w:right w:val="nil"/>
            </w:tcBorders>
            <w:noWrap/>
            <w:vAlign w:val="center"/>
            <w:hideMark/>
          </w:tcPr>
          <w:p w14:paraId="0885721F" w14:textId="77777777" w:rsidR="00DB4F10" w:rsidRPr="00FC3AB3" w:rsidRDefault="00DB4F10" w:rsidP="00326A8C">
            <w:pPr>
              <w:spacing w:after="0" w:line="240" w:lineRule="auto"/>
              <w:jc w:val="right"/>
              <w:rPr>
                <w:rFonts w:cs="Arial"/>
                <w:color w:val="000000"/>
                <w:sz w:val="18"/>
                <w:szCs w:val="18"/>
              </w:rPr>
            </w:pPr>
            <w:r w:rsidRPr="00FC3AB3">
              <w:rPr>
                <w:rFonts w:cs="Arial"/>
                <w:color w:val="000000"/>
                <w:sz w:val="18"/>
                <w:szCs w:val="18"/>
              </w:rPr>
              <w:t>1,60</w:t>
            </w:r>
          </w:p>
        </w:tc>
        <w:tc>
          <w:tcPr>
            <w:tcW w:w="455" w:type="pct"/>
            <w:tcBorders>
              <w:top w:val="nil"/>
              <w:left w:val="nil"/>
              <w:bottom w:val="single" w:sz="8" w:space="0" w:color="auto"/>
              <w:right w:val="nil"/>
            </w:tcBorders>
            <w:noWrap/>
            <w:vAlign w:val="center"/>
          </w:tcPr>
          <w:p w14:paraId="0277C643" w14:textId="77777777" w:rsidR="00DB4F10" w:rsidRPr="00FC3AB3" w:rsidRDefault="00DB4F10" w:rsidP="00326A8C">
            <w:pPr>
              <w:spacing w:after="0" w:line="240" w:lineRule="auto"/>
              <w:jc w:val="right"/>
              <w:rPr>
                <w:rFonts w:cs="Arial"/>
                <w:color w:val="000000"/>
                <w:sz w:val="18"/>
                <w:szCs w:val="18"/>
              </w:rPr>
            </w:pPr>
            <w:r w:rsidRPr="00FC3AB3">
              <w:rPr>
                <w:rFonts w:cs="Arial"/>
                <w:color w:val="000000"/>
                <w:sz w:val="18"/>
                <w:szCs w:val="18"/>
              </w:rPr>
              <w:t>2,17</w:t>
            </w:r>
          </w:p>
        </w:tc>
        <w:tc>
          <w:tcPr>
            <w:tcW w:w="456" w:type="pct"/>
            <w:tcBorders>
              <w:top w:val="nil"/>
              <w:left w:val="nil"/>
              <w:bottom w:val="single" w:sz="8" w:space="0" w:color="auto"/>
              <w:right w:val="nil"/>
            </w:tcBorders>
            <w:noWrap/>
            <w:vAlign w:val="center"/>
          </w:tcPr>
          <w:p w14:paraId="47FDB841" w14:textId="77777777" w:rsidR="00DB4F10" w:rsidRPr="00FC3AB3" w:rsidRDefault="00DB4F10" w:rsidP="00326A8C">
            <w:pPr>
              <w:spacing w:after="0" w:line="240" w:lineRule="auto"/>
              <w:jc w:val="right"/>
              <w:rPr>
                <w:rFonts w:cs="Arial"/>
                <w:color w:val="000000"/>
                <w:sz w:val="18"/>
                <w:szCs w:val="18"/>
              </w:rPr>
            </w:pPr>
            <w:r w:rsidRPr="00FC3AB3">
              <w:rPr>
                <w:rFonts w:cs="Arial"/>
                <w:color w:val="000000"/>
                <w:sz w:val="18"/>
                <w:szCs w:val="18"/>
              </w:rPr>
              <w:t>3,05</w:t>
            </w:r>
          </w:p>
        </w:tc>
        <w:tc>
          <w:tcPr>
            <w:tcW w:w="455" w:type="pct"/>
            <w:tcBorders>
              <w:top w:val="nil"/>
              <w:left w:val="nil"/>
              <w:bottom w:val="single" w:sz="8" w:space="0" w:color="auto"/>
              <w:right w:val="nil"/>
            </w:tcBorders>
            <w:noWrap/>
            <w:vAlign w:val="center"/>
          </w:tcPr>
          <w:p w14:paraId="6B926D21" w14:textId="77777777" w:rsidR="00DB4F10" w:rsidRPr="00FC3AB3" w:rsidRDefault="00DB4F10" w:rsidP="00326A8C">
            <w:pPr>
              <w:spacing w:after="0" w:line="240" w:lineRule="auto"/>
              <w:jc w:val="right"/>
              <w:rPr>
                <w:rFonts w:cs="Arial"/>
                <w:color w:val="000000"/>
                <w:sz w:val="18"/>
                <w:szCs w:val="18"/>
              </w:rPr>
            </w:pPr>
            <w:r w:rsidRPr="00FC3AB3">
              <w:rPr>
                <w:rFonts w:cs="Arial"/>
                <w:color w:val="000000"/>
                <w:sz w:val="18"/>
                <w:szCs w:val="18"/>
              </w:rPr>
              <w:t>2,93</w:t>
            </w:r>
          </w:p>
        </w:tc>
        <w:tc>
          <w:tcPr>
            <w:tcW w:w="455" w:type="pct"/>
            <w:tcBorders>
              <w:top w:val="nil"/>
              <w:left w:val="nil"/>
              <w:bottom w:val="single" w:sz="8" w:space="0" w:color="auto"/>
              <w:right w:val="nil"/>
            </w:tcBorders>
            <w:noWrap/>
            <w:vAlign w:val="center"/>
          </w:tcPr>
          <w:p w14:paraId="6B7181D2" w14:textId="77777777" w:rsidR="00DB4F10" w:rsidRPr="00FC3AB3" w:rsidRDefault="00DB4F10" w:rsidP="00326A8C">
            <w:pPr>
              <w:spacing w:after="0" w:line="240" w:lineRule="auto"/>
              <w:jc w:val="right"/>
              <w:rPr>
                <w:rFonts w:cs="Arial"/>
                <w:color w:val="000000"/>
                <w:sz w:val="18"/>
                <w:szCs w:val="18"/>
              </w:rPr>
            </w:pPr>
            <w:r w:rsidRPr="00FC3AB3">
              <w:rPr>
                <w:rFonts w:cs="Arial"/>
                <w:color w:val="000000"/>
                <w:sz w:val="18"/>
                <w:szCs w:val="18"/>
              </w:rPr>
              <w:t>3,38</w:t>
            </w:r>
          </w:p>
        </w:tc>
        <w:tc>
          <w:tcPr>
            <w:tcW w:w="454" w:type="pct"/>
            <w:tcBorders>
              <w:top w:val="nil"/>
              <w:left w:val="nil"/>
              <w:bottom w:val="single" w:sz="8" w:space="0" w:color="auto"/>
              <w:right w:val="nil"/>
            </w:tcBorders>
            <w:noWrap/>
            <w:vAlign w:val="center"/>
          </w:tcPr>
          <w:p w14:paraId="7C8E58C9" w14:textId="77777777" w:rsidR="00DB4F10" w:rsidRPr="00FC3AB3" w:rsidRDefault="00DB4F10" w:rsidP="00326A8C">
            <w:pPr>
              <w:spacing w:after="0" w:line="240" w:lineRule="auto"/>
              <w:jc w:val="right"/>
              <w:rPr>
                <w:rFonts w:cs="Arial"/>
                <w:color w:val="000000"/>
                <w:sz w:val="18"/>
                <w:szCs w:val="18"/>
              </w:rPr>
            </w:pPr>
            <w:r w:rsidRPr="00FC3AB3">
              <w:rPr>
                <w:rFonts w:cs="Arial"/>
                <w:color w:val="000000"/>
                <w:sz w:val="18"/>
                <w:szCs w:val="18"/>
              </w:rPr>
              <w:t>3,55</w:t>
            </w:r>
          </w:p>
        </w:tc>
        <w:tc>
          <w:tcPr>
            <w:tcW w:w="452" w:type="pct"/>
            <w:tcBorders>
              <w:top w:val="nil"/>
              <w:left w:val="nil"/>
              <w:bottom w:val="single" w:sz="8" w:space="0" w:color="auto"/>
              <w:right w:val="nil"/>
            </w:tcBorders>
            <w:vAlign w:val="center"/>
          </w:tcPr>
          <w:p w14:paraId="7BF10ED4" w14:textId="77777777" w:rsidR="00DB4F10" w:rsidRPr="00FC3AB3" w:rsidRDefault="00DB4F10" w:rsidP="00326A8C">
            <w:pPr>
              <w:spacing w:after="0" w:line="240" w:lineRule="auto"/>
              <w:jc w:val="right"/>
              <w:rPr>
                <w:rFonts w:cs="Arial"/>
                <w:color w:val="000000"/>
                <w:sz w:val="18"/>
                <w:szCs w:val="18"/>
              </w:rPr>
            </w:pPr>
            <w:r w:rsidRPr="00FC3AB3">
              <w:rPr>
                <w:rFonts w:cs="Arial"/>
                <w:color w:val="000000"/>
                <w:sz w:val="18"/>
                <w:szCs w:val="18"/>
              </w:rPr>
              <w:t>4,58</w:t>
            </w:r>
          </w:p>
        </w:tc>
      </w:tr>
      <w:tr w:rsidR="00DB4F10" w:rsidRPr="00AD28CE" w14:paraId="63935AFE" w14:textId="77777777" w:rsidTr="00326A8C">
        <w:trPr>
          <w:trHeight w:val="20"/>
        </w:trPr>
        <w:tc>
          <w:tcPr>
            <w:tcW w:w="2728" w:type="pct"/>
            <w:gridSpan w:val="4"/>
            <w:tcBorders>
              <w:top w:val="nil"/>
              <w:left w:val="nil"/>
              <w:bottom w:val="nil"/>
              <w:right w:val="nil"/>
            </w:tcBorders>
            <w:vAlign w:val="center"/>
            <w:hideMark/>
          </w:tcPr>
          <w:p w14:paraId="560069D1" w14:textId="77777777" w:rsidR="00DB4F10" w:rsidRPr="00AD28CE" w:rsidRDefault="00DB4F10" w:rsidP="00326A8C">
            <w:pPr>
              <w:spacing w:after="0" w:line="240" w:lineRule="auto"/>
              <w:rPr>
                <w:rFonts w:eastAsia="Times New Roman" w:cs="Arial"/>
                <w:sz w:val="18"/>
                <w:szCs w:val="18"/>
                <w:lang w:eastAsia="en-GB"/>
              </w:rPr>
            </w:pPr>
            <w:r w:rsidRPr="00AD28CE">
              <w:rPr>
                <w:rFonts w:eastAsia="Times New Roman" w:cs="Arial"/>
                <w:b/>
                <w:bCs/>
                <w:color w:val="000000"/>
                <w:sz w:val="18"/>
                <w:szCs w:val="18"/>
                <w:lang w:eastAsia="en-GB"/>
              </w:rPr>
              <w:t>Zahraniční obchod s high-tech zbožím</w:t>
            </w:r>
          </w:p>
        </w:tc>
        <w:tc>
          <w:tcPr>
            <w:tcW w:w="456" w:type="pct"/>
            <w:tcBorders>
              <w:top w:val="nil"/>
              <w:left w:val="nil"/>
              <w:bottom w:val="nil"/>
              <w:right w:val="nil"/>
            </w:tcBorders>
            <w:noWrap/>
            <w:vAlign w:val="center"/>
            <w:hideMark/>
          </w:tcPr>
          <w:p w14:paraId="68E86AC3" w14:textId="77777777" w:rsidR="00DB4F10" w:rsidRPr="00AD28CE" w:rsidRDefault="00DB4F10" w:rsidP="00326A8C">
            <w:pPr>
              <w:spacing w:after="0" w:line="240" w:lineRule="auto"/>
              <w:jc w:val="center"/>
              <w:rPr>
                <w:rFonts w:eastAsia="Times New Roman" w:cs="Arial"/>
                <w:sz w:val="18"/>
                <w:szCs w:val="18"/>
                <w:lang w:eastAsia="en-GB"/>
              </w:rPr>
            </w:pPr>
          </w:p>
        </w:tc>
        <w:tc>
          <w:tcPr>
            <w:tcW w:w="455" w:type="pct"/>
            <w:tcBorders>
              <w:top w:val="nil"/>
              <w:left w:val="nil"/>
              <w:bottom w:val="nil"/>
              <w:right w:val="nil"/>
            </w:tcBorders>
            <w:noWrap/>
            <w:vAlign w:val="center"/>
            <w:hideMark/>
          </w:tcPr>
          <w:p w14:paraId="3754B400" w14:textId="77777777" w:rsidR="00DB4F10" w:rsidRPr="00AD28CE" w:rsidRDefault="00DB4F10" w:rsidP="00326A8C">
            <w:pPr>
              <w:spacing w:after="0" w:line="240" w:lineRule="auto"/>
              <w:jc w:val="center"/>
              <w:rPr>
                <w:rFonts w:eastAsia="Times New Roman" w:cs="Arial"/>
                <w:sz w:val="18"/>
                <w:szCs w:val="18"/>
                <w:lang w:eastAsia="en-GB"/>
              </w:rPr>
            </w:pPr>
          </w:p>
        </w:tc>
        <w:tc>
          <w:tcPr>
            <w:tcW w:w="455" w:type="pct"/>
            <w:tcBorders>
              <w:top w:val="nil"/>
              <w:left w:val="nil"/>
              <w:bottom w:val="nil"/>
              <w:right w:val="nil"/>
            </w:tcBorders>
            <w:noWrap/>
            <w:vAlign w:val="center"/>
            <w:hideMark/>
          </w:tcPr>
          <w:p w14:paraId="478A32D3" w14:textId="77777777" w:rsidR="00DB4F10" w:rsidRPr="00AD28CE" w:rsidRDefault="00DB4F10" w:rsidP="00326A8C">
            <w:pPr>
              <w:spacing w:after="0" w:line="240" w:lineRule="auto"/>
              <w:jc w:val="center"/>
              <w:rPr>
                <w:rFonts w:eastAsia="Times New Roman" w:cs="Arial"/>
                <w:sz w:val="18"/>
                <w:szCs w:val="18"/>
                <w:lang w:eastAsia="en-GB"/>
              </w:rPr>
            </w:pPr>
          </w:p>
        </w:tc>
        <w:tc>
          <w:tcPr>
            <w:tcW w:w="454" w:type="pct"/>
            <w:tcBorders>
              <w:top w:val="nil"/>
              <w:left w:val="nil"/>
              <w:bottom w:val="nil"/>
              <w:right w:val="nil"/>
            </w:tcBorders>
            <w:noWrap/>
            <w:vAlign w:val="center"/>
            <w:hideMark/>
          </w:tcPr>
          <w:p w14:paraId="1BCCA5CA" w14:textId="77777777" w:rsidR="00DB4F10" w:rsidRPr="00AD28CE" w:rsidRDefault="00DB4F10" w:rsidP="00326A8C">
            <w:pPr>
              <w:spacing w:after="0" w:line="240" w:lineRule="auto"/>
              <w:jc w:val="center"/>
              <w:rPr>
                <w:rFonts w:eastAsia="Times New Roman" w:cs="Arial"/>
                <w:sz w:val="18"/>
                <w:szCs w:val="18"/>
                <w:lang w:eastAsia="en-GB"/>
              </w:rPr>
            </w:pPr>
          </w:p>
        </w:tc>
        <w:tc>
          <w:tcPr>
            <w:tcW w:w="452" w:type="pct"/>
            <w:tcBorders>
              <w:top w:val="nil"/>
              <w:left w:val="nil"/>
              <w:bottom w:val="nil"/>
              <w:right w:val="nil"/>
            </w:tcBorders>
            <w:vAlign w:val="center"/>
          </w:tcPr>
          <w:p w14:paraId="150107C2" w14:textId="77777777" w:rsidR="00DB4F10" w:rsidRPr="00CA51D4" w:rsidRDefault="00DB4F10" w:rsidP="00326A8C">
            <w:pPr>
              <w:spacing w:after="0" w:line="240" w:lineRule="auto"/>
              <w:jc w:val="center"/>
              <w:rPr>
                <w:rFonts w:eastAsia="Times New Roman" w:cs="Arial"/>
                <w:sz w:val="18"/>
                <w:szCs w:val="18"/>
                <w:highlight w:val="yellow"/>
                <w:lang w:eastAsia="en-GB"/>
              </w:rPr>
            </w:pPr>
          </w:p>
        </w:tc>
      </w:tr>
      <w:tr w:rsidR="00DB4F10" w:rsidRPr="00CD6279" w14:paraId="0F1A2A0A" w14:textId="77777777" w:rsidTr="00326A8C">
        <w:trPr>
          <w:trHeight w:val="20"/>
        </w:trPr>
        <w:tc>
          <w:tcPr>
            <w:tcW w:w="1364" w:type="pct"/>
            <w:tcBorders>
              <w:top w:val="nil"/>
              <w:left w:val="nil"/>
              <w:bottom w:val="nil"/>
              <w:right w:val="nil"/>
            </w:tcBorders>
            <w:vAlign w:val="center"/>
            <w:hideMark/>
          </w:tcPr>
          <w:p w14:paraId="2716A0FC" w14:textId="77777777" w:rsidR="00DB4F10" w:rsidRPr="00AD28CE" w:rsidRDefault="00DB4F10" w:rsidP="00326A8C">
            <w:pPr>
              <w:spacing w:after="0" w:line="240" w:lineRule="auto"/>
              <w:ind w:firstLineChars="100" w:firstLine="180"/>
              <w:jc w:val="center"/>
              <w:rPr>
                <w:rFonts w:eastAsia="Times New Roman" w:cs="Arial"/>
                <w:color w:val="000000"/>
                <w:sz w:val="18"/>
                <w:szCs w:val="18"/>
                <w:lang w:eastAsia="en-GB"/>
              </w:rPr>
            </w:pPr>
            <w:r w:rsidRPr="00AD28CE">
              <w:rPr>
                <w:rFonts w:eastAsia="Times New Roman" w:cs="Arial"/>
                <w:color w:val="000000"/>
                <w:sz w:val="18"/>
                <w:szCs w:val="18"/>
                <w:lang w:eastAsia="en-GB"/>
              </w:rPr>
              <w:t>vývoz high-tech zboží</w:t>
            </w:r>
          </w:p>
        </w:tc>
        <w:tc>
          <w:tcPr>
            <w:tcW w:w="454" w:type="pct"/>
            <w:tcBorders>
              <w:top w:val="nil"/>
              <w:left w:val="nil"/>
              <w:bottom w:val="nil"/>
              <w:right w:val="nil"/>
            </w:tcBorders>
            <w:noWrap/>
            <w:vAlign w:val="center"/>
            <w:hideMark/>
          </w:tcPr>
          <w:p w14:paraId="2A2AADCD" w14:textId="77777777" w:rsidR="00DB4F10" w:rsidRPr="00AD28CE" w:rsidRDefault="00DB4F10" w:rsidP="00326A8C">
            <w:pPr>
              <w:keepNext/>
              <w:spacing w:after="0" w:line="240" w:lineRule="auto"/>
              <w:jc w:val="center"/>
              <w:rPr>
                <w:rFonts w:eastAsia="Times New Roman" w:cs="Arial"/>
                <w:color w:val="000000"/>
                <w:sz w:val="18"/>
                <w:szCs w:val="18"/>
                <w:lang w:eastAsia="en-GB"/>
              </w:rPr>
            </w:pPr>
            <w:r w:rsidRPr="00AD28CE">
              <w:rPr>
                <w:rFonts w:eastAsia="Times New Roman" w:cs="Arial"/>
                <w:color w:val="000000"/>
                <w:sz w:val="18"/>
                <w:szCs w:val="18"/>
                <w:lang w:eastAsia="en-GB"/>
              </w:rPr>
              <w:t>mld. Kč</w:t>
            </w:r>
          </w:p>
        </w:tc>
        <w:tc>
          <w:tcPr>
            <w:tcW w:w="455" w:type="pct"/>
            <w:tcBorders>
              <w:top w:val="nil"/>
              <w:left w:val="nil"/>
              <w:bottom w:val="nil"/>
              <w:right w:val="nil"/>
            </w:tcBorders>
            <w:noWrap/>
            <w:vAlign w:val="center"/>
            <w:hideMark/>
          </w:tcPr>
          <w:p w14:paraId="425A6B89"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790,2</w:t>
            </w:r>
          </w:p>
        </w:tc>
        <w:tc>
          <w:tcPr>
            <w:tcW w:w="455" w:type="pct"/>
            <w:tcBorders>
              <w:top w:val="nil"/>
              <w:left w:val="nil"/>
              <w:bottom w:val="nil"/>
              <w:right w:val="nil"/>
            </w:tcBorders>
            <w:noWrap/>
            <w:vAlign w:val="center"/>
          </w:tcPr>
          <w:p w14:paraId="21DC4D59"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870,9</w:t>
            </w:r>
          </w:p>
        </w:tc>
        <w:tc>
          <w:tcPr>
            <w:tcW w:w="456" w:type="pct"/>
            <w:tcBorders>
              <w:top w:val="nil"/>
              <w:left w:val="nil"/>
              <w:bottom w:val="nil"/>
              <w:right w:val="nil"/>
            </w:tcBorders>
            <w:noWrap/>
            <w:vAlign w:val="center"/>
          </w:tcPr>
          <w:p w14:paraId="1B901C5C"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923,0</w:t>
            </w:r>
          </w:p>
        </w:tc>
        <w:tc>
          <w:tcPr>
            <w:tcW w:w="455" w:type="pct"/>
            <w:tcBorders>
              <w:top w:val="nil"/>
              <w:left w:val="nil"/>
              <w:bottom w:val="nil"/>
              <w:right w:val="nil"/>
            </w:tcBorders>
            <w:noWrap/>
            <w:vAlign w:val="center"/>
          </w:tcPr>
          <w:p w14:paraId="029CC4C6"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909,9</w:t>
            </w:r>
          </w:p>
        </w:tc>
        <w:tc>
          <w:tcPr>
            <w:tcW w:w="455" w:type="pct"/>
            <w:tcBorders>
              <w:top w:val="nil"/>
              <w:left w:val="nil"/>
              <w:bottom w:val="nil"/>
              <w:right w:val="nil"/>
            </w:tcBorders>
            <w:noWrap/>
            <w:vAlign w:val="center"/>
          </w:tcPr>
          <w:p w14:paraId="5335A11E"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1 093,2</w:t>
            </w:r>
          </w:p>
        </w:tc>
        <w:tc>
          <w:tcPr>
            <w:tcW w:w="454" w:type="pct"/>
            <w:tcBorders>
              <w:top w:val="nil"/>
              <w:left w:val="nil"/>
              <w:bottom w:val="nil"/>
              <w:right w:val="nil"/>
            </w:tcBorders>
            <w:noWrap/>
            <w:vAlign w:val="center"/>
          </w:tcPr>
          <w:p w14:paraId="4B72D6CA"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1 035,5</w:t>
            </w:r>
          </w:p>
        </w:tc>
        <w:tc>
          <w:tcPr>
            <w:tcW w:w="452" w:type="pct"/>
            <w:tcBorders>
              <w:top w:val="nil"/>
              <w:left w:val="nil"/>
              <w:bottom w:val="nil"/>
              <w:right w:val="nil"/>
            </w:tcBorders>
            <w:vAlign w:val="center"/>
          </w:tcPr>
          <w:p w14:paraId="0FA6DA87" w14:textId="77777777" w:rsidR="00DB4F10" w:rsidRPr="00CA51D4" w:rsidRDefault="00DB4F10" w:rsidP="00326A8C">
            <w:pPr>
              <w:spacing w:after="0" w:line="240" w:lineRule="auto"/>
              <w:jc w:val="right"/>
              <w:rPr>
                <w:rFonts w:eastAsia="Times New Roman" w:cs="Arial"/>
                <w:color w:val="000000"/>
                <w:sz w:val="18"/>
                <w:szCs w:val="18"/>
                <w:highlight w:val="yellow"/>
                <w:lang w:eastAsia="en-GB"/>
              </w:rPr>
            </w:pPr>
            <w:r w:rsidRPr="00CA51D4">
              <w:rPr>
                <w:rFonts w:eastAsia="Times New Roman" w:cs="Arial"/>
                <w:color w:val="000000"/>
                <w:sz w:val="18"/>
                <w:szCs w:val="18"/>
                <w:highlight w:val="yellow"/>
                <w:lang w:eastAsia="en-GB"/>
              </w:rPr>
              <w:t>-</w:t>
            </w:r>
          </w:p>
        </w:tc>
      </w:tr>
      <w:tr w:rsidR="00DB4F10" w:rsidRPr="00CD6279" w14:paraId="2FAFC7FC" w14:textId="77777777" w:rsidTr="00326A8C">
        <w:trPr>
          <w:trHeight w:val="20"/>
        </w:trPr>
        <w:tc>
          <w:tcPr>
            <w:tcW w:w="1364" w:type="pct"/>
            <w:tcBorders>
              <w:top w:val="nil"/>
              <w:left w:val="nil"/>
              <w:bottom w:val="nil"/>
              <w:right w:val="nil"/>
            </w:tcBorders>
            <w:vAlign w:val="center"/>
            <w:hideMark/>
          </w:tcPr>
          <w:p w14:paraId="79CB6F90" w14:textId="77777777" w:rsidR="00DB4F10" w:rsidRPr="00AD28CE" w:rsidRDefault="00DB4F10" w:rsidP="00326A8C">
            <w:pPr>
              <w:spacing w:after="0" w:line="240" w:lineRule="auto"/>
              <w:ind w:firstLineChars="100" w:firstLine="180"/>
              <w:jc w:val="center"/>
              <w:rPr>
                <w:rFonts w:eastAsia="Times New Roman" w:cs="Arial"/>
                <w:color w:val="000000"/>
                <w:sz w:val="18"/>
                <w:szCs w:val="18"/>
                <w:lang w:eastAsia="en-GB"/>
              </w:rPr>
            </w:pPr>
            <w:r w:rsidRPr="00AD28CE">
              <w:rPr>
                <w:rFonts w:eastAsia="Times New Roman" w:cs="Arial"/>
                <w:color w:val="000000"/>
                <w:sz w:val="18"/>
                <w:szCs w:val="18"/>
                <w:lang w:eastAsia="en-GB"/>
              </w:rPr>
              <w:t>podíl na celkovém vývozu zboží ČR</w:t>
            </w:r>
          </w:p>
        </w:tc>
        <w:tc>
          <w:tcPr>
            <w:tcW w:w="454" w:type="pct"/>
            <w:tcBorders>
              <w:top w:val="nil"/>
              <w:left w:val="nil"/>
              <w:bottom w:val="nil"/>
              <w:right w:val="nil"/>
            </w:tcBorders>
            <w:noWrap/>
            <w:vAlign w:val="center"/>
            <w:hideMark/>
          </w:tcPr>
          <w:p w14:paraId="0C83CE6B" w14:textId="77777777" w:rsidR="00DB4F10" w:rsidRPr="00AD28CE" w:rsidRDefault="00DB4F10" w:rsidP="00326A8C">
            <w:pPr>
              <w:keepNext/>
              <w:spacing w:after="0" w:line="240" w:lineRule="auto"/>
              <w:jc w:val="center"/>
              <w:rPr>
                <w:rFonts w:eastAsia="Times New Roman" w:cs="Arial"/>
                <w:color w:val="000000"/>
                <w:sz w:val="18"/>
                <w:szCs w:val="18"/>
                <w:lang w:eastAsia="en-GB"/>
              </w:rPr>
            </w:pPr>
            <w:r w:rsidRPr="00AD28CE">
              <w:rPr>
                <w:rFonts w:eastAsia="Times New Roman" w:cs="Arial"/>
                <w:color w:val="000000"/>
                <w:sz w:val="18"/>
                <w:szCs w:val="18"/>
                <w:lang w:eastAsia="en-GB"/>
              </w:rPr>
              <w:t>%</w:t>
            </w:r>
          </w:p>
        </w:tc>
        <w:tc>
          <w:tcPr>
            <w:tcW w:w="455" w:type="pct"/>
            <w:tcBorders>
              <w:top w:val="nil"/>
              <w:left w:val="nil"/>
              <w:bottom w:val="nil"/>
              <w:right w:val="nil"/>
            </w:tcBorders>
            <w:noWrap/>
            <w:vAlign w:val="center"/>
            <w:hideMark/>
          </w:tcPr>
          <w:p w14:paraId="37928FF3"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17,94</w:t>
            </w:r>
          </w:p>
        </w:tc>
        <w:tc>
          <w:tcPr>
            <w:tcW w:w="455" w:type="pct"/>
            <w:tcBorders>
              <w:top w:val="nil"/>
              <w:left w:val="nil"/>
              <w:bottom w:val="nil"/>
              <w:right w:val="nil"/>
            </w:tcBorders>
            <w:noWrap/>
            <w:vAlign w:val="center"/>
          </w:tcPr>
          <w:p w14:paraId="0CA93625"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19,02</w:t>
            </w:r>
          </w:p>
        </w:tc>
        <w:tc>
          <w:tcPr>
            <w:tcW w:w="456" w:type="pct"/>
            <w:tcBorders>
              <w:top w:val="nil"/>
              <w:left w:val="nil"/>
              <w:bottom w:val="nil"/>
              <w:right w:val="nil"/>
            </w:tcBorders>
            <w:noWrap/>
            <w:vAlign w:val="center"/>
          </w:tcPr>
          <w:p w14:paraId="528EED40"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20,78</w:t>
            </w:r>
          </w:p>
        </w:tc>
        <w:tc>
          <w:tcPr>
            <w:tcW w:w="455" w:type="pct"/>
            <w:tcBorders>
              <w:top w:val="nil"/>
              <w:left w:val="nil"/>
              <w:bottom w:val="nil"/>
              <w:right w:val="nil"/>
            </w:tcBorders>
            <w:noWrap/>
            <w:vAlign w:val="center"/>
          </w:tcPr>
          <w:p w14:paraId="503098D9"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18,46</w:t>
            </w:r>
          </w:p>
        </w:tc>
        <w:tc>
          <w:tcPr>
            <w:tcW w:w="455" w:type="pct"/>
            <w:tcBorders>
              <w:top w:val="nil"/>
              <w:left w:val="nil"/>
              <w:bottom w:val="nil"/>
              <w:right w:val="nil"/>
            </w:tcBorders>
            <w:noWrap/>
            <w:vAlign w:val="center"/>
          </w:tcPr>
          <w:p w14:paraId="7364AC8C"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19,33</w:t>
            </w:r>
          </w:p>
        </w:tc>
        <w:tc>
          <w:tcPr>
            <w:tcW w:w="454" w:type="pct"/>
            <w:tcBorders>
              <w:top w:val="nil"/>
              <w:left w:val="nil"/>
              <w:bottom w:val="nil"/>
              <w:right w:val="nil"/>
            </w:tcBorders>
            <w:noWrap/>
            <w:vAlign w:val="center"/>
          </w:tcPr>
          <w:p w14:paraId="783C7064"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18,25</w:t>
            </w:r>
          </w:p>
        </w:tc>
        <w:tc>
          <w:tcPr>
            <w:tcW w:w="452" w:type="pct"/>
            <w:tcBorders>
              <w:top w:val="nil"/>
              <w:left w:val="nil"/>
              <w:bottom w:val="nil"/>
              <w:right w:val="nil"/>
            </w:tcBorders>
            <w:vAlign w:val="center"/>
          </w:tcPr>
          <w:p w14:paraId="41B09E25" w14:textId="77777777" w:rsidR="00DB4F10" w:rsidRPr="00CA51D4" w:rsidRDefault="00DB4F10" w:rsidP="00326A8C">
            <w:pPr>
              <w:spacing w:after="0" w:line="240" w:lineRule="auto"/>
              <w:jc w:val="right"/>
              <w:rPr>
                <w:rFonts w:eastAsia="Times New Roman" w:cs="Arial"/>
                <w:color w:val="000000"/>
                <w:sz w:val="18"/>
                <w:szCs w:val="18"/>
                <w:highlight w:val="yellow"/>
                <w:lang w:eastAsia="en-GB"/>
              </w:rPr>
            </w:pPr>
            <w:r w:rsidRPr="00CA51D4">
              <w:rPr>
                <w:rFonts w:eastAsia="Times New Roman" w:cs="Arial"/>
                <w:color w:val="000000"/>
                <w:sz w:val="18"/>
                <w:szCs w:val="18"/>
                <w:highlight w:val="yellow"/>
                <w:lang w:eastAsia="en-GB"/>
              </w:rPr>
              <w:t>-</w:t>
            </w:r>
          </w:p>
        </w:tc>
      </w:tr>
      <w:tr w:rsidR="00DB4F10" w:rsidRPr="00CD6279" w14:paraId="6333A527" w14:textId="77777777" w:rsidTr="00326A8C">
        <w:trPr>
          <w:trHeight w:val="20"/>
        </w:trPr>
        <w:tc>
          <w:tcPr>
            <w:tcW w:w="1364" w:type="pct"/>
            <w:tcBorders>
              <w:top w:val="nil"/>
              <w:left w:val="nil"/>
              <w:bottom w:val="nil"/>
              <w:right w:val="nil"/>
            </w:tcBorders>
            <w:vAlign w:val="center"/>
            <w:hideMark/>
          </w:tcPr>
          <w:p w14:paraId="0597E086" w14:textId="77777777" w:rsidR="00DB4F10" w:rsidRPr="00AD28CE" w:rsidRDefault="00DB4F10" w:rsidP="00326A8C">
            <w:pPr>
              <w:spacing w:after="0" w:line="240" w:lineRule="auto"/>
              <w:ind w:firstLineChars="100" w:firstLine="180"/>
              <w:jc w:val="center"/>
              <w:rPr>
                <w:rFonts w:eastAsia="Times New Roman" w:cs="Arial"/>
                <w:color w:val="000000"/>
                <w:sz w:val="18"/>
                <w:szCs w:val="18"/>
                <w:lang w:eastAsia="en-GB"/>
              </w:rPr>
            </w:pPr>
            <w:r w:rsidRPr="00AD28CE">
              <w:rPr>
                <w:rFonts w:eastAsia="Times New Roman" w:cs="Arial"/>
                <w:color w:val="000000"/>
                <w:sz w:val="18"/>
                <w:szCs w:val="18"/>
                <w:lang w:eastAsia="en-GB"/>
              </w:rPr>
              <w:t>dovoz high-tech zboží</w:t>
            </w:r>
          </w:p>
        </w:tc>
        <w:tc>
          <w:tcPr>
            <w:tcW w:w="454" w:type="pct"/>
            <w:tcBorders>
              <w:top w:val="nil"/>
              <w:left w:val="nil"/>
              <w:bottom w:val="nil"/>
              <w:right w:val="nil"/>
            </w:tcBorders>
            <w:noWrap/>
            <w:vAlign w:val="center"/>
            <w:hideMark/>
          </w:tcPr>
          <w:p w14:paraId="2E8D1D38" w14:textId="77777777" w:rsidR="00DB4F10" w:rsidRPr="00AD28CE" w:rsidRDefault="00DB4F10" w:rsidP="00326A8C">
            <w:pPr>
              <w:keepNext/>
              <w:spacing w:after="0" w:line="240" w:lineRule="auto"/>
              <w:jc w:val="center"/>
              <w:rPr>
                <w:rFonts w:eastAsia="Times New Roman" w:cs="Arial"/>
                <w:color w:val="000000"/>
                <w:sz w:val="18"/>
                <w:szCs w:val="18"/>
                <w:lang w:eastAsia="en-GB"/>
              </w:rPr>
            </w:pPr>
            <w:r w:rsidRPr="00AD28CE">
              <w:rPr>
                <w:rFonts w:eastAsia="Times New Roman" w:cs="Arial"/>
                <w:color w:val="000000"/>
                <w:sz w:val="18"/>
                <w:szCs w:val="18"/>
                <w:lang w:eastAsia="en-GB"/>
              </w:rPr>
              <w:t>mld. Kč</w:t>
            </w:r>
          </w:p>
        </w:tc>
        <w:tc>
          <w:tcPr>
            <w:tcW w:w="455" w:type="pct"/>
            <w:tcBorders>
              <w:top w:val="nil"/>
              <w:left w:val="nil"/>
              <w:bottom w:val="nil"/>
              <w:right w:val="nil"/>
            </w:tcBorders>
            <w:noWrap/>
            <w:vAlign w:val="center"/>
            <w:hideMark/>
          </w:tcPr>
          <w:p w14:paraId="76A6AB15"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811,9</w:t>
            </w:r>
          </w:p>
        </w:tc>
        <w:tc>
          <w:tcPr>
            <w:tcW w:w="455" w:type="pct"/>
            <w:tcBorders>
              <w:top w:val="nil"/>
              <w:left w:val="nil"/>
              <w:bottom w:val="nil"/>
              <w:right w:val="nil"/>
            </w:tcBorders>
            <w:noWrap/>
            <w:vAlign w:val="center"/>
          </w:tcPr>
          <w:p w14:paraId="72FE383E"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869,7</w:t>
            </w:r>
          </w:p>
        </w:tc>
        <w:tc>
          <w:tcPr>
            <w:tcW w:w="456" w:type="pct"/>
            <w:tcBorders>
              <w:top w:val="nil"/>
              <w:left w:val="nil"/>
              <w:bottom w:val="nil"/>
              <w:right w:val="nil"/>
            </w:tcBorders>
            <w:noWrap/>
            <w:vAlign w:val="center"/>
          </w:tcPr>
          <w:p w14:paraId="1DC086DB"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936,1</w:t>
            </w:r>
          </w:p>
        </w:tc>
        <w:tc>
          <w:tcPr>
            <w:tcW w:w="455" w:type="pct"/>
            <w:tcBorders>
              <w:top w:val="nil"/>
              <w:left w:val="nil"/>
              <w:bottom w:val="nil"/>
              <w:right w:val="nil"/>
            </w:tcBorders>
            <w:noWrap/>
            <w:vAlign w:val="center"/>
          </w:tcPr>
          <w:p w14:paraId="7E023B6C"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959,3</w:t>
            </w:r>
          </w:p>
        </w:tc>
        <w:tc>
          <w:tcPr>
            <w:tcW w:w="455" w:type="pct"/>
            <w:tcBorders>
              <w:top w:val="nil"/>
              <w:left w:val="nil"/>
              <w:bottom w:val="nil"/>
              <w:right w:val="nil"/>
            </w:tcBorders>
            <w:noWrap/>
            <w:vAlign w:val="center"/>
          </w:tcPr>
          <w:p w14:paraId="36AEA375"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1 146,5</w:t>
            </w:r>
          </w:p>
        </w:tc>
        <w:tc>
          <w:tcPr>
            <w:tcW w:w="454" w:type="pct"/>
            <w:tcBorders>
              <w:top w:val="nil"/>
              <w:left w:val="nil"/>
              <w:bottom w:val="nil"/>
              <w:right w:val="nil"/>
            </w:tcBorders>
            <w:noWrap/>
            <w:vAlign w:val="center"/>
          </w:tcPr>
          <w:p w14:paraId="64C197D8"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1 038,0</w:t>
            </w:r>
          </w:p>
        </w:tc>
        <w:tc>
          <w:tcPr>
            <w:tcW w:w="452" w:type="pct"/>
            <w:tcBorders>
              <w:top w:val="nil"/>
              <w:left w:val="nil"/>
              <w:bottom w:val="nil"/>
              <w:right w:val="nil"/>
            </w:tcBorders>
            <w:vAlign w:val="center"/>
          </w:tcPr>
          <w:p w14:paraId="71EB1939" w14:textId="77777777" w:rsidR="00DB4F10" w:rsidRPr="00CA51D4" w:rsidRDefault="00DB4F10" w:rsidP="00326A8C">
            <w:pPr>
              <w:spacing w:after="0" w:line="240" w:lineRule="auto"/>
              <w:jc w:val="right"/>
              <w:rPr>
                <w:rFonts w:eastAsia="Times New Roman" w:cs="Arial"/>
                <w:color w:val="000000"/>
                <w:sz w:val="18"/>
                <w:szCs w:val="18"/>
                <w:highlight w:val="yellow"/>
                <w:lang w:eastAsia="en-GB"/>
              </w:rPr>
            </w:pPr>
            <w:r w:rsidRPr="00CA51D4">
              <w:rPr>
                <w:rFonts w:eastAsia="Times New Roman" w:cs="Arial"/>
                <w:color w:val="000000"/>
                <w:sz w:val="18"/>
                <w:szCs w:val="18"/>
                <w:highlight w:val="yellow"/>
                <w:lang w:eastAsia="en-GB"/>
              </w:rPr>
              <w:t>-</w:t>
            </w:r>
          </w:p>
        </w:tc>
      </w:tr>
      <w:tr w:rsidR="00DB4F10" w:rsidRPr="00CD6279" w14:paraId="717906AD" w14:textId="77777777" w:rsidTr="00326A8C">
        <w:trPr>
          <w:trHeight w:val="20"/>
        </w:trPr>
        <w:tc>
          <w:tcPr>
            <w:tcW w:w="1364" w:type="pct"/>
            <w:tcBorders>
              <w:top w:val="nil"/>
              <w:left w:val="nil"/>
              <w:bottom w:val="nil"/>
              <w:right w:val="nil"/>
            </w:tcBorders>
            <w:vAlign w:val="center"/>
            <w:hideMark/>
          </w:tcPr>
          <w:p w14:paraId="4F53B656" w14:textId="77777777" w:rsidR="00DB4F10" w:rsidRPr="00AD28CE" w:rsidRDefault="00DB4F10" w:rsidP="00326A8C">
            <w:pPr>
              <w:spacing w:after="0" w:line="240" w:lineRule="auto"/>
              <w:ind w:firstLineChars="100" w:firstLine="180"/>
              <w:jc w:val="center"/>
              <w:rPr>
                <w:rFonts w:eastAsia="Times New Roman" w:cs="Arial"/>
                <w:color w:val="000000"/>
                <w:sz w:val="18"/>
                <w:szCs w:val="18"/>
                <w:lang w:eastAsia="en-GB"/>
              </w:rPr>
            </w:pPr>
            <w:r w:rsidRPr="00AD28CE">
              <w:rPr>
                <w:rFonts w:eastAsia="Times New Roman" w:cs="Arial"/>
                <w:color w:val="000000"/>
                <w:sz w:val="18"/>
                <w:szCs w:val="18"/>
                <w:lang w:eastAsia="en-GB"/>
              </w:rPr>
              <w:t>podíl na celkovém dovozu zboží ČR</w:t>
            </w:r>
          </w:p>
        </w:tc>
        <w:tc>
          <w:tcPr>
            <w:tcW w:w="454" w:type="pct"/>
            <w:tcBorders>
              <w:top w:val="nil"/>
              <w:left w:val="nil"/>
              <w:bottom w:val="nil"/>
              <w:right w:val="nil"/>
            </w:tcBorders>
            <w:noWrap/>
            <w:vAlign w:val="center"/>
            <w:hideMark/>
          </w:tcPr>
          <w:p w14:paraId="5986F408" w14:textId="77777777" w:rsidR="00DB4F10" w:rsidRPr="00AD28CE" w:rsidRDefault="00DB4F10" w:rsidP="00326A8C">
            <w:pPr>
              <w:keepNext/>
              <w:spacing w:after="0" w:line="240" w:lineRule="auto"/>
              <w:jc w:val="center"/>
              <w:rPr>
                <w:rFonts w:eastAsia="Times New Roman" w:cs="Arial"/>
                <w:color w:val="000000"/>
                <w:sz w:val="18"/>
                <w:szCs w:val="18"/>
                <w:lang w:eastAsia="en-GB"/>
              </w:rPr>
            </w:pPr>
            <w:r w:rsidRPr="00AD28CE">
              <w:rPr>
                <w:rFonts w:eastAsia="Times New Roman" w:cs="Arial"/>
                <w:color w:val="000000"/>
                <w:sz w:val="18"/>
                <w:szCs w:val="18"/>
                <w:lang w:eastAsia="en-GB"/>
              </w:rPr>
              <w:t>%</w:t>
            </w:r>
          </w:p>
        </w:tc>
        <w:tc>
          <w:tcPr>
            <w:tcW w:w="455" w:type="pct"/>
            <w:tcBorders>
              <w:top w:val="nil"/>
              <w:left w:val="nil"/>
              <w:bottom w:val="nil"/>
              <w:right w:val="nil"/>
            </w:tcBorders>
            <w:noWrap/>
            <w:vAlign w:val="center"/>
            <w:hideMark/>
          </w:tcPr>
          <w:p w14:paraId="294CBB3D"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20,18</w:t>
            </w:r>
          </w:p>
        </w:tc>
        <w:tc>
          <w:tcPr>
            <w:tcW w:w="455" w:type="pct"/>
            <w:tcBorders>
              <w:top w:val="nil"/>
              <w:left w:val="nil"/>
              <w:bottom w:val="nil"/>
              <w:right w:val="nil"/>
            </w:tcBorders>
            <w:noWrap/>
            <w:vAlign w:val="center"/>
          </w:tcPr>
          <w:p w14:paraId="7FB7CEF3"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21,12</w:t>
            </w:r>
          </w:p>
        </w:tc>
        <w:tc>
          <w:tcPr>
            <w:tcW w:w="456" w:type="pct"/>
            <w:tcBorders>
              <w:top w:val="nil"/>
              <w:left w:val="nil"/>
              <w:bottom w:val="nil"/>
              <w:right w:val="nil"/>
            </w:tcBorders>
            <w:noWrap/>
            <w:vAlign w:val="center"/>
          </w:tcPr>
          <w:p w14:paraId="498B3E88"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23,61</w:t>
            </w:r>
          </w:p>
        </w:tc>
        <w:tc>
          <w:tcPr>
            <w:tcW w:w="455" w:type="pct"/>
            <w:tcBorders>
              <w:top w:val="nil"/>
              <w:left w:val="nil"/>
              <w:bottom w:val="nil"/>
              <w:right w:val="nil"/>
            </w:tcBorders>
            <w:noWrap/>
            <w:vAlign w:val="center"/>
          </w:tcPr>
          <w:p w14:paraId="7DEAC3CA"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20,79</w:t>
            </w:r>
          </w:p>
        </w:tc>
        <w:tc>
          <w:tcPr>
            <w:tcW w:w="455" w:type="pct"/>
            <w:tcBorders>
              <w:top w:val="nil"/>
              <w:left w:val="nil"/>
              <w:bottom w:val="nil"/>
              <w:right w:val="nil"/>
            </w:tcBorders>
            <w:noWrap/>
            <w:vAlign w:val="center"/>
          </w:tcPr>
          <w:p w14:paraId="32661B2A"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20,73</w:t>
            </w:r>
          </w:p>
        </w:tc>
        <w:tc>
          <w:tcPr>
            <w:tcW w:w="454" w:type="pct"/>
            <w:tcBorders>
              <w:top w:val="nil"/>
              <w:left w:val="nil"/>
              <w:bottom w:val="nil"/>
              <w:right w:val="nil"/>
            </w:tcBorders>
            <w:noWrap/>
            <w:vAlign w:val="center"/>
          </w:tcPr>
          <w:p w14:paraId="122CDAA0"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20,16</w:t>
            </w:r>
          </w:p>
        </w:tc>
        <w:tc>
          <w:tcPr>
            <w:tcW w:w="452" w:type="pct"/>
            <w:tcBorders>
              <w:top w:val="nil"/>
              <w:left w:val="nil"/>
              <w:bottom w:val="nil"/>
              <w:right w:val="nil"/>
            </w:tcBorders>
            <w:vAlign w:val="center"/>
          </w:tcPr>
          <w:p w14:paraId="5DCBE0B9" w14:textId="77777777" w:rsidR="00DB4F10" w:rsidRPr="00CA51D4" w:rsidRDefault="00DB4F10" w:rsidP="00326A8C">
            <w:pPr>
              <w:spacing w:after="0" w:line="240" w:lineRule="auto"/>
              <w:jc w:val="right"/>
              <w:rPr>
                <w:rFonts w:eastAsia="Times New Roman" w:cs="Arial"/>
                <w:color w:val="000000"/>
                <w:sz w:val="18"/>
                <w:szCs w:val="18"/>
                <w:highlight w:val="yellow"/>
                <w:lang w:eastAsia="en-GB"/>
              </w:rPr>
            </w:pPr>
            <w:r w:rsidRPr="00CA51D4">
              <w:rPr>
                <w:rFonts w:eastAsia="Times New Roman" w:cs="Arial"/>
                <w:color w:val="000000"/>
                <w:sz w:val="18"/>
                <w:szCs w:val="18"/>
                <w:highlight w:val="yellow"/>
                <w:lang w:eastAsia="en-GB"/>
              </w:rPr>
              <w:t>-</w:t>
            </w:r>
          </w:p>
        </w:tc>
      </w:tr>
      <w:tr w:rsidR="00DB4F10" w:rsidRPr="00986209" w14:paraId="37A0765E" w14:textId="77777777" w:rsidTr="00326A8C">
        <w:trPr>
          <w:trHeight w:val="20"/>
        </w:trPr>
        <w:tc>
          <w:tcPr>
            <w:tcW w:w="1364" w:type="pct"/>
            <w:tcBorders>
              <w:top w:val="single" w:sz="8" w:space="0" w:color="auto"/>
              <w:left w:val="nil"/>
              <w:bottom w:val="single" w:sz="8" w:space="0" w:color="auto"/>
              <w:right w:val="nil"/>
            </w:tcBorders>
            <w:shd w:val="clear" w:color="auto" w:fill="D9D9D9" w:themeFill="background1" w:themeFillShade="D9"/>
            <w:noWrap/>
            <w:vAlign w:val="center"/>
            <w:hideMark/>
          </w:tcPr>
          <w:p w14:paraId="4B020326" w14:textId="77777777" w:rsidR="00DB4F10" w:rsidRPr="00AD28CE" w:rsidRDefault="00DB4F10" w:rsidP="00326A8C">
            <w:pPr>
              <w:spacing w:after="0" w:line="240" w:lineRule="auto"/>
              <w:jc w:val="center"/>
              <w:rPr>
                <w:rFonts w:eastAsia="Times New Roman" w:cs="Arial"/>
                <w:b/>
                <w:bCs/>
                <w:color w:val="000000"/>
                <w:sz w:val="18"/>
                <w:szCs w:val="18"/>
                <w:lang w:eastAsia="en-GB"/>
              </w:rPr>
            </w:pPr>
            <w:r w:rsidRPr="00AD28CE">
              <w:rPr>
                <w:rFonts w:eastAsia="Times New Roman" w:cs="Arial"/>
                <w:b/>
                <w:bCs/>
                <w:color w:val="000000"/>
                <w:sz w:val="18"/>
                <w:szCs w:val="18"/>
                <w:lang w:eastAsia="en-GB"/>
              </w:rPr>
              <w:t>meziroční změny</w:t>
            </w:r>
          </w:p>
        </w:tc>
        <w:tc>
          <w:tcPr>
            <w:tcW w:w="454" w:type="pct"/>
            <w:tcBorders>
              <w:top w:val="single" w:sz="8" w:space="0" w:color="auto"/>
              <w:left w:val="nil"/>
              <w:bottom w:val="single" w:sz="8" w:space="0" w:color="auto"/>
              <w:right w:val="nil"/>
            </w:tcBorders>
            <w:shd w:val="clear" w:color="auto" w:fill="D9D9D9" w:themeFill="background1" w:themeFillShade="D9"/>
            <w:noWrap/>
            <w:vAlign w:val="center"/>
            <w:hideMark/>
          </w:tcPr>
          <w:p w14:paraId="273F9CA7" w14:textId="77777777" w:rsidR="00DB4F10" w:rsidRPr="00AD28CE" w:rsidRDefault="00DB4F10" w:rsidP="00326A8C">
            <w:pPr>
              <w:spacing w:after="0" w:line="240" w:lineRule="auto"/>
              <w:jc w:val="center"/>
              <w:rPr>
                <w:rFonts w:eastAsia="Times New Roman" w:cs="Arial"/>
                <w:b/>
                <w:bCs/>
                <w:color w:val="000000"/>
                <w:sz w:val="18"/>
                <w:szCs w:val="18"/>
                <w:lang w:eastAsia="en-GB"/>
              </w:rPr>
            </w:pPr>
          </w:p>
        </w:tc>
        <w:tc>
          <w:tcPr>
            <w:tcW w:w="455" w:type="pct"/>
            <w:tcBorders>
              <w:top w:val="single" w:sz="8" w:space="0" w:color="auto"/>
              <w:left w:val="nil"/>
              <w:bottom w:val="single" w:sz="8" w:space="0" w:color="auto"/>
              <w:right w:val="nil"/>
            </w:tcBorders>
            <w:shd w:val="clear" w:color="auto" w:fill="D9D9D9" w:themeFill="background1" w:themeFillShade="D9"/>
            <w:noWrap/>
            <w:vAlign w:val="center"/>
            <w:hideMark/>
          </w:tcPr>
          <w:p w14:paraId="4E696FF5" w14:textId="77777777" w:rsidR="00DB4F10" w:rsidRPr="00AD28CE" w:rsidRDefault="00DB4F10" w:rsidP="00326A8C">
            <w:pPr>
              <w:spacing w:after="0" w:line="240" w:lineRule="auto"/>
              <w:jc w:val="right"/>
              <w:rPr>
                <w:rFonts w:eastAsia="Times New Roman" w:cs="Arial"/>
                <w:b/>
                <w:bCs/>
                <w:color w:val="000000"/>
                <w:sz w:val="18"/>
                <w:szCs w:val="18"/>
                <w:lang w:eastAsia="en-GB"/>
              </w:rPr>
            </w:pPr>
            <w:r w:rsidRPr="00AD28CE">
              <w:rPr>
                <w:rFonts w:cs="Arial"/>
                <w:b/>
                <w:bCs/>
                <w:color w:val="000000"/>
                <w:sz w:val="18"/>
                <w:szCs w:val="18"/>
              </w:rPr>
              <w:t>1</w:t>
            </w:r>
            <w:r>
              <w:rPr>
                <w:rFonts w:cs="Arial"/>
                <w:b/>
                <w:bCs/>
                <w:color w:val="000000"/>
                <w:sz w:val="18"/>
                <w:szCs w:val="18"/>
              </w:rPr>
              <w:t>8</w:t>
            </w:r>
            <w:r w:rsidRPr="00AD28CE">
              <w:rPr>
                <w:rFonts w:cs="Arial"/>
                <w:b/>
                <w:bCs/>
                <w:color w:val="000000"/>
                <w:sz w:val="18"/>
                <w:szCs w:val="18"/>
              </w:rPr>
              <w:t>/1</w:t>
            </w:r>
            <w:r>
              <w:rPr>
                <w:rFonts w:cs="Arial"/>
                <w:b/>
                <w:bCs/>
                <w:color w:val="000000"/>
                <w:sz w:val="18"/>
                <w:szCs w:val="18"/>
              </w:rPr>
              <w:t>7</w:t>
            </w:r>
          </w:p>
        </w:tc>
        <w:tc>
          <w:tcPr>
            <w:tcW w:w="455" w:type="pct"/>
            <w:tcBorders>
              <w:top w:val="single" w:sz="8" w:space="0" w:color="auto"/>
              <w:left w:val="nil"/>
              <w:bottom w:val="single" w:sz="8" w:space="0" w:color="auto"/>
              <w:right w:val="nil"/>
            </w:tcBorders>
            <w:shd w:val="clear" w:color="auto" w:fill="D9D9D9" w:themeFill="background1" w:themeFillShade="D9"/>
            <w:noWrap/>
            <w:vAlign w:val="center"/>
            <w:hideMark/>
          </w:tcPr>
          <w:p w14:paraId="3DF8FA2C" w14:textId="77777777" w:rsidR="00DB4F10" w:rsidRPr="00AD28CE" w:rsidRDefault="00DB4F10" w:rsidP="00326A8C">
            <w:pPr>
              <w:spacing w:after="0" w:line="240" w:lineRule="auto"/>
              <w:jc w:val="right"/>
              <w:rPr>
                <w:rFonts w:eastAsia="Times New Roman" w:cs="Arial"/>
                <w:b/>
                <w:bCs/>
                <w:color w:val="000000"/>
                <w:sz w:val="18"/>
                <w:szCs w:val="18"/>
                <w:lang w:eastAsia="en-GB"/>
              </w:rPr>
            </w:pPr>
            <w:r w:rsidRPr="00AD28CE">
              <w:rPr>
                <w:rFonts w:cs="Arial"/>
                <w:b/>
                <w:bCs/>
                <w:color w:val="000000"/>
                <w:sz w:val="18"/>
                <w:szCs w:val="18"/>
              </w:rPr>
              <w:t>1</w:t>
            </w:r>
            <w:r>
              <w:rPr>
                <w:rFonts w:cs="Arial"/>
                <w:b/>
                <w:bCs/>
                <w:color w:val="000000"/>
                <w:sz w:val="18"/>
                <w:szCs w:val="18"/>
              </w:rPr>
              <w:t>9</w:t>
            </w:r>
            <w:r w:rsidRPr="00AD28CE">
              <w:rPr>
                <w:rFonts w:cs="Arial"/>
                <w:b/>
                <w:bCs/>
                <w:color w:val="000000"/>
                <w:sz w:val="18"/>
                <w:szCs w:val="18"/>
              </w:rPr>
              <w:t>/1</w:t>
            </w:r>
            <w:r>
              <w:rPr>
                <w:rFonts w:cs="Arial"/>
                <w:b/>
                <w:bCs/>
                <w:color w:val="000000"/>
                <w:sz w:val="18"/>
                <w:szCs w:val="18"/>
              </w:rPr>
              <w:t>8</w:t>
            </w:r>
          </w:p>
        </w:tc>
        <w:tc>
          <w:tcPr>
            <w:tcW w:w="456" w:type="pct"/>
            <w:tcBorders>
              <w:top w:val="single" w:sz="8" w:space="0" w:color="auto"/>
              <w:left w:val="nil"/>
              <w:bottom w:val="single" w:sz="8" w:space="0" w:color="auto"/>
              <w:right w:val="nil"/>
            </w:tcBorders>
            <w:shd w:val="clear" w:color="auto" w:fill="D9D9D9" w:themeFill="background1" w:themeFillShade="D9"/>
            <w:noWrap/>
            <w:vAlign w:val="center"/>
            <w:hideMark/>
          </w:tcPr>
          <w:p w14:paraId="13A2409B" w14:textId="77777777" w:rsidR="00DB4F10" w:rsidRPr="00AD28CE" w:rsidRDefault="00DB4F10" w:rsidP="00326A8C">
            <w:pPr>
              <w:spacing w:after="0" w:line="240" w:lineRule="auto"/>
              <w:jc w:val="right"/>
              <w:rPr>
                <w:rFonts w:eastAsia="Times New Roman" w:cs="Arial"/>
                <w:b/>
                <w:bCs/>
                <w:color w:val="000000"/>
                <w:sz w:val="18"/>
                <w:szCs w:val="18"/>
                <w:lang w:eastAsia="en-GB"/>
              </w:rPr>
            </w:pPr>
            <w:r>
              <w:rPr>
                <w:rFonts w:cs="Arial"/>
                <w:b/>
                <w:bCs/>
                <w:color w:val="000000"/>
                <w:sz w:val="18"/>
                <w:szCs w:val="18"/>
              </w:rPr>
              <w:t>20</w:t>
            </w:r>
            <w:r w:rsidRPr="00AD28CE">
              <w:rPr>
                <w:rFonts w:cs="Arial"/>
                <w:b/>
                <w:bCs/>
                <w:color w:val="000000"/>
                <w:sz w:val="18"/>
                <w:szCs w:val="18"/>
              </w:rPr>
              <w:t>/1</w:t>
            </w:r>
            <w:r>
              <w:rPr>
                <w:rFonts w:cs="Arial"/>
                <w:b/>
                <w:bCs/>
                <w:color w:val="000000"/>
                <w:sz w:val="18"/>
                <w:szCs w:val="18"/>
              </w:rPr>
              <w:t>9</w:t>
            </w:r>
          </w:p>
        </w:tc>
        <w:tc>
          <w:tcPr>
            <w:tcW w:w="455" w:type="pct"/>
            <w:tcBorders>
              <w:top w:val="single" w:sz="8" w:space="0" w:color="auto"/>
              <w:left w:val="nil"/>
              <w:bottom w:val="single" w:sz="8" w:space="0" w:color="auto"/>
              <w:right w:val="nil"/>
            </w:tcBorders>
            <w:shd w:val="clear" w:color="auto" w:fill="D9D9D9" w:themeFill="background1" w:themeFillShade="D9"/>
            <w:noWrap/>
            <w:vAlign w:val="center"/>
            <w:hideMark/>
          </w:tcPr>
          <w:p w14:paraId="52952CE2" w14:textId="77777777" w:rsidR="00DB4F10" w:rsidRPr="00AD28CE" w:rsidRDefault="00DB4F10" w:rsidP="00326A8C">
            <w:pPr>
              <w:spacing w:after="0" w:line="240" w:lineRule="auto"/>
              <w:jc w:val="right"/>
              <w:rPr>
                <w:rFonts w:eastAsia="Times New Roman" w:cs="Arial"/>
                <w:b/>
                <w:bCs/>
                <w:color w:val="000000"/>
                <w:sz w:val="18"/>
                <w:szCs w:val="18"/>
                <w:lang w:eastAsia="en-GB"/>
              </w:rPr>
            </w:pPr>
            <w:r w:rsidRPr="00AD28CE">
              <w:rPr>
                <w:rFonts w:cs="Arial"/>
                <w:b/>
                <w:bCs/>
                <w:color w:val="000000"/>
                <w:sz w:val="18"/>
                <w:szCs w:val="18"/>
              </w:rPr>
              <w:t>2</w:t>
            </w:r>
            <w:r>
              <w:rPr>
                <w:rFonts w:cs="Arial"/>
                <w:b/>
                <w:bCs/>
                <w:color w:val="000000"/>
                <w:sz w:val="18"/>
                <w:szCs w:val="18"/>
              </w:rPr>
              <w:t>1</w:t>
            </w:r>
            <w:r w:rsidRPr="00AD28CE">
              <w:rPr>
                <w:rFonts w:cs="Arial"/>
                <w:b/>
                <w:bCs/>
                <w:color w:val="000000"/>
                <w:sz w:val="18"/>
                <w:szCs w:val="18"/>
              </w:rPr>
              <w:t>/</w:t>
            </w:r>
            <w:r>
              <w:rPr>
                <w:rFonts w:cs="Arial"/>
                <w:b/>
                <w:bCs/>
                <w:color w:val="000000"/>
                <w:sz w:val="18"/>
                <w:szCs w:val="18"/>
              </w:rPr>
              <w:t>20</w:t>
            </w:r>
          </w:p>
        </w:tc>
        <w:tc>
          <w:tcPr>
            <w:tcW w:w="455" w:type="pct"/>
            <w:tcBorders>
              <w:top w:val="single" w:sz="8" w:space="0" w:color="auto"/>
              <w:left w:val="nil"/>
              <w:bottom w:val="single" w:sz="8" w:space="0" w:color="auto"/>
              <w:right w:val="nil"/>
            </w:tcBorders>
            <w:shd w:val="clear" w:color="auto" w:fill="D9D9D9" w:themeFill="background1" w:themeFillShade="D9"/>
            <w:noWrap/>
            <w:vAlign w:val="center"/>
            <w:hideMark/>
          </w:tcPr>
          <w:p w14:paraId="3FE7CB3E" w14:textId="77777777" w:rsidR="00DB4F10" w:rsidRPr="00AD28CE" w:rsidRDefault="00DB4F10" w:rsidP="00326A8C">
            <w:pPr>
              <w:spacing w:after="0" w:line="240" w:lineRule="auto"/>
              <w:jc w:val="right"/>
              <w:rPr>
                <w:rFonts w:eastAsia="Times New Roman" w:cs="Arial"/>
                <w:b/>
                <w:bCs/>
                <w:color w:val="000000"/>
                <w:sz w:val="18"/>
                <w:szCs w:val="18"/>
                <w:lang w:eastAsia="en-GB"/>
              </w:rPr>
            </w:pPr>
            <w:r>
              <w:rPr>
                <w:rFonts w:cs="Arial"/>
                <w:b/>
                <w:bCs/>
                <w:color w:val="000000"/>
                <w:sz w:val="18"/>
                <w:szCs w:val="18"/>
              </w:rPr>
              <w:t>22</w:t>
            </w:r>
            <w:r w:rsidRPr="00AD28CE">
              <w:rPr>
                <w:rFonts w:cs="Arial"/>
                <w:b/>
                <w:bCs/>
                <w:color w:val="000000"/>
                <w:sz w:val="18"/>
                <w:szCs w:val="18"/>
              </w:rPr>
              <w:t>/2</w:t>
            </w:r>
            <w:r>
              <w:rPr>
                <w:rFonts w:cs="Arial"/>
                <w:b/>
                <w:bCs/>
                <w:color w:val="000000"/>
                <w:sz w:val="18"/>
                <w:szCs w:val="18"/>
              </w:rPr>
              <w:t>1</w:t>
            </w:r>
          </w:p>
        </w:tc>
        <w:tc>
          <w:tcPr>
            <w:tcW w:w="454" w:type="pct"/>
            <w:tcBorders>
              <w:top w:val="single" w:sz="8" w:space="0" w:color="auto"/>
              <w:left w:val="nil"/>
              <w:bottom w:val="single" w:sz="8" w:space="0" w:color="auto"/>
              <w:right w:val="nil"/>
            </w:tcBorders>
            <w:shd w:val="clear" w:color="auto" w:fill="D9D9D9" w:themeFill="background1" w:themeFillShade="D9"/>
            <w:noWrap/>
            <w:vAlign w:val="center"/>
            <w:hideMark/>
          </w:tcPr>
          <w:p w14:paraId="3A6CEE01" w14:textId="77777777" w:rsidR="00DB4F10" w:rsidRPr="00AD28CE" w:rsidRDefault="00DB4F10" w:rsidP="00326A8C">
            <w:pPr>
              <w:spacing w:after="0" w:line="240" w:lineRule="auto"/>
              <w:jc w:val="right"/>
              <w:rPr>
                <w:rFonts w:eastAsia="Times New Roman" w:cs="Arial"/>
                <w:b/>
                <w:bCs/>
                <w:color w:val="000000"/>
                <w:sz w:val="18"/>
                <w:szCs w:val="18"/>
                <w:lang w:eastAsia="en-GB"/>
              </w:rPr>
            </w:pPr>
            <w:r w:rsidRPr="00AD28CE">
              <w:rPr>
                <w:rFonts w:cs="Arial"/>
                <w:b/>
                <w:bCs/>
                <w:color w:val="000000"/>
                <w:sz w:val="18"/>
                <w:szCs w:val="18"/>
              </w:rPr>
              <w:t>2</w:t>
            </w:r>
            <w:r>
              <w:rPr>
                <w:rFonts w:cs="Arial"/>
                <w:b/>
                <w:bCs/>
                <w:color w:val="000000"/>
                <w:sz w:val="18"/>
                <w:szCs w:val="18"/>
              </w:rPr>
              <w:t>3</w:t>
            </w:r>
            <w:r w:rsidRPr="00AD28CE">
              <w:rPr>
                <w:rFonts w:cs="Arial"/>
                <w:b/>
                <w:bCs/>
                <w:color w:val="000000"/>
                <w:sz w:val="18"/>
                <w:szCs w:val="18"/>
              </w:rPr>
              <w:t>/2</w:t>
            </w:r>
            <w:r>
              <w:rPr>
                <w:rFonts w:cs="Arial"/>
                <w:b/>
                <w:bCs/>
                <w:color w:val="000000"/>
                <w:sz w:val="18"/>
                <w:szCs w:val="18"/>
              </w:rPr>
              <w:t>2</w:t>
            </w:r>
          </w:p>
        </w:tc>
        <w:tc>
          <w:tcPr>
            <w:tcW w:w="452" w:type="pct"/>
            <w:tcBorders>
              <w:top w:val="single" w:sz="8" w:space="0" w:color="auto"/>
              <w:left w:val="nil"/>
              <w:bottom w:val="single" w:sz="8" w:space="0" w:color="auto"/>
              <w:right w:val="nil"/>
            </w:tcBorders>
            <w:shd w:val="clear" w:color="auto" w:fill="D9D9D9" w:themeFill="background1" w:themeFillShade="D9"/>
            <w:vAlign w:val="center"/>
          </w:tcPr>
          <w:p w14:paraId="7FF36617" w14:textId="77777777" w:rsidR="00DB4F10" w:rsidRPr="00AD28CE" w:rsidRDefault="00DB4F10" w:rsidP="00326A8C">
            <w:pPr>
              <w:spacing w:after="0" w:line="240" w:lineRule="auto"/>
              <w:jc w:val="right"/>
              <w:rPr>
                <w:rFonts w:eastAsia="Times New Roman" w:cs="Arial"/>
                <w:b/>
                <w:bCs/>
                <w:color w:val="000000"/>
                <w:sz w:val="18"/>
                <w:szCs w:val="18"/>
                <w:lang w:eastAsia="en-GB"/>
              </w:rPr>
            </w:pPr>
            <w:r w:rsidRPr="00AD28CE">
              <w:rPr>
                <w:rFonts w:cs="Arial"/>
                <w:b/>
                <w:bCs/>
                <w:color w:val="000000"/>
                <w:sz w:val="18"/>
                <w:szCs w:val="18"/>
              </w:rPr>
              <w:t>2</w:t>
            </w:r>
            <w:r>
              <w:rPr>
                <w:rFonts w:cs="Arial"/>
                <w:b/>
                <w:bCs/>
                <w:color w:val="000000"/>
                <w:sz w:val="18"/>
                <w:szCs w:val="18"/>
              </w:rPr>
              <w:t>4</w:t>
            </w:r>
            <w:r w:rsidRPr="00AD28CE">
              <w:rPr>
                <w:rFonts w:cs="Arial"/>
                <w:b/>
                <w:bCs/>
                <w:color w:val="000000"/>
                <w:sz w:val="18"/>
                <w:szCs w:val="18"/>
              </w:rPr>
              <w:t>/</w:t>
            </w:r>
            <w:r>
              <w:rPr>
                <w:rFonts w:cs="Arial"/>
                <w:b/>
                <w:bCs/>
                <w:color w:val="000000"/>
                <w:sz w:val="18"/>
                <w:szCs w:val="18"/>
              </w:rPr>
              <w:t>23</w:t>
            </w:r>
          </w:p>
        </w:tc>
      </w:tr>
      <w:tr w:rsidR="00DB4F10" w:rsidRPr="00986209" w14:paraId="6C94E688" w14:textId="77777777" w:rsidTr="00326A8C">
        <w:trPr>
          <w:trHeight w:val="20"/>
        </w:trPr>
        <w:tc>
          <w:tcPr>
            <w:tcW w:w="1364" w:type="pct"/>
            <w:tcBorders>
              <w:top w:val="nil"/>
              <w:left w:val="nil"/>
              <w:bottom w:val="nil"/>
              <w:right w:val="nil"/>
            </w:tcBorders>
            <w:noWrap/>
            <w:vAlign w:val="center"/>
            <w:hideMark/>
          </w:tcPr>
          <w:p w14:paraId="21E9D149" w14:textId="77777777" w:rsidR="00DB4F10" w:rsidRPr="00AD28CE" w:rsidRDefault="00DB4F10" w:rsidP="00326A8C">
            <w:pPr>
              <w:spacing w:after="0" w:line="240" w:lineRule="auto"/>
              <w:jc w:val="center"/>
              <w:rPr>
                <w:rFonts w:eastAsia="Times New Roman" w:cs="Arial"/>
                <w:color w:val="000000"/>
                <w:sz w:val="18"/>
                <w:szCs w:val="18"/>
                <w:lang w:eastAsia="en-GB"/>
              </w:rPr>
            </w:pPr>
            <w:r w:rsidRPr="00AD28CE">
              <w:rPr>
                <w:rFonts w:eastAsia="Times New Roman" w:cs="Arial"/>
                <w:color w:val="000000"/>
                <w:sz w:val="18"/>
                <w:szCs w:val="18"/>
                <w:lang w:eastAsia="en-GB"/>
              </w:rPr>
              <w:t xml:space="preserve">celkové výdaje na </w:t>
            </w:r>
            <w:proofErr w:type="spellStart"/>
            <w:r w:rsidRPr="00AD28CE">
              <w:rPr>
                <w:rFonts w:eastAsia="Times New Roman" w:cs="Arial"/>
                <w:color w:val="000000"/>
                <w:sz w:val="18"/>
                <w:szCs w:val="18"/>
                <w:lang w:eastAsia="en-GB"/>
              </w:rPr>
              <w:t>VaV</w:t>
            </w:r>
            <w:proofErr w:type="spellEnd"/>
          </w:p>
        </w:tc>
        <w:tc>
          <w:tcPr>
            <w:tcW w:w="454" w:type="pct"/>
            <w:tcBorders>
              <w:top w:val="nil"/>
              <w:left w:val="nil"/>
              <w:bottom w:val="nil"/>
              <w:right w:val="nil"/>
            </w:tcBorders>
            <w:noWrap/>
            <w:vAlign w:val="center"/>
            <w:hideMark/>
          </w:tcPr>
          <w:p w14:paraId="220EAEE5" w14:textId="77777777" w:rsidR="00DB4F10" w:rsidRPr="00AD28CE" w:rsidRDefault="00DB4F10" w:rsidP="00326A8C">
            <w:pPr>
              <w:keepNext/>
              <w:spacing w:after="0" w:line="240" w:lineRule="auto"/>
              <w:jc w:val="center"/>
              <w:rPr>
                <w:rFonts w:eastAsia="Times New Roman" w:cs="Arial"/>
                <w:color w:val="000000"/>
                <w:sz w:val="18"/>
                <w:szCs w:val="18"/>
                <w:lang w:eastAsia="en-GB"/>
              </w:rPr>
            </w:pPr>
            <w:r w:rsidRPr="00AD28CE">
              <w:rPr>
                <w:rFonts w:eastAsia="Times New Roman" w:cs="Arial"/>
                <w:color w:val="000000"/>
                <w:sz w:val="18"/>
                <w:szCs w:val="18"/>
                <w:lang w:eastAsia="en-GB"/>
              </w:rPr>
              <w:t>%</w:t>
            </w:r>
          </w:p>
        </w:tc>
        <w:tc>
          <w:tcPr>
            <w:tcW w:w="455" w:type="pct"/>
            <w:tcBorders>
              <w:top w:val="nil"/>
              <w:left w:val="nil"/>
              <w:bottom w:val="nil"/>
              <w:right w:val="nil"/>
            </w:tcBorders>
            <w:noWrap/>
            <w:vAlign w:val="center"/>
            <w:hideMark/>
          </w:tcPr>
          <w:p w14:paraId="285844B6"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13,68</w:t>
            </w:r>
          </w:p>
        </w:tc>
        <w:tc>
          <w:tcPr>
            <w:tcW w:w="455" w:type="pct"/>
            <w:tcBorders>
              <w:top w:val="nil"/>
              <w:left w:val="nil"/>
              <w:bottom w:val="nil"/>
              <w:right w:val="nil"/>
            </w:tcBorders>
            <w:noWrap/>
            <w:vAlign w:val="center"/>
          </w:tcPr>
          <w:p w14:paraId="5D50B276"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8,63</w:t>
            </w:r>
          </w:p>
        </w:tc>
        <w:tc>
          <w:tcPr>
            <w:tcW w:w="456" w:type="pct"/>
            <w:tcBorders>
              <w:top w:val="nil"/>
              <w:left w:val="nil"/>
              <w:bottom w:val="nil"/>
              <w:right w:val="nil"/>
            </w:tcBorders>
            <w:noWrap/>
            <w:vAlign w:val="center"/>
          </w:tcPr>
          <w:p w14:paraId="7BDB497B"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1,58</w:t>
            </w:r>
          </w:p>
        </w:tc>
        <w:tc>
          <w:tcPr>
            <w:tcW w:w="455" w:type="pct"/>
            <w:tcBorders>
              <w:top w:val="nil"/>
              <w:left w:val="nil"/>
              <w:bottom w:val="nil"/>
              <w:right w:val="nil"/>
            </w:tcBorders>
            <w:noWrap/>
            <w:vAlign w:val="center"/>
          </w:tcPr>
          <w:p w14:paraId="269EF41D"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7,54</w:t>
            </w:r>
          </w:p>
        </w:tc>
        <w:tc>
          <w:tcPr>
            <w:tcW w:w="455" w:type="pct"/>
            <w:tcBorders>
              <w:top w:val="nil"/>
              <w:left w:val="nil"/>
              <w:bottom w:val="nil"/>
              <w:right w:val="nil"/>
            </w:tcBorders>
            <w:noWrap/>
            <w:vAlign w:val="center"/>
          </w:tcPr>
          <w:p w14:paraId="3B07BCE6"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9,33</w:t>
            </w:r>
          </w:p>
        </w:tc>
        <w:tc>
          <w:tcPr>
            <w:tcW w:w="454" w:type="pct"/>
            <w:tcBorders>
              <w:top w:val="nil"/>
              <w:left w:val="nil"/>
              <w:bottom w:val="nil"/>
              <w:right w:val="nil"/>
            </w:tcBorders>
            <w:noWrap/>
            <w:vAlign w:val="center"/>
          </w:tcPr>
          <w:p w14:paraId="32E69E85"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4,80</w:t>
            </w:r>
          </w:p>
        </w:tc>
        <w:tc>
          <w:tcPr>
            <w:tcW w:w="452" w:type="pct"/>
            <w:tcBorders>
              <w:top w:val="nil"/>
              <w:left w:val="nil"/>
              <w:bottom w:val="nil"/>
              <w:right w:val="nil"/>
            </w:tcBorders>
            <w:vAlign w:val="center"/>
          </w:tcPr>
          <w:p w14:paraId="545C1B6C" w14:textId="77777777" w:rsidR="00DB4F10" w:rsidRPr="004B5BE4" w:rsidRDefault="00DB4F10" w:rsidP="00326A8C">
            <w:pPr>
              <w:spacing w:after="0" w:line="240" w:lineRule="auto"/>
              <w:jc w:val="right"/>
              <w:rPr>
                <w:rFonts w:eastAsia="Times New Roman" w:cs="Arial"/>
                <w:color w:val="000000"/>
                <w:sz w:val="18"/>
                <w:szCs w:val="18"/>
                <w:lang w:eastAsia="en-GB"/>
              </w:rPr>
            </w:pPr>
            <w:r w:rsidRPr="004B5BE4">
              <w:rPr>
                <w:rFonts w:eastAsia="Times New Roman" w:cs="Arial"/>
                <w:color w:val="000000"/>
                <w:sz w:val="18"/>
                <w:szCs w:val="18"/>
                <w:lang w:eastAsia="en-GB"/>
              </w:rPr>
              <w:t>5,14</w:t>
            </w:r>
          </w:p>
        </w:tc>
      </w:tr>
      <w:tr w:rsidR="00DB4F10" w:rsidRPr="00986209" w14:paraId="26B7ADB5" w14:textId="77777777" w:rsidTr="00326A8C">
        <w:trPr>
          <w:trHeight w:val="20"/>
        </w:trPr>
        <w:tc>
          <w:tcPr>
            <w:tcW w:w="1364" w:type="pct"/>
            <w:tcBorders>
              <w:top w:val="nil"/>
              <w:left w:val="nil"/>
              <w:bottom w:val="nil"/>
              <w:right w:val="nil"/>
            </w:tcBorders>
            <w:noWrap/>
            <w:vAlign w:val="center"/>
            <w:hideMark/>
          </w:tcPr>
          <w:p w14:paraId="275CE99E" w14:textId="77777777" w:rsidR="00DB4F10" w:rsidRPr="00AD28CE" w:rsidRDefault="00DB4F10" w:rsidP="00326A8C">
            <w:pPr>
              <w:spacing w:after="0" w:line="240" w:lineRule="auto"/>
              <w:jc w:val="center"/>
              <w:rPr>
                <w:rFonts w:eastAsia="Times New Roman" w:cs="Arial"/>
                <w:color w:val="000000"/>
                <w:sz w:val="18"/>
                <w:szCs w:val="18"/>
                <w:lang w:eastAsia="en-GB"/>
              </w:rPr>
            </w:pPr>
            <w:r w:rsidRPr="00AD28CE">
              <w:rPr>
                <w:rFonts w:eastAsia="Times New Roman" w:cs="Arial"/>
                <w:color w:val="000000"/>
                <w:sz w:val="18"/>
                <w:szCs w:val="18"/>
                <w:lang w:eastAsia="en-GB"/>
              </w:rPr>
              <w:t>HDP (</w:t>
            </w:r>
            <w:proofErr w:type="spellStart"/>
            <w:r w:rsidRPr="00AD28CE">
              <w:rPr>
                <w:rFonts w:eastAsia="Times New Roman" w:cs="Arial"/>
                <w:color w:val="000000"/>
                <w:sz w:val="18"/>
                <w:szCs w:val="18"/>
                <w:lang w:eastAsia="en-GB"/>
              </w:rPr>
              <w:t>b.c</w:t>
            </w:r>
            <w:proofErr w:type="spellEnd"/>
            <w:r w:rsidRPr="00AD28CE">
              <w:rPr>
                <w:rFonts w:eastAsia="Times New Roman" w:cs="Arial"/>
                <w:color w:val="000000"/>
                <w:sz w:val="18"/>
                <w:szCs w:val="18"/>
                <w:lang w:eastAsia="en-GB"/>
              </w:rPr>
              <w:t>.)</w:t>
            </w:r>
          </w:p>
        </w:tc>
        <w:tc>
          <w:tcPr>
            <w:tcW w:w="454" w:type="pct"/>
            <w:tcBorders>
              <w:top w:val="nil"/>
              <w:left w:val="nil"/>
              <w:bottom w:val="nil"/>
              <w:right w:val="nil"/>
            </w:tcBorders>
            <w:noWrap/>
            <w:vAlign w:val="center"/>
            <w:hideMark/>
          </w:tcPr>
          <w:p w14:paraId="327B0FC4" w14:textId="77777777" w:rsidR="00DB4F10" w:rsidRPr="00AD28CE" w:rsidRDefault="00DB4F10" w:rsidP="00326A8C">
            <w:pPr>
              <w:keepNext/>
              <w:spacing w:after="0" w:line="240" w:lineRule="auto"/>
              <w:jc w:val="center"/>
              <w:rPr>
                <w:rFonts w:eastAsia="Times New Roman" w:cs="Arial"/>
                <w:color w:val="000000"/>
                <w:sz w:val="18"/>
                <w:szCs w:val="18"/>
                <w:lang w:eastAsia="en-GB"/>
              </w:rPr>
            </w:pPr>
            <w:r w:rsidRPr="00AD28CE">
              <w:rPr>
                <w:rFonts w:eastAsia="Times New Roman" w:cs="Arial"/>
                <w:color w:val="000000"/>
                <w:sz w:val="18"/>
                <w:szCs w:val="18"/>
                <w:lang w:eastAsia="en-GB"/>
              </w:rPr>
              <w:t>%</w:t>
            </w:r>
          </w:p>
        </w:tc>
        <w:tc>
          <w:tcPr>
            <w:tcW w:w="455" w:type="pct"/>
            <w:tcBorders>
              <w:top w:val="nil"/>
              <w:left w:val="nil"/>
              <w:bottom w:val="nil"/>
              <w:right w:val="nil"/>
            </w:tcBorders>
            <w:noWrap/>
            <w:vAlign w:val="center"/>
            <w:hideMark/>
          </w:tcPr>
          <w:p w14:paraId="3618A2FA"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5,72</w:t>
            </w:r>
          </w:p>
        </w:tc>
        <w:tc>
          <w:tcPr>
            <w:tcW w:w="455" w:type="pct"/>
            <w:tcBorders>
              <w:top w:val="nil"/>
              <w:left w:val="nil"/>
              <w:bottom w:val="nil"/>
              <w:right w:val="nil"/>
            </w:tcBorders>
            <w:noWrap/>
            <w:vAlign w:val="center"/>
          </w:tcPr>
          <w:p w14:paraId="6A312350"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7,54</w:t>
            </w:r>
          </w:p>
        </w:tc>
        <w:tc>
          <w:tcPr>
            <w:tcW w:w="456" w:type="pct"/>
            <w:tcBorders>
              <w:top w:val="nil"/>
              <w:left w:val="nil"/>
              <w:bottom w:val="nil"/>
              <w:right w:val="nil"/>
            </w:tcBorders>
            <w:noWrap/>
            <w:vAlign w:val="center"/>
          </w:tcPr>
          <w:p w14:paraId="7A24B3BD"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-1,03</w:t>
            </w:r>
          </w:p>
        </w:tc>
        <w:tc>
          <w:tcPr>
            <w:tcW w:w="455" w:type="pct"/>
            <w:tcBorders>
              <w:top w:val="nil"/>
              <w:left w:val="nil"/>
              <w:bottom w:val="nil"/>
              <w:right w:val="nil"/>
            </w:tcBorders>
            <w:noWrap/>
            <w:vAlign w:val="center"/>
          </w:tcPr>
          <w:p w14:paraId="6D104747"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8,23</w:t>
            </w:r>
          </w:p>
        </w:tc>
        <w:tc>
          <w:tcPr>
            <w:tcW w:w="455" w:type="pct"/>
            <w:tcBorders>
              <w:top w:val="nil"/>
              <w:left w:val="nil"/>
              <w:bottom w:val="nil"/>
              <w:right w:val="nil"/>
            </w:tcBorders>
            <w:noWrap/>
            <w:vAlign w:val="center"/>
          </w:tcPr>
          <w:p w14:paraId="248B651B"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11,77</w:t>
            </w:r>
          </w:p>
        </w:tc>
        <w:tc>
          <w:tcPr>
            <w:tcW w:w="454" w:type="pct"/>
            <w:tcBorders>
              <w:top w:val="nil"/>
              <w:left w:val="nil"/>
              <w:bottom w:val="nil"/>
              <w:right w:val="nil"/>
            </w:tcBorders>
            <w:noWrap/>
            <w:vAlign w:val="center"/>
          </w:tcPr>
          <w:p w14:paraId="12B28F75"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8,</w:t>
            </w:r>
            <w:r>
              <w:rPr>
                <w:rFonts w:cs="Arial"/>
                <w:color w:val="000000"/>
                <w:sz w:val="18"/>
                <w:szCs w:val="18"/>
              </w:rPr>
              <w:t>65</w:t>
            </w:r>
          </w:p>
        </w:tc>
        <w:tc>
          <w:tcPr>
            <w:tcW w:w="452" w:type="pct"/>
            <w:tcBorders>
              <w:top w:val="nil"/>
              <w:left w:val="nil"/>
              <w:bottom w:val="nil"/>
              <w:right w:val="nil"/>
            </w:tcBorders>
            <w:vAlign w:val="center"/>
          </w:tcPr>
          <w:p w14:paraId="67363C64" w14:textId="77777777" w:rsidR="00DB4F10" w:rsidRPr="006408DC" w:rsidRDefault="00DB4F10" w:rsidP="00326A8C">
            <w:pPr>
              <w:spacing w:after="0" w:line="240" w:lineRule="auto"/>
              <w:jc w:val="right"/>
              <w:rPr>
                <w:rFonts w:eastAsia="Times New Roman" w:cs="Arial"/>
                <w:color w:val="000000"/>
                <w:sz w:val="18"/>
                <w:szCs w:val="18"/>
                <w:lang w:eastAsia="en-GB"/>
              </w:rPr>
            </w:pPr>
            <w:r w:rsidRPr="006408DC">
              <w:rPr>
                <w:rFonts w:eastAsia="Times New Roman" w:cs="Arial"/>
                <w:color w:val="000000"/>
                <w:sz w:val="18"/>
                <w:szCs w:val="18"/>
                <w:lang w:eastAsia="en-GB"/>
              </w:rPr>
              <w:t>5,19</w:t>
            </w:r>
          </w:p>
        </w:tc>
      </w:tr>
      <w:tr w:rsidR="00DB4F10" w:rsidRPr="00986209" w14:paraId="7BB5463B" w14:textId="77777777" w:rsidTr="00326A8C">
        <w:trPr>
          <w:trHeight w:val="20"/>
        </w:trPr>
        <w:tc>
          <w:tcPr>
            <w:tcW w:w="1364" w:type="pct"/>
            <w:tcBorders>
              <w:top w:val="nil"/>
              <w:left w:val="nil"/>
              <w:bottom w:val="single" w:sz="8" w:space="0" w:color="auto"/>
              <w:right w:val="nil"/>
            </w:tcBorders>
            <w:noWrap/>
            <w:vAlign w:val="center"/>
            <w:hideMark/>
          </w:tcPr>
          <w:p w14:paraId="6F8FC960" w14:textId="77777777" w:rsidR="00DB4F10" w:rsidRPr="00AD28CE" w:rsidRDefault="00DB4F10" w:rsidP="00326A8C">
            <w:pPr>
              <w:spacing w:after="0" w:line="240" w:lineRule="auto"/>
              <w:jc w:val="center"/>
              <w:rPr>
                <w:rFonts w:eastAsia="Times New Roman" w:cs="Arial"/>
                <w:color w:val="000000"/>
                <w:sz w:val="18"/>
                <w:szCs w:val="18"/>
                <w:lang w:eastAsia="en-GB"/>
              </w:rPr>
            </w:pPr>
            <w:r w:rsidRPr="00AD28CE">
              <w:rPr>
                <w:rFonts w:eastAsia="Times New Roman" w:cs="Arial"/>
                <w:color w:val="000000"/>
                <w:sz w:val="18"/>
                <w:szCs w:val="18"/>
                <w:lang w:eastAsia="en-GB"/>
              </w:rPr>
              <w:t>vývoz zboží a služeb</w:t>
            </w:r>
          </w:p>
        </w:tc>
        <w:tc>
          <w:tcPr>
            <w:tcW w:w="454" w:type="pct"/>
            <w:tcBorders>
              <w:top w:val="nil"/>
              <w:left w:val="nil"/>
              <w:bottom w:val="single" w:sz="8" w:space="0" w:color="auto"/>
              <w:right w:val="nil"/>
            </w:tcBorders>
            <w:noWrap/>
            <w:vAlign w:val="center"/>
            <w:hideMark/>
          </w:tcPr>
          <w:p w14:paraId="7A2D52CB" w14:textId="77777777" w:rsidR="00DB4F10" w:rsidRPr="00AD28CE" w:rsidRDefault="00DB4F10" w:rsidP="00326A8C">
            <w:pPr>
              <w:keepNext/>
              <w:spacing w:after="0" w:line="240" w:lineRule="auto"/>
              <w:jc w:val="center"/>
              <w:rPr>
                <w:rFonts w:eastAsia="Times New Roman" w:cs="Arial"/>
                <w:color w:val="000000"/>
                <w:sz w:val="18"/>
                <w:szCs w:val="18"/>
                <w:lang w:eastAsia="en-GB"/>
              </w:rPr>
            </w:pPr>
            <w:r w:rsidRPr="00AD28CE">
              <w:rPr>
                <w:rFonts w:eastAsia="Times New Roman" w:cs="Arial"/>
                <w:color w:val="000000"/>
                <w:sz w:val="18"/>
                <w:szCs w:val="18"/>
                <w:lang w:eastAsia="en-GB"/>
              </w:rPr>
              <w:t>%</w:t>
            </w:r>
          </w:p>
        </w:tc>
        <w:tc>
          <w:tcPr>
            <w:tcW w:w="455" w:type="pct"/>
            <w:tcBorders>
              <w:top w:val="nil"/>
              <w:left w:val="nil"/>
              <w:bottom w:val="single" w:sz="8" w:space="0" w:color="auto"/>
              <w:right w:val="nil"/>
            </w:tcBorders>
            <w:noWrap/>
            <w:vAlign w:val="center"/>
            <w:hideMark/>
          </w:tcPr>
          <w:p w14:paraId="37CE3DBE"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2,97</w:t>
            </w:r>
          </w:p>
        </w:tc>
        <w:tc>
          <w:tcPr>
            <w:tcW w:w="455" w:type="pct"/>
            <w:tcBorders>
              <w:top w:val="nil"/>
              <w:left w:val="nil"/>
              <w:bottom w:val="single" w:sz="8" w:space="0" w:color="auto"/>
              <w:right w:val="nil"/>
            </w:tcBorders>
            <w:noWrap/>
            <w:vAlign w:val="center"/>
          </w:tcPr>
          <w:p w14:paraId="7E236F92"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2,64</w:t>
            </w:r>
          </w:p>
        </w:tc>
        <w:tc>
          <w:tcPr>
            <w:tcW w:w="456" w:type="pct"/>
            <w:tcBorders>
              <w:top w:val="nil"/>
              <w:left w:val="nil"/>
              <w:bottom w:val="single" w:sz="8" w:space="0" w:color="auto"/>
              <w:right w:val="nil"/>
            </w:tcBorders>
            <w:noWrap/>
            <w:vAlign w:val="center"/>
          </w:tcPr>
          <w:p w14:paraId="307C342B"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-6,89</w:t>
            </w:r>
          </w:p>
        </w:tc>
        <w:tc>
          <w:tcPr>
            <w:tcW w:w="455" w:type="pct"/>
            <w:tcBorders>
              <w:top w:val="nil"/>
              <w:left w:val="nil"/>
              <w:bottom w:val="single" w:sz="8" w:space="0" w:color="auto"/>
              <w:right w:val="nil"/>
            </w:tcBorders>
            <w:noWrap/>
            <w:vAlign w:val="center"/>
          </w:tcPr>
          <w:p w14:paraId="27EA207A"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12,69</w:t>
            </w:r>
          </w:p>
        </w:tc>
        <w:tc>
          <w:tcPr>
            <w:tcW w:w="455" w:type="pct"/>
            <w:tcBorders>
              <w:top w:val="nil"/>
              <w:left w:val="nil"/>
              <w:bottom w:val="single" w:sz="8" w:space="0" w:color="auto"/>
              <w:right w:val="nil"/>
            </w:tcBorders>
            <w:noWrap/>
            <w:vAlign w:val="center"/>
          </w:tcPr>
          <w:p w14:paraId="5BECAD67"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14,81</w:t>
            </w:r>
          </w:p>
        </w:tc>
        <w:tc>
          <w:tcPr>
            <w:tcW w:w="454" w:type="pct"/>
            <w:tcBorders>
              <w:top w:val="nil"/>
              <w:left w:val="nil"/>
              <w:bottom w:val="single" w:sz="8" w:space="0" w:color="auto"/>
              <w:right w:val="nil"/>
            </w:tcBorders>
            <w:noWrap/>
            <w:vAlign w:val="center"/>
          </w:tcPr>
          <w:p w14:paraId="21C53464" w14:textId="77777777" w:rsidR="00DB4F10" w:rsidRPr="00AD28CE" w:rsidRDefault="00DB4F10" w:rsidP="00326A8C">
            <w:pPr>
              <w:spacing w:after="0" w:line="240" w:lineRule="auto"/>
              <w:jc w:val="right"/>
              <w:rPr>
                <w:rFonts w:eastAsia="Times New Roman" w:cs="Arial"/>
                <w:color w:val="000000"/>
                <w:sz w:val="18"/>
                <w:szCs w:val="18"/>
                <w:lang w:eastAsia="en-GB"/>
              </w:rPr>
            </w:pPr>
            <w:r w:rsidRPr="00AD28CE">
              <w:rPr>
                <w:rFonts w:cs="Arial"/>
                <w:color w:val="000000"/>
                <w:sz w:val="18"/>
                <w:szCs w:val="18"/>
              </w:rPr>
              <w:t>2,</w:t>
            </w:r>
            <w:r>
              <w:rPr>
                <w:rFonts w:cs="Arial"/>
                <w:color w:val="000000"/>
                <w:sz w:val="18"/>
                <w:szCs w:val="18"/>
              </w:rPr>
              <w:t>50</w:t>
            </w:r>
          </w:p>
        </w:tc>
        <w:tc>
          <w:tcPr>
            <w:tcW w:w="452" w:type="pct"/>
            <w:tcBorders>
              <w:top w:val="nil"/>
              <w:left w:val="nil"/>
              <w:bottom w:val="single" w:sz="8" w:space="0" w:color="auto"/>
              <w:right w:val="nil"/>
            </w:tcBorders>
            <w:vAlign w:val="center"/>
          </w:tcPr>
          <w:p w14:paraId="2577B05A" w14:textId="77777777" w:rsidR="00DB4F10" w:rsidRPr="006408DC" w:rsidRDefault="00DB4F10" w:rsidP="00326A8C">
            <w:pPr>
              <w:spacing w:after="0" w:line="240" w:lineRule="auto"/>
              <w:jc w:val="right"/>
              <w:rPr>
                <w:rFonts w:eastAsia="Times New Roman" w:cs="Arial"/>
                <w:color w:val="000000"/>
                <w:sz w:val="18"/>
                <w:szCs w:val="18"/>
                <w:lang w:eastAsia="en-GB"/>
              </w:rPr>
            </w:pPr>
            <w:r w:rsidRPr="006408DC">
              <w:rPr>
                <w:rFonts w:eastAsia="Times New Roman" w:cs="Arial"/>
                <w:color w:val="000000"/>
                <w:sz w:val="18"/>
                <w:szCs w:val="18"/>
                <w:lang w:eastAsia="en-GB"/>
              </w:rPr>
              <w:t>5,92</w:t>
            </w:r>
          </w:p>
        </w:tc>
      </w:tr>
    </w:tbl>
    <w:p w14:paraId="0E58F18F" w14:textId="290DB6C4" w:rsidR="00426596" w:rsidRPr="0052627A" w:rsidRDefault="00426596" w:rsidP="00324B7D">
      <w:pPr>
        <w:spacing w:before="120" w:after="0" w:line="240" w:lineRule="auto"/>
        <w:jc w:val="both"/>
      </w:pPr>
      <w:r w:rsidRPr="0052627A">
        <w:rPr>
          <w:rFonts w:cs="Arial"/>
          <w:i/>
          <w:sz w:val="18"/>
          <w:szCs w:val="18"/>
        </w:rPr>
        <w:t xml:space="preserve">Zdroj: ČSÚ – Šetření o výzkumu a vývoji, Národní účty, Hlavní ekonomické ukazatele ČR a zákony o SR </w:t>
      </w:r>
    </w:p>
    <w:p w14:paraId="0537A8F6" w14:textId="77777777" w:rsidR="00426596" w:rsidRPr="0052627A" w:rsidRDefault="00426596" w:rsidP="00324B7D">
      <w:pPr>
        <w:spacing w:after="0" w:line="240" w:lineRule="auto"/>
        <w:jc w:val="both"/>
        <w:rPr>
          <w:rFonts w:cs="Arial"/>
          <w:i/>
          <w:sz w:val="18"/>
          <w:szCs w:val="18"/>
        </w:rPr>
      </w:pPr>
      <w:r w:rsidRPr="0052627A">
        <w:rPr>
          <w:rFonts w:cs="Arial"/>
          <w:i/>
          <w:sz w:val="18"/>
          <w:szCs w:val="18"/>
        </w:rPr>
        <w:t xml:space="preserve">Pozn.: Výdaje na </w:t>
      </w:r>
      <w:proofErr w:type="spellStart"/>
      <w:r w:rsidRPr="0052627A">
        <w:rPr>
          <w:rFonts w:cs="Arial"/>
          <w:i/>
          <w:sz w:val="18"/>
          <w:szCs w:val="18"/>
        </w:rPr>
        <w:t>VaVaI</w:t>
      </w:r>
      <w:proofErr w:type="spellEnd"/>
      <w:r w:rsidRPr="0052627A">
        <w:rPr>
          <w:rFonts w:cs="Arial"/>
          <w:i/>
          <w:sz w:val="18"/>
          <w:szCs w:val="18"/>
        </w:rPr>
        <w:t xml:space="preserve"> ze SR jsou uvedeny bez výdajů, které mají být kryty prostředky z rozpočtu EU a z finančních mechanismů.</w:t>
      </w:r>
    </w:p>
    <w:p w14:paraId="76AEE8C2" w14:textId="77777777" w:rsidR="007B2741" w:rsidRDefault="007B2741" w:rsidP="006A7072">
      <w:pPr>
        <w:spacing w:line="360" w:lineRule="auto"/>
        <w:contextualSpacing/>
        <w:jc w:val="both"/>
        <w:rPr>
          <w:rFonts w:cs="Arial"/>
        </w:rPr>
      </w:pPr>
    </w:p>
    <w:p w14:paraId="435986B6" w14:textId="6E776D74" w:rsidR="00426596" w:rsidRDefault="00426596" w:rsidP="006A7072">
      <w:pPr>
        <w:spacing w:line="360" w:lineRule="auto"/>
        <w:contextualSpacing/>
        <w:jc w:val="both"/>
        <w:rPr>
          <w:rFonts w:cs="Arial"/>
        </w:rPr>
      </w:pPr>
      <w:r w:rsidRPr="00277CBC">
        <w:rPr>
          <w:rFonts w:cs="Arial"/>
        </w:rPr>
        <w:lastRenderedPageBreak/>
        <w:t xml:space="preserve">Monitoring kvantitativních indikátorů plnění cílů </w:t>
      </w:r>
      <w:r w:rsidR="009D2B3A">
        <w:rPr>
          <w:rFonts w:cs="Arial"/>
        </w:rPr>
        <w:t xml:space="preserve">NP </w:t>
      </w:r>
      <w:proofErr w:type="spellStart"/>
      <w:r w:rsidR="009D2B3A">
        <w:rPr>
          <w:rFonts w:cs="Arial"/>
        </w:rPr>
        <w:t>VaVaI</w:t>
      </w:r>
      <w:proofErr w:type="spellEnd"/>
      <w:r w:rsidRPr="00277CBC">
        <w:rPr>
          <w:rFonts w:cs="Arial"/>
        </w:rPr>
        <w:t xml:space="preserve"> je</w:t>
      </w:r>
      <w:r w:rsidR="00472EAA">
        <w:rPr>
          <w:rFonts w:cs="Arial"/>
        </w:rPr>
        <w:t> </w:t>
      </w:r>
      <w:r w:rsidRPr="00277CBC">
        <w:rPr>
          <w:rFonts w:cs="Arial"/>
        </w:rPr>
        <w:t>uveden v </w:t>
      </w:r>
      <w:r w:rsidR="00F777E2">
        <w:rPr>
          <w:rFonts w:cs="Arial"/>
        </w:rPr>
        <w:t>p</w:t>
      </w:r>
      <w:r w:rsidRPr="00277CBC">
        <w:rPr>
          <w:rFonts w:cs="Arial"/>
        </w:rPr>
        <w:t xml:space="preserve">říloze </w:t>
      </w:r>
      <w:r w:rsidR="00F777E2">
        <w:rPr>
          <w:rFonts w:cs="Arial"/>
        </w:rPr>
        <w:t>P.</w:t>
      </w:r>
      <w:r w:rsidRPr="00277CBC">
        <w:rPr>
          <w:rFonts w:cs="Arial"/>
        </w:rPr>
        <w:t>1.</w:t>
      </w:r>
    </w:p>
    <w:p w14:paraId="28C60820" w14:textId="4E87DA26" w:rsidR="0019303E" w:rsidRDefault="0019303E" w:rsidP="00725492">
      <w:pPr>
        <w:pStyle w:val="Nadpis2"/>
        <w:ind w:left="578" w:hanging="578"/>
        <w:rPr>
          <w:rFonts w:eastAsia="Times New Roman"/>
        </w:rPr>
      </w:pPr>
      <w:bookmarkStart w:id="20" w:name="_Toc215589299"/>
      <w:r w:rsidRPr="0019303E">
        <w:rPr>
          <w:rFonts w:eastAsia="Times New Roman"/>
        </w:rPr>
        <w:t xml:space="preserve">Finanční toky </w:t>
      </w:r>
      <w:r w:rsidR="00426596">
        <w:rPr>
          <w:rFonts w:eastAsia="Times New Roman"/>
        </w:rPr>
        <w:t xml:space="preserve">ve </w:t>
      </w:r>
      <w:proofErr w:type="spellStart"/>
      <w:r w:rsidR="00EB6353">
        <w:rPr>
          <w:rFonts w:eastAsia="Times New Roman"/>
        </w:rPr>
        <w:t>VaV</w:t>
      </w:r>
      <w:bookmarkEnd w:id="20"/>
      <w:proofErr w:type="spellEnd"/>
    </w:p>
    <w:p w14:paraId="1A2DC78B" w14:textId="02DDBEB0" w:rsidR="00721335" w:rsidRDefault="00721335" w:rsidP="00721335">
      <w:pPr>
        <w:spacing w:after="240" w:line="360" w:lineRule="auto"/>
        <w:ind w:firstLine="578"/>
        <w:jc w:val="both"/>
        <w:rPr>
          <w:rFonts w:eastAsia="Times New Roman" w:cs="Arial"/>
          <w:bCs/>
          <w:lang w:eastAsia="cs-CZ"/>
        </w:rPr>
      </w:pPr>
      <w:r w:rsidRPr="005F2FC4">
        <w:rPr>
          <w:rFonts w:eastAsia="Times New Roman" w:cs="Arial"/>
          <w:lang w:eastAsia="cs-CZ"/>
        </w:rPr>
        <w:t xml:space="preserve">Celkové výdaje na </w:t>
      </w:r>
      <w:proofErr w:type="spellStart"/>
      <w:r w:rsidRPr="005F2FC4">
        <w:rPr>
          <w:rFonts w:eastAsia="Times New Roman" w:cs="Arial"/>
          <w:lang w:eastAsia="cs-CZ"/>
        </w:rPr>
        <w:t>VaV</w:t>
      </w:r>
      <w:proofErr w:type="spellEnd"/>
      <w:r w:rsidRPr="005F2FC4">
        <w:rPr>
          <w:rFonts w:eastAsia="Times New Roman" w:cs="Arial"/>
          <w:lang w:eastAsia="cs-CZ"/>
        </w:rPr>
        <w:t xml:space="preserve"> (GERD</w:t>
      </w:r>
      <w:r>
        <w:rPr>
          <w:rFonts w:eastAsia="Times New Roman" w:cs="Arial"/>
          <w:lang w:eastAsia="cs-CZ"/>
        </w:rPr>
        <w:t xml:space="preserve">, Gross </w:t>
      </w:r>
      <w:proofErr w:type="spellStart"/>
      <w:r>
        <w:rPr>
          <w:rFonts w:eastAsia="Times New Roman" w:cs="Arial"/>
          <w:lang w:eastAsia="cs-CZ"/>
        </w:rPr>
        <w:t>Domestic</w:t>
      </w:r>
      <w:proofErr w:type="spellEnd"/>
      <w:r>
        <w:rPr>
          <w:rFonts w:eastAsia="Times New Roman" w:cs="Arial"/>
          <w:lang w:eastAsia="cs-CZ"/>
        </w:rPr>
        <w:t xml:space="preserve"> </w:t>
      </w:r>
      <w:proofErr w:type="spellStart"/>
      <w:r>
        <w:rPr>
          <w:rFonts w:eastAsia="Times New Roman" w:cs="Arial"/>
          <w:lang w:eastAsia="cs-CZ"/>
        </w:rPr>
        <w:t>Expenditure</w:t>
      </w:r>
      <w:proofErr w:type="spellEnd"/>
      <w:r>
        <w:rPr>
          <w:rFonts w:eastAsia="Times New Roman" w:cs="Arial"/>
          <w:lang w:eastAsia="cs-CZ"/>
        </w:rPr>
        <w:t xml:space="preserve"> on </w:t>
      </w:r>
      <w:proofErr w:type="spellStart"/>
      <w:r>
        <w:rPr>
          <w:rFonts w:eastAsia="Times New Roman" w:cs="Arial"/>
          <w:lang w:eastAsia="cs-CZ"/>
        </w:rPr>
        <w:t>Research</w:t>
      </w:r>
      <w:proofErr w:type="spellEnd"/>
      <w:r>
        <w:rPr>
          <w:rFonts w:eastAsia="Times New Roman" w:cs="Arial"/>
          <w:lang w:eastAsia="cs-CZ"/>
        </w:rPr>
        <w:t xml:space="preserve"> and</w:t>
      </w:r>
      <w:r w:rsidR="00427593">
        <w:rPr>
          <w:rFonts w:eastAsia="Times New Roman" w:cs="Arial"/>
          <w:lang w:eastAsia="cs-CZ"/>
        </w:rPr>
        <w:t> </w:t>
      </w:r>
      <w:r>
        <w:rPr>
          <w:rFonts w:eastAsia="Times New Roman" w:cs="Arial"/>
          <w:lang w:eastAsia="cs-CZ"/>
        </w:rPr>
        <w:t xml:space="preserve">Development, Celkové výdaje na </w:t>
      </w:r>
      <w:proofErr w:type="spellStart"/>
      <w:r>
        <w:rPr>
          <w:rFonts w:eastAsia="Times New Roman" w:cs="Arial"/>
          <w:lang w:eastAsia="cs-CZ"/>
        </w:rPr>
        <w:t>VaV</w:t>
      </w:r>
      <w:proofErr w:type="spellEnd"/>
      <w:r w:rsidRPr="005F2FC4">
        <w:rPr>
          <w:rFonts w:eastAsia="Times New Roman" w:cs="Arial"/>
          <w:lang w:eastAsia="cs-CZ"/>
        </w:rPr>
        <w:t>) v</w:t>
      </w:r>
      <w:r>
        <w:rPr>
          <w:rFonts w:eastAsia="Times New Roman" w:cs="Arial"/>
          <w:lang w:eastAsia="cs-CZ"/>
        </w:rPr>
        <w:t> </w:t>
      </w:r>
      <w:r w:rsidRPr="005F2FC4">
        <w:rPr>
          <w:rFonts w:eastAsia="Times New Roman" w:cs="Arial"/>
          <w:lang w:eastAsia="cs-CZ"/>
        </w:rPr>
        <w:t>ČR v roce 202</w:t>
      </w:r>
      <w:r>
        <w:rPr>
          <w:rFonts w:eastAsia="Times New Roman" w:cs="Arial"/>
          <w:lang w:eastAsia="cs-CZ"/>
        </w:rPr>
        <w:t>4</w:t>
      </w:r>
      <w:r w:rsidRPr="005F2FC4">
        <w:rPr>
          <w:rFonts w:eastAsia="Times New Roman" w:cs="Arial"/>
          <w:lang w:eastAsia="cs-CZ"/>
        </w:rPr>
        <w:t xml:space="preserve"> </w:t>
      </w:r>
      <w:r>
        <w:rPr>
          <w:rFonts w:eastAsia="Times New Roman" w:cs="Arial"/>
          <w:lang w:eastAsia="cs-CZ"/>
        </w:rPr>
        <w:t xml:space="preserve">činily </w:t>
      </w:r>
      <w:r w:rsidRPr="005F2FC4">
        <w:rPr>
          <w:rFonts w:eastAsia="Times New Roman" w:cs="Arial"/>
          <w:lang w:eastAsia="cs-CZ"/>
        </w:rPr>
        <w:t>1</w:t>
      </w:r>
      <w:r>
        <w:rPr>
          <w:rFonts w:eastAsia="Times New Roman" w:cs="Arial"/>
          <w:lang w:eastAsia="cs-CZ"/>
        </w:rPr>
        <w:t>46</w:t>
      </w:r>
      <w:r w:rsidRPr="005F2FC4">
        <w:rPr>
          <w:rFonts w:eastAsia="Times New Roman" w:cs="Arial"/>
          <w:lang w:eastAsia="cs-CZ"/>
        </w:rPr>
        <w:t>,</w:t>
      </w:r>
      <w:r>
        <w:rPr>
          <w:rFonts w:eastAsia="Times New Roman" w:cs="Arial"/>
          <w:lang w:eastAsia="cs-CZ"/>
        </w:rPr>
        <w:t>9</w:t>
      </w:r>
      <w:r w:rsidRPr="005F2FC4">
        <w:rPr>
          <w:rFonts w:eastAsia="Times New Roman" w:cs="Arial"/>
          <w:lang w:eastAsia="cs-CZ"/>
        </w:rPr>
        <w:t xml:space="preserve"> mld. Kč (meziroční nárůst </w:t>
      </w:r>
      <w:r>
        <w:rPr>
          <w:rFonts w:eastAsia="Times New Roman" w:cs="Arial"/>
          <w:lang w:eastAsia="cs-CZ"/>
        </w:rPr>
        <w:t>činil 7</w:t>
      </w:r>
      <w:r w:rsidRPr="005F2FC4">
        <w:rPr>
          <w:rFonts w:eastAsia="Times New Roman" w:cs="Arial"/>
          <w:lang w:eastAsia="cs-CZ"/>
        </w:rPr>
        <w:t>,</w:t>
      </w:r>
      <w:r>
        <w:rPr>
          <w:rFonts w:eastAsia="Times New Roman" w:cs="Arial"/>
          <w:lang w:eastAsia="cs-CZ"/>
        </w:rPr>
        <w:t>2 </w:t>
      </w:r>
      <w:r w:rsidRPr="005F2FC4">
        <w:rPr>
          <w:rFonts w:eastAsia="Times New Roman" w:cs="Arial"/>
          <w:lang w:eastAsia="cs-CZ"/>
        </w:rPr>
        <w:t>mld.</w:t>
      </w:r>
      <w:r>
        <w:rPr>
          <w:rFonts w:eastAsia="Times New Roman" w:cs="Arial"/>
          <w:lang w:eastAsia="cs-CZ"/>
        </w:rPr>
        <w:t> </w:t>
      </w:r>
      <w:r w:rsidRPr="005F2FC4">
        <w:rPr>
          <w:rFonts w:eastAsia="Times New Roman" w:cs="Arial"/>
          <w:lang w:eastAsia="cs-CZ"/>
        </w:rPr>
        <w:t xml:space="preserve">Kč), </w:t>
      </w:r>
      <w:r>
        <w:rPr>
          <w:rFonts w:eastAsia="Times New Roman" w:cs="Arial"/>
          <w:lang w:eastAsia="cs-CZ"/>
        </w:rPr>
        <w:t>odpovídající</w:t>
      </w:r>
      <w:r w:rsidRPr="005F2FC4">
        <w:rPr>
          <w:rFonts w:eastAsia="Times New Roman" w:cs="Arial"/>
          <w:lang w:eastAsia="cs-CZ"/>
        </w:rPr>
        <w:t xml:space="preserve"> 1,</w:t>
      </w:r>
      <w:r>
        <w:rPr>
          <w:rFonts w:eastAsia="Times New Roman" w:cs="Arial"/>
          <w:lang w:eastAsia="cs-CZ"/>
        </w:rPr>
        <w:t>82</w:t>
      </w:r>
      <w:r w:rsidRPr="005F2FC4">
        <w:rPr>
          <w:rFonts w:eastAsia="Times New Roman" w:cs="Arial"/>
          <w:lang w:eastAsia="cs-CZ"/>
        </w:rPr>
        <w:t xml:space="preserve"> % HDP. </w:t>
      </w:r>
      <w:r>
        <w:rPr>
          <w:rFonts w:eastAsia="Times New Roman" w:cs="Arial"/>
          <w:lang w:eastAsia="cs-CZ"/>
        </w:rPr>
        <w:t>GERD</w:t>
      </w:r>
      <w:r w:rsidRPr="005F2FC4">
        <w:rPr>
          <w:rFonts w:eastAsia="Times New Roman" w:cs="Arial"/>
          <w:lang w:eastAsia="cs-CZ"/>
        </w:rPr>
        <w:t xml:space="preserve"> jsou z 6</w:t>
      </w:r>
      <w:r>
        <w:rPr>
          <w:rFonts w:eastAsia="Times New Roman" w:cs="Arial"/>
          <w:lang w:eastAsia="cs-CZ"/>
        </w:rPr>
        <w:t>3</w:t>
      </w:r>
      <w:r w:rsidRPr="005F2FC4">
        <w:rPr>
          <w:rFonts w:eastAsia="Times New Roman" w:cs="Arial"/>
          <w:lang w:eastAsia="cs-CZ"/>
        </w:rPr>
        <w:t xml:space="preserve"> % tvoře</w:t>
      </w:r>
      <w:r>
        <w:rPr>
          <w:rFonts w:eastAsia="Times New Roman" w:cs="Arial"/>
          <w:lang w:eastAsia="cs-CZ"/>
        </w:rPr>
        <w:t>ny podnikovými zdroji (</w:t>
      </w:r>
      <w:r>
        <w:rPr>
          <w:rFonts w:eastAsia="Times New Roman" w:cs="Arial"/>
          <w:bCs/>
          <w:lang w:eastAsia="cs-CZ"/>
        </w:rPr>
        <w:t>93</w:t>
      </w:r>
      <w:r w:rsidRPr="005F2FC4">
        <w:rPr>
          <w:rFonts w:eastAsia="Times New Roman" w:cs="Arial"/>
          <w:bCs/>
          <w:lang w:eastAsia="cs-CZ"/>
        </w:rPr>
        <w:t>,</w:t>
      </w:r>
      <w:r>
        <w:rPr>
          <w:rFonts w:eastAsia="Times New Roman" w:cs="Arial"/>
          <w:bCs/>
          <w:lang w:eastAsia="cs-CZ"/>
        </w:rPr>
        <w:t>1 </w:t>
      </w:r>
      <w:r w:rsidRPr="005F2FC4">
        <w:rPr>
          <w:rFonts w:eastAsia="Times New Roman" w:cs="Arial"/>
          <w:bCs/>
          <w:lang w:eastAsia="cs-CZ"/>
        </w:rPr>
        <w:t>mld.</w:t>
      </w:r>
      <w:r>
        <w:rPr>
          <w:rFonts w:eastAsia="Times New Roman" w:cs="Arial"/>
          <w:bCs/>
          <w:lang w:eastAsia="cs-CZ"/>
        </w:rPr>
        <w:t> </w:t>
      </w:r>
      <w:r w:rsidRPr="005F2FC4">
        <w:rPr>
          <w:rFonts w:eastAsia="Times New Roman" w:cs="Arial"/>
          <w:bCs/>
          <w:lang w:eastAsia="cs-CZ"/>
        </w:rPr>
        <w:t>Kč</w:t>
      </w:r>
      <w:r>
        <w:rPr>
          <w:rFonts w:eastAsia="Times New Roman" w:cs="Arial"/>
          <w:bCs/>
          <w:lang w:eastAsia="cs-CZ"/>
        </w:rPr>
        <w:t>)</w:t>
      </w:r>
      <w:r>
        <w:rPr>
          <w:rFonts w:eastAsia="Times New Roman" w:cs="Arial"/>
          <w:lang w:eastAsia="cs-CZ"/>
        </w:rPr>
        <w:t>, z 29 </w:t>
      </w:r>
      <w:r w:rsidRPr="005F2FC4">
        <w:rPr>
          <w:rFonts w:eastAsia="Times New Roman" w:cs="Arial"/>
          <w:lang w:eastAsia="cs-CZ"/>
        </w:rPr>
        <w:t xml:space="preserve">% veřejnými </w:t>
      </w:r>
      <w:r>
        <w:rPr>
          <w:rFonts w:eastAsia="Times New Roman" w:cs="Arial"/>
          <w:lang w:eastAsia="cs-CZ"/>
        </w:rPr>
        <w:t xml:space="preserve">národními </w:t>
      </w:r>
      <w:r w:rsidRPr="005F2FC4">
        <w:rPr>
          <w:rFonts w:eastAsia="Times New Roman" w:cs="Arial"/>
          <w:lang w:eastAsia="cs-CZ"/>
        </w:rPr>
        <w:t xml:space="preserve">zdroji </w:t>
      </w:r>
      <w:r>
        <w:rPr>
          <w:rFonts w:eastAsia="Times New Roman" w:cs="Arial"/>
          <w:lang w:eastAsia="cs-CZ"/>
        </w:rPr>
        <w:t>(</w:t>
      </w:r>
      <w:r w:rsidRPr="005F2FC4">
        <w:rPr>
          <w:rFonts w:eastAsia="Times New Roman" w:cs="Arial"/>
          <w:bCs/>
          <w:lang w:eastAsia="cs-CZ"/>
        </w:rPr>
        <w:t>4</w:t>
      </w:r>
      <w:r>
        <w:rPr>
          <w:rFonts w:eastAsia="Times New Roman" w:cs="Arial"/>
          <w:bCs/>
          <w:lang w:eastAsia="cs-CZ"/>
        </w:rPr>
        <w:t>3</w:t>
      </w:r>
      <w:r w:rsidRPr="005F2FC4">
        <w:rPr>
          <w:rFonts w:eastAsia="Times New Roman" w:cs="Arial"/>
          <w:bCs/>
          <w:lang w:eastAsia="cs-CZ"/>
        </w:rPr>
        <w:t>,</w:t>
      </w:r>
      <w:r>
        <w:rPr>
          <w:rFonts w:eastAsia="Times New Roman" w:cs="Arial"/>
          <w:bCs/>
          <w:lang w:eastAsia="cs-CZ"/>
        </w:rPr>
        <w:t>1 </w:t>
      </w:r>
      <w:r w:rsidRPr="005F2FC4">
        <w:rPr>
          <w:rFonts w:eastAsia="Times New Roman" w:cs="Arial"/>
          <w:bCs/>
          <w:lang w:eastAsia="cs-CZ"/>
        </w:rPr>
        <w:t>mld.</w:t>
      </w:r>
      <w:r>
        <w:rPr>
          <w:rFonts w:eastAsia="Times New Roman" w:cs="Arial"/>
          <w:bCs/>
          <w:lang w:eastAsia="cs-CZ"/>
        </w:rPr>
        <w:t> </w:t>
      </w:r>
      <w:r w:rsidRPr="005F2FC4">
        <w:rPr>
          <w:rFonts w:eastAsia="Times New Roman" w:cs="Arial"/>
          <w:bCs/>
          <w:lang w:eastAsia="cs-CZ"/>
        </w:rPr>
        <w:t>Kč</w:t>
      </w:r>
      <w:r>
        <w:rPr>
          <w:rFonts w:eastAsia="Times New Roman" w:cs="Arial"/>
          <w:bCs/>
          <w:lang w:eastAsia="cs-CZ"/>
        </w:rPr>
        <w:t xml:space="preserve">) </w:t>
      </w:r>
      <w:r w:rsidRPr="005F2FC4">
        <w:rPr>
          <w:rFonts w:eastAsia="Times New Roman" w:cs="Arial"/>
          <w:lang w:eastAsia="cs-CZ"/>
        </w:rPr>
        <w:t xml:space="preserve">a </w:t>
      </w:r>
      <w:r>
        <w:rPr>
          <w:rFonts w:eastAsia="Times New Roman" w:cs="Arial"/>
          <w:lang w:eastAsia="cs-CZ"/>
        </w:rPr>
        <w:t>6</w:t>
      </w:r>
      <w:r w:rsidRPr="005F2FC4">
        <w:rPr>
          <w:rFonts w:eastAsia="Times New Roman" w:cs="Arial"/>
          <w:lang w:eastAsia="cs-CZ"/>
        </w:rPr>
        <w:t xml:space="preserve"> % </w:t>
      </w:r>
      <w:r>
        <w:rPr>
          <w:rFonts w:eastAsia="Times New Roman" w:cs="Arial"/>
          <w:lang w:eastAsia="cs-CZ"/>
        </w:rPr>
        <w:t>reprezentují</w:t>
      </w:r>
      <w:r w:rsidRPr="005F2FC4">
        <w:rPr>
          <w:rFonts w:eastAsia="Times New Roman" w:cs="Arial"/>
          <w:lang w:eastAsia="cs-CZ"/>
        </w:rPr>
        <w:t xml:space="preserve"> zdroje </w:t>
      </w:r>
      <w:r>
        <w:rPr>
          <w:rFonts w:eastAsia="Times New Roman" w:cs="Arial"/>
          <w:lang w:eastAsia="cs-CZ"/>
        </w:rPr>
        <w:t>EU (</w:t>
      </w:r>
      <w:r>
        <w:rPr>
          <w:rFonts w:eastAsia="Times New Roman" w:cs="Arial"/>
          <w:bCs/>
          <w:lang w:eastAsia="cs-CZ"/>
        </w:rPr>
        <w:t>9</w:t>
      </w:r>
      <w:r w:rsidRPr="005F2FC4">
        <w:rPr>
          <w:rFonts w:eastAsia="Times New Roman" w:cs="Arial"/>
          <w:bCs/>
          <w:lang w:eastAsia="cs-CZ"/>
        </w:rPr>
        <w:t>,</w:t>
      </w:r>
      <w:r>
        <w:rPr>
          <w:rFonts w:eastAsia="Times New Roman" w:cs="Arial"/>
          <w:bCs/>
          <w:lang w:eastAsia="cs-CZ"/>
        </w:rPr>
        <w:t>2 </w:t>
      </w:r>
      <w:r w:rsidRPr="005F2FC4">
        <w:rPr>
          <w:rFonts w:eastAsia="Times New Roman" w:cs="Arial"/>
          <w:bCs/>
          <w:lang w:eastAsia="cs-CZ"/>
        </w:rPr>
        <w:t>mld. Kč</w:t>
      </w:r>
      <w:r>
        <w:rPr>
          <w:rFonts w:eastAsia="Times New Roman" w:cs="Arial"/>
          <w:bCs/>
          <w:lang w:eastAsia="cs-CZ"/>
        </w:rPr>
        <w:t>)</w:t>
      </w:r>
      <w:r w:rsidRPr="005F2FC4">
        <w:rPr>
          <w:rFonts w:eastAsia="Times New Roman" w:cs="Arial"/>
          <w:lang w:eastAsia="cs-CZ"/>
        </w:rPr>
        <w:t xml:space="preserve">. </w:t>
      </w:r>
      <w:r>
        <w:rPr>
          <w:rFonts w:eastAsia="Times New Roman" w:cs="Arial"/>
          <w:lang w:eastAsia="cs-CZ"/>
        </w:rPr>
        <w:t>Nepatrnou</w:t>
      </w:r>
      <w:r w:rsidRPr="005F2FC4">
        <w:rPr>
          <w:rFonts w:eastAsia="Times New Roman" w:cs="Arial"/>
          <w:lang w:eastAsia="cs-CZ"/>
        </w:rPr>
        <w:t xml:space="preserve"> část </w:t>
      </w:r>
      <w:r>
        <w:rPr>
          <w:rFonts w:eastAsia="Times New Roman" w:cs="Arial"/>
          <w:lang w:eastAsia="cs-CZ"/>
        </w:rPr>
        <w:t xml:space="preserve">1 % </w:t>
      </w:r>
      <w:r w:rsidRPr="005F2FC4">
        <w:rPr>
          <w:rFonts w:eastAsia="Times New Roman" w:cs="Arial"/>
          <w:lang w:eastAsia="cs-CZ"/>
        </w:rPr>
        <w:t xml:space="preserve">celkových výdajů na </w:t>
      </w:r>
      <w:proofErr w:type="spellStart"/>
      <w:r w:rsidRPr="005F2FC4">
        <w:rPr>
          <w:rFonts w:eastAsia="Times New Roman" w:cs="Arial"/>
          <w:lang w:eastAsia="cs-CZ"/>
        </w:rPr>
        <w:t>VaV</w:t>
      </w:r>
      <w:proofErr w:type="spellEnd"/>
      <w:r w:rsidRPr="005F2FC4">
        <w:rPr>
          <w:rFonts w:eastAsia="Times New Roman" w:cs="Arial"/>
          <w:lang w:eastAsia="cs-CZ"/>
        </w:rPr>
        <w:t xml:space="preserve"> představují ostatní zdroje</w:t>
      </w:r>
      <w:r>
        <w:rPr>
          <w:rFonts w:eastAsia="Times New Roman" w:cs="Arial"/>
          <w:lang w:eastAsia="cs-CZ"/>
        </w:rPr>
        <w:t xml:space="preserve"> (</w:t>
      </w:r>
      <w:r>
        <w:rPr>
          <w:rFonts w:eastAsia="Times New Roman" w:cs="Arial"/>
          <w:bCs/>
          <w:lang w:eastAsia="cs-CZ"/>
        </w:rPr>
        <w:t>1,5 mld. Kč)</w:t>
      </w:r>
      <w:r w:rsidRPr="005F2FC4">
        <w:rPr>
          <w:rFonts w:eastAsia="Times New Roman" w:cs="Arial"/>
          <w:lang w:eastAsia="cs-CZ"/>
        </w:rPr>
        <w:t xml:space="preserve">, kam </w:t>
      </w:r>
      <w:r>
        <w:rPr>
          <w:rFonts w:eastAsia="Times New Roman" w:cs="Arial"/>
          <w:lang w:eastAsia="cs-CZ"/>
        </w:rPr>
        <w:t>spadají</w:t>
      </w:r>
      <w:r w:rsidRPr="005F2FC4">
        <w:rPr>
          <w:rFonts w:eastAsia="Times New Roman" w:cs="Arial"/>
          <w:lang w:eastAsia="cs-CZ"/>
        </w:rPr>
        <w:t xml:space="preserve"> například </w:t>
      </w:r>
      <w:r>
        <w:rPr>
          <w:rFonts w:eastAsia="Times New Roman" w:cs="Arial"/>
          <w:lang w:eastAsia="cs-CZ"/>
        </w:rPr>
        <w:t xml:space="preserve">vlastní </w:t>
      </w:r>
      <w:r w:rsidRPr="005F2FC4">
        <w:rPr>
          <w:rFonts w:eastAsia="Times New Roman" w:cs="Arial"/>
          <w:lang w:eastAsia="cs-CZ"/>
        </w:rPr>
        <w:t xml:space="preserve">příjmy vysokých škol </w:t>
      </w:r>
      <w:r w:rsidRPr="00397F46">
        <w:rPr>
          <w:rFonts w:eastAsia="Times New Roman" w:cs="Arial"/>
          <w:lang w:eastAsia="cs-CZ"/>
        </w:rPr>
        <w:t>a</w:t>
      </w:r>
      <w:r>
        <w:rPr>
          <w:rFonts w:eastAsia="Times New Roman" w:cs="Arial"/>
          <w:lang w:eastAsia="cs-CZ"/>
        </w:rPr>
        <w:t> </w:t>
      </w:r>
      <w:r w:rsidRPr="00397F46">
        <w:rPr>
          <w:rFonts w:eastAsia="Times New Roman" w:cs="Arial"/>
          <w:lang w:eastAsia="cs-CZ"/>
        </w:rPr>
        <w:t>soukromých neziskových institucí nepocházející ze státního rozpočtu, podnikatelského sektoru ani</w:t>
      </w:r>
      <w:r>
        <w:rPr>
          <w:rFonts w:eastAsia="Times New Roman" w:cs="Arial"/>
          <w:lang w:eastAsia="cs-CZ"/>
        </w:rPr>
        <w:t> </w:t>
      </w:r>
      <w:r w:rsidRPr="00397F46">
        <w:rPr>
          <w:rFonts w:eastAsia="Times New Roman" w:cs="Arial"/>
          <w:lang w:eastAsia="cs-CZ"/>
        </w:rPr>
        <w:t>ze zahraničí</w:t>
      </w:r>
      <w:r>
        <w:rPr>
          <w:rFonts w:eastAsia="Times New Roman" w:cs="Arial"/>
          <w:lang w:eastAsia="cs-CZ"/>
        </w:rPr>
        <w:t xml:space="preserve"> a dále </w:t>
      </w:r>
      <w:r w:rsidRPr="00397F46">
        <w:rPr>
          <w:rFonts w:eastAsia="Times New Roman" w:cs="Arial"/>
          <w:lang w:eastAsia="cs-CZ"/>
        </w:rPr>
        <w:t>zdroje z</w:t>
      </w:r>
      <w:r>
        <w:rPr>
          <w:rFonts w:eastAsia="Times New Roman" w:cs="Arial"/>
          <w:lang w:eastAsia="cs-CZ"/>
        </w:rPr>
        <w:t> </w:t>
      </w:r>
      <w:r w:rsidRPr="00397F46">
        <w:rPr>
          <w:rFonts w:eastAsia="Times New Roman" w:cs="Arial"/>
          <w:lang w:eastAsia="cs-CZ"/>
        </w:rPr>
        <w:t>mezinárodních organizací mimo EU.</w:t>
      </w:r>
      <w:r w:rsidRPr="00A71F72">
        <w:rPr>
          <w:rFonts w:eastAsia="Times New Roman" w:cs="Arial"/>
          <w:bCs/>
          <w:lang w:eastAsia="cs-CZ"/>
        </w:rPr>
        <w:t xml:space="preserve"> </w:t>
      </w:r>
    </w:p>
    <w:p w14:paraId="6D3A0A65" w14:textId="55D8A1F8" w:rsidR="00387F5A" w:rsidRDefault="00A83889" w:rsidP="00E071C0">
      <w:pPr>
        <w:spacing w:after="0"/>
        <w:jc w:val="both"/>
        <w:rPr>
          <w:b/>
        </w:rPr>
      </w:pPr>
      <w:r w:rsidRPr="00E8772A">
        <w:rPr>
          <w:b/>
        </w:rPr>
        <w:t>Graf B.2.1:</w:t>
      </w:r>
      <w:r>
        <w:rPr>
          <w:b/>
        </w:rPr>
        <w:t xml:space="preserve"> </w:t>
      </w:r>
      <w:r w:rsidR="00387F5A" w:rsidRPr="00464902">
        <w:rPr>
          <w:b/>
        </w:rPr>
        <w:t xml:space="preserve">Celkové výdaje na </w:t>
      </w:r>
      <w:proofErr w:type="spellStart"/>
      <w:r w:rsidR="00387F5A">
        <w:rPr>
          <w:b/>
        </w:rPr>
        <w:t>VaV</w:t>
      </w:r>
      <w:proofErr w:type="spellEnd"/>
      <w:r w:rsidR="00387F5A" w:rsidRPr="00464902">
        <w:rPr>
          <w:b/>
        </w:rPr>
        <w:t xml:space="preserve"> (GERD) v ČR v letech 20</w:t>
      </w:r>
      <w:r w:rsidR="00721335">
        <w:rPr>
          <w:b/>
        </w:rPr>
        <w:t>14</w:t>
      </w:r>
      <w:r w:rsidR="00387F5A" w:rsidRPr="00464902">
        <w:rPr>
          <w:b/>
        </w:rPr>
        <w:t>–202</w:t>
      </w:r>
      <w:r w:rsidR="00721335">
        <w:rPr>
          <w:b/>
        </w:rPr>
        <w:t>4</w:t>
      </w:r>
      <w:r w:rsidR="00387F5A" w:rsidRPr="00464902">
        <w:rPr>
          <w:b/>
        </w:rPr>
        <w:t xml:space="preserve"> podle zdrojů financování (v běžných cenách)</w:t>
      </w:r>
    </w:p>
    <w:p w14:paraId="60AF60BE" w14:textId="674F6862" w:rsidR="00721335" w:rsidRDefault="00721335" w:rsidP="00E071C0">
      <w:pPr>
        <w:spacing w:after="0"/>
        <w:jc w:val="both"/>
        <w:rPr>
          <w:b/>
        </w:rPr>
      </w:pPr>
      <w:r>
        <w:rPr>
          <w:noProof/>
          <w14:ligatures w14:val="standardContextual"/>
        </w:rPr>
        <w:drawing>
          <wp:inline distT="0" distB="0" distL="0" distR="0" wp14:anchorId="6C64666B" wp14:editId="6D2939A2">
            <wp:extent cx="6120130" cy="2972105"/>
            <wp:effectExtent l="0" t="0" r="0" b="0"/>
            <wp:docPr id="1152295927" name="Graf 1">
              <a:extLst xmlns:a="http://schemas.openxmlformats.org/drawingml/2006/main">
                <a:ext uri="{FF2B5EF4-FFF2-40B4-BE49-F238E27FC236}">
                  <a16:creationId xmlns:a16="http://schemas.microsoft.com/office/drawing/2014/main" id="{B07E029B-A08C-4659-9832-98A9CB07E39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5382C7AC" w14:textId="3750C554" w:rsidR="00387F5A" w:rsidRDefault="00387F5A" w:rsidP="00387F5A">
      <w:pPr>
        <w:pStyle w:val="Zdrojapoznmka"/>
      </w:pPr>
      <w:r w:rsidRPr="00FF0D39">
        <w:t>Zdroj: ČSÚ</w:t>
      </w:r>
      <w:r w:rsidR="00721335">
        <w:t>, 2025</w:t>
      </w:r>
    </w:p>
    <w:p w14:paraId="36978D6A" w14:textId="77777777" w:rsidR="00721335" w:rsidRDefault="00721335" w:rsidP="00721335">
      <w:pPr>
        <w:spacing w:after="240" w:line="360" w:lineRule="auto"/>
        <w:ind w:firstLine="708"/>
        <w:jc w:val="both"/>
        <w:rPr>
          <w:rFonts w:eastAsia="Times New Roman" w:cs="Arial"/>
          <w:bCs/>
          <w:lang w:eastAsia="cs-CZ"/>
        </w:rPr>
      </w:pPr>
      <w:r>
        <w:rPr>
          <w:rFonts w:eastAsia="Times New Roman" w:cs="Arial"/>
          <w:bCs/>
          <w:lang w:eastAsia="cs-CZ"/>
        </w:rPr>
        <w:t xml:space="preserve">Od roku 2020 lze u ČR, navzdory nominálnímu růstu, </w:t>
      </w:r>
      <w:r w:rsidRPr="00FF0D39">
        <w:rPr>
          <w:rFonts w:eastAsia="Times New Roman" w:cs="Arial"/>
          <w:bCs/>
          <w:lang w:eastAsia="cs-CZ"/>
        </w:rPr>
        <w:t xml:space="preserve">sledovat </w:t>
      </w:r>
      <w:r>
        <w:rPr>
          <w:rFonts w:eastAsia="Times New Roman" w:cs="Arial"/>
          <w:bCs/>
          <w:lang w:eastAsia="cs-CZ"/>
        </w:rPr>
        <w:t>stagnující</w:t>
      </w:r>
      <w:r w:rsidRPr="00FF0D39">
        <w:rPr>
          <w:rFonts w:eastAsia="Times New Roman" w:cs="Arial"/>
          <w:bCs/>
          <w:lang w:eastAsia="cs-CZ"/>
        </w:rPr>
        <w:t xml:space="preserve"> trend vývoje </w:t>
      </w:r>
      <w:r>
        <w:rPr>
          <w:rFonts w:eastAsia="Times New Roman" w:cs="Arial"/>
          <w:bCs/>
          <w:lang w:eastAsia="cs-CZ"/>
        </w:rPr>
        <w:t>GERD v % HDP</w:t>
      </w:r>
      <w:r w:rsidRPr="00FF0D39">
        <w:rPr>
          <w:rFonts w:eastAsia="Times New Roman" w:cs="Arial"/>
          <w:bCs/>
          <w:lang w:eastAsia="cs-CZ"/>
        </w:rPr>
        <w:t xml:space="preserve">, </w:t>
      </w:r>
      <w:r>
        <w:rPr>
          <w:rFonts w:eastAsia="Times New Roman" w:cs="Arial"/>
          <w:bCs/>
          <w:lang w:eastAsia="cs-CZ"/>
        </w:rPr>
        <w:t>v letech 2023 a </w:t>
      </w:r>
      <w:r w:rsidRPr="00FF0D39">
        <w:rPr>
          <w:rFonts w:eastAsia="Times New Roman" w:cs="Arial"/>
          <w:bCs/>
          <w:lang w:eastAsia="cs-CZ"/>
        </w:rPr>
        <w:t>2</w:t>
      </w:r>
      <w:r>
        <w:rPr>
          <w:rFonts w:eastAsia="Times New Roman" w:cs="Arial"/>
          <w:bCs/>
          <w:lang w:eastAsia="cs-CZ"/>
        </w:rPr>
        <w:t>024 tento podíl ustrnul na hodnotě 1,82 </w:t>
      </w:r>
      <w:r w:rsidRPr="00FF0D39">
        <w:rPr>
          <w:rFonts w:eastAsia="Times New Roman" w:cs="Arial"/>
          <w:bCs/>
          <w:lang w:eastAsia="cs-CZ"/>
        </w:rPr>
        <w:t>%</w:t>
      </w:r>
      <w:r>
        <w:rPr>
          <w:rFonts w:eastAsia="Times New Roman" w:cs="Arial"/>
          <w:bCs/>
          <w:lang w:eastAsia="cs-CZ"/>
        </w:rPr>
        <w:t>.</w:t>
      </w:r>
      <w:r>
        <w:rPr>
          <w:rStyle w:val="Znakapoznpodarou"/>
          <w:rFonts w:eastAsia="Times New Roman" w:cs="Arial"/>
          <w:bCs/>
          <w:lang w:eastAsia="cs-CZ"/>
        </w:rPr>
        <w:footnoteReference w:id="2"/>
      </w:r>
      <w:r>
        <w:rPr>
          <w:rFonts w:eastAsia="Times New Roman" w:cs="Arial"/>
          <w:bCs/>
          <w:lang w:eastAsia="cs-CZ"/>
        </w:rPr>
        <w:t xml:space="preserve"> </w:t>
      </w:r>
    </w:p>
    <w:p w14:paraId="3D515C96" w14:textId="3C62D524" w:rsidR="00721335" w:rsidRDefault="00721335" w:rsidP="00721335">
      <w:pPr>
        <w:spacing w:after="240" w:line="360" w:lineRule="auto"/>
        <w:ind w:firstLine="708"/>
        <w:jc w:val="both"/>
        <w:rPr>
          <w:rFonts w:eastAsia="Times New Roman" w:cs="Arial"/>
          <w:bCs/>
          <w:lang w:eastAsia="cs-CZ"/>
        </w:rPr>
      </w:pPr>
      <w:r w:rsidRPr="00FF0D39">
        <w:rPr>
          <w:rFonts w:eastAsia="Times New Roman" w:cs="Arial"/>
          <w:bCs/>
          <w:lang w:eastAsia="cs-CZ"/>
        </w:rPr>
        <w:t xml:space="preserve">V mezinárodním srovnání podílu </w:t>
      </w:r>
      <w:r>
        <w:rPr>
          <w:rFonts w:eastAsia="Times New Roman" w:cs="Arial"/>
          <w:bCs/>
          <w:lang w:eastAsia="cs-CZ"/>
        </w:rPr>
        <w:t>GERD v % </w:t>
      </w:r>
      <w:r w:rsidRPr="00FF0D39">
        <w:rPr>
          <w:rFonts w:eastAsia="Times New Roman" w:cs="Arial"/>
          <w:bCs/>
          <w:lang w:eastAsia="cs-CZ"/>
        </w:rPr>
        <w:t>HDP</w:t>
      </w:r>
      <w:r>
        <w:rPr>
          <w:rFonts w:eastAsia="Times New Roman" w:cs="Arial"/>
          <w:bCs/>
          <w:lang w:eastAsia="cs-CZ"/>
        </w:rPr>
        <w:t xml:space="preserve"> </w:t>
      </w:r>
      <w:r w:rsidRPr="00FF0D39">
        <w:rPr>
          <w:rFonts w:eastAsia="Times New Roman" w:cs="Arial"/>
          <w:bCs/>
          <w:lang w:eastAsia="cs-CZ"/>
        </w:rPr>
        <w:t>ČR nedosahuje průměru EU27</w:t>
      </w:r>
      <w:r>
        <w:rPr>
          <w:rFonts w:eastAsia="Times New Roman" w:cs="Arial"/>
          <w:bCs/>
          <w:lang w:eastAsia="cs-CZ"/>
        </w:rPr>
        <w:t>, který v roce činil 2,26 %</w:t>
      </w:r>
      <w:r>
        <w:rPr>
          <w:rStyle w:val="Znakapoznpodarou"/>
          <w:rFonts w:eastAsia="Times New Roman" w:cs="Arial"/>
          <w:bCs/>
          <w:lang w:eastAsia="cs-CZ"/>
        </w:rPr>
        <w:footnoteReference w:id="3"/>
      </w:r>
      <w:r w:rsidRPr="00FF0D39">
        <w:rPr>
          <w:rFonts w:eastAsia="Times New Roman" w:cs="Arial"/>
          <w:bCs/>
          <w:lang w:eastAsia="cs-CZ"/>
        </w:rPr>
        <w:t xml:space="preserve">. </w:t>
      </w:r>
      <w:r>
        <w:rPr>
          <w:rFonts w:eastAsia="Times New Roman" w:cs="Arial"/>
          <w:bCs/>
          <w:lang w:eastAsia="cs-CZ"/>
        </w:rPr>
        <w:t>N</w:t>
      </w:r>
      <w:r w:rsidRPr="00FF0D39">
        <w:rPr>
          <w:rFonts w:eastAsia="Times New Roman" w:cs="Arial"/>
          <w:bCs/>
          <w:lang w:eastAsia="cs-CZ"/>
        </w:rPr>
        <w:t xml:space="preserve">ejvětší podíl v rámci EU27 </w:t>
      </w:r>
      <w:r>
        <w:rPr>
          <w:rFonts w:eastAsia="Times New Roman" w:cs="Arial"/>
          <w:bCs/>
          <w:lang w:eastAsia="cs-CZ"/>
        </w:rPr>
        <w:t>vykazují</w:t>
      </w:r>
      <w:r w:rsidRPr="00FF0D39">
        <w:rPr>
          <w:rFonts w:eastAsia="Times New Roman" w:cs="Arial"/>
          <w:bCs/>
          <w:lang w:eastAsia="cs-CZ"/>
        </w:rPr>
        <w:t xml:space="preserve"> Švédsko </w:t>
      </w:r>
      <w:r>
        <w:rPr>
          <w:rFonts w:eastAsia="Times New Roman" w:cs="Arial"/>
          <w:bCs/>
          <w:lang w:eastAsia="cs-CZ"/>
        </w:rPr>
        <w:t>(</w:t>
      </w:r>
      <w:r w:rsidRPr="00370482">
        <w:rPr>
          <w:rFonts w:eastAsia="Times New Roman" w:cs="Arial"/>
          <w:bCs/>
          <w:lang w:eastAsia="cs-CZ"/>
        </w:rPr>
        <w:t>3,64 %)</w:t>
      </w:r>
      <w:r>
        <w:rPr>
          <w:rFonts w:eastAsia="Times New Roman" w:cs="Arial"/>
          <w:bCs/>
          <w:lang w:eastAsia="cs-CZ"/>
        </w:rPr>
        <w:t xml:space="preserve">, Belgie (3,27 %) a Rakousko (3,26 %), nejnižší podíl naopak Rumunsko (0,52 %), Malta (0,64 %) a Kypr (0,68 %). Lze pozorovat, že většina zemí střední a východní Evropy se nachází pod hranicí 2 % HDP. </w:t>
      </w:r>
    </w:p>
    <w:p w14:paraId="3E75B45E" w14:textId="3DACAC88" w:rsidR="00387F5A" w:rsidRDefault="00A83889" w:rsidP="007B2741">
      <w:pPr>
        <w:keepNext/>
        <w:spacing w:after="0"/>
        <w:jc w:val="both"/>
        <w:rPr>
          <w:b/>
        </w:rPr>
      </w:pPr>
      <w:r w:rsidRPr="00E8772A">
        <w:rPr>
          <w:b/>
        </w:rPr>
        <w:lastRenderedPageBreak/>
        <w:t>Graf B.2.2:</w:t>
      </w:r>
      <w:r>
        <w:rPr>
          <w:b/>
        </w:rPr>
        <w:t xml:space="preserve"> </w:t>
      </w:r>
      <w:r w:rsidR="00387F5A" w:rsidRPr="00F3555E">
        <w:rPr>
          <w:b/>
        </w:rPr>
        <w:t xml:space="preserve">Celkové výdaje na </w:t>
      </w:r>
      <w:proofErr w:type="spellStart"/>
      <w:r w:rsidR="00387F5A" w:rsidRPr="00F3555E">
        <w:rPr>
          <w:b/>
        </w:rPr>
        <w:t>VaV</w:t>
      </w:r>
      <w:proofErr w:type="spellEnd"/>
      <w:r w:rsidR="00387F5A" w:rsidRPr="00F3555E">
        <w:rPr>
          <w:b/>
        </w:rPr>
        <w:t xml:space="preserve"> podle zdrojů financování v zemích EU27 (201</w:t>
      </w:r>
      <w:r w:rsidR="00721335">
        <w:rPr>
          <w:b/>
        </w:rPr>
        <w:t>7</w:t>
      </w:r>
      <w:r w:rsidR="00387F5A" w:rsidRPr="00F3555E">
        <w:rPr>
          <w:b/>
        </w:rPr>
        <w:t xml:space="preserve"> a 202</w:t>
      </w:r>
      <w:r w:rsidR="00721335">
        <w:rPr>
          <w:b/>
        </w:rPr>
        <w:t>3</w:t>
      </w:r>
      <w:r w:rsidR="00387F5A" w:rsidRPr="00F3555E">
        <w:rPr>
          <w:b/>
        </w:rPr>
        <w:t>)</w:t>
      </w:r>
    </w:p>
    <w:p w14:paraId="4194CFA2" w14:textId="07E1640E" w:rsidR="00B42C19" w:rsidRPr="00577238" w:rsidRDefault="00123455" w:rsidP="00577238">
      <w:pPr>
        <w:spacing w:after="0"/>
        <w:jc w:val="both"/>
        <w:rPr>
          <w:b/>
        </w:rPr>
      </w:pPr>
      <w:r>
        <w:rPr>
          <w:noProof/>
          <w14:ligatures w14:val="standardContextual"/>
        </w:rPr>
        <w:drawing>
          <wp:inline distT="0" distB="0" distL="0" distR="0" wp14:anchorId="6CC82DBF" wp14:editId="02A399E4">
            <wp:extent cx="6120130" cy="3162300"/>
            <wp:effectExtent l="0" t="0" r="0" b="0"/>
            <wp:docPr id="411964246" name="Graf 1">
              <a:extLst xmlns:a="http://schemas.openxmlformats.org/drawingml/2006/main">
                <a:ext uri="{FF2B5EF4-FFF2-40B4-BE49-F238E27FC236}">
                  <a16:creationId xmlns:a16="http://schemas.microsoft.com/office/drawing/2014/main" id="{4401E556-517A-EC50-CC0A-FE78AA20C30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17D75DC7" w14:textId="77777777" w:rsidR="00123455" w:rsidRPr="00FF0D39" w:rsidRDefault="00123455" w:rsidP="00123455">
      <w:pPr>
        <w:pStyle w:val="Zdrojapoznmka"/>
      </w:pPr>
      <w:r w:rsidRPr="00FF0D39">
        <w:t xml:space="preserve">Zdroj: </w:t>
      </w:r>
      <w:proofErr w:type="spellStart"/>
      <w:r w:rsidRPr="00FF0D39">
        <w:t>Eurostat</w:t>
      </w:r>
      <w:proofErr w:type="spellEnd"/>
      <w:r w:rsidRPr="00FF0D39">
        <w:t>,</w:t>
      </w:r>
      <w:r>
        <w:t xml:space="preserve"> 2025,</w:t>
      </w:r>
      <w:r w:rsidRPr="00FF0D39">
        <w:t xml:space="preserve"> vlastní dopočty</w:t>
      </w:r>
    </w:p>
    <w:p w14:paraId="7A6D0334" w14:textId="0B29BD2F" w:rsidR="00123455" w:rsidRDefault="00123455" w:rsidP="00123455">
      <w:pPr>
        <w:pStyle w:val="Zdrojapoznmka"/>
      </w:pPr>
      <w:r w:rsidRPr="00FF0D39">
        <w:t xml:space="preserve">Pozn.: Zahraniční zdroje (Rest </w:t>
      </w:r>
      <w:proofErr w:type="spellStart"/>
      <w:r w:rsidRPr="00FF0D39">
        <w:t>of</w:t>
      </w:r>
      <w:proofErr w:type="spellEnd"/>
      <w:r w:rsidRPr="00FF0D39">
        <w:t xml:space="preserve"> </w:t>
      </w:r>
      <w:proofErr w:type="spellStart"/>
      <w:r w:rsidRPr="00FF0D39">
        <w:t>the</w:t>
      </w:r>
      <w:proofErr w:type="spellEnd"/>
      <w:r>
        <w:t xml:space="preserve"> Word – </w:t>
      </w:r>
      <w:proofErr w:type="spellStart"/>
      <w:r>
        <w:t>European</w:t>
      </w:r>
      <w:proofErr w:type="spellEnd"/>
      <w:r>
        <w:t xml:space="preserve"> </w:t>
      </w:r>
      <w:proofErr w:type="spellStart"/>
      <w:r>
        <w:t>Commission</w:t>
      </w:r>
      <w:proofErr w:type="spellEnd"/>
      <w:r>
        <w:t xml:space="preserve"> a International </w:t>
      </w:r>
      <w:proofErr w:type="spellStart"/>
      <w:r>
        <w:t>O</w:t>
      </w:r>
      <w:r w:rsidRPr="00FF0D39">
        <w:t>rganisation</w:t>
      </w:r>
      <w:r>
        <w:t>s</w:t>
      </w:r>
      <w:proofErr w:type="spellEnd"/>
      <w:r w:rsidRPr="00FF0D39">
        <w:t>); Ostatní zdroje (</w:t>
      </w:r>
      <w:proofErr w:type="spellStart"/>
      <w:r w:rsidRPr="00FF0D39">
        <w:t>Private</w:t>
      </w:r>
      <w:proofErr w:type="spellEnd"/>
      <w:r w:rsidRPr="00FF0D39">
        <w:t xml:space="preserve"> </w:t>
      </w:r>
      <w:r>
        <w:t>n</w:t>
      </w:r>
      <w:r w:rsidRPr="00FF0D39">
        <w:t>on-</w:t>
      </w:r>
      <w:r>
        <w:t>p</w:t>
      </w:r>
      <w:r w:rsidRPr="00FF0D39">
        <w:t>rofit-</w:t>
      </w:r>
      <w:proofErr w:type="spellStart"/>
      <w:r>
        <w:t>s</w:t>
      </w:r>
      <w:r w:rsidRPr="00FF0D39">
        <w:t>ector</w:t>
      </w:r>
      <w:proofErr w:type="spellEnd"/>
      <w:r w:rsidRPr="00FF0D39">
        <w:t xml:space="preserve"> a Rest </w:t>
      </w:r>
      <w:proofErr w:type="spellStart"/>
      <w:r w:rsidRPr="00FF0D39">
        <w:t>of</w:t>
      </w:r>
      <w:proofErr w:type="spellEnd"/>
      <w:r w:rsidRPr="00FF0D39">
        <w:t xml:space="preserve"> </w:t>
      </w:r>
      <w:proofErr w:type="spellStart"/>
      <w:r w:rsidRPr="00FF0D39">
        <w:t>the</w:t>
      </w:r>
      <w:proofErr w:type="spellEnd"/>
      <w:r w:rsidRPr="00FF0D39">
        <w:t xml:space="preserve"> Word – </w:t>
      </w:r>
      <w:proofErr w:type="spellStart"/>
      <w:r w:rsidRPr="00FF0D39">
        <w:t>other</w:t>
      </w:r>
      <w:proofErr w:type="spellEnd"/>
      <w:r>
        <w:t xml:space="preserve"> </w:t>
      </w:r>
      <w:proofErr w:type="spellStart"/>
      <w:r>
        <w:t>sources</w:t>
      </w:r>
      <w:proofErr w:type="spellEnd"/>
      <w:r w:rsidRPr="00FF0D39">
        <w:t xml:space="preserve"> a nezařazené)</w:t>
      </w:r>
      <w:r>
        <w:t xml:space="preserve">. </w:t>
      </w:r>
      <w:r w:rsidRPr="00CE74F6">
        <w:t>U států DK</w:t>
      </w:r>
      <w:r>
        <w:t xml:space="preserve"> a SK </w:t>
      </w:r>
      <w:r w:rsidRPr="00CE74F6">
        <w:t>nejsou dostupné některé hodnoty za</w:t>
      </w:r>
      <w:r>
        <w:t> rok 2023</w:t>
      </w:r>
      <w:r w:rsidRPr="00CE74F6">
        <w:t xml:space="preserve">, proto </w:t>
      </w:r>
      <w:r>
        <w:t>byly</w:t>
      </w:r>
      <w:r w:rsidRPr="00CE74F6">
        <w:t xml:space="preserve"> použity hodnoty z předchozích let</w:t>
      </w:r>
      <w:r>
        <w:t>.</w:t>
      </w:r>
    </w:p>
    <w:p w14:paraId="6DEB37E4" w14:textId="77777777" w:rsidR="00123455" w:rsidRDefault="00123455" w:rsidP="00123455">
      <w:pPr>
        <w:jc w:val="both"/>
        <w:rPr>
          <w:b/>
        </w:rPr>
      </w:pPr>
      <w:r w:rsidRPr="00E8772A">
        <w:rPr>
          <w:b/>
        </w:rPr>
        <w:t>Graf B.2.</w:t>
      </w:r>
      <w:r>
        <w:rPr>
          <w:b/>
        </w:rPr>
        <w:t>3</w:t>
      </w:r>
      <w:r w:rsidRPr="00E8772A">
        <w:rPr>
          <w:b/>
        </w:rPr>
        <w:t>:</w:t>
      </w:r>
      <w:r>
        <w:rPr>
          <w:b/>
        </w:rPr>
        <w:t xml:space="preserve"> </w:t>
      </w:r>
      <w:r w:rsidRPr="00641BC4">
        <w:rPr>
          <w:b/>
        </w:rPr>
        <w:t xml:space="preserve">Celkové výdaje na </w:t>
      </w:r>
      <w:proofErr w:type="spellStart"/>
      <w:r w:rsidRPr="00641BC4">
        <w:rPr>
          <w:b/>
        </w:rPr>
        <w:t>VaV</w:t>
      </w:r>
      <w:proofErr w:type="spellEnd"/>
      <w:r w:rsidRPr="00641BC4">
        <w:rPr>
          <w:b/>
        </w:rPr>
        <w:t xml:space="preserve"> (GERD) v letech 201</w:t>
      </w:r>
      <w:r>
        <w:rPr>
          <w:b/>
        </w:rPr>
        <w:t>4</w:t>
      </w:r>
      <w:r w:rsidRPr="00641BC4">
        <w:rPr>
          <w:b/>
        </w:rPr>
        <w:t>–202</w:t>
      </w:r>
      <w:r>
        <w:rPr>
          <w:b/>
        </w:rPr>
        <w:t>3</w:t>
      </w:r>
      <w:r w:rsidRPr="00641BC4">
        <w:rPr>
          <w:b/>
        </w:rPr>
        <w:t xml:space="preserve"> v mezinárodním srovnání</w:t>
      </w:r>
    </w:p>
    <w:p w14:paraId="5FA8633A" w14:textId="18DE62F3" w:rsidR="00123455" w:rsidRDefault="00123455" w:rsidP="00123455">
      <w:pPr>
        <w:pStyle w:val="Zdrojapoznmka"/>
        <w:rPr>
          <w:i w:val="0"/>
          <w:iCs/>
        </w:rPr>
      </w:pPr>
      <w:r>
        <w:rPr>
          <w:noProof/>
          <w14:ligatures w14:val="standardContextual"/>
        </w:rPr>
        <w:drawing>
          <wp:inline distT="0" distB="0" distL="0" distR="0" wp14:anchorId="2686BC77" wp14:editId="0BEFC089">
            <wp:extent cx="6120130" cy="3124835"/>
            <wp:effectExtent l="0" t="0" r="0" b="0"/>
            <wp:docPr id="454568819" name="Obrázek 1" descr="Obsah obrázku text, snímek obrazovky, diagram, řada/pruh&#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568819" name="Obrázek 1" descr="Obsah obrázku text, snímek obrazovky, diagram, řada/pruh&#10;&#10;Obsah generovaný pomocí AI může být nesprávný."/>
                    <pic:cNvPicPr/>
                  </pic:nvPicPr>
                  <pic:blipFill>
                    <a:blip r:embed="rId51"/>
                    <a:stretch>
                      <a:fillRect/>
                    </a:stretch>
                  </pic:blipFill>
                  <pic:spPr>
                    <a:xfrm>
                      <a:off x="0" y="0"/>
                      <a:ext cx="6120130" cy="3124835"/>
                    </a:xfrm>
                    <a:prstGeom prst="rect">
                      <a:avLst/>
                    </a:prstGeom>
                  </pic:spPr>
                </pic:pic>
              </a:graphicData>
            </a:graphic>
          </wp:inline>
        </w:drawing>
      </w:r>
    </w:p>
    <w:p w14:paraId="56EDC416" w14:textId="77777777" w:rsidR="00123455" w:rsidRPr="007A38CD" w:rsidRDefault="00123455" w:rsidP="00123455">
      <w:pPr>
        <w:spacing w:before="120" w:after="0"/>
        <w:rPr>
          <w:i/>
          <w:sz w:val="18"/>
          <w:szCs w:val="18"/>
        </w:rPr>
      </w:pPr>
      <w:r w:rsidRPr="007A38CD">
        <w:rPr>
          <w:i/>
          <w:sz w:val="18"/>
          <w:szCs w:val="18"/>
        </w:rPr>
        <w:t xml:space="preserve">Zdroj: </w:t>
      </w:r>
      <w:proofErr w:type="spellStart"/>
      <w:r>
        <w:rPr>
          <w:i/>
          <w:sz w:val="18"/>
          <w:szCs w:val="18"/>
        </w:rPr>
        <w:t>Eurostat</w:t>
      </w:r>
      <w:proofErr w:type="spellEnd"/>
      <w:r>
        <w:rPr>
          <w:i/>
          <w:sz w:val="18"/>
          <w:szCs w:val="18"/>
        </w:rPr>
        <w:t xml:space="preserve">, online data </w:t>
      </w:r>
      <w:proofErr w:type="spellStart"/>
      <w:r>
        <w:rPr>
          <w:i/>
          <w:sz w:val="18"/>
          <w:szCs w:val="18"/>
        </w:rPr>
        <w:t>code</w:t>
      </w:r>
      <w:proofErr w:type="spellEnd"/>
      <w:r>
        <w:rPr>
          <w:i/>
          <w:sz w:val="18"/>
          <w:szCs w:val="18"/>
        </w:rPr>
        <w:t xml:space="preserve">: </w:t>
      </w:r>
      <w:proofErr w:type="spellStart"/>
      <w:r>
        <w:rPr>
          <w:i/>
          <w:sz w:val="18"/>
          <w:szCs w:val="18"/>
        </w:rPr>
        <w:t>rd_e_gerdtot</w:t>
      </w:r>
      <w:proofErr w:type="spellEnd"/>
    </w:p>
    <w:p w14:paraId="7A886FA2" w14:textId="0FDE6227" w:rsidR="00123455" w:rsidRPr="005D07D1" w:rsidRDefault="00123455" w:rsidP="00123455">
      <w:pPr>
        <w:jc w:val="both"/>
        <w:rPr>
          <w:i/>
          <w:iCs/>
          <w:sz w:val="20"/>
          <w:szCs w:val="20"/>
        </w:rPr>
      </w:pPr>
      <w:r w:rsidRPr="005D07D1">
        <w:rPr>
          <w:i/>
          <w:iCs/>
          <w:sz w:val="20"/>
          <w:szCs w:val="20"/>
        </w:rPr>
        <w:t>Pozn.: Intenzita růstu/poklesu v letech 2014–2023 je vyjádřená jako směrnice regresní přímky (kladná hodnota značí rostoucí trend, záporná hodnota klesající). Průsečík os značí teoretickou pozici EU27, červená přímka předěluje trend poklesu a růstu. Výřez vpravo dole demonstruje průběh hodnot v</w:t>
      </w:r>
      <w:r>
        <w:rPr>
          <w:i/>
          <w:iCs/>
          <w:sz w:val="20"/>
          <w:szCs w:val="20"/>
        </w:rPr>
        <w:t> </w:t>
      </w:r>
      <w:r w:rsidRPr="005D07D1">
        <w:rPr>
          <w:i/>
          <w:iCs/>
          <w:sz w:val="20"/>
          <w:szCs w:val="20"/>
        </w:rPr>
        <w:t>jednotlivých letech v ČR.</w:t>
      </w:r>
    </w:p>
    <w:p w14:paraId="264513F3" w14:textId="77777777" w:rsidR="00123455" w:rsidRDefault="00123455" w:rsidP="007B2741">
      <w:pPr>
        <w:keepNext/>
        <w:spacing w:after="0"/>
        <w:jc w:val="both"/>
        <w:rPr>
          <w:b/>
        </w:rPr>
      </w:pPr>
      <w:r w:rsidRPr="00E8772A">
        <w:rPr>
          <w:b/>
        </w:rPr>
        <w:lastRenderedPageBreak/>
        <w:t>Graf B.2.</w:t>
      </w:r>
      <w:r>
        <w:rPr>
          <w:b/>
        </w:rPr>
        <w:t>4</w:t>
      </w:r>
      <w:r w:rsidRPr="00E8772A">
        <w:rPr>
          <w:b/>
        </w:rPr>
        <w:t>:</w:t>
      </w:r>
      <w:r>
        <w:rPr>
          <w:b/>
        </w:rPr>
        <w:t xml:space="preserve"> </w:t>
      </w:r>
      <w:r w:rsidRPr="00641BC4">
        <w:rPr>
          <w:b/>
        </w:rPr>
        <w:t xml:space="preserve">Veřejné </w:t>
      </w:r>
      <w:r>
        <w:rPr>
          <w:b/>
        </w:rPr>
        <w:t>národní</w:t>
      </w:r>
      <w:r w:rsidRPr="00641BC4">
        <w:rPr>
          <w:b/>
        </w:rPr>
        <w:t xml:space="preserve"> výdaje na </w:t>
      </w:r>
      <w:proofErr w:type="spellStart"/>
      <w:r w:rsidRPr="00641BC4">
        <w:rPr>
          <w:b/>
        </w:rPr>
        <w:t>VaV</w:t>
      </w:r>
      <w:proofErr w:type="spellEnd"/>
      <w:r w:rsidRPr="00641BC4">
        <w:rPr>
          <w:b/>
        </w:rPr>
        <w:t xml:space="preserve"> v letech 201</w:t>
      </w:r>
      <w:r>
        <w:rPr>
          <w:b/>
        </w:rPr>
        <w:t>4</w:t>
      </w:r>
      <w:r w:rsidRPr="00641BC4">
        <w:rPr>
          <w:b/>
        </w:rPr>
        <w:t>–202</w:t>
      </w:r>
      <w:r>
        <w:rPr>
          <w:b/>
        </w:rPr>
        <w:t>3</w:t>
      </w:r>
      <w:r w:rsidRPr="00641BC4">
        <w:rPr>
          <w:b/>
        </w:rPr>
        <w:t xml:space="preserve"> v</w:t>
      </w:r>
      <w:r>
        <w:rPr>
          <w:b/>
        </w:rPr>
        <w:t> </w:t>
      </w:r>
      <w:r w:rsidRPr="00641BC4">
        <w:rPr>
          <w:b/>
        </w:rPr>
        <w:t>mezinárodním</w:t>
      </w:r>
      <w:r>
        <w:rPr>
          <w:b/>
        </w:rPr>
        <w:t xml:space="preserve"> </w:t>
      </w:r>
      <w:r w:rsidRPr="00641BC4">
        <w:rPr>
          <w:b/>
        </w:rPr>
        <w:t>srovnání</w:t>
      </w:r>
    </w:p>
    <w:p w14:paraId="431B1F21" w14:textId="77777777" w:rsidR="00123455" w:rsidRDefault="00123455" w:rsidP="00123455">
      <w:pPr>
        <w:spacing w:after="0"/>
        <w:jc w:val="both"/>
        <w:rPr>
          <w:rFonts w:eastAsia="Times New Roman" w:cs="Arial"/>
          <w:bCs/>
          <w:lang w:eastAsia="cs-CZ"/>
        </w:rPr>
      </w:pPr>
      <w:r>
        <w:rPr>
          <w:noProof/>
          <w14:ligatures w14:val="standardContextual"/>
        </w:rPr>
        <w:drawing>
          <wp:inline distT="0" distB="0" distL="0" distR="0" wp14:anchorId="02860444" wp14:editId="6A5E5EEC">
            <wp:extent cx="5981700" cy="3419475"/>
            <wp:effectExtent l="0" t="0" r="0" b="9525"/>
            <wp:docPr id="822159874" name="Obrázek 1" descr="Obsah obrázku text, snímek obrazovky, diagram, řada/pruh&#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2159874" name="Obrázek 1" descr="Obsah obrázku text, snímek obrazovky, diagram, řada/pruh&#10;&#10;Obsah generovaný pomocí AI může být nesprávný."/>
                    <pic:cNvPicPr/>
                  </pic:nvPicPr>
                  <pic:blipFill>
                    <a:blip r:embed="rId52"/>
                    <a:stretch>
                      <a:fillRect/>
                    </a:stretch>
                  </pic:blipFill>
                  <pic:spPr>
                    <a:xfrm>
                      <a:off x="0" y="0"/>
                      <a:ext cx="5981700" cy="3419475"/>
                    </a:xfrm>
                    <a:prstGeom prst="rect">
                      <a:avLst/>
                    </a:prstGeom>
                  </pic:spPr>
                </pic:pic>
              </a:graphicData>
            </a:graphic>
          </wp:inline>
        </w:drawing>
      </w:r>
    </w:p>
    <w:p w14:paraId="57EDD9B7" w14:textId="77777777" w:rsidR="00123455" w:rsidRPr="007A38CD" w:rsidRDefault="00123455" w:rsidP="00123455">
      <w:pPr>
        <w:spacing w:after="0"/>
        <w:rPr>
          <w:i/>
          <w:sz w:val="18"/>
          <w:szCs w:val="18"/>
        </w:rPr>
      </w:pPr>
      <w:r w:rsidRPr="007A38CD">
        <w:rPr>
          <w:i/>
          <w:sz w:val="18"/>
          <w:szCs w:val="18"/>
        </w:rPr>
        <w:t xml:space="preserve">Zdroj: </w:t>
      </w:r>
      <w:proofErr w:type="spellStart"/>
      <w:r>
        <w:rPr>
          <w:i/>
          <w:sz w:val="18"/>
          <w:szCs w:val="18"/>
        </w:rPr>
        <w:t>Eurostat</w:t>
      </w:r>
      <w:proofErr w:type="spellEnd"/>
      <w:r>
        <w:rPr>
          <w:i/>
          <w:sz w:val="18"/>
          <w:szCs w:val="18"/>
        </w:rPr>
        <w:t xml:space="preserve">, online data </w:t>
      </w:r>
      <w:proofErr w:type="spellStart"/>
      <w:r>
        <w:rPr>
          <w:i/>
          <w:sz w:val="18"/>
          <w:szCs w:val="18"/>
        </w:rPr>
        <w:t>code</w:t>
      </w:r>
      <w:proofErr w:type="spellEnd"/>
      <w:r>
        <w:rPr>
          <w:i/>
          <w:sz w:val="18"/>
          <w:szCs w:val="18"/>
        </w:rPr>
        <w:t>: gba_nabsfin07</w:t>
      </w:r>
    </w:p>
    <w:p w14:paraId="5AC63372" w14:textId="2C3B6166" w:rsidR="00123455" w:rsidRPr="005D07D1" w:rsidRDefault="00123455" w:rsidP="00123455">
      <w:pPr>
        <w:jc w:val="both"/>
        <w:rPr>
          <w:i/>
          <w:iCs/>
          <w:sz w:val="20"/>
          <w:szCs w:val="20"/>
        </w:rPr>
      </w:pPr>
      <w:r w:rsidRPr="005D07D1">
        <w:rPr>
          <w:i/>
          <w:iCs/>
          <w:sz w:val="20"/>
          <w:szCs w:val="20"/>
        </w:rPr>
        <w:t>Pozn.: Intenzita růstu/poklesu v období let 2014–2023 je vyjádřená jako směrnice regresní přímky (kladná hodnota značí rostoucí trend, záporná hodnota klesající). Průsečík os značí teoretickou pozici EU27, červená přímka předěluje trend poklesu a růstu. Výřez vpravo dole demonstruje průběh hodnot v</w:t>
      </w:r>
      <w:r>
        <w:rPr>
          <w:i/>
          <w:iCs/>
          <w:sz w:val="20"/>
          <w:szCs w:val="20"/>
        </w:rPr>
        <w:t> </w:t>
      </w:r>
      <w:r w:rsidRPr="005D07D1">
        <w:rPr>
          <w:i/>
          <w:iCs/>
          <w:sz w:val="20"/>
          <w:szCs w:val="20"/>
        </w:rPr>
        <w:t>jednotlivých letech v</w:t>
      </w:r>
      <w:r>
        <w:rPr>
          <w:i/>
          <w:iCs/>
          <w:sz w:val="20"/>
          <w:szCs w:val="20"/>
        </w:rPr>
        <w:t> </w:t>
      </w:r>
      <w:r w:rsidRPr="005D07D1">
        <w:rPr>
          <w:i/>
          <w:iCs/>
          <w:sz w:val="20"/>
          <w:szCs w:val="20"/>
        </w:rPr>
        <w:t>ČR.</w:t>
      </w:r>
    </w:p>
    <w:p w14:paraId="64BF661A" w14:textId="77777777" w:rsidR="00123455" w:rsidRDefault="00123455" w:rsidP="00123455">
      <w:pPr>
        <w:spacing w:after="240" w:line="360" w:lineRule="auto"/>
        <w:ind w:firstLine="708"/>
        <w:jc w:val="both"/>
        <w:rPr>
          <w:rFonts w:eastAsia="Times New Roman" w:cs="Arial"/>
          <w:bCs/>
          <w:lang w:eastAsia="cs-CZ"/>
        </w:rPr>
      </w:pPr>
      <w:r w:rsidRPr="00FF0D39">
        <w:rPr>
          <w:rFonts w:eastAsia="Times New Roman" w:cs="Arial"/>
          <w:bCs/>
          <w:lang w:eastAsia="cs-CZ"/>
        </w:rPr>
        <w:t xml:space="preserve">Na celkových výdajích na </w:t>
      </w:r>
      <w:proofErr w:type="spellStart"/>
      <w:r w:rsidRPr="00FF0D39">
        <w:rPr>
          <w:rFonts w:eastAsia="Times New Roman" w:cs="Arial"/>
          <w:bCs/>
          <w:lang w:eastAsia="cs-CZ"/>
        </w:rPr>
        <w:t>VaV</w:t>
      </w:r>
      <w:proofErr w:type="spellEnd"/>
      <w:r w:rsidRPr="00FF0D39">
        <w:rPr>
          <w:rFonts w:eastAsia="Times New Roman" w:cs="Arial"/>
          <w:bCs/>
          <w:lang w:eastAsia="cs-CZ"/>
        </w:rPr>
        <w:t xml:space="preserve"> se z 9</w:t>
      </w:r>
      <w:r>
        <w:rPr>
          <w:rFonts w:eastAsia="Times New Roman" w:cs="Arial"/>
          <w:bCs/>
          <w:lang w:eastAsia="cs-CZ"/>
        </w:rPr>
        <w:t>3</w:t>
      </w:r>
      <w:r w:rsidRPr="00FF0D39">
        <w:rPr>
          <w:rFonts w:eastAsia="Times New Roman" w:cs="Arial"/>
          <w:bCs/>
          <w:lang w:eastAsia="cs-CZ"/>
        </w:rPr>
        <w:t xml:space="preserve"> % podílely běžné výdaje (</w:t>
      </w:r>
      <w:r>
        <w:rPr>
          <w:rFonts w:eastAsia="Times New Roman" w:cs="Arial"/>
          <w:bCs/>
          <w:lang w:eastAsia="cs-CZ"/>
        </w:rPr>
        <w:t>60</w:t>
      </w:r>
      <w:r w:rsidRPr="00FF0D39">
        <w:rPr>
          <w:rFonts w:eastAsia="Times New Roman" w:cs="Arial"/>
          <w:bCs/>
          <w:lang w:eastAsia="cs-CZ"/>
        </w:rPr>
        <w:t xml:space="preserve"> % mzdové výdaje a</w:t>
      </w:r>
      <w:r>
        <w:rPr>
          <w:rFonts w:eastAsia="Times New Roman" w:cs="Arial"/>
          <w:bCs/>
          <w:lang w:eastAsia="cs-CZ"/>
        </w:rPr>
        <w:t> </w:t>
      </w:r>
      <w:r w:rsidRPr="00FF0D39">
        <w:rPr>
          <w:rFonts w:eastAsia="Times New Roman" w:cs="Arial"/>
          <w:bCs/>
          <w:lang w:eastAsia="cs-CZ"/>
        </w:rPr>
        <w:t>z</w:t>
      </w:r>
      <w:r>
        <w:rPr>
          <w:rFonts w:eastAsia="Times New Roman" w:cs="Arial"/>
          <w:bCs/>
          <w:lang w:eastAsia="cs-CZ"/>
        </w:rPr>
        <w:t> </w:t>
      </w:r>
      <w:r w:rsidRPr="00FF0D39">
        <w:rPr>
          <w:rFonts w:eastAsia="Times New Roman" w:cs="Arial"/>
          <w:bCs/>
          <w:lang w:eastAsia="cs-CZ"/>
        </w:rPr>
        <w:t>3</w:t>
      </w:r>
      <w:r>
        <w:rPr>
          <w:rFonts w:eastAsia="Times New Roman" w:cs="Arial"/>
          <w:bCs/>
          <w:lang w:eastAsia="cs-CZ"/>
        </w:rPr>
        <w:t>2 </w:t>
      </w:r>
      <w:r w:rsidRPr="00FF0D39">
        <w:rPr>
          <w:rFonts w:eastAsia="Times New Roman" w:cs="Arial"/>
          <w:bCs/>
          <w:lang w:eastAsia="cs-CZ"/>
        </w:rPr>
        <w:t>% ostatní běžné výdaje). Podíl investič</w:t>
      </w:r>
      <w:r>
        <w:rPr>
          <w:rFonts w:eastAsia="Times New Roman" w:cs="Arial"/>
          <w:bCs/>
          <w:lang w:eastAsia="cs-CZ"/>
        </w:rPr>
        <w:t>ních výdajů</w:t>
      </w:r>
      <w:r w:rsidRPr="00FF0D39">
        <w:rPr>
          <w:rFonts w:eastAsia="Times New Roman" w:cs="Arial"/>
          <w:bCs/>
          <w:lang w:eastAsia="cs-CZ"/>
        </w:rPr>
        <w:t xml:space="preserve"> byl v roce 202</w:t>
      </w:r>
      <w:r>
        <w:rPr>
          <w:rFonts w:eastAsia="Times New Roman" w:cs="Arial"/>
          <w:bCs/>
          <w:lang w:eastAsia="cs-CZ"/>
        </w:rPr>
        <w:t>4</w:t>
      </w:r>
      <w:r w:rsidRPr="00FF0D39">
        <w:rPr>
          <w:rFonts w:eastAsia="Times New Roman" w:cs="Arial"/>
          <w:bCs/>
          <w:lang w:eastAsia="cs-CZ"/>
        </w:rPr>
        <w:t xml:space="preserve"> pouze </w:t>
      </w:r>
      <w:r>
        <w:rPr>
          <w:rFonts w:eastAsia="Times New Roman" w:cs="Arial"/>
          <w:bCs/>
          <w:lang w:eastAsia="cs-CZ"/>
        </w:rPr>
        <w:t>7</w:t>
      </w:r>
      <w:r w:rsidRPr="00FF0D39">
        <w:rPr>
          <w:rFonts w:eastAsia="Times New Roman" w:cs="Arial"/>
          <w:bCs/>
          <w:lang w:eastAsia="cs-CZ"/>
        </w:rPr>
        <w:t xml:space="preserve"> % (</w:t>
      </w:r>
      <w:r>
        <w:rPr>
          <w:rFonts w:eastAsia="Times New Roman" w:cs="Arial"/>
          <w:bCs/>
          <w:lang w:eastAsia="cs-CZ"/>
        </w:rPr>
        <w:t>srov.</w:t>
      </w:r>
      <w:r w:rsidRPr="00FF0D39">
        <w:rPr>
          <w:rFonts w:eastAsia="Times New Roman" w:cs="Arial"/>
          <w:bCs/>
          <w:lang w:eastAsia="cs-CZ"/>
        </w:rPr>
        <w:t xml:space="preserve"> v</w:t>
      </w:r>
      <w:r>
        <w:rPr>
          <w:rFonts w:eastAsia="Times New Roman" w:cs="Arial"/>
          <w:bCs/>
          <w:lang w:eastAsia="cs-CZ"/>
        </w:rPr>
        <w:t> </w:t>
      </w:r>
      <w:r w:rsidRPr="00FF0D39">
        <w:rPr>
          <w:rFonts w:eastAsia="Times New Roman" w:cs="Arial"/>
          <w:bCs/>
          <w:lang w:eastAsia="cs-CZ"/>
        </w:rPr>
        <w:t xml:space="preserve">letech 2011–2015 se pohyboval okolo 20 %). Největší nárůst mzdových výdajů ve srovnání </w:t>
      </w:r>
      <w:r w:rsidRPr="00DE3577">
        <w:rPr>
          <w:rFonts w:eastAsia="Times New Roman" w:cs="Arial"/>
          <w:bCs/>
          <w:lang w:eastAsia="cs-CZ"/>
        </w:rPr>
        <w:t>let 2017 a 2024</w:t>
      </w:r>
      <w:r w:rsidRPr="00FF0D39">
        <w:rPr>
          <w:rFonts w:eastAsia="Times New Roman" w:cs="Arial"/>
          <w:bCs/>
          <w:lang w:eastAsia="cs-CZ"/>
        </w:rPr>
        <w:t xml:space="preserve"> je</w:t>
      </w:r>
      <w:r>
        <w:rPr>
          <w:rFonts w:eastAsia="Times New Roman" w:cs="Arial"/>
          <w:bCs/>
          <w:lang w:eastAsia="cs-CZ"/>
        </w:rPr>
        <w:t> </w:t>
      </w:r>
      <w:r w:rsidRPr="00FF0D39">
        <w:rPr>
          <w:rFonts w:eastAsia="Times New Roman" w:cs="Arial"/>
          <w:bCs/>
          <w:lang w:eastAsia="cs-CZ"/>
        </w:rPr>
        <w:t>zaznamenán u podnik</w:t>
      </w:r>
      <w:r>
        <w:rPr>
          <w:rFonts w:eastAsia="Times New Roman" w:cs="Arial"/>
          <w:bCs/>
          <w:lang w:eastAsia="cs-CZ"/>
        </w:rPr>
        <w:t>atelského sektoru, kde se mzdové</w:t>
      </w:r>
      <w:r w:rsidRPr="00FF0D39">
        <w:rPr>
          <w:rFonts w:eastAsia="Times New Roman" w:cs="Arial"/>
          <w:bCs/>
          <w:lang w:eastAsia="cs-CZ"/>
        </w:rPr>
        <w:t xml:space="preserve"> výdaje zvýšily o </w:t>
      </w:r>
      <w:r w:rsidRPr="0036219F">
        <w:rPr>
          <w:rFonts w:eastAsia="Times New Roman" w:cs="Arial"/>
          <w:bCs/>
          <w:lang w:eastAsia="cs-CZ"/>
        </w:rPr>
        <w:t>106 %</w:t>
      </w:r>
      <w:r>
        <w:rPr>
          <w:rFonts w:eastAsia="Times New Roman" w:cs="Arial"/>
          <w:bCs/>
          <w:lang w:eastAsia="cs-CZ"/>
        </w:rPr>
        <w:t>, c</w:t>
      </w:r>
      <w:r w:rsidRPr="00FF0D39">
        <w:rPr>
          <w:rFonts w:eastAsia="Times New Roman" w:cs="Arial"/>
          <w:bCs/>
          <w:lang w:eastAsia="cs-CZ"/>
        </w:rPr>
        <w:t xml:space="preserve">ož samozřejmě koreluje s rostoucími výdaji na </w:t>
      </w:r>
      <w:proofErr w:type="spellStart"/>
      <w:r w:rsidRPr="00FF0D39">
        <w:rPr>
          <w:rFonts w:eastAsia="Times New Roman" w:cs="Arial"/>
          <w:bCs/>
          <w:lang w:eastAsia="cs-CZ"/>
        </w:rPr>
        <w:t>VaV</w:t>
      </w:r>
      <w:proofErr w:type="spellEnd"/>
      <w:r w:rsidRPr="00FF0D39">
        <w:rPr>
          <w:rFonts w:eastAsia="Times New Roman" w:cs="Arial"/>
          <w:bCs/>
          <w:lang w:eastAsia="cs-CZ"/>
        </w:rPr>
        <w:t xml:space="preserve"> z </w:t>
      </w:r>
      <w:r>
        <w:rPr>
          <w:rFonts w:eastAsia="Times New Roman" w:cs="Arial"/>
          <w:bCs/>
          <w:lang w:eastAsia="cs-CZ"/>
        </w:rPr>
        <w:t>podnikových</w:t>
      </w:r>
      <w:r w:rsidRPr="00FF0D39">
        <w:rPr>
          <w:rFonts w:eastAsia="Times New Roman" w:cs="Arial"/>
          <w:bCs/>
          <w:lang w:eastAsia="cs-CZ"/>
        </w:rPr>
        <w:t xml:space="preserve"> zdrojů a s rostoucím počtem zaměstnanců </w:t>
      </w:r>
      <w:proofErr w:type="spellStart"/>
      <w:r w:rsidRPr="00FF0D39">
        <w:rPr>
          <w:rFonts w:eastAsia="Times New Roman" w:cs="Arial"/>
          <w:bCs/>
          <w:lang w:eastAsia="cs-CZ"/>
        </w:rPr>
        <w:t>VaV</w:t>
      </w:r>
      <w:proofErr w:type="spellEnd"/>
      <w:r w:rsidRPr="00FF0D39">
        <w:rPr>
          <w:rFonts w:eastAsia="Times New Roman" w:cs="Arial"/>
          <w:bCs/>
          <w:lang w:eastAsia="cs-CZ"/>
        </w:rPr>
        <w:t xml:space="preserve"> v podnikatelském sektoru. Zatímco nárůst mzdových výdajů v</w:t>
      </w:r>
      <w:r>
        <w:rPr>
          <w:rFonts w:eastAsia="Times New Roman" w:cs="Arial"/>
          <w:bCs/>
          <w:lang w:eastAsia="cs-CZ"/>
        </w:rPr>
        <w:t> </w:t>
      </w:r>
      <w:r w:rsidRPr="00FF0D39">
        <w:rPr>
          <w:rFonts w:eastAsia="Times New Roman" w:cs="Arial"/>
          <w:bCs/>
          <w:lang w:eastAsia="cs-CZ"/>
        </w:rPr>
        <w:t xml:space="preserve">podnikatelském sektoru mezi roky </w:t>
      </w:r>
      <w:r w:rsidRPr="0036219F">
        <w:rPr>
          <w:rFonts w:eastAsia="Times New Roman" w:cs="Arial"/>
          <w:bCs/>
          <w:lang w:eastAsia="cs-CZ"/>
        </w:rPr>
        <w:t>2017 a 2024</w:t>
      </w:r>
      <w:r w:rsidRPr="00FF0D39">
        <w:rPr>
          <w:rFonts w:eastAsia="Times New Roman" w:cs="Arial"/>
          <w:bCs/>
          <w:lang w:eastAsia="cs-CZ"/>
        </w:rPr>
        <w:t xml:space="preserve"> </w:t>
      </w:r>
      <w:r>
        <w:rPr>
          <w:rFonts w:eastAsia="Times New Roman" w:cs="Arial"/>
          <w:bCs/>
          <w:lang w:eastAsia="cs-CZ"/>
        </w:rPr>
        <w:t xml:space="preserve">představoval </w:t>
      </w:r>
      <w:r w:rsidRPr="00FF0D39">
        <w:rPr>
          <w:rFonts w:eastAsia="Times New Roman" w:cs="Arial"/>
          <w:bCs/>
          <w:lang w:eastAsia="cs-CZ"/>
        </w:rPr>
        <w:t xml:space="preserve">více </w:t>
      </w:r>
      <w:r w:rsidRPr="00207112">
        <w:rPr>
          <w:rFonts w:eastAsia="Times New Roman" w:cs="Arial"/>
          <w:bCs/>
          <w:lang w:eastAsia="cs-CZ"/>
        </w:rPr>
        <w:t xml:space="preserve">než </w:t>
      </w:r>
      <w:r>
        <w:rPr>
          <w:rFonts w:eastAsia="Times New Roman" w:cs="Arial"/>
          <w:bCs/>
          <w:lang w:eastAsia="cs-CZ"/>
        </w:rPr>
        <w:t xml:space="preserve">dvojnásobek, </w:t>
      </w:r>
      <w:r w:rsidRPr="00207112">
        <w:rPr>
          <w:rFonts w:eastAsia="Times New Roman" w:cs="Arial"/>
          <w:bCs/>
          <w:lang w:eastAsia="cs-CZ"/>
        </w:rPr>
        <w:t xml:space="preserve">nárůst počtu zaměstnanců činil </w:t>
      </w:r>
      <w:r w:rsidRPr="001267E7">
        <w:rPr>
          <w:rFonts w:eastAsia="Times New Roman" w:cs="Arial"/>
          <w:bCs/>
          <w:lang w:eastAsia="cs-CZ"/>
        </w:rPr>
        <w:t>23 %</w:t>
      </w:r>
      <w:r w:rsidRPr="00207112">
        <w:rPr>
          <w:rStyle w:val="Znakapoznpodarou"/>
          <w:rFonts w:eastAsia="Times New Roman" w:cs="Arial"/>
          <w:bCs/>
          <w:lang w:eastAsia="cs-CZ"/>
        </w:rPr>
        <w:footnoteReference w:id="4"/>
      </w:r>
      <w:r w:rsidRPr="00207112">
        <w:rPr>
          <w:rFonts w:eastAsia="Times New Roman" w:cs="Arial"/>
          <w:bCs/>
          <w:lang w:eastAsia="cs-CZ"/>
        </w:rPr>
        <w:t xml:space="preserve">. Ve vládním sektoru došlo k růstu počtu zaměstnanců o </w:t>
      </w:r>
      <w:r w:rsidRPr="001267E7">
        <w:rPr>
          <w:rFonts w:eastAsia="Times New Roman" w:cs="Arial"/>
          <w:bCs/>
          <w:lang w:eastAsia="cs-CZ"/>
        </w:rPr>
        <w:t>0,3 %</w:t>
      </w:r>
      <w:r w:rsidRPr="00207112">
        <w:rPr>
          <w:rFonts w:eastAsia="Times New Roman" w:cs="Arial"/>
          <w:bCs/>
          <w:lang w:eastAsia="cs-CZ"/>
        </w:rPr>
        <w:t xml:space="preserve"> a tento nárůst byl doprovázen růstem mzdových výdajů o </w:t>
      </w:r>
      <w:r w:rsidRPr="001267E7">
        <w:rPr>
          <w:rFonts w:eastAsia="Times New Roman" w:cs="Arial"/>
          <w:bCs/>
          <w:lang w:eastAsia="cs-CZ"/>
        </w:rPr>
        <w:t>55 %.</w:t>
      </w:r>
      <w:r w:rsidRPr="00207112">
        <w:rPr>
          <w:rFonts w:eastAsia="Times New Roman" w:cs="Arial"/>
          <w:bCs/>
          <w:lang w:eastAsia="cs-CZ"/>
        </w:rPr>
        <w:t xml:space="preserve"> V případě vysokoškolského sektoru došlo k</w:t>
      </w:r>
      <w:r>
        <w:rPr>
          <w:rFonts w:eastAsia="Times New Roman" w:cs="Arial"/>
          <w:bCs/>
          <w:lang w:eastAsia="cs-CZ"/>
        </w:rPr>
        <w:t> </w:t>
      </w:r>
      <w:r w:rsidRPr="00207112">
        <w:rPr>
          <w:rFonts w:eastAsia="Times New Roman" w:cs="Arial"/>
          <w:bCs/>
          <w:lang w:eastAsia="cs-CZ"/>
        </w:rPr>
        <w:t xml:space="preserve">nárůstu počtu zaměstnanců o </w:t>
      </w:r>
      <w:r w:rsidRPr="001267E7">
        <w:rPr>
          <w:rFonts w:eastAsia="Times New Roman" w:cs="Arial"/>
          <w:bCs/>
          <w:lang w:eastAsia="cs-CZ"/>
        </w:rPr>
        <w:t>24 %,</w:t>
      </w:r>
      <w:r w:rsidRPr="00207112">
        <w:rPr>
          <w:rFonts w:eastAsia="Times New Roman" w:cs="Arial"/>
          <w:bCs/>
          <w:lang w:eastAsia="cs-CZ"/>
        </w:rPr>
        <w:t xml:space="preserve"> přičemž mzdové výdaje </w:t>
      </w:r>
      <w:r>
        <w:rPr>
          <w:rFonts w:eastAsia="Times New Roman" w:cs="Arial"/>
          <w:bCs/>
          <w:lang w:eastAsia="cs-CZ"/>
        </w:rPr>
        <w:t>vz</w:t>
      </w:r>
      <w:r w:rsidRPr="00207112">
        <w:rPr>
          <w:rFonts w:eastAsia="Times New Roman" w:cs="Arial"/>
          <w:bCs/>
          <w:lang w:eastAsia="cs-CZ"/>
        </w:rPr>
        <w:t xml:space="preserve">rostly o </w:t>
      </w:r>
      <w:r w:rsidRPr="00B339D4">
        <w:rPr>
          <w:rFonts w:eastAsia="Times New Roman" w:cs="Arial"/>
          <w:bCs/>
          <w:lang w:eastAsia="cs-CZ"/>
        </w:rPr>
        <w:t>51 %.</w:t>
      </w:r>
    </w:p>
    <w:p w14:paraId="1DBCCFC2" w14:textId="77777777" w:rsidR="00123455" w:rsidRDefault="00123455" w:rsidP="00123455">
      <w:pPr>
        <w:spacing w:after="240" w:line="360" w:lineRule="auto"/>
        <w:ind w:firstLine="578"/>
        <w:jc w:val="both"/>
        <w:rPr>
          <w:rFonts w:eastAsia="Times New Roman" w:cs="Arial"/>
          <w:lang w:eastAsia="cs-CZ"/>
        </w:rPr>
      </w:pPr>
      <w:r w:rsidRPr="00FF0D39">
        <w:rPr>
          <w:rFonts w:eastAsia="Times New Roman" w:cs="Arial"/>
          <w:bCs/>
          <w:lang w:eastAsia="cs-CZ"/>
        </w:rPr>
        <w:t xml:space="preserve">V ČR dlouhodobě </w:t>
      </w:r>
      <w:r>
        <w:rPr>
          <w:rFonts w:eastAsia="Times New Roman" w:cs="Arial"/>
          <w:bCs/>
          <w:lang w:eastAsia="cs-CZ"/>
        </w:rPr>
        <w:t>směřuje</w:t>
      </w:r>
      <w:r w:rsidRPr="00FF0D39">
        <w:rPr>
          <w:rFonts w:eastAsia="Times New Roman" w:cs="Arial"/>
          <w:bCs/>
          <w:lang w:eastAsia="cs-CZ"/>
        </w:rPr>
        <w:t xml:space="preserve"> největší podíl výdajů na </w:t>
      </w:r>
      <w:proofErr w:type="spellStart"/>
      <w:r w:rsidRPr="00FF0D39">
        <w:rPr>
          <w:rFonts w:eastAsia="Times New Roman" w:cs="Arial"/>
          <w:bCs/>
          <w:lang w:eastAsia="cs-CZ"/>
        </w:rPr>
        <w:t>VaV</w:t>
      </w:r>
      <w:proofErr w:type="spellEnd"/>
      <w:r w:rsidRPr="00FF0D39">
        <w:rPr>
          <w:rFonts w:eastAsia="Times New Roman" w:cs="Arial"/>
          <w:bCs/>
          <w:lang w:eastAsia="cs-CZ"/>
        </w:rPr>
        <w:t xml:space="preserve"> na aplikovaný výzkum (4</w:t>
      </w:r>
      <w:r>
        <w:rPr>
          <w:rFonts w:eastAsia="Times New Roman" w:cs="Arial"/>
          <w:bCs/>
          <w:lang w:eastAsia="cs-CZ"/>
        </w:rPr>
        <w:t>5</w:t>
      </w:r>
      <w:r w:rsidRPr="00FF0D39">
        <w:rPr>
          <w:rFonts w:eastAsia="Times New Roman" w:cs="Arial"/>
          <w:bCs/>
          <w:lang w:eastAsia="cs-CZ"/>
        </w:rPr>
        <w:t xml:space="preserve"> %) a</w:t>
      </w:r>
      <w:r>
        <w:rPr>
          <w:rFonts w:eastAsia="Times New Roman" w:cs="Arial"/>
          <w:bCs/>
          <w:lang w:eastAsia="cs-CZ"/>
        </w:rPr>
        <w:t> </w:t>
      </w:r>
      <w:r w:rsidRPr="002F768D">
        <w:t>na</w:t>
      </w:r>
      <w:r>
        <w:t> </w:t>
      </w:r>
      <w:r w:rsidRPr="002F768D">
        <w:t>experimentální</w:t>
      </w:r>
      <w:r w:rsidRPr="00FF0D39">
        <w:rPr>
          <w:rFonts w:eastAsia="Times New Roman" w:cs="Arial"/>
          <w:bCs/>
          <w:lang w:eastAsia="cs-CZ"/>
        </w:rPr>
        <w:t xml:space="preserve"> vývoj (31 %)</w:t>
      </w:r>
      <w:r>
        <w:rPr>
          <w:rFonts w:eastAsia="Times New Roman" w:cs="Arial"/>
          <w:bCs/>
          <w:lang w:eastAsia="cs-CZ"/>
        </w:rPr>
        <w:t>,</w:t>
      </w:r>
      <w:r w:rsidRPr="00FF0D39">
        <w:rPr>
          <w:rFonts w:eastAsia="Times New Roman" w:cs="Arial"/>
          <w:bCs/>
          <w:lang w:eastAsia="cs-CZ"/>
        </w:rPr>
        <w:t xml:space="preserve"> </w:t>
      </w:r>
      <w:r>
        <w:rPr>
          <w:rFonts w:eastAsia="Times New Roman" w:cs="Arial"/>
          <w:bCs/>
          <w:lang w:eastAsia="cs-CZ"/>
        </w:rPr>
        <w:t>p</w:t>
      </w:r>
      <w:r w:rsidRPr="00FF0D39">
        <w:rPr>
          <w:rFonts w:eastAsia="Times New Roman" w:cs="Arial"/>
          <w:bCs/>
          <w:lang w:eastAsia="cs-CZ"/>
        </w:rPr>
        <w:t>řičemž jasná dominance těchto výdajů je zřetelná v</w:t>
      </w:r>
      <w:r>
        <w:rPr>
          <w:rFonts w:eastAsia="Times New Roman" w:cs="Arial"/>
          <w:bCs/>
          <w:lang w:eastAsia="cs-CZ"/>
        </w:rPr>
        <w:t> </w:t>
      </w:r>
      <w:r w:rsidRPr="00FF0D39">
        <w:rPr>
          <w:rFonts w:eastAsia="Times New Roman" w:cs="Arial"/>
          <w:bCs/>
          <w:lang w:eastAsia="cs-CZ"/>
        </w:rPr>
        <w:t>podnikatelském sektoru. Ve vládním a vysokoškolském sektoru naopak převládají výdaje na</w:t>
      </w:r>
      <w:r>
        <w:rPr>
          <w:rFonts w:eastAsia="Times New Roman" w:cs="Arial"/>
          <w:bCs/>
          <w:lang w:eastAsia="cs-CZ"/>
        </w:rPr>
        <w:t> </w:t>
      </w:r>
      <w:r w:rsidRPr="00FF0D39">
        <w:rPr>
          <w:rFonts w:eastAsia="Times New Roman" w:cs="Arial"/>
          <w:bCs/>
          <w:lang w:eastAsia="cs-CZ"/>
        </w:rPr>
        <w:t xml:space="preserve">činnosti </w:t>
      </w:r>
      <w:proofErr w:type="spellStart"/>
      <w:r w:rsidRPr="00FF0D39">
        <w:rPr>
          <w:rFonts w:eastAsia="Times New Roman" w:cs="Arial"/>
          <w:bCs/>
          <w:lang w:eastAsia="cs-CZ"/>
        </w:rPr>
        <w:t>VaV</w:t>
      </w:r>
      <w:proofErr w:type="spellEnd"/>
      <w:r w:rsidRPr="00FF0D39">
        <w:rPr>
          <w:rFonts w:eastAsia="Times New Roman" w:cs="Arial"/>
          <w:bCs/>
          <w:lang w:eastAsia="cs-CZ"/>
        </w:rPr>
        <w:t xml:space="preserve"> zaměřené na základní výzkum. Tato skutečnost může </w:t>
      </w:r>
      <w:r>
        <w:rPr>
          <w:rFonts w:eastAsia="Times New Roman" w:cs="Arial"/>
          <w:bCs/>
          <w:lang w:eastAsia="cs-CZ"/>
        </w:rPr>
        <w:t>vysvětlovat poměrně nízkou</w:t>
      </w:r>
      <w:r w:rsidRPr="00FF0D39">
        <w:rPr>
          <w:rFonts w:eastAsia="Times New Roman" w:cs="Arial"/>
          <w:bCs/>
          <w:lang w:eastAsia="cs-CZ"/>
        </w:rPr>
        <w:t xml:space="preserve"> mí</w:t>
      </w:r>
      <w:r>
        <w:rPr>
          <w:rFonts w:eastAsia="Times New Roman" w:cs="Arial"/>
          <w:bCs/>
          <w:lang w:eastAsia="cs-CZ"/>
        </w:rPr>
        <w:t>ru</w:t>
      </w:r>
      <w:r w:rsidRPr="00FF0D39">
        <w:rPr>
          <w:rFonts w:eastAsia="Times New Roman" w:cs="Arial"/>
          <w:bCs/>
          <w:lang w:eastAsia="cs-CZ"/>
        </w:rPr>
        <w:t xml:space="preserve"> spolupráce mezi vysokoškolským</w:t>
      </w:r>
      <w:r>
        <w:rPr>
          <w:rFonts w:eastAsia="Times New Roman" w:cs="Arial"/>
          <w:bCs/>
          <w:lang w:eastAsia="cs-CZ"/>
        </w:rPr>
        <w:t xml:space="preserve"> a </w:t>
      </w:r>
      <w:r w:rsidRPr="00FF0D39">
        <w:rPr>
          <w:rFonts w:eastAsia="Times New Roman" w:cs="Arial"/>
          <w:bCs/>
          <w:lang w:eastAsia="cs-CZ"/>
        </w:rPr>
        <w:t xml:space="preserve">vládním sektorem </w:t>
      </w:r>
      <w:r>
        <w:rPr>
          <w:rFonts w:eastAsia="Times New Roman" w:cs="Arial"/>
          <w:bCs/>
          <w:lang w:eastAsia="cs-CZ"/>
        </w:rPr>
        <w:t>se</w:t>
      </w:r>
      <w:r w:rsidRPr="00FF0D39">
        <w:rPr>
          <w:rFonts w:eastAsia="Times New Roman" w:cs="Arial"/>
          <w:bCs/>
          <w:lang w:eastAsia="cs-CZ"/>
        </w:rPr>
        <w:t xml:space="preserve"> sektorem podnikatelským.</w:t>
      </w:r>
    </w:p>
    <w:p w14:paraId="06562711" w14:textId="77777777" w:rsidR="00577238" w:rsidRPr="00441A07" w:rsidRDefault="00577238" w:rsidP="00577238">
      <w:pPr>
        <w:spacing w:after="0" w:line="360" w:lineRule="auto"/>
        <w:jc w:val="both"/>
        <w:rPr>
          <w:b/>
        </w:rPr>
      </w:pPr>
      <w:r w:rsidRPr="00441A07">
        <w:rPr>
          <w:b/>
        </w:rPr>
        <w:lastRenderedPageBreak/>
        <w:t>Finanční toky mezi sektory</w:t>
      </w:r>
    </w:p>
    <w:p w14:paraId="2AABA2D9" w14:textId="77777777" w:rsidR="00123455" w:rsidRPr="00FF0D39" w:rsidRDefault="00123455" w:rsidP="00123455">
      <w:pPr>
        <w:spacing w:after="240" w:line="360" w:lineRule="auto"/>
        <w:ind w:firstLine="708"/>
        <w:jc w:val="both"/>
        <w:rPr>
          <w:rFonts w:eastAsia="Times New Roman" w:cs="Arial"/>
          <w:bCs/>
          <w:lang w:eastAsia="cs-CZ"/>
        </w:rPr>
      </w:pPr>
      <w:r w:rsidRPr="00FF0D39">
        <w:rPr>
          <w:rFonts w:eastAsia="Times New Roman" w:cs="Arial"/>
          <w:bCs/>
          <w:lang w:eastAsia="cs-CZ"/>
        </w:rPr>
        <w:t xml:space="preserve">Naprostá většina </w:t>
      </w:r>
      <w:r>
        <w:rPr>
          <w:rFonts w:eastAsia="Times New Roman" w:cs="Arial"/>
          <w:bCs/>
          <w:lang w:eastAsia="cs-CZ"/>
        </w:rPr>
        <w:t>podnikových</w:t>
      </w:r>
      <w:r w:rsidRPr="00FF0D39">
        <w:rPr>
          <w:rFonts w:eastAsia="Times New Roman" w:cs="Arial"/>
          <w:bCs/>
          <w:lang w:eastAsia="cs-CZ"/>
        </w:rPr>
        <w:t xml:space="preserve"> zdrojů vynaložených na </w:t>
      </w:r>
      <w:proofErr w:type="spellStart"/>
      <w:r w:rsidRPr="00FF0D39">
        <w:rPr>
          <w:rFonts w:eastAsia="Times New Roman" w:cs="Arial"/>
          <w:bCs/>
          <w:lang w:eastAsia="cs-CZ"/>
        </w:rPr>
        <w:t>VaV</w:t>
      </w:r>
      <w:proofErr w:type="spellEnd"/>
      <w:r w:rsidRPr="00FF0D39">
        <w:rPr>
          <w:rFonts w:eastAsia="Times New Roman" w:cs="Arial"/>
          <w:bCs/>
          <w:lang w:eastAsia="cs-CZ"/>
        </w:rPr>
        <w:t xml:space="preserve"> </w:t>
      </w:r>
      <w:r>
        <w:rPr>
          <w:rFonts w:eastAsia="Times New Roman" w:cs="Arial"/>
          <w:bCs/>
          <w:lang w:eastAsia="cs-CZ"/>
        </w:rPr>
        <w:t>byla v roce 2024</w:t>
      </w:r>
      <w:r w:rsidRPr="00FF0D39">
        <w:rPr>
          <w:rFonts w:eastAsia="Times New Roman" w:cs="Arial"/>
          <w:bCs/>
          <w:lang w:eastAsia="cs-CZ"/>
        </w:rPr>
        <w:t xml:space="preserve"> k tomuto účelu využita </w:t>
      </w:r>
      <w:r>
        <w:rPr>
          <w:rFonts w:eastAsia="Times New Roman" w:cs="Arial"/>
          <w:bCs/>
          <w:lang w:eastAsia="cs-CZ"/>
        </w:rPr>
        <w:t xml:space="preserve">opět </w:t>
      </w:r>
      <w:r w:rsidRPr="00FF0D39">
        <w:rPr>
          <w:rFonts w:eastAsia="Times New Roman" w:cs="Arial"/>
          <w:bCs/>
          <w:lang w:eastAsia="cs-CZ"/>
        </w:rPr>
        <w:t xml:space="preserve">v podnikatelském sektoru. Pouze </w:t>
      </w:r>
      <w:r>
        <w:rPr>
          <w:rFonts w:eastAsia="Times New Roman" w:cs="Arial"/>
          <w:bCs/>
          <w:lang w:eastAsia="cs-CZ"/>
        </w:rPr>
        <w:t>4</w:t>
      </w:r>
      <w:r w:rsidRPr="00BE6799">
        <w:rPr>
          <w:rFonts w:eastAsia="Times New Roman" w:cs="Arial"/>
          <w:bCs/>
          <w:lang w:eastAsia="cs-CZ"/>
        </w:rPr>
        <w:t>,5 %</w:t>
      </w:r>
      <w:r w:rsidRPr="00FF0D39">
        <w:rPr>
          <w:rFonts w:eastAsia="Times New Roman" w:cs="Arial"/>
          <w:bCs/>
          <w:lang w:eastAsia="cs-CZ"/>
        </w:rPr>
        <w:t xml:space="preserve"> podnik</w:t>
      </w:r>
      <w:r>
        <w:rPr>
          <w:rFonts w:eastAsia="Times New Roman" w:cs="Arial"/>
          <w:bCs/>
          <w:lang w:eastAsia="cs-CZ"/>
        </w:rPr>
        <w:t>ových</w:t>
      </w:r>
      <w:r w:rsidRPr="00FF0D39">
        <w:rPr>
          <w:rFonts w:eastAsia="Times New Roman" w:cs="Arial"/>
          <w:bCs/>
          <w:lang w:eastAsia="cs-CZ"/>
        </w:rPr>
        <w:t xml:space="preserve"> zdrojů s</w:t>
      </w:r>
      <w:r>
        <w:rPr>
          <w:rFonts w:eastAsia="Times New Roman" w:cs="Arial"/>
          <w:bCs/>
          <w:lang w:eastAsia="cs-CZ"/>
        </w:rPr>
        <w:t>e podílelo na</w:t>
      </w:r>
      <w:r w:rsidRPr="00FF0D39">
        <w:rPr>
          <w:rFonts w:eastAsia="Times New Roman" w:cs="Arial"/>
          <w:bCs/>
          <w:lang w:eastAsia="cs-CZ"/>
        </w:rPr>
        <w:t xml:space="preserve"> financování </w:t>
      </w:r>
      <w:proofErr w:type="spellStart"/>
      <w:r w:rsidRPr="00FF0D39">
        <w:rPr>
          <w:rFonts w:eastAsia="Times New Roman" w:cs="Arial"/>
          <w:bCs/>
          <w:lang w:eastAsia="cs-CZ"/>
        </w:rPr>
        <w:t>VaV</w:t>
      </w:r>
      <w:proofErr w:type="spellEnd"/>
      <w:r w:rsidRPr="00FF0D39">
        <w:rPr>
          <w:rFonts w:eastAsia="Times New Roman" w:cs="Arial"/>
          <w:bCs/>
          <w:lang w:eastAsia="cs-CZ"/>
        </w:rPr>
        <w:t xml:space="preserve"> ve</w:t>
      </w:r>
      <w:r>
        <w:rPr>
          <w:rFonts w:eastAsia="Times New Roman" w:cs="Arial"/>
          <w:bCs/>
          <w:lang w:eastAsia="cs-CZ"/>
        </w:rPr>
        <w:t> </w:t>
      </w:r>
      <w:r w:rsidRPr="00FF0D39">
        <w:rPr>
          <w:rFonts w:eastAsia="Times New Roman" w:cs="Arial"/>
          <w:bCs/>
          <w:lang w:eastAsia="cs-CZ"/>
        </w:rPr>
        <w:t>vládním, vysokoškolském nebo soukromém neziskovém sektoru.</w:t>
      </w:r>
    </w:p>
    <w:p w14:paraId="15931588" w14:textId="77777777" w:rsidR="00123455" w:rsidRPr="00FF0D39" w:rsidRDefault="00123455" w:rsidP="00123455">
      <w:pPr>
        <w:spacing w:after="240" w:line="360" w:lineRule="auto"/>
        <w:ind w:firstLine="708"/>
        <w:jc w:val="both"/>
        <w:rPr>
          <w:rFonts w:eastAsia="Times New Roman" w:cs="Arial"/>
          <w:bCs/>
          <w:lang w:eastAsia="cs-CZ"/>
        </w:rPr>
      </w:pPr>
      <w:r w:rsidRPr="00FF0D39">
        <w:rPr>
          <w:rFonts w:eastAsia="Times New Roman" w:cs="Arial"/>
          <w:bCs/>
          <w:lang w:eastAsia="cs-CZ"/>
        </w:rPr>
        <w:t xml:space="preserve">Objem smluvního výzkumu prováděného </w:t>
      </w:r>
      <w:r>
        <w:rPr>
          <w:rFonts w:eastAsia="Times New Roman" w:cs="Arial"/>
          <w:bCs/>
          <w:lang w:eastAsia="cs-CZ"/>
        </w:rPr>
        <w:t>VO</w:t>
      </w:r>
      <w:r w:rsidRPr="00FF0D39">
        <w:rPr>
          <w:rFonts w:eastAsia="Times New Roman" w:cs="Arial"/>
          <w:bCs/>
          <w:lang w:eastAsia="cs-CZ"/>
        </w:rPr>
        <w:t xml:space="preserve"> z vládního </w:t>
      </w:r>
      <w:r>
        <w:rPr>
          <w:rFonts w:eastAsia="Times New Roman" w:cs="Arial"/>
          <w:bCs/>
          <w:lang w:eastAsia="cs-CZ"/>
        </w:rPr>
        <w:t>a </w:t>
      </w:r>
      <w:r w:rsidRPr="00FF0D39">
        <w:rPr>
          <w:rFonts w:eastAsia="Times New Roman" w:cs="Arial"/>
          <w:bCs/>
          <w:lang w:eastAsia="cs-CZ"/>
        </w:rPr>
        <w:t>vysokoškolského sektoru (tj.</w:t>
      </w:r>
      <w:r>
        <w:rPr>
          <w:rFonts w:eastAsia="Times New Roman" w:cs="Arial"/>
          <w:bCs/>
          <w:lang w:eastAsia="cs-CZ"/>
        </w:rPr>
        <w:t> </w:t>
      </w:r>
      <w:r w:rsidRPr="00FF0D39">
        <w:rPr>
          <w:rFonts w:eastAsia="Times New Roman" w:cs="Arial"/>
          <w:bCs/>
          <w:lang w:eastAsia="cs-CZ"/>
        </w:rPr>
        <w:t xml:space="preserve">především AV ČR a </w:t>
      </w:r>
      <w:r>
        <w:rPr>
          <w:rFonts w:eastAsia="Times New Roman" w:cs="Arial"/>
          <w:bCs/>
          <w:lang w:eastAsia="cs-CZ"/>
        </w:rPr>
        <w:t xml:space="preserve">vysoké školy, </w:t>
      </w:r>
      <w:r w:rsidRPr="00FF0D39">
        <w:rPr>
          <w:rFonts w:eastAsia="Times New Roman" w:cs="Arial"/>
          <w:bCs/>
          <w:lang w:eastAsia="cs-CZ"/>
        </w:rPr>
        <w:t>VŠ) pro podnikatelský sektor činil v roce 202</w:t>
      </w:r>
      <w:r>
        <w:rPr>
          <w:rFonts w:eastAsia="Times New Roman" w:cs="Arial"/>
          <w:bCs/>
          <w:lang w:eastAsia="cs-CZ"/>
        </w:rPr>
        <w:t>4</w:t>
      </w:r>
      <w:r w:rsidRPr="00FF0D39">
        <w:rPr>
          <w:rFonts w:eastAsia="Times New Roman" w:cs="Arial"/>
          <w:bCs/>
          <w:lang w:eastAsia="cs-CZ"/>
        </w:rPr>
        <w:t xml:space="preserve"> </w:t>
      </w:r>
      <w:r w:rsidRPr="009D1D6C">
        <w:rPr>
          <w:rFonts w:eastAsia="Times New Roman" w:cs="Arial"/>
          <w:bCs/>
          <w:lang w:eastAsia="cs-CZ"/>
        </w:rPr>
        <w:t>6 %</w:t>
      </w:r>
      <w:r w:rsidRPr="00FF0D39">
        <w:rPr>
          <w:rFonts w:eastAsia="Times New Roman" w:cs="Arial"/>
          <w:bCs/>
          <w:lang w:eastAsia="cs-CZ"/>
        </w:rPr>
        <w:t xml:space="preserve"> objemu výdajů veřejného sektoru (domácího i zahraničního). V</w:t>
      </w:r>
      <w:r>
        <w:rPr>
          <w:rFonts w:eastAsia="Times New Roman" w:cs="Arial"/>
          <w:bCs/>
          <w:lang w:eastAsia="cs-CZ"/>
        </w:rPr>
        <w:t> </w:t>
      </w:r>
      <w:r w:rsidRPr="009D1D6C">
        <w:rPr>
          <w:rFonts w:eastAsia="Times New Roman" w:cs="Arial"/>
          <w:bCs/>
          <w:lang w:eastAsia="cs-CZ"/>
        </w:rPr>
        <w:t>letech 2020 až 2024</w:t>
      </w:r>
      <w:r w:rsidRPr="00FF0D39">
        <w:rPr>
          <w:rFonts w:eastAsia="Times New Roman" w:cs="Arial"/>
          <w:bCs/>
          <w:lang w:eastAsia="cs-CZ"/>
        </w:rPr>
        <w:t xml:space="preserve"> se</w:t>
      </w:r>
      <w:r>
        <w:rPr>
          <w:rFonts w:eastAsia="Times New Roman" w:cs="Arial"/>
          <w:bCs/>
          <w:lang w:eastAsia="cs-CZ"/>
        </w:rPr>
        <w:t> podnikové</w:t>
      </w:r>
      <w:r w:rsidRPr="00FF0D39">
        <w:rPr>
          <w:rFonts w:eastAsia="Times New Roman" w:cs="Arial"/>
          <w:bCs/>
          <w:lang w:eastAsia="cs-CZ"/>
        </w:rPr>
        <w:t xml:space="preserve"> </w:t>
      </w:r>
      <w:r>
        <w:rPr>
          <w:rFonts w:eastAsia="Times New Roman" w:cs="Arial"/>
          <w:bCs/>
          <w:lang w:eastAsia="cs-CZ"/>
        </w:rPr>
        <w:t>zdroje</w:t>
      </w:r>
      <w:r w:rsidRPr="00FF0D39">
        <w:rPr>
          <w:rFonts w:eastAsia="Times New Roman" w:cs="Arial"/>
          <w:bCs/>
          <w:lang w:eastAsia="cs-CZ"/>
        </w:rPr>
        <w:t xml:space="preserve"> na</w:t>
      </w:r>
      <w:r>
        <w:rPr>
          <w:rFonts w:eastAsia="Times New Roman" w:cs="Arial"/>
          <w:bCs/>
          <w:lang w:eastAsia="cs-CZ"/>
        </w:rPr>
        <w:t> </w:t>
      </w:r>
      <w:r w:rsidRPr="00FF0D39">
        <w:rPr>
          <w:rFonts w:eastAsia="Times New Roman" w:cs="Arial"/>
          <w:bCs/>
          <w:lang w:eastAsia="cs-CZ"/>
        </w:rPr>
        <w:t xml:space="preserve">financování </w:t>
      </w:r>
      <w:proofErr w:type="spellStart"/>
      <w:r w:rsidRPr="00FF0D39">
        <w:rPr>
          <w:rFonts w:eastAsia="Times New Roman" w:cs="Arial"/>
          <w:bCs/>
          <w:lang w:eastAsia="cs-CZ"/>
        </w:rPr>
        <w:t>VaV</w:t>
      </w:r>
      <w:proofErr w:type="spellEnd"/>
      <w:r w:rsidRPr="00FF0D39">
        <w:rPr>
          <w:rFonts w:eastAsia="Times New Roman" w:cs="Arial"/>
          <w:bCs/>
          <w:lang w:eastAsia="cs-CZ"/>
        </w:rPr>
        <w:t xml:space="preserve"> prováděného ve vládním sektoru podílely </w:t>
      </w:r>
      <w:r>
        <w:rPr>
          <w:rFonts w:eastAsia="Times New Roman" w:cs="Arial"/>
          <w:bCs/>
          <w:lang w:eastAsia="cs-CZ"/>
        </w:rPr>
        <w:t xml:space="preserve">průměrně </w:t>
      </w:r>
      <w:r w:rsidRPr="00E143FD">
        <w:rPr>
          <w:rFonts w:eastAsia="Times New Roman" w:cs="Arial"/>
          <w:bCs/>
          <w:lang w:eastAsia="cs-CZ"/>
        </w:rPr>
        <w:t>2,5 mld. Kč</w:t>
      </w:r>
      <w:r>
        <w:rPr>
          <w:rFonts w:eastAsia="Times New Roman" w:cs="Arial"/>
          <w:bCs/>
          <w:lang w:eastAsia="cs-CZ"/>
        </w:rPr>
        <w:t xml:space="preserve"> za rok</w:t>
      </w:r>
      <w:r w:rsidRPr="00FF0D39">
        <w:rPr>
          <w:rFonts w:eastAsia="Times New Roman" w:cs="Arial"/>
          <w:bCs/>
          <w:lang w:eastAsia="cs-CZ"/>
        </w:rPr>
        <w:t>. Ve</w:t>
      </w:r>
      <w:r>
        <w:rPr>
          <w:rFonts w:eastAsia="Times New Roman" w:cs="Arial"/>
          <w:bCs/>
          <w:lang w:eastAsia="cs-CZ"/>
        </w:rPr>
        <w:t> </w:t>
      </w:r>
      <w:r w:rsidRPr="00FF0D39">
        <w:rPr>
          <w:rFonts w:eastAsia="Times New Roman" w:cs="Arial"/>
          <w:bCs/>
          <w:lang w:eastAsia="cs-CZ"/>
        </w:rPr>
        <w:t xml:space="preserve">vysokoškolském sektoru se objem smluvního výzkumu </w:t>
      </w:r>
      <w:r>
        <w:rPr>
          <w:rFonts w:eastAsia="Times New Roman" w:cs="Arial"/>
          <w:bCs/>
          <w:lang w:eastAsia="cs-CZ"/>
        </w:rPr>
        <w:t>ve stejném sledovaném období</w:t>
      </w:r>
      <w:r w:rsidRPr="00FF0D39">
        <w:rPr>
          <w:rFonts w:eastAsia="Times New Roman" w:cs="Arial"/>
          <w:bCs/>
          <w:lang w:eastAsia="cs-CZ"/>
        </w:rPr>
        <w:t xml:space="preserve"> pohybuje </w:t>
      </w:r>
      <w:r>
        <w:rPr>
          <w:rFonts w:eastAsia="Times New Roman" w:cs="Arial"/>
          <w:bCs/>
          <w:lang w:eastAsia="cs-CZ"/>
        </w:rPr>
        <w:t xml:space="preserve">v průměru </w:t>
      </w:r>
      <w:r w:rsidRPr="00FF0D39">
        <w:rPr>
          <w:rFonts w:eastAsia="Times New Roman" w:cs="Arial"/>
          <w:bCs/>
          <w:lang w:eastAsia="cs-CZ"/>
        </w:rPr>
        <w:t xml:space="preserve">okolo </w:t>
      </w:r>
      <w:r w:rsidRPr="009D1D6C">
        <w:rPr>
          <w:rFonts w:eastAsia="Times New Roman" w:cs="Arial"/>
          <w:bCs/>
          <w:lang w:eastAsia="cs-CZ"/>
        </w:rPr>
        <w:t>1,1 mld. Kč</w:t>
      </w:r>
      <w:r>
        <w:rPr>
          <w:rFonts w:eastAsia="Times New Roman" w:cs="Arial"/>
          <w:bCs/>
          <w:lang w:eastAsia="cs-CZ"/>
        </w:rPr>
        <w:t xml:space="preserve"> za rok</w:t>
      </w:r>
      <w:r w:rsidRPr="009D1D6C">
        <w:rPr>
          <w:rFonts w:eastAsia="Times New Roman" w:cs="Arial"/>
          <w:bCs/>
          <w:lang w:eastAsia="cs-CZ"/>
        </w:rPr>
        <w:t>.</w:t>
      </w:r>
    </w:p>
    <w:p w14:paraId="46ADCCCF" w14:textId="77777777" w:rsidR="00123455" w:rsidRPr="00FF0D39" w:rsidRDefault="00123455" w:rsidP="00123455">
      <w:pPr>
        <w:spacing w:after="240" w:line="360" w:lineRule="auto"/>
        <w:ind w:firstLine="708"/>
        <w:jc w:val="both"/>
        <w:rPr>
          <w:rFonts w:eastAsia="Times New Roman" w:cs="Arial"/>
          <w:bCs/>
          <w:lang w:eastAsia="cs-CZ"/>
        </w:rPr>
      </w:pPr>
      <w:r w:rsidRPr="00FF0D39">
        <w:rPr>
          <w:rFonts w:eastAsia="Times New Roman" w:cs="Arial"/>
          <w:bCs/>
          <w:lang w:eastAsia="cs-CZ"/>
        </w:rPr>
        <w:t xml:space="preserve">Veřejné finanční zdroje směřovaly především do </w:t>
      </w:r>
      <w:proofErr w:type="spellStart"/>
      <w:r w:rsidRPr="00FF0D39">
        <w:rPr>
          <w:rFonts w:eastAsia="Times New Roman" w:cs="Arial"/>
          <w:bCs/>
          <w:lang w:eastAsia="cs-CZ"/>
        </w:rPr>
        <w:t>VaV</w:t>
      </w:r>
      <w:proofErr w:type="spellEnd"/>
      <w:r w:rsidRPr="00FF0D39">
        <w:rPr>
          <w:rFonts w:eastAsia="Times New Roman" w:cs="Arial"/>
          <w:bCs/>
          <w:lang w:eastAsia="cs-CZ"/>
        </w:rPr>
        <w:t xml:space="preserve"> prováděného ve vládním a</w:t>
      </w:r>
      <w:r>
        <w:rPr>
          <w:rFonts w:eastAsia="Times New Roman" w:cs="Arial"/>
          <w:bCs/>
          <w:lang w:eastAsia="cs-CZ"/>
        </w:rPr>
        <w:t> </w:t>
      </w:r>
      <w:r w:rsidRPr="00FF0D39">
        <w:rPr>
          <w:rFonts w:eastAsia="Times New Roman" w:cs="Arial"/>
          <w:bCs/>
          <w:lang w:eastAsia="cs-CZ"/>
        </w:rPr>
        <w:t xml:space="preserve">vysokoškolském sektoru, celkem bylo zapojeno </w:t>
      </w:r>
      <w:r w:rsidRPr="007A0EC8">
        <w:rPr>
          <w:rFonts w:eastAsia="Times New Roman" w:cs="Arial"/>
          <w:bCs/>
          <w:lang w:eastAsia="cs-CZ"/>
        </w:rPr>
        <w:t>45,5 mld. Kč z veřejných zdrojů (z národních 38 mld. Kč a z EU 7 mld. Kč).</w:t>
      </w:r>
      <w:r w:rsidRPr="00FF0D39">
        <w:rPr>
          <w:rFonts w:eastAsia="Times New Roman" w:cs="Arial"/>
          <w:bCs/>
          <w:lang w:eastAsia="cs-CZ"/>
        </w:rPr>
        <w:t xml:space="preserve"> </w:t>
      </w:r>
      <w:r>
        <w:rPr>
          <w:rFonts w:eastAsia="Times New Roman" w:cs="Arial"/>
          <w:bCs/>
          <w:lang w:eastAsia="cs-CZ"/>
        </w:rPr>
        <w:t>Naopak p</w:t>
      </w:r>
      <w:r w:rsidRPr="00FF0D39">
        <w:rPr>
          <w:rFonts w:eastAsia="Times New Roman" w:cs="Arial"/>
          <w:bCs/>
          <w:lang w:eastAsia="cs-CZ"/>
        </w:rPr>
        <w:t>odnikatelské subjekty získaly přímou veřejnou podporu ve</w:t>
      </w:r>
      <w:r>
        <w:rPr>
          <w:rFonts w:eastAsia="Times New Roman" w:cs="Arial"/>
          <w:bCs/>
          <w:lang w:eastAsia="cs-CZ"/>
        </w:rPr>
        <w:t> </w:t>
      </w:r>
      <w:r w:rsidRPr="007A0EC8">
        <w:rPr>
          <w:rFonts w:eastAsia="Times New Roman" w:cs="Arial"/>
          <w:bCs/>
          <w:lang w:eastAsia="cs-CZ"/>
        </w:rPr>
        <w:t>výši 6 mld. Kč.</w:t>
      </w:r>
    </w:p>
    <w:p w14:paraId="14970934" w14:textId="77777777" w:rsidR="00123455" w:rsidRDefault="00123455" w:rsidP="00123455">
      <w:pPr>
        <w:spacing w:after="0" w:line="360" w:lineRule="auto"/>
        <w:ind w:firstLine="708"/>
        <w:jc w:val="both"/>
        <w:rPr>
          <w:rFonts w:eastAsia="Times New Roman" w:cs="Arial"/>
          <w:bCs/>
          <w:lang w:eastAsia="cs-CZ"/>
        </w:rPr>
      </w:pPr>
      <w:r w:rsidRPr="00FF0D39">
        <w:rPr>
          <w:rFonts w:eastAsia="Times New Roman" w:cs="Arial"/>
          <w:bCs/>
          <w:lang w:eastAsia="cs-CZ"/>
        </w:rPr>
        <w:t>V podnikatelském sektoru převážnou část finančních prostředků (</w:t>
      </w:r>
      <w:r w:rsidRPr="00A267C1">
        <w:rPr>
          <w:rFonts w:eastAsia="Times New Roman" w:cs="Arial"/>
          <w:bCs/>
          <w:lang w:eastAsia="cs-CZ"/>
        </w:rPr>
        <w:t>67 %)</w:t>
      </w:r>
      <w:r w:rsidRPr="00FF0D39">
        <w:rPr>
          <w:rFonts w:eastAsia="Times New Roman" w:cs="Arial"/>
          <w:bCs/>
          <w:lang w:eastAsia="cs-CZ"/>
        </w:rPr>
        <w:t xml:space="preserve"> na </w:t>
      </w:r>
      <w:proofErr w:type="spellStart"/>
      <w:r w:rsidRPr="00FF0D39">
        <w:rPr>
          <w:rFonts w:eastAsia="Times New Roman" w:cs="Arial"/>
          <w:bCs/>
          <w:lang w:eastAsia="cs-CZ"/>
        </w:rPr>
        <w:t>VaV</w:t>
      </w:r>
      <w:proofErr w:type="spellEnd"/>
      <w:r w:rsidRPr="00FF0D39">
        <w:rPr>
          <w:rFonts w:eastAsia="Times New Roman" w:cs="Arial"/>
          <w:bCs/>
          <w:lang w:eastAsia="cs-CZ"/>
        </w:rPr>
        <w:t xml:space="preserve"> v roce 202</w:t>
      </w:r>
      <w:r>
        <w:rPr>
          <w:rFonts w:eastAsia="Times New Roman" w:cs="Arial"/>
          <w:bCs/>
          <w:lang w:eastAsia="cs-CZ"/>
        </w:rPr>
        <w:t>4</w:t>
      </w:r>
      <w:r w:rsidRPr="00FF0D39">
        <w:rPr>
          <w:rFonts w:eastAsia="Times New Roman" w:cs="Arial"/>
          <w:bCs/>
          <w:lang w:eastAsia="cs-CZ"/>
        </w:rPr>
        <w:t xml:space="preserve"> spotřebovaly soukromé podniky pod zahraniční kontrolou, ve vládním sektoru to byl</w:t>
      </w:r>
      <w:r>
        <w:rPr>
          <w:rFonts w:eastAsia="Times New Roman" w:cs="Arial"/>
          <w:bCs/>
          <w:lang w:eastAsia="cs-CZ"/>
        </w:rPr>
        <w:t xml:space="preserve">a pracoviště </w:t>
      </w:r>
      <w:r w:rsidRPr="00FF0D39">
        <w:rPr>
          <w:rFonts w:eastAsia="Times New Roman" w:cs="Arial"/>
          <w:bCs/>
          <w:lang w:eastAsia="cs-CZ"/>
        </w:rPr>
        <w:t>AV</w:t>
      </w:r>
      <w:r>
        <w:rPr>
          <w:rFonts w:eastAsia="Times New Roman" w:cs="Arial"/>
          <w:bCs/>
          <w:lang w:eastAsia="cs-CZ"/>
        </w:rPr>
        <w:t> </w:t>
      </w:r>
      <w:r w:rsidRPr="00A267C1">
        <w:rPr>
          <w:rFonts w:eastAsia="Times New Roman" w:cs="Arial"/>
          <w:bCs/>
          <w:lang w:eastAsia="cs-CZ"/>
        </w:rPr>
        <w:t>ČR (70 %) a ve vysokoškolském sektoru veřejné a státní VŠ (94 %).</w:t>
      </w:r>
    </w:p>
    <w:p w14:paraId="493E6264" w14:textId="250C9760" w:rsidR="001F4943" w:rsidRDefault="001F4943">
      <w:pPr>
        <w:rPr>
          <w:rFonts w:eastAsia="Times New Roman" w:cs="Arial"/>
          <w:bCs/>
          <w:lang w:eastAsia="cs-CZ"/>
        </w:rPr>
        <w:sectPr w:rsidR="001F4943" w:rsidSect="00BC2608">
          <w:pgSz w:w="11906" w:h="16838"/>
          <w:pgMar w:top="1134" w:right="1134" w:bottom="993" w:left="1134" w:header="709" w:footer="709" w:gutter="0"/>
          <w:cols w:space="708"/>
          <w:docGrid w:linePitch="360"/>
        </w:sectPr>
      </w:pPr>
    </w:p>
    <w:p w14:paraId="632C94EF" w14:textId="439E896B" w:rsidR="00633A4F" w:rsidRDefault="00633A4F" w:rsidP="006209EB">
      <w:pPr>
        <w:spacing w:after="0" w:line="360" w:lineRule="auto"/>
        <w:jc w:val="both"/>
        <w:rPr>
          <w:b/>
        </w:rPr>
      </w:pPr>
      <w:r>
        <w:rPr>
          <w:b/>
        </w:rPr>
        <w:lastRenderedPageBreak/>
        <w:t>Schéma</w:t>
      </w:r>
      <w:r w:rsidRPr="00E8772A">
        <w:rPr>
          <w:b/>
        </w:rPr>
        <w:t xml:space="preserve"> B.2.</w:t>
      </w:r>
      <w:r w:rsidR="00123455">
        <w:rPr>
          <w:b/>
        </w:rPr>
        <w:t>5</w:t>
      </w:r>
      <w:r>
        <w:rPr>
          <w:b/>
        </w:rPr>
        <w:t xml:space="preserve">: Finanční toky ve </w:t>
      </w:r>
      <w:proofErr w:type="spellStart"/>
      <w:r>
        <w:rPr>
          <w:b/>
        </w:rPr>
        <w:t>VaV</w:t>
      </w:r>
      <w:proofErr w:type="spellEnd"/>
      <w:r>
        <w:rPr>
          <w:b/>
        </w:rPr>
        <w:t xml:space="preserve"> mezi sektory v roce 202</w:t>
      </w:r>
      <w:r w:rsidR="00123455">
        <w:rPr>
          <w:b/>
        </w:rPr>
        <w:t>4</w:t>
      </w:r>
    </w:p>
    <w:p w14:paraId="491D0F05" w14:textId="21908C75" w:rsidR="00123455" w:rsidRDefault="00123455" w:rsidP="006209EB">
      <w:pPr>
        <w:spacing w:after="0" w:line="360" w:lineRule="auto"/>
        <w:jc w:val="both"/>
        <w:rPr>
          <w:b/>
        </w:rPr>
      </w:pPr>
      <w:r>
        <w:rPr>
          <w:noProof/>
          <w14:ligatures w14:val="standardContextual"/>
        </w:rPr>
        <w:drawing>
          <wp:inline distT="0" distB="0" distL="0" distR="0" wp14:anchorId="41691CDA" wp14:editId="33A14F29">
            <wp:extent cx="9243013" cy="4086225"/>
            <wp:effectExtent l="0" t="0" r="0" b="0"/>
            <wp:docPr id="280471991" name="Obrázek 1" descr="Obsah obrázku text, snímek obrazovky, kruh, diagram&#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471991" name="Obrázek 1" descr="Obsah obrázku text, snímek obrazovky, kruh, diagram&#10;&#10;Obsah generovaný pomocí AI může být nesprávný."/>
                    <pic:cNvPicPr/>
                  </pic:nvPicPr>
                  <pic:blipFill>
                    <a:blip r:embed="rId53"/>
                    <a:stretch>
                      <a:fillRect/>
                    </a:stretch>
                  </pic:blipFill>
                  <pic:spPr>
                    <a:xfrm>
                      <a:off x="0" y="0"/>
                      <a:ext cx="9248892" cy="4088824"/>
                    </a:xfrm>
                    <a:prstGeom prst="rect">
                      <a:avLst/>
                    </a:prstGeom>
                  </pic:spPr>
                </pic:pic>
              </a:graphicData>
            </a:graphic>
          </wp:inline>
        </w:drawing>
      </w:r>
    </w:p>
    <w:p w14:paraId="67F3688B" w14:textId="77777777" w:rsidR="00123455" w:rsidRPr="00FF0D39" w:rsidRDefault="00123455" w:rsidP="00123455">
      <w:pPr>
        <w:pStyle w:val="Zdrojapoznmka"/>
      </w:pPr>
      <w:r w:rsidRPr="00FF0D39">
        <w:t xml:space="preserve">Zdroj: </w:t>
      </w:r>
      <w:r>
        <w:t>ČSÚ, 2025</w:t>
      </w:r>
    </w:p>
    <w:p w14:paraId="7FFE865E" w14:textId="64621D3B" w:rsidR="00123455" w:rsidRPr="00C80113" w:rsidRDefault="00123455" w:rsidP="00123455">
      <w:pPr>
        <w:pStyle w:val="Zdrojapoznmka"/>
      </w:pPr>
      <w:r w:rsidRPr="00FF0D39">
        <w:t xml:space="preserve">Pozn.: </w:t>
      </w:r>
      <w:r>
        <w:t xml:space="preserve">Ve schématu jsou uvedené ostatní zdroje finančních prostředků na </w:t>
      </w:r>
      <w:proofErr w:type="spellStart"/>
      <w:r>
        <w:t>VaV</w:t>
      </w:r>
      <w:proofErr w:type="spellEnd"/>
      <w:r>
        <w:t xml:space="preserve">, které tvoří vlastní příjmy vysokých škol a soukromých neziskových institucí nepocházející ze státního rozpočtu, podnikatelského sektoru nebo z EU. Výše těchto výdajů v roce 2024 přesahuje </w:t>
      </w:r>
      <w:r w:rsidRPr="00B35BB8">
        <w:t>1,4 mld. Kč. Tyto zdroje jsou z 86 %</w:t>
      </w:r>
      <w:r>
        <w:t xml:space="preserve"> alokovány ve vysokoškolském sektoru a jde především o poplatky jednotlivých studentů, předplatné časopisů, příjmy z publikačních činností apod. Počet subjektů v sektorech </w:t>
      </w:r>
      <w:proofErr w:type="spellStart"/>
      <w:r>
        <w:t>VaV</w:t>
      </w:r>
      <w:proofErr w:type="spellEnd"/>
      <w:r>
        <w:t xml:space="preserve"> v závorce uvádí průměrný počet pracovišť. Počet pracovišť AV ČR je uveden dle metodiky ČSÚ, neboť z důvodu regionálního členění sleduje ČSÚ zvlášť údaje za více pracovišť některých ústavů (Botanický ústav, Historický ústav, Ústav fyziky plazmatu). Soukromý neziskový sektor zahrnuje neziskové instituce, které jsou samostatnými právnickými osobami, poskytují služby domácnostem a jsou soukromými netržními výrobci.</w:t>
      </w:r>
    </w:p>
    <w:p w14:paraId="1AA0D0B8" w14:textId="1B2BAC22" w:rsidR="00577238" w:rsidRDefault="00577238" w:rsidP="006209EB">
      <w:pPr>
        <w:spacing w:after="0" w:line="360" w:lineRule="auto"/>
        <w:jc w:val="both"/>
        <w:rPr>
          <w:rFonts w:eastAsia="Times New Roman" w:cs="Arial"/>
          <w:bCs/>
          <w:lang w:eastAsia="cs-CZ"/>
        </w:rPr>
        <w:sectPr w:rsidR="00577238" w:rsidSect="001F4943">
          <w:pgSz w:w="16838" w:h="11906" w:orient="landscape"/>
          <w:pgMar w:top="1134" w:right="1134" w:bottom="1134" w:left="1134" w:header="709" w:footer="709" w:gutter="0"/>
          <w:cols w:space="708"/>
          <w:docGrid w:linePitch="360"/>
        </w:sectPr>
      </w:pPr>
    </w:p>
    <w:p w14:paraId="503269A6" w14:textId="74D50256" w:rsidR="0019303E" w:rsidRPr="0019303E" w:rsidRDefault="0019303E" w:rsidP="003A4CB4">
      <w:pPr>
        <w:pStyle w:val="Nadpis2"/>
        <w:pageBreakBefore/>
        <w:ind w:left="578" w:hanging="578"/>
        <w:rPr>
          <w:rFonts w:eastAsia="Times New Roman"/>
        </w:rPr>
      </w:pPr>
      <w:bookmarkStart w:id="21" w:name="_Toc215589300"/>
      <w:r w:rsidRPr="0019303E">
        <w:rPr>
          <w:rFonts w:eastAsia="Times New Roman"/>
        </w:rPr>
        <w:lastRenderedPageBreak/>
        <w:t>Přímá veřejná podpora</w:t>
      </w:r>
      <w:r w:rsidR="00426596">
        <w:rPr>
          <w:rFonts w:eastAsia="Times New Roman"/>
        </w:rPr>
        <w:t xml:space="preserve"> </w:t>
      </w:r>
      <w:proofErr w:type="spellStart"/>
      <w:r w:rsidR="00426596">
        <w:rPr>
          <w:rFonts w:eastAsia="Times New Roman"/>
        </w:rPr>
        <w:t>VaV</w:t>
      </w:r>
      <w:bookmarkEnd w:id="21"/>
      <w:proofErr w:type="spellEnd"/>
    </w:p>
    <w:p w14:paraId="3BBE00DF" w14:textId="122E2A26" w:rsidR="00AB24D3" w:rsidRPr="00CF0700" w:rsidRDefault="00AB24D3" w:rsidP="00AB24D3">
      <w:pPr>
        <w:spacing w:after="120" w:line="360" w:lineRule="auto"/>
        <w:ind w:firstLine="578"/>
        <w:jc w:val="both"/>
        <w:rPr>
          <w:rFonts w:eastAsia="Times New Roman" w:cs="Arial"/>
          <w:bCs/>
          <w:lang w:eastAsia="cs-CZ"/>
        </w:rPr>
      </w:pPr>
      <w:bookmarkStart w:id="22" w:name="_Toc87340760"/>
      <w:r w:rsidRPr="004D348E">
        <w:rPr>
          <w:rFonts w:eastAsia="Times New Roman" w:cs="Arial"/>
          <w:bCs/>
          <w:lang w:eastAsia="cs-CZ"/>
        </w:rPr>
        <w:t xml:space="preserve">Těžiště přímé veřejné podpory tvoří tzv. národní veřejné zdroje a zdroje z fondů Evropské unie, které dohromady představují přibližně 36 % všech prostředků vynaložených v České republice na </w:t>
      </w:r>
      <w:proofErr w:type="spellStart"/>
      <w:r w:rsidRPr="004D348E">
        <w:rPr>
          <w:rFonts w:eastAsia="Times New Roman" w:cs="Arial"/>
          <w:bCs/>
          <w:lang w:eastAsia="cs-CZ"/>
        </w:rPr>
        <w:t>VaVaI</w:t>
      </w:r>
      <w:proofErr w:type="spellEnd"/>
      <w:r w:rsidRPr="004D348E">
        <w:rPr>
          <w:rFonts w:eastAsia="Times New Roman" w:cs="Arial"/>
          <w:bCs/>
          <w:lang w:eastAsia="cs-CZ"/>
        </w:rPr>
        <w:t>.</w:t>
      </w:r>
      <w:r>
        <w:rPr>
          <w:rFonts w:eastAsia="Times New Roman" w:cs="Arial"/>
          <w:bCs/>
          <w:lang w:eastAsia="cs-CZ"/>
        </w:rPr>
        <w:t xml:space="preserve"> </w:t>
      </w:r>
      <w:r w:rsidRPr="004D348E">
        <w:rPr>
          <w:rFonts w:eastAsia="Times New Roman" w:cs="Arial"/>
          <w:bCs/>
          <w:lang w:eastAsia="cs-CZ"/>
        </w:rPr>
        <w:t>Většinu financování zajišťuje podnikatelský sektor, jenž se podílí přibližně 63</w:t>
      </w:r>
      <w:r w:rsidR="007B2741">
        <w:rPr>
          <w:rFonts w:eastAsia="Times New Roman" w:cs="Arial"/>
          <w:bCs/>
          <w:lang w:eastAsia="cs-CZ"/>
        </w:rPr>
        <w:t> </w:t>
      </w:r>
      <w:r w:rsidRPr="004D348E">
        <w:rPr>
          <w:rFonts w:eastAsia="Times New Roman" w:cs="Arial"/>
          <w:bCs/>
          <w:lang w:eastAsia="cs-CZ"/>
        </w:rPr>
        <w:t>%.</w:t>
      </w:r>
      <w:r>
        <w:rPr>
          <w:rFonts w:eastAsia="Times New Roman" w:cs="Arial"/>
          <w:bCs/>
          <w:lang w:eastAsia="cs-CZ"/>
        </w:rPr>
        <w:t xml:space="preserve"> </w:t>
      </w:r>
      <w:r w:rsidRPr="004D348E">
        <w:rPr>
          <w:rFonts w:eastAsia="Times New Roman" w:cs="Arial"/>
          <w:bCs/>
          <w:lang w:eastAsia="cs-CZ"/>
        </w:rPr>
        <w:t>Na zbývající části výdajů se podílejí tzv. ostatní zdroje, které zahrnují zejména vlastní příjmy vysokých škol a soukromých neziskových institucí</w:t>
      </w:r>
      <w:r>
        <w:rPr>
          <w:rFonts w:eastAsia="Times New Roman" w:cs="Arial"/>
          <w:bCs/>
          <w:lang w:eastAsia="cs-CZ"/>
        </w:rPr>
        <w:t>,</w:t>
      </w:r>
      <w:r w:rsidRPr="00CF0700">
        <w:rPr>
          <w:rFonts w:eastAsia="Times New Roman" w:cs="Arial"/>
          <w:bCs/>
          <w:lang w:eastAsia="cs-CZ"/>
        </w:rPr>
        <w:t xml:space="preserve"> které tvoří především vlastní příjmy vysokých škol a soukromých neziskových institucí nepocházející ze státního rozpočtu, podnikatelského sektoru ani ze zahraničí. Dále sem patří zdroje z mezinárodních organizací mimo EU.</w:t>
      </w:r>
    </w:p>
    <w:p w14:paraId="03344D79" w14:textId="1933BBF2" w:rsidR="00AB24D3" w:rsidRDefault="00AB24D3" w:rsidP="00AB24D3">
      <w:pPr>
        <w:spacing w:after="120" w:line="360" w:lineRule="auto"/>
        <w:ind w:firstLine="578"/>
        <w:jc w:val="both"/>
        <w:rPr>
          <w:rFonts w:eastAsia="Times New Roman" w:cs="Arial"/>
          <w:bCs/>
          <w:lang w:eastAsia="cs-CZ"/>
        </w:rPr>
      </w:pPr>
      <w:r w:rsidRPr="00F143DE">
        <w:rPr>
          <w:rFonts w:eastAsia="Times New Roman" w:cs="Arial"/>
          <w:bCs/>
          <w:lang w:eastAsia="cs-CZ"/>
        </w:rPr>
        <w:t xml:space="preserve">Veřejné domácí zdroje podpory </w:t>
      </w:r>
      <w:proofErr w:type="spellStart"/>
      <w:r w:rsidR="00B94DE8">
        <w:rPr>
          <w:rFonts w:eastAsia="Times New Roman" w:cs="Arial"/>
          <w:bCs/>
          <w:lang w:eastAsia="cs-CZ"/>
        </w:rPr>
        <w:t>VaVaI</w:t>
      </w:r>
      <w:proofErr w:type="spellEnd"/>
      <w:r w:rsidRPr="00F143DE">
        <w:rPr>
          <w:rFonts w:eastAsia="Times New Roman" w:cs="Arial"/>
          <w:bCs/>
          <w:lang w:eastAsia="cs-CZ"/>
        </w:rPr>
        <w:t xml:space="preserve"> tvoří především prostředky státního rozpočtu určené na oblast </w:t>
      </w:r>
      <w:proofErr w:type="spellStart"/>
      <w:r w:rsidRPr="00F143DE">
        <w:rPr>
          <w:rFonts w:eastAsia="Times New Roman" w:cs="Arial"/>
          <w:bCs/>
          <w:lang w:eastAsia="cs-CZ"/>
        </w:rPr>
        <w:t>VaVaI</w:t>
      </w:r>
      <w:proofErr w:type="spellEnd"/>
      <w:r w:rsidRPr="00F143DE">
        <w:rPr>
          <w:rFonts w:eastAsia="Times New Roman" w:cs="Arial"/>
          <w:bCs/>
          <w:lang w:eastAsia="cs-CZ"/>
        </w:rPr>
        <w:t>.</w:t>
      </w:r>
      <w:r>
        <w:rPr>
          <w:rFonts w:eastAsia="Times New Roman" w:cs="Arial"/>
          <w:bCs/>
          <w:lang w:eastAsia="cs-CZ"/>
        </w:rPr>
        <w:t xml:space="preserve"> </w:t>
      </w:r>
      <w:r w:rsidRPr="00F143DE">
        <w:rPr>
          <w:rFonts w:eastAsia="Times New Roman" w:cs="Arial"/>
          <w:bCs/>
          <w:lang w:eastAsia="cs-CZ"/>
        </w:rPr>
        <w:t>Cílem této podpory je zajistit dlouhodobou stabilitu a</w:t>
      </w:r>
      <w:r>
        <w:rPr>
          <w:rFonts w:eastAsia="Times New Roman" w:cs="Arial"/>
          <w:bCs/>
          <w:lang w:eastAsia="cs-CZ"/>
        </w:rPr>
        <w:t> </w:t>
      </w:r>
      <w:r w:rsidRPr="00F143DE">
        <w:rPr>
          <w:rFonts w:eastAsia="Times New Roman" w:cs="Arial"/>
          <w:bCs/>
          <w:lang w:eastAsia="cs-CZ"/>
        </w:rPr>
        <w:t xml:space="preserve">předvídatelnost financování systému </w:t>
      </w:r>
      <w:proofErr w:type="spellStart"/>
      <w:r w:rsidRPr="00F143DE">
        <w:rPr>
          <w:rFonts w:eastAsia="Times New Roman" w:cs="Arial"/>
          <w:bCs/>
          <w:lang w:eastAsia="cs-CZ"/>
        </w:rPr>
        <w:t>VaVaI</w:t>
      </w:r>
      <w:proofErr w:type="spellEnd"/>
      <w:r w:rsidRPr="00F143DE">
        <w:rPr>
          <w:rFonts w:eastAsia="Times New Roman" w:cs="Arial"/>
          <w:bCs/>
          <w:lang w:eastAsia="cs-CZ"/>
        </w:rPr>
        <w:t>, přičemž důraz je kladen zejména na posílení institucionální složky financování.</w:t>
      </w:r>
      <w:r>
        <w:rPr>
          <w:rFonts w:eastAsia="Times New Roman" w:cs="Arial"/>
          <w:bCs/>
          <w:lang w:eastAsia="cs-CZ"/>
        </w:rPr>
        <w:t xml:space="preserve"> </w:t>
      </w:r>
      <w:r w:rsidRPr="00F143DE">
        <w:rPr>
          <w:rFonts w:eastAsia="Times New Roman" w:cs="Arial"/>
          <w:bCs/>
          <w:lang w:eastAsia="cs-CZ"/>
        </w:rPr>
        <w:t>Současně má tato podpora umožnit flexibilní reakci na měnící se</w:t>
      </w:r>
      <w:r>
        <w:rPr>
          <w:rFonts w:eastAsia="Times New Roman" w:cs="Arial"/>
          <w:bCs/>
          <w:lang w:eastAsia="cs-CZ"/>
        </w:rPr>
        <w:t xml:space="preserve"> </w:t>
      </w:r>
      <w:r w:rsidRPr="00F143DE">
        <w:rPr>
          <w:rFonts w:eastAsia="Times New Roman" w:cs="Arial"/>
          <w:bCs/>
          <w:lang w:eastAsia="cs-CZ"/>
        </w:rPr>
        <w:t>ekonomické a společenské podmínky, včetně rychlého technologického rozvoje, a přispívat k</w:t>
      </w:r>
      <w:r>
        <w:rPr>
          <w:rFonts w:eastAsia="Times New Roman" w:cs="Arial"/>
          <w:bCs/>
          <w:lang w:eastAsia="cs-CZ"/>
        </w:rPr>
        <w:t> </w:t>
      </w:r>
      <w:r w:rsidRPr="00F143DE">
        <w:rPr>
          <w:rFonts w:eastAsia="Times New Roman" w:cs="Arial"/>
          <w:bCs/>
          <w:lang w:eastAsia="cs-CZ"/>
        </w:rPr>
        <w:t>využívání nových příležitostí, snižování rizik a zmírňování potenciálních hrozeb, jimž může česká společnost v budoucnu čelit.</w:t>
      </w:r>
    </w:p>
    <w:p w14:paraId="088CC200" w14:textId="74200C08" w:rsidR="00AB24D3" w:rsidRDefault="00AB24D3" w:rsidP="00AB24D3">
      <w:pPr>
        <w:spacing w:after="120" w:line="360" w:lineRule="auto"/>
        <w:ind w:firstLine="578"/>
        <w:jc w:val="both"/>
        <w:rPr>
          <w:rFonts w:eastAsia="Times New Roman" w:cs="Arial"/>
          <w:bCs/>
          <w:lang w:eastAsia="cs-CZ"/>
        </w:rPr>
      </w:pPr>
      <w:r w:rsidRPr="000F12CE">
        <w:rPr>
          <w:rFonts w:eastAsia="Times New Roman" w:cs="Arial"/>
          <w:bCs/>
          <w:lang w:eastAsia="cs-CZ"/>
        </w:rPr>
        <w:t xml:space="preserve">Schválený rozpočet státního rozpočtu na </w:t>
      </w:r>
      <w:proofErr w:type="spellStart"/>
      <w:r w:rsidRPr="000F12CE">
        <w:rPr>
          <w:rFonts w:eastAsia="Times New Roman" w:cs="Arial"/>
          <w:bCs/>
          <w:lang w:eastAsia="cs-CZ"/>
        </w:rPr>
        <w:t>VaVaI</w:t>
      </w:r>
      <w:proofErr w:type="spellEnd"/>
      <w:r w:rsidRPr="000F12CE">
        <w:rPr>
          <w:rFonts w:eastAsia="Times New Roman" w:cs="Arial"/>
          <w:bCs/>
          <w:lang w:eastAsia="cs-CZ"/>
        </w:rPr>
        <w:t xml:space="preserve"> pro rok 2024 činil 40,2 mld. Kč, což představuje nárůst o přibližně 4 mld. Kč oproti roku 2020.</w:t>
      </w:r>
      <w:r>
        <w:rPr>
          <w:rFonts w:eastAsia="Times New Roman" w:cs="Arial"/>
          <w:bCs/>
          <w:lang w:eastAsia="cs-CZ"/>
        </w:rPr>
        <w:t xml:space="preserve"> </w:t>
      </w:r>
      <w:r w:rsidRPr="000F12CE">
        <w:rPr>
          <w:rFonts w:eastAsia="Times New Roman" w:cs="Arial"/>
          <w:bCs/>
          <w:lang w:eastAsia="cs-CZ"/>
        </w:rPr>
        <w:t xml:space="preserve">Tento růst byl způsoben především zvýšením výdajů na institucionální podporu na </w:t>
      </w:r>
      <w:r w:rsidR="00A6202E">
        <w:rPr>
          <w:rFonts w:eastAsia="Times New Roman" w:cs="Arial"/>
          <w:bCs/>
          <w:lang w:eastAsia="cs-CZ"/>
        </w:rPr>
        <w:t>DK RVO</w:t>
      </w:r>
      <w:r w:rsidRPr="000F12CE">
        <w:rPr>
          <w:rFonts w:eastAsia="Times New Roman" w:cs="Arial"/>
          <w:bCs/>
          <w:lang w:eastAsia="cs-CZ"/>
        </w:rPr>
        <w:t xml:space="preserve">, která tvoří klíčový nástroj pro zajištění stability </w:t>
      </w:r>
      <w:r w:rsidR="00B94DE8">
        <w:rPr>
          <w:rFonts w:eastAsia="Times New Roman" w:cs="Arial"/>
          <w:bCs/>
          <w:lang w:eastAsia="cs-CZ"/>
        </w:rPr>
        <w:t>VO</w:t>
      </w:r>
      <w:r>
        <w:rPr>
          <w:rFonts w:eastAsia="Times New Roman" w:cs="Arial"/>
          <w:bCs/>
          <w:lang w:eastAsia="cs-CZ"/>
        </w:rPr>
        <w:t xml:space="preserve">. </w:t>
      </w:r>
      <w:r w:rsidRPr="002664D3">
        <w:rPr>
          <w:rFonts w:eastAsia="Times New Roman" w:cs="Arial"/>
          <w:bCs/>
          <w:lang w:eastAsia="cs-CZ"/>
        </w:rPr>
        <w:t>S</w:t>
      </w:r>
      <w:r>
        <w:rPr>
          <w:rFonts w:eastAsia="Times New Roman" w:cs="Arial"/>
          <w:bCs/>
          <w:lang w:eastAsia="cs-CZ"/>
        </w:rPr>
        <w:t>tátní rozpočet</w:t>
      </w:r>
      <w:r w:rsidRPr="002664D3">
        <w:rPr>
          <w:rFonts w:eastAsia="Times New Roman" w:cs="Arial"/>
          <w:bCs/>
          <w:lang w:eastAsia="cs-CZ"/>
        </w:rPr>
        <w:t xml:space="preserve"> na </w:t>
      </w:r>
      <w:proofErr w:type="spellStart"/>
      <w:r w:rsidRPr="002664D3">
        <w:rPr>
          <w:rFonts w:eastAsia="Times New Roman" w:cs="Arial"/>
          <w:bCs/>
          <w:lang w:eastAsia="cs-CZ"/>
        </w:rPr>
        <w:t>VaVaI</w:t>
      </w:r>
      <w:proofErr w:type="spellEnd"/>
      <w:r w:rsidRPr="002664D3">
        <w:rPr>
          <w:rFonts w:eastAsia="Times New Roman" w:cs="Arial"/>
          <w:bCs/>
          <w:lang w:eastAsia="cs-CZ"/>
        </w:rPr>
        <w:t xml:space="preserve"> na rok 2024 je strukturován do 1</w:t>
      </w:r>
      <w:r>
        <w:rPr>
          <w:rFonts w:eastAsia="Times New Roman" w:cs="Arial"/>
          <w:bCs/>
          <w:lang w:eastAsia="cs-CZ"/>
        </w:rPr>
        <w:t>6</w:t>
      </w:r>
      <w:r w:rsidRPr="002664D3">
        <w:rPr>
          <w:rFonts w:eastAsia="Times New Roman" w:cs="Arial"/>
          <w:bCs/>
          <w:lang w:eastAsia="cs-CZ"/>
        </w:rPr>
        <w:t xml:space="preserve"> rozpočtových kapitol, přičemž prostředky rozpočtované na jejich „provoz“ činily bezmála 2,2 mld. Kč (tj. 5,7 %). </w:t>
      </w:r>
      <w:r w:rsidRPr="009E12E4">
        <w:rPr>
          <w:rFonts w:eastAsia="Times New Roman" w:cs="Arial"/>
          <w:bCs/>
          <w:lang w:eastAsia="cs-CZ"/>
        </w:rPr>
        <w:t xml:space="preserve">Z této částky připadlo 1,9 mld. Kč na činnost </w:t>
      </w:r>
      <w:r w:rsidR="00A6202E">
        <w:rPr>
          <w:rFonts w:eastAsia="Times New Roman" w:cs="Arial"/>
          <w:bCs/>
          <w:lang w:eastAsia="cs-CZ"/>
        </w:rPr>
        <w:t>AV ČR</w:t>
      </w:r>
      <w:r w:rsidRPr="009E12E4">
        <w:rPr>
          <w:rFonts w:eastAsia="Times New Roman" w:cs="Arial"/>
          <w:bCs/>
          <w:lang w:eastAsia="cs-CZ"/>
        </w:rPr>
        <w:t>, přičemž asi 1,3 mld. Kč bylo dále alokováno jednotlivým ústavům AV ČR na aktivity přímo spojené s</w:t>
      </w:r>
      <w:r>
        <w:rPr>
          <w:rFonts w:eastAsia="Times New Roman" w:cs="Arial"/>
          <w:bCs/>
          <w:lang w:eastAsia="cs-CZ"/>
        </w:rPr>
        <w:t> </w:t>
      </w:r>
      <w:proofErr w:type="spellStart"/>
      <w:r w:rsidRPr="009E12E4">
        <w:rPr>
          <w:rFonts w:eastAsia="Times New Roman" w:cs="Arial"/>
          <w:bCs/>
          <w:lang w:eastAsia="cs-CZ"/>
        </w:rPr>
        <w:t>VaVaI</w:t>
      </w:r>
      <w:proofErr w:type="spellEnd"/>
      <w:r>
        <w:rPr>
          <w:rFonts w:eastAsia="Times New Roman" w:cs="Arial"/>
          <w:bCs/>
          <w:lang w:eastAsia="cs-CZ"/>
        </w:rPr>
        <w:t xml:space="preserve"> (CAV)</w:t>
      </w:r>
      <w:r w:rsidRPr="009E12E4">
        <w:rPr>
          <w:rFonts w:eastAsia="Times New Roman" w:cs="Arial"/>
          <w:bCs/>
          <w:lang w:eastAsia="cs-CZ"/>
        </w:rPr>
        <w:t>.</w:t>
      </w:r>
    </w:p>
    <w:p w14:paraId="435C2073" w14:textId="77777777" w:rsidR="00AB24D3" w:rsidRPr="00E275FC" w:rsidRDefault="00AB24D3" w:rsidP="00AB24D3">
      <w:pPr>
        <w:pStyle w:val="Obrzek-nadpis"/>
        <w:spacing w:before="0" w:after="120"/>
      </w:pPr>
      <w:r w:rsidRPr="00E275FC">
        <w:t>Graf B.3.1: Vývoj rozpočtovaných institucionálních a účelových výdajů státního rozpočtu na </w:t>
      </w:r>
      <w:proofErr w:type="spellStart"/>
      <w:r w:rsidRPr="00E275FC">
        <w:t>VaVaI</w:t>
      </w:r>
      <w:proofErr w:type="spellEnd"/>
      <w:r w:rsidRPr="00E275FC">
        <w:t xml:space="preserve"> (v mld. Kč)</w:t>
      </w:r>
    </w:p>
    <w:p w14:paraId="4055A13C" w14:textId="77777777" w:rsidR="00AB24D3" w:rsidRPr="00E275FC" w:rsidRDefault="00AB24D3" w:rsidP="00AB24D3">
      <w:pPr>
        <w:spacing w:after="120" w:line="360" w:lineRule="auto"/>
        <w:jc w:val="center"/>
        <w:rPr>
          <w:rFonts w:eastAsia="Times New Roman" w:cs="Arial"/>
          <w:bCs/>
          <w:lang w:eastAsia="cs-CZ"/>
        </w:rPr>
      </w:pPr>
      <w:r w:rsidRPr="00E275FC">
        <w:rPr>
          <w:noProof/>
        </w:rPr>
        <w:drawing>
          <wp:inline distT="0" distB="0" distL="0" distR="0" wp14:anchorId="0C4749AC" wp14:editId="25E20089">
            <wp:extent cx="6119495" cy="2343150"/>
            <wp:effectExtent l="0" t="0" r="0" b="0"/>
            <wp:docPr id="248753818" name="Graf 1">
              <a:extLst xmlns:a="http://schemas.openxmlformats.org/drawingml/2006/main">
                <a:ext uri="{FF2B5EF4-FFF2-40B4-BE49-F238E27FC236}">
                  <a16:creationId xmlns:a16="http://schemas.microsoft.com/office/drawing/2014/main" id="{D188D01A-A55B-F5B4-2D7B-CA2DE6A8E03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14:paraId="30176340" w14:textId="77777777" w:rsidR="00AB24D3" w:rsidRPr="00E275FC" w:rsidRDefault="00AB24D3" w:rsidP="00AB24D3">
      <w:pPr>
        <w:pStyle w:val="Zdrojapoznmka"/>
        <w:spacing w:after="360"/>
      </w:pPr>
      <w:r w:rsidRPr="00E275FC">
        <w:t>Zdroj: zákony o státních rozpočtech v příslušných letech</w:t>
      </w:r>
    </w:p>
    <w:p w14:paraId="044EEA42" w14:textId="77777777" w:rsidR="00AB24D3" w:rsidRPr="00E275FC" w:rsidRDefault="00AB24D3" w:rsidP="00AB24D3">
      <w:pPr>
        <w:spacing w:after="120" w:line="360" w:lineRule="auto"/>
        <w:ind w:firstLine="578"/>
        <w:jc w:val="both"/>
        <w:rPr>
          <w:rFonts w:eastAsia="Times New Roman" w:cs="Arial"/>
          <w:bCs/>
          <w:lang w:eastAsia="cs-CZ"/>
        </w:rPr>
      </w:pPr>
      <w:r w:rsidRPr="00BE00C7">
        <w:rPr>
          <w:rFonts w:eastAsia="Times New Roman" w:cs="Arial"/>
          <w:bCs/>
          <w:lang w:eastAsia="cs-CZ"/>
        </w:rPr>
        <w:t xml:space="preserve">Hlavními zahraničními zdroji veřejné podpory </w:t>
      </w:r>
      <w:proofErr w:type="spellStart"/>
      <w:r w:rsidRPr="00BE00C7">
        <w:rPr>
          <w:rFonts w:eastAsia="Times New Roman" w:cs="Arial"/>
          <w:bCs/>
          <w:lang w:eastAsia="cs-CZ"/>
        </w:rPr>
        <w:t>VaVaI</w:t>
      </w:r>
      <w:proofErr w:type="spellEnd"/>
      <w:r w:rsidRPr="00BE00C7">
        <w:rPr>
          <w:rFonts w:eastAsia="Times New Roman" w:cs="Arial"/>
          <w:bCs/>
          <w:lang w:eastAsia="cs-CZ"/>
        </w:rPr>
        <w:t xml:space="preserve"> v České republice jsou především fondy Evropské unie </w:t>
      </w:r>
      <w:r w:rsidRPr="00E275FC">
        <w:rPr>
          <w:rFonts w:eastAsia="Times New Roman" w:cs="Arial"/>
          <w:bCs/>
          <w:lang w:eastAsia="cs-CZ"/>
        </w:rPr>
        <w:t xml:space="preserve">(dříve označovány jako Evropské strukturální a investiční fondy, ESIF) a rámcové </w:t>
      </w:r>
      <w:r w:rsidRPr="00E275FC">
        <w:rPr>
          <w:rFonts w:eastAsia="Times New Roman" w:cs="Arial"/>
          <w:bCs/>
          <w:lang w:eastAsia="cs-CZ"/>
        </w:rPr>
        <w:lastRenderedPageBreak/>
        <w:t xml:space="preserve">programy EU. Pro toto financování je charakteristický cyklický vývoj, </w:t>
      </w:r>
      <w:r w:rsidRPr="00A35F3C">
        <w:rPr>
          <w:rFonts w:eastAsia="Times New Roman" w:cs="Arial"/>
          <w:bCs/>
          <w:lang w:eastAsia="cs-CZ"/>
        </w:rPr>
        <w:t>který je dán vazbou alokovaných prostředků na sedmiletá programová období</w:t>
      </w:r>
      <w:r w:rsidRPr="00E275FC">
        <w:rPr>
          <w:rFonts w:eastAsia="Times New Roman" w:cs="Arial"/>
          <w:bCs/>
          <w:lang w:eastAsia="cs-CZ"/>
        </w:rPr>
        <w:t>.</w:t>
      </w:r>
    </w:p>
    <w:p w14:paraId="627D91A8" w14:textId="77777777" w:rsidR="00AB24D3" w:rsidRPr="00C14047" w:rsidRDefault="00AB24D3" w:rsidP="00AB24D3">
      <w:pPr>
        <w:spacing w:after="120" w:line="360" w:lineRule="auto"/>
        <w:ind w:firstLine="578"/>
        <w:jc w:val="both"/>
        <w:rPr>
          <w:rFonts w:eastAsia="Times New Roman" w:cs="Arial"/>
          <w:bCs/>
          <w:lang w:eastAsia="cs-CZ"/>
        </w:rPr>
      </w:pPr>
      <w:r w:rsidRPr="00C14047">
        <w:rPr>
          <w:rFonts w:eastAsia="Times New Roman" w:cs="Arial"/>
          <w:bCs/>
          <w:lang w:eastAsia="cs-CZ"/>
        </w:rPr>
        <w:t>Podle aktuálních údajů Českého statistického úřadu bylo nejvyšší čerpání prostředků z fondů Evropské unie zaznamenáno v letech 2012–2015, kdy celkový objem dosáhl 51,3 mld. Kč.</w:t>
      </w:r>
      <w:r>
        <w:rPr>
          <w:rFonts w:eastAsia="Times New Roman" w:cs="Arial"/>
          <w:bCs/>
          <w:lang w:eastAsia="cs-CZ"/>
        </w:rPr>
        <w:t xml:space="preserve"> </w:t>
      </w:r>
      <w:r w:rsidRPr="00C14047">
        <w:rPr>
          <w:rFonts w:eastAsia="Times New Roman" w:cs="Arial"/>
          <w:bCs/>
          <w:lang w:eastAsia="cs-CZ"/>
        </w:rPr>
        <w:t>V</w:t>
      </w:r>
      <w:r>
        <w:rPr>
          <w:rFonts w:eastAsia="Times New Roman" w:cs="Arial"/>
          <w:bCs/>
          <w:lang w:eastAsia="cs-CZ"/>
        </w:rPr>
        <w:t> </w:t>
      </w:r>
      <w:r w:rsidRPr="00C14047">
        <w:rPr>
          <w:rFonts w:eastAsia="Times New Roman" w:cs="Arial"/>
          <w:bCs/>
          <w:lang w:eastAsia="cs-CZ"/>
        </w:rPr>
        <w:t>letech 2014 a 2015 přesáhly ročně čerpané prostředky hranici 13 mld. Kč.</w:t>
      </w:r>
      <w:r>
        <w:rPr>
          <w:rFonts w:eastAsia="Times New Roman" w:cs="Arial"/>
          <w:bCs/>
          <w:lang w:eastAsia="cs-CZ"/>
        </w:rPr>
        <w:t xml:space="preserve"> </w:t>
      </w:r>
      <w:r w:rsidRPr="00C14047">
        <w:rPr>
          <w:rFonts w:eastAsia="Times New Roman" w:cs="Arial"/>
          <w:bCs/>
          <w:lang w:eastAsia="cs-CZ"/>
        </w:rPr>
        <w:t>V následujícím období došlo v souvislosti s náběhem nového programového období k postupnému poklesu čerpání, které se v letech 2016 a 2017 stabilizovalo.</w:t>
      </w:r>
      <w:r>
        <w:rPr>
          <w:rFonts w:eastAsia="Times New Roman" w:cs="Arial"/>
          <w:bCs/>
          <w:lang w:eastAsia="cs-CZ"/>
        </w:rPr>
        <w:t xml:space="preserve"> </w:t>
      </w:r>
      <w:r w:rsidRPr="00C14047">
        <w:rPr>
          <w:rFonts w:eastAsia="Times New Roman" w:cs="Arial"/>
          <w:bCs/>
          <w:lang w:eastAsia="cs-CZ"/>
        </w:rPr>
        <w:t>Od té doby se roční objem čerpání pohybuje v rozmezí 6–9</w:t>
      </w:r>
      <w:r>
        <w:rPr>
          <w:rFonts w:eastAsia="Times New Roman" w:cs="Arial"/>
          <w:bCs/>
          <w:lang w:eastAsia="cs-CZ"/>
        </w:rPr>
        <w:t> </w:t>
      </w:r>
      <w:r w:rsidRPr="00C14047">
        <w:rPr>
          <w:rFonts w:eastAsia="Times New Roman" w:cs="Arial"/>
          <w:bCs/>
          <w:lang w:eastAsia="cs-CZ"/>
        </w:rPr>
        <w:t>mld. Kč, přičemž v roce 2024 činil 9,2 mld. Kč.</w:t>
      </w:r>
    </w:p>
    <w:p w14:paraId="3D6D9CF7" w14:textId="77777777" w:rsidR="00AB24D3" w:rsidRPr="00E275FC" w:rsidRDefault="00AB24D3" w:rsidP="00AB24D3">
      <w:pPr>
        <w:pStyle w:val="Obrzek-nadpis"/>
      </w:pPr>
      <w:r w:rsidRPr="00E275FC">
        <w:t xml:space="preserve">Graf B.3.2: Podíl veřejné podpory na </w:t>
      </w:r>
      <w:proofErr w:type="spellStart"/>
      <w:r w:rsidRPr="00E275FC">
        <w:t>VaV</w:t>
      </w:r>
      <w:proofErr w:type="spellEnd"/>
      <w:r w:rsidRPr="00E275FC">
        <w:t xml:space="preserve"> ze zahraničí na celkové veřejné podpoře v zemích EU27</w:t>
      </w:r>
    </w:p>
    <w:p w14:paraId="312B8513" w14:textId="77777777" w:rsidR="00AB24D3" w:rsidRPr="00E275FC" w:rsidRDefault="00AB24D3" w:rsidP="00AB24D3">
      <w:pPr>
        <w:pStyle w:val="Obrzek-nadpis"/>
      </w:pPr>
      <w:r w:rsidRPr="00E275FC">
        <w:rPr>
          <w:noProof/>
        </w:rPr>
        <w:drawing>
          <wp:inline distT="0" distB="0" distL="0" distR="0" wp14:anchorId="66C9C29F" wp14:editId="653C44AC">
            <wp:extent cx="6120130" cy="2434441"/>
            <wp:effectExtent l="0" t="0" r="0" b="4445"/>
            <wp:docPr id="1473281544" name="Graf 1">
              <a:extLst xmlns:a="http://schemas.openxmlformats.org/drawingml/2006/main">
                <a:ext uri="{FF2B5EF4-FFF2-40B4-BE49-F238E27FC236}">
                  <a16:creationId xmlns:a16="http://schemas.microsoft.com/office/drawing/2014/main" id="{87524A78-BBF0-4EC1-A466-E1D3CCD2142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14:paraId="6D9CFF78" w14:textId="77777777" w:rsidR="00AB24D3" w:rsidRPr="00E275FC" w:rsidRDefault="00AB24D3" w:rsidP="00AB24D3">
      <w:pPr>
        <w:pStyle w:val="Zdrojapoznmka"/>
        <w:spacing w:after="360"/>
      </w:pPr>
      <w:r w:rsidRPr="00E275FC">
        <w:t xml:space="preserve">Zdroj: </w:t>
      </w:r>
      <w:proofErr w:type="spellStart"/>
      <w:r w:rsidRPr="00E275FC">
        <w:t>Eurostat</w:t>
      </w:r>
      <w:proofErr w:type="spellEnd"/>
      <w:r w:rsidRPr="00E275FC">
        <w:t xml:space="preserve"> (online data </w:t>
      </w:r>
      <w:proofErr w:type="spellStart"/>
      <w:r w:rsidRPr="00E275FC">
        <w:t>code</w:t>
      </w:r>
      <w:proofErr w:type="spellEnd"/>
      <w:r w:rsidRPr="00E275FC">
        <w:t xml:space="preserve">: </w:t>
      </w:r>
      <w:proofErr w:type="spellStart"/>
      <w:r w:rsidRPr="00E275FC">
        <w:t>rd_e_gerdfund</w:t>
      </w:r>
      <w:proofErr w:type="spellEnd"/>
      <w:r w:rsidRPr="00E275FC">
        <w:t>)</w:t>
      </w:r>
    </w:p>
    <w:p w14:paraId="3B018911" w14:textId="77777777" w:rsidR="00AB24D3" w:rsidRPr="00E275FC" w:rsidRDefault="00AB24D3" w:rsidP="00AB24D3">
      <w:pPr>
        <w:pStyle w:val="Zdrojapoznmka"/>
        <w:spacing w:after="360"/>
      </w:pPr>
      <w:r w:rsidRPr="00E275FC">
        <w:t xml:space="preserve">Poznámka: Veřejný sektor je definován jako součet: </w:t>
      </w:r>
      <w:proofErr w:type="spellStart"/>
      <w:r w:rsidRPr="00E275FC">
        <w:t>Government</w:t>
      </w:r>
      <w:proofErr w:type="spellEnd"/>
      <w:r w:rsidRPr="00E275FC">
        <w:t xml:space="preserve"> </w:t>
      </w:r>
      <w:proofErr w:type="spellStart"/>
      <w:r w:rsidRPr="00E275FC">
        <w:t>sector</w:t>
      </w:r>
      <w:proofErr w:type="spellEnd"/>
      <w:r w:rsidRPr="00E275FC">
        <w:t xml:space="preserve">, </w:t>
      </w:r>
      <w:proofErr w:type="spellStart"/>
      <w:r w:rsidRPr="00E275FC">
        <w:t>Higher</w:t>
      </w:r>
      <w:proofErr w:type="spellEnd"/>
      <w:r w:rsidRPr="00E275FC">
        <w:t xml:space="preserve"> </w:t>
      </w:r>
      <w:proofErr w:type="spellStart"/>
      <w:r w:rsidRPr="00E275FC">
        <w:t>education</w:t>
      </w:r>
      <w:proofErr w:type="spellEnd"/>
      <w:r w:rsidRPr="00E275FC">
        <w:t xml:space="preserve"> </w:t>
      </w:r>
      <w:proofErr w:type="spellStart"/>
      <w:r w:rsidRPr="00E275FC">
        <w:t>sector</w:t>
      </w:r>
      <w:proofErr w:type="spellEnd"/>
      <w:r w:rsidRPr="00E275FC">
        <w:t xml:space="preserve">, Rest </w:t>
      </w:r>
      <w:proofErr w:type="spellStart"/>
      <w:r w:rsidRPr="00E275FC">
        <w:t>of</w:t>
      </w:r>
      <w:proofErr w:type="spellEnd"/>
      <w:r w:rsidRPr="00E275FC">
        <w:t xml:space="preserve"> </w:t>
      </w:r>
      <w:proofErr w:type="spellStart"/>
      <w:r w:rsidRPr="00E275FC">
        <w:t>the</w:t>
      </w:r>
      <w:proofErr w:type="spellEnd"/>
      <w:r w:rsidRPr="00E275FC">
        <w:t xml:space="preserve"> </w:t>
      </w:r>
      <w:proofErr w:type="spellStart"/>
      <w:r w:rsidRPr="00E275FC">
        <w:t>world</w:t>
      </w:r>
      <w:proofErr w:type="spellEnd"/>
      <w:r w:rsidRPr="00E275FC">
        <w:t xml:space="preserve"> – </w:t>
      </w:r>
      <w:proofErr w:type="spellStart"/>
      <w:r w:rsidRPr="00E275FC">
        <w:t>European</w:t>
      </w:r>
      <w:proofErr w:type="spellEnd"/>
      <w:r w:rsidRPr="00E275FC">
        <w:t xml:space="preserve"> </w:t>
      </w:r>
      <w:proofErr w:type="spellStart"/>
      <w:r w:rsidRPr="00E275FC">
        <w:t>Commission</w:t>
      </w:r>
      <w:proofErr w:type="spellEnd"/>
      <w:r w:rsidRPr="00E275FC">
        <w:t xml:space="preserve"> and Rest </w:t>
      </w:r>
      <w:proofErr w:type="spellStart"/>
      <w:r w:rsidRPr="00E275FC">
        <w:t>of</w:t>
      </w:r>
      <w:proofErr w:type="spellEnd"/>
      <w:r w:rsidRPr="00E275FC">
        <w:t xml:space="preserve"> </w:t>
      </w:r>
      <w:proofErr w:type="spellStart"/>
      <w:r w:rsidRPr="00E275FC">
        <w:t>the</w:t>
      </w:r>
      <w:proofErr w:type="spellEnd"/>
      <w:r w:rsidRPr="00E275FC">
        <w:t xml:space="preserve"> </w:t>
      </w:r>
      <w:proofErr w:type="spellStart"/>
      <w:r w:rsidRPr="00E275FC">
        <w:t>world</w:t>
      </w:r>
      <w:proofErr w:type="spellEnd"/>
      <w:r w:rsidRPr="00E275FC">
        <w:t xml:space="preserve"> – </w:t>
      </w:r>
      <w:proofErr w:type="spellStart"/>
      <w:r w:rsidRPr="00E275FC">
        <w:t>international</w:t>
      </w:r>
      <w:proofErr w:type="spellEnd"/>
      <w:r w:rsidRPr="00E275FC">
        <w:t xml:space="preserve"> </w:t>
      </w:r>
      <w:proofErr w:type="spellStart"/>
      <w:r w:rsidRPr="00E275FC">
        <w:t>organisations</w:t>
      </w:r>
      <w:proofErr w:type="spellEnd"/>
      <w:r w:rsidRPr="00E275FC">
        <w:t>.</w:t>
      </w:r>
    </w:p>
    <w:p w14:paraId="44F42F5C" w14:textId="77777777" w:rsidR="00AB24D3" w:rsidRPr="00E275FC" w:rsidRDefault="00AB24D3" w:rsidP="00AB24D3">
      <w:pPr>
        <w:pStyle w:val="Zdrojapoznmka"/>
        <w:spacing w:after="360"/>
      </w:pPr>
      <w:r w:rsidRPr="00E275FC">
        <w:t>U států AT, BE, DK, DE, EL, IR, LU a SE nejsou dostupné některé hodnoty za rok 2018, proto jsou použity hodnoty z předchozích let</w:t>
      </w:r>
    </w:p>
    <w:p w14:paraId="4C748F76" w14:textId="77777777" w:rsidR="00E85F32" w:rsidRDefault="00E85F32" w:rsidP="00E85F32">
      <w:pPr>
        <w:pStyle w:val="Zdrojapoznmka"/>
        <w:spacing w:after="0" w:line="276" w:lineRule="auto"/>
      </w:pPr>
    </w:p>
    <w:p w14:paraId="41EF2DE2" w14:textId="2D45C819" w:rsidR="00762C23" w:rsidRDefault="00AB24D3" w:rsidP="00AB24D3">
      <w:pPr>
        <w:spacing w:after="120" w:line="360" w:lineRule="auto"/>
        <w:ind w:firstLine="578"/>
        <w:jc w:val="both"/>
        <w:rPr>
          <w:rFonts w:eastAsia="Times New Roman" w:cs="Arial"/>
          <w:b/>
          <w:lang w:eastAsia="cs-CZ"/>
        </w:rPr>
      </w:pPr>
      <w:r w:rsidRPr="00E275FC">
        <w:rPr>
          <w:rFonts w:eastAsia="Times New Roman" w:cs="Arial"/>
          <w:bCs/>
          <w:lang w:eastAsia="cs-CZ"/>
        </w:rPr>
        <w:t xml:space="preserve">Nejvyšší podíl prostředků z EU tvoří prostředky čerpané prostřednictvím operačních programů: Operační program Jan Amos Komenský (OP JAK) a Operační program Technologie a aplikace pro konkurenceschopnost (OP TAK), oba mají programové období 2021–2027. Předpokládaná alokace na podporu </w:t>
      </w:r>
      <w:proofErr w:type="spellStart"/>
      <w:r w:rsidRPr="00E275FC">
        <w:rPr>
          <w:rFonts w:eastAsia="Times New Roman" w:cs="Arial"/>
          <w:bCs/>
          <w:lang w:eastAsia="cs-CZ"/>
        </w:rPr>
        <w:t>VaVaI</w:t>
      </w:r>
      <w:proofErr w:type="spellEnd"/>
      <w:r w:rsidRPr="00E275FC">
        <w:rPr>
          <w:rFonts w:eastAsia="Times New Roman" w:cs="Arial"/>
          <w:bCs/>
          <w:lang w:eastAsia="cs-CZ"/>
        </w:rPr>
        <w:t xml:space="preserve"> v rámci OP JAK je 43 mld. Kč a v rámci OP TAK je 31,1 mld. Kč.</w:t>
      </w:r>
      <w:r>
        <w:rPr>
          <w:rFonts w:eastAsia="Times New Roman" w:cs="Arial"/>
          <w:bCs/>
          <w:lang w:eastAsia="cs-CZ"/>
        </w:rPr>
        <w:t xml:space="preserve"> </w:t>
      </w:r>
      <w:r w:rsidRPr="00E275FC">
        <w:rPr>
          <w:rFonts w:eastAsia="Times New Roman" w:cs="Arial"/>
          <w:bCs/>
          <w:lang w:eastAsia="cs-CZ"/>
        </w:rPr>
        <w:t xml:space="preserve">Rámcové programy pro </w:t>
      </w:r>
      <w:proofErr w:type="spellStart"/>
      <w:r w:rsidR="00A6202E">
        <w:rPr>
          <w:rFonts w:eastAsia="Times New Roman" w:cs="Arial"/>
          <w:bCs/>
          <w:lang w:eastAsia="cs-CZ"/>
        </w:rPr>
        <w:t>VaVaI</w:t>
      </w:r>
      <w:proofErr w:type="spellEnd"/>
      <w:r w:rsidRPr="00E275FC">
        <w:rPr>
          <w:rFonts w:eastAsia="Times New Roman" w:cs="Arial"/>
          <w:bCs/>
          <w:lang w:eastAsia="cs-CZ"/>
        </w:rPr>
        <w:t xml:space="preserve"> představují páteř vědecko-technické politiky EU a</w:t>
      </w:r>
      <w:r w:rsidR="007B2741">
        <w:rPr>
          <w:rFonts w:eastAsia="Times New Roman" w:cs="Arial"/>
          <w:bCs/>
          <w:lang w:eastAsia="cs-CZ"/>
        </w:rPr>
        <w:t> </w:t>
      </w:r>
      <w:r w:rsidRPr="00E275FC">
        <w:rPr>
          <w:rFonts w:eastAsia="Times New Roman" w:cs="Arial"/>
          <w:bCs/>
          <w:lang w:eastAsia="cs-CZ"/>
        </w:rPr>
        <w:t xml:space="preserve">pro </w:t>
      </w:r>
      <w:r w:rsidR="00A6202E">
        <w:rPr>
          <w:rFonts w:eastAsia="Times New Roman" w:cs="Arial"/>
          <w:bCs/>
          <w:lang w:eastAsia="cs-CZ"/>
        </w:rPr>
        <w:t>VO</w:t>
      </w:r>
      <w:r w:rsidRPr="00E275FC">
        <w:rPr>
          <w:rFonts w:eastAsia="Times New Roman" w:cs="Arial"/>
          <w:bCs/>
          <w:lang w:eastAsia="cs-CZ"/>
        </w:rPr>
        <w:t xml:space="preserve"> a týmy z ČR jsou příležitostí zapojit se do</w:t>
      </w:r>
      <w:r>
        <w:rPr>
          <w:rFonts w:eastAsia="Times New Roman" w:cs="Arial"/>
          <w:bCs/>
          <w:lang w:eastAsia="cs-CZ"/>
        </w:rPr>
        <w:t> </w:t>
      </w:r>
      <w:r w:rsidRPr="00E275FC">
        <w:rPr>
          <w:rFonts w:eastAsia="Times New Roman" w:cs="Arial"/>
          <w:bCs/>
          <w:lang w:eastAsia="cs-CZ"/>
        </w:rPr>
        <w:t>spolupráce se špičkovými vědeckými pracovišti. Aktuálně je v programu Horizont Evropa plánovaný rozpočet 95,5 mld. EUR.</w:t>
      </w:r>
      <w:r>
        <w:rPr>
          <w:rFonts w:eastAsia="Times New Roman" w:cs="Arial"/>
          <w:bCs/>
          <w:lang w:eastAsia="cs-CZ"/>
        </w:rPr>
        <w:t xml:space="preserve"> </w:t>
      </w:r>
      <w:r w:rsidRPr="00E275FC">
        <w:rPr>
          <w:rFonts w:eastAsia="Times New Roman" w:cs="Arial"/>
          <w:bCs/>
          <w:lang w:eastAsia="cs-CZ"/>
        </w:rPr>
        <w:t xml:space="preserve">Dalšími veřejnými zahraničními zdroji, jsou finanční prostředky z mezinárodních, vládních či veřejných organizací mimo EU (např. CERN, Institut </w:t>
      </w:r>
      <w:proofErr w:type="spellStart"/>
      <w:r w:rsidRPr="00E275FC">
        <w:rPr>
          <w:rFonts w:eastAsia="Times New Roman" w:cs="Arial"/>
          <w:bCs/>
          <w:lang w:eastAsia="cs-CZ"/>
        </w:rPr>
        <w:t>Laue-Langevin</w:t>
      </w:r>
      <w:proofErr w:type="spellEnd"/>
      <w:r w:rsidRPr="00E275FC">
        <w:rPr>
          <w:rFonts w:eastAsia="Times New Roman" w:cs="Arial"/>
          <w:bCs/>
          <w:lang w:eastAsia="cs-CZ"/>
        </w:rPr>
        <w:t>, ESA, NATO, OECD, OSN, WHO, Norské fondy / EHP aj.).</w:t>
      </w:r>
    </w:p>
    <w:p w14:paraId="48F83E37" w14:textId="77777777" w:rsidR="00AB24D3" w:rsidRDefault="00AB24D3" w:rsidP="00AB24D3">
      <w:pPr>
        <w:spacing w:after="120" w:line="360" w:lineRule="auto"/>
        <w:ind w:firstLine="578"/>
        <w:jc w:val="both"/>
        <w:rPr>
          <w:rFonts w:eastAsia="Times New Roman" w:cs="Arial"/>
          <w:b/>
          <w:lang w:eastAsia="cs-CZ"/>
        </w:rPr>
      </w:pPr>
    </w:p>
    <w:p w14:paraId="7C5A2727" w14:textId="0FC01F7B" w:rsidR="00BD62A1" w:rsidRPr="004503C5" w:rsidRDefault="00BD62A1" w:rsidP="007B2741">
      <w:pPr>
        <w:keepNext/>
        <w:spacing w:after="0" w:line="360" w:lineRule="auto"/>
        <w:jc w:val="both"/>
        <w:rPr>
          <w:rFonts w:eastAsia="Times New Roman" w:cs="Arial"/>
          <w:b/>
          <w:lang w:eastAsia="cs-CZ"/>
        </w:rPr>
      </w:pPr>
      <w:r w:rsidRPr="004503C5">
        <w:rPr>
          <w:rFonts w:eastAsia="Times New Roman" w:cs="Arial"/>
          <w:b/>
          <w:lang w:eastAsia="cs-CZ"/>
        </w:rPr>
        <w:lastRenderedPageBreak/>
        <w:t xml:space="preserve">Systém vícezdrojové přímé podpory </w:t>
      </w:r>
      <w:proofErr w:type="spellStart"/>
      <w:r w:rsidRPr="004503C5">
        <w:rPr>
          <w:rFonts w:eastAsia="Times New Roman" w:cs="Arial"/>
          <w:b/>
          <w:lang w:eastAsia="cs-CZ"/>
        </w:rPr>
        <w:t>VaVaI</w:t>
      </w:r>
      <w:proofErr w:type="spellEnd"/>
      <w:r w:rsidRPr="004503C5">
        <w:rPr>
          <w:rFonts w:eastAsia="Times New Roman" w:cs="Arial"/>
          <w:b/>
          <w:lang w:eastAsia="cs-CZ"/>
        </w:rPr>
        <w:t xml:space="preserve"> v ČR</w:t>
      </w:r>
    </w:p>
    <w:p w14:paraId="2502BAE1" w14:textId="7B461EF3" w:rsidR="00AB24D3" w:rsidRPr="00E275FC" w:rsidRDefault="00AB24D3" w:rsidP="007B2741">
      <w:pPr>
        <w:keepNext/>
        <w:spacing w:after="240" w:line="360" w:lineRule="auto"/>
        <w:ind w:firstLine="578"/>
        <w:jc w:val="both"/>
        <w:rPr>
          <w:rFonts w:eastAsia="Times New Roman" w:cs="Arial"/>
          <w:b/>
          <w:lang w:eastAsia="cs-CZ"/>
        </w:rPr>
      </w:pPr>
      <w:r w:rsidRPr="00E275FC">
        <w:rPr>
          <w:rFonts w:eastAsia="Times New Roman" w:cs="Arial"/>
          <w:bCs/>
          <w:lang w:eastAsia="cs-CZ"/>
        </w:rPr>
        <w:t xml:space="preserve">S ohledem na způsob přímého financování </w:t>
      </w:r>
      <w:proofErr w:type="spellStart"/>
      <w:r w:rsidRPr="00E275FC">
        <w:rPr>
          <w:rFonts w:eastAsia="Times New Roman" w:cs="Arial"/>
          <w:bCs/>
          <w:lang w:eastAsia="cs-CZ"/>
        </w:rPr>
        <w:t>VaV</w:t>
      </w:r>
      <w:proofErr w:type="spellEnd"/>
      <w:r w:rsidRPr="00E275FC">
        <w:rPr>
          <w:rFonts w:eastAsia="Times New Roman" w:cs="Arial"/>
          <w:bCs/>
          <w:lang w:eastAsia="cs-CZ"/>
        </w:rPr>
        <w:t xml:space="preserve"> z veřejných zdrojů (viz Schéma B.3.3) je typické vícezdrojové financování </w:t>
      </w:r>
      <w:r w:rsidR="00A6202E">
        <w:rPr>
          <w:rFonts w:eastAsia="Times New Roman" w:cs="Arial"/>
          <w:bCs/>
          <w:lang w:eastAsia="cs-CZ"/>
        </w:rPr>
        <w:t>VO</w:t>
      </w:r>
      <w:r w:rsidRPr="00E275FC">
        <w:rPr>
          <w:rFonts w:eastAsia="Times New Roman" w:cs="Arial"/>
          <w:bCs/>
          <w:lang w:eastAsia="cs-CZ"/>
        </w:rPr>
        <w:t>, a tedy jejich financování od více poskytovatelů skrze více kategorií podpory.</w:t>
      </w:r>
    </w:p>
    <w:p w14:paraId="02FC964E" w14:textId="77777777" w:rsidR="00AB24D3" w:rsidRPr="00E275FC" w:rsidRDefault="00AB24D3" w:rsidP="00AB24D3">
      <w:pPr>
        <w:pStyle w:val="Obrzek-nadpis"/>
        <w:spacing w:before="0" w:after="120"/>
      </w:pPr>
      <w:r w:rsidRPr="00E275FC">
        <w:t xml:space="preserve">Schéma B.3.3: Schéma přímé podpory </w:t>
      </w:r>
      <w:proofErr w:type="spellStart"/>
      <w:r w:rsidRPr="00E275FC">
        <w:t>VaVaI</w:t>
      </w:r>
      <w:proofErr w:type="spellEnd"/>
      <w:r w:rsidRPr="00E275FC">
        <w:t xml:space="preserve"> a finanční prostředky v roce 2024 (v mil. Kč)</w:t>
      </w:r>
    </w:p>
    <w:tbl>
      <w:tblPr>
        <w:tblStyle w:val="Mkatabulky"/>
        <w:tblW w:w="5000" w:type="pct"/>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3052"/>
        <w:gridCol w:w="3309"/>
        <w:gridCol w:w="2052"/>
        <w:gridCol w:w="1441"/>
      </w:tblGrid>
      <w:tr w:rsidR="00AB24D3" w:rsidRPr="0075519A" w14:paraId="29B644CE" w14:textId="77777777" w:rsidTr="00326A8C">
        <w:trPr>
          <w:trHeight w:val="20"/>
        </w:trPr>
        <w:tc>
          <w:tcPr>
            <w:tcW w:w="3228" w:type="pct"/>
            <w:gridSpan w:val="2"/>
            <w:vAlign w:val="center"/>
          </w:tcPr>
          <w:p w14:paraId="2F1EEDBA" w14:textId="77777777" w:rsidR="00AB24D3" w:rsidRPr="0075519A" w:rsidRDefault="00AB24D3" w:rsidP="00326A8C">
            <w:pPr>
              <w:pStyle w:val="Obrzek-nadpis"/>
              <w:spacing w:before="0" w:after="0"/>
              <w:jc w:val="center"/>
              <w:rPr>
                <w:rFonts w:ascii="Times New Roman" w:hAnsi="Times New Roman"/>
                <w:bCs/>
              </w:rPr>
            </w:pPr>
            <w:r w:rsidRPr="0075519A">
              <w:rPr>
                <w:rFonts w:ascii="Times New Roman" w:hAnsi="Times New Roman"/>
                <w:bCs/>
              </w:rPr>
              <w:t>Rozpočtované výdaje SR (bez kapitoly ÚV ČR)</w:t>
            </w:r>
          </w:p>
        </w:tc>
        <w:tc>
          <w:tcPr>
            <w:tcW w:w="1772" w:type="pct"/>
            <w:gridSpan w:val="2"/>
            <w:vAlign w:val="center"/>
          </w:tcPr>
          <w:p w14:paraId="5092C5AC" w14:textId="77777777" w:rsidR="00AB24D3" w:rsidRPr="0075519A" w:rsidRDefault="00AB24D3" w:rsidP="00326A8C">
            <w:pPr>
              <w:pStyle w:val="Obrzek-nadpis"/>
              <w:spacing w:before="0" w:after="0"/>
              <w:jc w:val="center"/>
              <w:rPr>
                <w:rFonts w:ascii="Times New Roman" w:hAnsi="Times New Roman"/>
                <w:bCs/>
              </w:rPr>
            </w:pPr>
            <w:r w:rsidRPr="0075519A">
              <w:rPr>
                <w:rFonts w:ascii="Times New Roman" w:hAnsi="Times New Roman"/>
                <w:bCs/>
              </w:rPr>
              <w:t xml:space="preserve">Čerpaná podpora SR Subjekty provádějící </w:t>
            </w:r>
            <w:proofErr w:type="spellStart"/>
            <w:r w:rsidRPr="0075519A">
              <w:rPr>
                <w:rFonts w:ascii="Times New Roman" w:hAnsi="Times New Roman"/>
                <w:bCs/>
              </w:rPr>
              <w:t>VaVaI</w:t>
            </w:r>
            <w:proofErr w:type="spellEnd"/>
          </w:p>
        </w:tc>
      </w:tr>
      <w:tr w:rsidR="00AB24D3" w:rsidRPr="0075519A" w14:paraId="622F7EF0" w14:textId="77777777" w:rsidTr="00326A8C">
        <w:trPr>
          <w:trHeight w:val="20"/>
        </w:trPr>
        <w:tc>
          <w:tcPr>
            <w:tcW w:w="3228" w:type="pct"/>
            <w:gridSpan w:val="2"/>
            <w:vAlign w:val="center"/>
          </w:tcPr>
          <w:p w14:paraId="507A6D33" w14:textId="77777777" w:rsidR="00AB24D3" w:rsidRPr="0075519A" w:rsidRDefault="00AB24D3" w:rsidP="00326A8C">
            <w:pPr>
              <w:pStyle w:val="Obrzek-nadpis"/>
              <w:spacing w:before="0" w:after="0"/>
              <w:jc w:val="center"/>
              <w:rPr>
                <w:rFonts w:ascii="Times New Roman" w:hAnsi="Times New Roman"/>
              </w:rPr>
            </w:pPr>
            <w:r w:rsidRPr="0075519A">
              <w:rPr>
                <w:rFonts w:ascii="Times New Roman" w:hAnsi="Times New Roman"/>
                <w:noProof/>
              </w:rPr>
              <mc:AlternateContent>
                <mc:Choice Requires="wps">
                  <w:drawing>
                    <wp:anchor distT="0" distB="0" distL="114300" distR="114300" simplePos="0" relativeHeight="251683328" behindDoc="0" locked="0" layoutInCell="1" allowOverlap="1" wp14:anchorId="76BF9400" wp14:editId="4C05A88B">
                      <wp:simplePos x="0" y="0"/>
                      <wp:positionH relativeFrom="column">
                        <wp:posOffset>1163320</wp:posOffset>
                      </wp:positionH>
                      <wp:positionV relativeFrom="paragraph">
                        <wp:posOffset>100965</wp:posOffset>
                      </wp:positionV>
                      <wp:extent cx="413385" cy="180340"/>
                      <wp:effectExtent l="38100" t="0" r="24765" b="67310"/>
                      <wp:wrapNone/>
                      <wp:docPr id="328" name="Přímá spojnice se šipkou 328"/>
                      <wp:cNvGraphicFramePr/>
                      <a:graphic xmlns:a="http://schemas.openxmlformats.org/drawingml/2006/main">
                        <a:graphicData uri="http://schemas.microsoft.com/office/word/2010/wordprocessingShape">
                          <wps:wsp>
                            <wps:cNvCnPr/>
                            <wps:spPr>
                              <a:xfrm flipH="1">
                                <a:off x="0" y="0"/>
                                <a:ext cx="413385" cy="18034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DD52181" id="_x0000_t32" coordsize="21600,21600" o:spt="32" o:oned="t" path="m,l21600,21600e" filled="f">
                      <v:path arrowok="t" fillok="f" o:connecttype="none"/>
                      <o:lock v:ext="edit" shapetype="t"/>
                    </v:shapetype>
                    <v:shape id="Přímá spojnice se šipkou 328" o:spid="_x0000_s1026" type="#_x0000_t32" style="position:absolute;margin-left:91.6pt;margin-top:7.95pt;width:32.55pt;height:14.2pt;flip:x;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" strokecolor="black [3040]">
                      <v:stroke endarrow="block"/>
                    </v:shape>
                  </w:pict>
                </mc:Fallback>
              </mc:AlternateContent>
            </w:r>
            <w:r w:rsidRPr="0075519A">
              <w:rPr>
                <w:rFonts w:ascii="Times New Roman" w:hAnsi="Times New Roman"/>
              </w:rPr>
              <w:t>40 150</w:t>
            </w:r>
          </w:p>
        </w:tc>
        <w:tc>
          <w:tcPr>
            <w:tcW w:w="1772" w:type="pct"/>
            <w:gridSpan w:val="2"/>
            <w:vAlign w:val="center"/>
          </w:tcPr>
          <w:p w14:paraId="03BC199E" w14:textId="77777777" w:rsidR="00AB24D3" w:rsidRPr="0075519A" w:rsidRDefault="00AB24D3" w:rsidP="00326A8C">
            <w:pPr>
              <w:pStyle w:val="Obrzek-nadpis"/>
              <w:spacing w:before="0" w:after="0"/>
              <w:jc w:val="center"/>
              <w:rPr>
                <w:rFonts w:ascii="Times New Roman" w:hAnsi="Times New Roman"/>
                <w:bCs/>
              </w:rPr>
            </w:pPr>
            <w:r w:rsidRPr="0075519A">
              <w:rPr>
                <w:rFonts w:ascii="Times New Roman" w:hAnsi="Times New Roman"/>
                <w:noProof/>
              </w:rPr>
              <mc:AlternateContent>
                <mc:Choice Requires="wps">
                  <w:drawing>
                    <wp:anchor distT="0" distB="0" distL="114300" distR="114300" simplePos="0" relativeHeight="251697664" behindDoc="0" locked="0" layoutInCell="1" allowOverlap="1" wp14:anchorId="72B3F0B5" wp14:editId="19437014">
                      <wp:simplePos x="0" y="0"/>
                      <wp:positionH relativeFrom="column">
                        <wp:posOffset>693420</wp:posOffset>
                      </wp:positionH>
                      <wp:positionV relativeFrom="paragraph">
                        <wp:posOffset>34290</wp:posOffset>
                      </wp:positionV>
                      <wp:extent cx="466725" cy="152400"/>
                      <wp:effectExtent l="38100" t="0" r="28575" b="76200"/>
                      <wp:wrapNone/>
                      <wp:docPr id="331" name="Přímá spojnice se šipkou 331"/>
                      <wp:cNvGraphicFramePr/>
                      <a:graphic xmlns:a="http://schemas.openxmlformats.org/drawingml/2006/main">
                        <a:graphicData uri="http://schemas.microsoft.com/office/word/2010/wordprocessingShape">
                          <wps:wsp>
                            <wps:cNvCnPr/>
                            <wps:spPr>
                              <a:xfrm flipH="1">
                                <a:off x="0" y="0"/>
                                <a:ext cx="466725" cy="1524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17186E8" id="Přímá spojnice se šipkou 331" o:spid="_x0000_s1026" type="#_x0000_t32" style="position:absolute;margin-left:54.6pt;margin-top:2.7pt;width:36.75pt;height:12pt;flip:x;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" strokecolor="black [3040]">
                      <v:stroke endarrow="block"/>
                    </v:shape>
                  </w:pict>
                </mc:Fallback>
              </mc:AlternateContent>
            </w:r>
            <w:r w:rsidRPr="0075519A">
              <w:rPr>
                <w:rFonts w:ascii="Times New Roman" w:hAnsi="Times New Roman"/>
                <w:noProof/>
              </w:rPr>
              <mc:AlternateContent>
                <mc:Choice Requires="wps">
                  <w:drawing>
                    <wp:anchor distT="0" distB="0" distL="114300" distR="114300" simplePos="0" relativeHeight="251693568" behindDoc="0" locked="0" layoutInCell="1" allowOverlap="1" wp14:anchorId="63BF685E" wp14:editId="7550980A">
                      <wp:simplePos x="0" y="0"/>
                      <wp:positionH relativeFrom="column">
                        <wp:posOffset>1308100</wp:posOffset>
                      </wp:positionH>
                      <wp:positionV relativeFrom="paragraph">
                        <wp:posOffset>46990</wp:posOffset>
                      </wp:positionV>
                      <wp:extent cx="466725" cy="152400"/>
                      <wp:effectExtent l="0" t="0" r="66675" b="76200"/>
                      <wp:wrapNone/>
                      <wp:docPr id="330" name="Přímá spojnice se šipkou 330"/>
                      <wp:cNvGraphicFramePr/>
                      <a:graphic xmlns:a="http://schemas.openxmlformats.org/drawingml/2006/main">
                        <a:graphicData uri="http://schemas.microsoft.com/office/word/2010/wordprocessingShape">
                          <wps:wsp>
                            <wps:cNvCnPr/>
                            <wps:spPr>
                              <a:xfrm>
                                <a:off x="0" y="0"/>
                                <a:ext cx="466725" cy="1524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7FBE4FB" id="Přímá spojnice se šipkou 330" o:spid="_x0000_s1026" type="#_x0000_t32" style="position:absolute;margin-left:103pt;margin-top:3.7pt;width:36.75pt;height:12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" strokecolor="black [3040]">
                      <v:stroke endarrow="block"/>
                    </v:shape>
                  </w:pict>
                </mc:Fallback>
              </mc:AlternateContent>
            </w:r>
          </w:p>
        </w:tc>
      </w:tr>
      <w:tr w:rsidR="00AB24D3" w:rsidRPr="0075519A" w14:paraId="3C6A5DCF" w14:textId="77777777" w:rsidTr="00326A8C">
        <w:trPr>
          <w:trHeight w:val="624"/>
        </w:trPr>
        <w:tc>
          <w:tcPr>
            <w:tcW w:w="1549" w:type="pct"/>
            <w:vAlign w:val="center"/>
          </w:tcPr>
          <w:p w14:paraId="5325B466" w14:textId="77777777" w:rsidR="00AB24D3" w:rsidRPr="0075519A" w:rsidRDefault="00AB24D3" w:rsidP="00326A8C">
            <w:pPr>
              <w:pStyle w:val="Obrzek-nadpis"/>
              <w:spacing w:before="0" w:after="0"/>
              <w:jc w:val="center"/>
              <w:rPr>
                <w:rFonts w:ascii="Times New Roman" w:hAnsi="Times New Roman"/>
                <w:b w:val="0"/>
              </w:rPr>
            </w:pPr>
            <w:r w:rsidRPr="0075519A">
              <w:rPr>
                <w:rFonts w:ascii="Times New Roman" w:hAnsi="Times New Roman"/>
              </w:rPr>
              <w:t>Poskytovatelé</w:t>
            </w:r>
          </w:p>
        </w:tc>
        <w:tc>
          <w:tcPr>
            <w:tcW w:w="1679" w:type="pct"/>
            <w:vAlign w:val="center"/>
          </w:tcPr>
          <w:p w14:paraId="68868684" w14:textId="77777777" w:rsidR="00AB24D3" w:rsidRPr="0075519A" w:rsidRDefault="00AB24D3" w:rsidP="00326A8C">
            <w:pPr>
              <w:pStyle w:val="Obrzek-nadpis"/>
              <w:spacing w:before="0" w:after="0"/>
              <w:jc w:val="center"/>
              <w:rPr>
                <w:rFonts w:ascii="Times New Roman" w:hAnsi="Times New Roman"/>
                <w:b w:val="0"/>
              </w:rPr>
            </w:pPr>
            <w:r w:rsidRPr="0075519A">
              <w:rPr>
                <w:rFonts w:ascii="Times New Roman" w:hAnsi="Times New Roman"/>
                <w:noProof/>
              </w:rPr>
              <mc:AlternateContent>
                <mc:Choice Requires="wps">
                  <w:drawing>
                    <wp:anchor distT="0" distB="0" distL="114300" distR="114300" simplePos="0" relativeHeight="251687424" behindDoc="0" locked="0" layoutInCell="1" allowOverlap="1" wp14:anchorId="30F8835F" wp14:editId="2B27387A">
                      <wp:simplePos x="0" y="0"/>
                      <wp:positionH relativeFrom="column">
                        <wp:posOffset>389890</wp:posOffset>
                      </wp:positionH>
                      <wp:positionV relativeFrom="paragraph">
                        <wp:posOffset>-215265</wp:posOffset>
                      </wp:positionV>
                      <wp:extent cx="593725" cy="367665"/>
                      <wp:effectExtent l="0" t="0" r="53975" b="51435"/>
                      <wp:wrapNone/>
                      <wp:docPr id="329" name="Přímá spojnice se šipkou 329"/>
                      <wp:cNvGraphicFramePr/>
                      <a:graphic xmlns:a="http://schemas.openxmlformats.org/drawingml/2006/main">
                        <a:graphicData uri="http://schemas.microsoft.com/office/word/2010/wordprocessingShape">
                          <wps:wsp>
                            <wps:cNvCnPr/>
                            <wps:spPr>
                              <a:xfrm>
                                <a:off x="0" y="0"/>
                                <a:ext cx="593725" cy="36766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DAC76AC" id="Přímá spojnice se šipkou 329" o:spid="_x0000_s1026" type="#_x0000_t32" style="position:absolute;margin-left:30.7pt;margin-top:-16.95pt;width:46.75pt;height:28.9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" strokecolor="black [3040]">
                      <v:stroke endarrow="block"/>
                    </v:shape>
                  </w:pict>
                </mc:Fallback>
              </mc:AlternateContent>
            </w:r>
          </w:p>
        </w:tc>
        <w:tc>
          <w:tcPr>
            <w:tcW w:w="1041" w:type="pct"/>
            <w:vAlign w:val="center"/>
          </w:tcPr>
          <w:p w14:paraId="0BE37183" w14:textId="77777777" w:rsidR="00AB24D3" w:rsidRPr="0075519A" w:rsidRDefault="00AB24D3" w:rsidP="00326A8C">
            <w:pPr>
              <w:pStyle w:val="Obrzek-nadpis"/>
              <w:spacing w:before="0" w:after="0"/>
              <w:jc w:val="center"/>
              <w:rPr>
                <w:rFonts w:ascii="Times New Roman" w:hAnsi="Times New Roman"/>
                <w:bCs/>
              </w:rPr>
            </w:pPr>
            <w:r w:rsidRPr="0075519A">
              <w:rPr>
                <w:rFonts w:ascii="Times New Roman" w:hAnsi="Times New Roman"/>
                <w:bCs/>
              </w:rPr>
              <w:t>Subjekty</w:t>
            </w:r>
          </w:p>
          <w:p w14:paraId="2F867639" w14:textId="77777777" w:rsidR="00AB24D3" w:rsidRPr="0075519A" w:rsidRDefault="00AB24D3" w:rsidP="00326A8C">
            <w:pPr>
              <w:pStyle w:val="Obrzek-nadpis"/>
              <w:spacing w:before="0" w:after="0"/>
              <w:jc w:val="center"/>
              <w:rPr>
                <w:rFonts w:ascii="Times New Roman" w:hAnsi="Times New Roman"/>
                <w:bCs/>
              </w:rPr>
            </w:pPr>
            <w:r w:rsidRPr="0075519A">
              <w:rPr>
                <w:rFonts w:ascii="Times New Roman" w:hAnsi="Times New Roman"/>
                <w:bCs/>
              </w:rPr>
              <w:t>ČR</w:t>
            </w:r>
          </w:p>
        </w:tc>
        <w:tc>
          <w:tcPr>
            <w:tcW w:w="731" w:type="pct"/>
            <w:vAlign w:val="center"/>
          </w:tcPr>
          <w:p w14:paraId="5472350F" w14:textId="77777777" w:rsidR="00AB24D3" w:rsidRPr="0075519A" w:rsidRDefault="00AB24D3" w:rsidP="00326A8C">
            <w:pPr>
              <w:pStyle w:val="Obrzek-nadpis"/>
              <w:spacing w:before="0" w:after="0"/>
              <w:jc w:val="center"/>
              <w:rPr>
                <w:rFonts w:ascii="Times New Roman" w:hAnsi="Times New Roman"/>
                <w:bCs/>
              </w:rPr>
            </w:pPr>
            <w:r w:rsidRPr="0075519A">
              <w:rPr>
                <w:rFonts w:ascii="Times New Roman" w:hAnsi="Times New Roman"/>
                <w:bCs/>
              </w:rPr>
              <w:t xml:space="preserve">Zahraniční subjekty: </w:t>
            </w:r>
          </w:p>
        </w:tc>
      </w:tr>
      <w:tr w:rsidR="00AB24D3" w:rsidRPr="0075519A" w14:paraId="67672ADC" w14:textId="77777777" w:rsidTr="00326A8C">
        <w:trPr>
          <w:trHeight w:val="113"/>
        </w:trPr>
        <w:tc>
          <w:tcPr>
            <w:tcW w:w="1549" w:type="pct"/>
            <w:vMerge w:val="restart"/>
            <w:vAlign w:val="center"/>
          </w:tcPr>
          <w:p w14:paraId="579DB47A" w14:textId="77777777" w:rsidR="00AB24D3" w:rsidRPr="0075519A" w:rsidRDefault="00AB24D3" w:rsidP="00326A8C">
            <w:pPr>
              <w:pStyle w:val="Obrzek-nadpis"/>
              <w:spacing w:before="0" w:after="0"/>
              <w:jc w:val="center"/>
              <w:rPr>
                <w:rFonts w:ascii="Times New Roman" w:hAnsi="Times New Roman"/>
                <w:b w:val="0"/>
              </w:rPr>
            </w:pPr>
            <w:r w:rsidRPr="0075519A">
              <w:rPr>
                <w:rFonts w:ascii="Times New Roman" w:hAnsi="Times New Roman"/>
                <w:b w:val="0"/>
              </w:rPr>
              <w:t>z toho rozpočtované náklady na činnost,</w:t>
            </w:r>
          </w:p>
          <w:p w14:paraId="582183D6" w14:textId="77777777" w:rsidR="00AB24D3" w:rsidRPr="0075519A" w:rsidRDefault="00AB24D3" w:rsidP="00326A8C">
            <w:pPr>
              <w:pStyle w:val="Obrzek-nadpis"/>
              <w:spacing w:before="0" w:after="0"/>
              <w:jc w:val="center"/>
              <w:rPr>
                <w:rFonts w:ascii="Times New Roman" w:hAnsi="Times New Roman"/>
                <w:b w:val="0"/>
              </w:rPr>
            </w:pPr>
            <w:r w:rsidRPr="0075519A">
              <w:rPr>
                <w:rFonts w:ascii="Times New Roman" w:hAnsi="Times New Roman"/>
                <w:b w:val="0"/>
              </w:rPr>
              <w:t>hodnocení projektů atd.</w:t>
            </w:r>
          </w:p>
          <w:p w14:paraId="18CB8894" w14:textId="77777777" w:rsidR="00AB24D3" w:rsidRPr="0075519A" w:rsidRDefault="00AB24D3" w:rsidP="00326A8C">
            <w:pPr>
              <w:pStyle w:val="Obrzek-nadpis"/>
              <w:spacing w:before="0" w:after="0"/>
              <w:jc w:val="center"/>
              <w:rPr>
                <w:rFonts w:ascii="Times New Roman" w:hAnsi="Times New Roman"/>
                <w:b w:val="0"/>
                <w:i/>
                <w:iCs/>
              </w:rPr>
            </w:pPr>
            <w:r w:rsidRPr="0075519A">
              <w:rPr>
                <w:rFonts w:ascii="Times New Roman" w:hAnsi="Times New Roman"/>
                <w:b w:val="0"/>
                <w:i/>
                <w:iCs/>
                <w:lang w:val="en-GB"/>
              </w:rPr>
              <w:t>1 916</w:t>
            </w:r>
          </w:p>
        </w:tc>
        <w:tc>
          <w:tcPr>
            <w:tcW w:w="1679" w:type="pct"/>
            <w:vAlign w:val="center"/>
          </w:tcPr>
          <w:p w14:paraId="53435574" w14:textId="77777777" w:rsidR="00AB24D3" w:rsidRPr="0075519A" w:rsidRDefault="00AB24D3" w:rsidP="00326A8C">
            <w:pPr>
              <w:pStyle w:val="Obrzek-nadpis"/>
              <w:spacing w:before="0" w:after="0"/>
              <w:jc w:val="center"/>
              <w:rPr>
                <w:rFonts w:ascii="Times New Roman" w:hAnsi="Times New Roman"/>
                <w:b w:val="0"/>
              </w:rPr>
            </w:pPr>
            <w:r w:rsidRPr="0075519A">
              <w:rPr>
                <w:rFonts w:ascii="Times New Roman" w:hAnsi="Times New Roman"/>
              </w:rPr>
              <w:t>Kategorie podpor financovaných ze SR</w:t>
            </w:r>
          </w:p>
        </w:tc>
        <w:tc>
          <w:tcPr>
            <w:tcW w:w="1041" w:type="pct"/>
            <w:vAlign w:val="center"/>
          </w:tcPr>
          <w:p w14:paraId="59322C1D" w14:textId="77777777" w:rsidR="00AB24D3" w:rsidRPr="0075519A" w:rsidRDefault="00AB24D3" w:rsidP="00326A8C">
            <w:pPr>
              <w:pStyle w:val="Obrzek-nadpis"/>
              <w:spacing w:before="0" w:after="0"/>
              <w:jc w:val="center"/>
              <w:rPr>
                <w:rFonts w:ascii="Times New Roman" w:hAnsi="Times New Roman"/>
                <w:b w:val="0"/>
              </w:rPr>
            </w:pPr>
            <w:r w:rsidRPr="0075519A">
              <w:rPr>
                <w:rFonts w:ascii="Times New Roman" w:hAnsi="Times New Roman"/>
                <w:b w:val="0"/>
              </w:rPr>
              <w:t>[40 314</w:t>
            </w:r>
            <w:r w:rsidRPr="0075519A">
              <w:rPr>
                <w:rFonts w:ascii="Times New Roman" w:hAnsi="Times New Roman"/>
                <w:b w:val="0"/>
                <w:lang w:val="en-GB"/>
              </w:rPr>
              <w:t>]</w:t>
            </w:r>
          </w:p>
        </w:tc>
        <w:tc>
          <w:tcPr>
            <w:tcW w:w="731" w:type="pct"/>
            <w:vAlign w:val="center"/>
          </w:tcPr>
          <w:p w14:paraId="74D340BB" w14:textId="77777777" w:rsidR="00AB24D3" w:rsidRPr="0075519A" w:rsidRDefault="00AB24D3" w:rsidP="00326A8C">
            <w:pPr>
              <w:pStyle w:val="Obrzek-nadpis"/>
              <w:spacing w:before="0" w:after="0"/>
              <w:jc w:val="center"/>
              <w:rPr>
                <w:rFonts w:ascii="Times New Roman" w:hAnsi="Times New Roman"/>
                <w:b w:val="0"/>
              </w:rPr>
            </w:pPr>
            <w:r w:rsidRPr="0075519A">
              <w:rPr>
                <w:rFonts w:ascii="Times New Roman" w:hAnsi="Times New Roman"/>
                <w:b w:val="0"/>
              </w:rPr>
              <w:t>[1 980</w:t>
            </w:r>
            <w:r w:rsidRPr="0075519A">
              <w:rPr>
                <w:rFonts w:ascii="Times New Roman" w:hAnsi="Times New Roman"/>
                <w:b w:val="0"/>
                <w:lang w:val="en-GB"/>
              </w:rPr>
              <w:t>]</w:t>
            </w:r>
          </w:p>
        </w:tc>
      </w:tr>
      <w:tr w:rsidR="00AB24D3" w:rsidRPr="00A421AA" w14:paraId="4D5C7BFA" w14:textId="77777777" w:rsidTr="00326A8C">
        <w:trPr>
          <w:trHeight w:val="20"/>
        </w:trPr>
        <w:tc>
          <w:tcPr>
            <w:tcW w:w="1549" w:type="pct"/>
            <w:vMerge/>
            <w:vAlign w:val="center"/>
          </w:tcPr>
          <w:p w14:paraId="7BE42D88" w14:textId="77777777" w:rsidR="00AB24D3" w:rsidRPr="0075519A" w:rsidRDefault="00AB24D3" w:rsidP="00326A8C">
            <w:pPr>
              <w:pStyle w:val="Obrzek-nadpis"/>
              <w:spacing w:before="0" w:after="0"/>
              <w:jc w:val="center"/>
              <w:rPr>
                <w:rFonts w:ascii="Times New Roman" w:hAnsi="Times New Roman"/>
                <w:b w:val="0"/>
              </w:rPr>
            </w:pPr>
          </w:p>
        </w:tc>
        <w:tc>
          <w:tcPr>
            <w:tcW w:w="1679" w:type="pct"/>
            <w:vAlign w:val="center"/>
          </w:tcPr>
          <w:p w14:paraId="7BB3C505" w14:textId="77777777" w:rsidR="00AB24D3" w:rsidRPr="0075519A" w:rsidRDefault="00AB24D3" w:rsidP="00326A8C">
            <w:pPr>
              <w:pStyle w:val="Obrzek-nadpis"/>
              <w:spacing w:before="0" w:after="0"/>
              <w:jc w:val="center"/>
              <w:rPr>
                <w:rFonts w:ascii="Times New Roman" w:hAnsi="Times New Roman"/>
                <w:b w:val="0"/>
                <w:lang w:val="en-GB"/>
              </w:rPr>
            </w:pPr>
            <w:r w:rsidRPr="0075519A">
              <w:rPr>
                <w:rFonts w:ascii="Times New Roman" w:hAnsi="Times New Roman"/>
                <w:b w:val="0"/>
              </w:rPr>
              <w:t>Celková čerpaná podpora SR</w:t>
            </w:r>
            <w:r w:rsidRPr="0075519A">
              <w:rPr>
                <w:rFonts w:ascii="Times New Roman" w:hAnsi="Times New Roman"/>
                <w:b w:val="0"/>
              </w:rPr>
              <w:br/>
              <w:t>[42 294</w:t>
            </w:r>
            <w:r w:rsidRPr="0075519A">
              <w:rPr>
                <w:rFonts w:ascii="Times New Roman" w:hAnsi="Times New Roman"/>
                <w:b w:val="0"/>
                <w:lang w:val="en-GB"/>
              </w:rPr>
              <w:t>]</w:t>
            </w:r>
          </w:p>
        </w:tc>
        <w:tc>
          <w:tcPr>
            <w:tcW w:w="1772" w:type="pct"/>
            <w:gridSpan w:val="2"/>
            <w:vAlign w:val="center"/>
          </w:tcPr>
          <w:p w14:paraId="3A9A5285" w14:textId="77777777" w:rsidR="00AB24D3" w:rsidRPr="0075519A" w:rsidRDefault="00AB24D3" w:rsidP="00326A8C">
            <w:pPr>
              <w:pStyle w:val="Obrzek-nadpis"/>
              <w:spacing w:before="0" w:after="0"/>
              <w:jc w:val="center"/>
              <w:rPr>
                <w:rFonts w:ascii="Times New Roman" w:hAnsi="Times New Roman"/>
                <w:bCs/>
              </w:rPr>
            </w:pPr>
          </w:p>
        </w:tc>
      </w:tr>
    </w:tbl>
    <w:p w14:paraId="700D007B" w14:textId="77777777" w:rsidR="00AB24D3" w:rsidRPr="00A421AA" w:rsidRDefault="00AB24D3" w:rsidP="00AB24D3">
      <w:pPr>
        <w:spacing w:after="120" w:line="360" w:lineRule="auto"/>
        <w:jc w:val="both"/>
        <w:rPr>
          <w:rFonts w:eastAsia="Times New Roman" w:cs="Arial"/>
          <w:bCs/>
          <w:highlight w:val="yellow"/>
          <w:lang w:eastAsia="cs-CZ"/>
        </w:rPr>
      </w:pPr>
      <w:r w:rsidRPr="00945613">
        <w:rPr>
          <w:rFonts w:eastAsia="Times New Roman" w:cs="Arial"/>
          <w:bCs/>
          <w:noProof/>
          <w:lang w:eastAsia="cs-CZ"/>
        </w:rPr>
        <w:drawing>
          <wp:inline distT="0" distB="0" distL="0" distR="0" wp14:anchorId="1EE08BD7" wp14:editId="4C46AFD4">
            <wp:extent cx="5943905" cy="4496031"/>
            <wp:effectExtent l="0" t="0" r="0" b="0"/>
            <wp:docPr id="1829210883" name="Obrázek 1" descr="Obsah obrázku text, diagram, Plán, snímek obrazovky&#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9210883" name="Obrázek 1" descr="Obsah obrázku text, diagram, Plán, snímek obrazovky&#10;&#10;Obsah generovaný pomocí AI může být nesprávný."/>
                    <pic:cNvPicPr/>
                  </pic:nvPicPr>
                  <pic:blipFill>
                    <a:blip r:embed="rId56"/>
                    <a:stretch>
                      <a:fillRect/>
                    </a:stretch>
                  </pic:blipFill>
                  <pic:spPr>
                    <a:xfrm>
                      <a:off x="0" y="0"/>
                      <a:ext cx="5943905" cy="4496031"/>
                    </a:xfrm>
                    <a:prstGeom prst="rect">
                      <a:avLst/>
                    </a:prstGeom>
                  </pic:spPr>
                </pic:pic>
              </a:graphicData>
            </a:graphic>
          </wp:inline>
        </w:drawing>
      </w:r>
    </w:p>
    <w:p w14:paraId="3DD866A5" w14:textId="77777777" w:rsidR="00AB24D3" w:rsidRPr="0075519A" w:rsidRDefault="00AB24D3" w:rsidP="00AB24D3">
      <w:pPr>
        <w:pStyle w:val="Zdrojapoznmka"/>
        <w:rPr>
          <w:bCs/>
        </w:rPr>
      </w:pPr>
      <w:r w:rsidRPr="0075519A">
        <w:rPr>
          <w:bCs/>
        </w:rPr>
        <w:t>Pozn: částka uvedená bez závorek je rozpočtovaná; částka uvedená v hranaté závorce je skutečně čerpaná; částka uvedená v kulaté závorce je skutečně čerpaná z OP část EU</w:t>
      </w:r>
    </w:p>
    <w:p w14:paraId="31E69A70" w14:textId="77777777" w:rsidR="00AB24D3" w:rsidRPr="0075519A" w:rsidRDefault="00AB24D3" w:rsidP="00AB24D3">
      <w:pPr>
        <w:pStyle w:val="Zdrojapoznmka"/>
        <w:rPr>
          <w:rFonts w:cs="Arial"/>
        </w:rPr>
      </w:pPr>
      <w:r w:rsidRPr="0075519A">
        <w:rPr>
          <w:b/>
        </w:rPr>
        <w:t>AV </w:t>
      </w:r>
      <w:r w:rsidRPr="0075519A">
        <w:t xml:space="preserve">– veřejné výzkumné instituce, které zřídila AV ČR dle zákona č. 341/2005 Sb.; </w:t>
      </w:r>
      <w:r w:rsidRPr="0075519A">
        <w:rPr>
          <w:b/>
        </w:rPr>
        <w:t>VŠ</w:t>
      </w:r>
      <w:r w:rsidRPr="0075519A">
        <w:t xml:space="preserve"> – vysoké školy (veřejné, státní a soukromé); </w:t>
      </w:r>
      <w:r w:rsidRPr="0075519A">
        <w:rPr>
          <w:b/>
        </w:rPr>
        <w:t>SP</w:t>
      </w:r>
      <w:r w:rsidRPr="0075519A">
        <w:t xml:space="preserve"> – státní příspěvkové organizace, organizační složky státu a veřejné výzkumné instituce mimo ústavů AV ČR a státních vysokých škol; </w:t>
      </w:r>
      <w:r w:rsidRPr="0075519A">
        <w:rPr>
          <w:b/>
        </w:rPr>
        <w:t>PF</w:t>
      </w:r>
      <w:r w:rsidRPr="0075519A">
        <w:t xml:space="preserve"> – právnické a fyzické osoby, jednotlivci a instituce nespadající do žádné z výše uvedených skupin, např. akciová společnost, společnost s ručením omezeným, obecně prospěšná společnost, nadace, občanské sdružení | </w:t>
      </w:r>
      <w:r w:rsidRPr="0075519A">
        <w:rPr>
          <w:b/>
        </w:rPr>
        <w:t>PROJEKTY</w:t>
      </w:r>
      <w:r w:rsidRPr="0075519A">
        <w:t xml:space="preserve"> – grantový nebo programový projekt</w:t>
      </w:r>
      <w:r w:rsidRPr="0075519A">
        <w:rPr>
          <w:rFonts w:cs="Arial"/>
        </w:rPr>
        <w:t xml:space="preserve">; </w:t>
      </w:r>
      <w:r w:rsidRPr="0075519A">
        <w:rPr>
          <w:rFonts w:cs="Arial"/>
          <w:b/>
        </w:rPr>
        <w:t>SVV </w:t>
      </w:r>
      <w:r w:rsidRPr="0075519A">
        <w:t xml:space="preserve">– specifický vysokoškolský výzkum; </w:t>
      </w:r>
      <w:r w:rsidRPr="0075519A">
        <w:rPr>
          <w:b/>
        </w:rPr>
        <w:t>INFRA </w:t>
      </w:r>
      <w:r w:rsidRPr="0075519A">
        <w:t xml:space="preserve">– projekty VVI; </w:t>
      </w:r>
      <w:r w:rsidRPr="0075519A">
        <w:rPr>
          <w:b/>
        </w:rPr>
        <w:t>SDÍLENÉ ČINNOSTI</w:t>
      </w:r>
      <w:r w:rsidRPr="0075519A">
        <w:t xml:space="preserve"> – Projekty sdílených činností; </w:t>
      </w:r>
      <w:r w:rsidRPr="0075519A">
        <w:rPr>
          <w:b/>
        </w:rPr>
        <w:t>SPOLUFIN</w:t>
      </w:r>
      <w:r w:rsidRPr="0075519A">
        <w:t xml:space="preserve"> – spolufinancování OP; </w:t>
      </w:r>
      <w:r w:rsidRPr="0075519A">
        <w:rPr>
          <w:b/>
        </w:rPr>
        <w:t>MEZINAR</w:t>
      </w:r>
      <w:r>
        <w:t> </w:t>
      </w:r>
      <w:r w:rsidRPr="0075519A">
        <w:t xml:space="preserve">– mezinárodní spolupráce; </w:t>
      </w:r>
      <w:r w:rsidRPr="0075519A">
        <w:rPr>
          <w:b/>
        </w:rPr>
        <w:t>RVO </w:t>
      </w:r>
      <w:r w:rsidRPr="0075519A">
        <w:t xml:space="preserve">– dlouhodobý koncepční rozvoj VO; </w:t>
      </w:r>
      <w:r w:rsidRPr="0075519A">
        <w:rPr>
          <w:b/>
        </w:rPr>
        <w:t>CAV </w:t>
      </w:r>
      <w:r w:rsidRPr="0075519A">
        <w:t>– Podpora činnosti pracovišť AV</w:t>
      </w:r>
      <w:r>
        <w:t> </w:t>
      </w:r>
      <w:r w:rsidRPr="0075519A">
        <w:t>ČR</w:t>
      </w:r>
    </w:p>
    <w:p w14:paraId="354011D6" w14:textId="5FD04E50" w:rsidR="00EA6DE8" w:rsidRDefault="00EA6DE8" w:rsidP="00EA6DE8">
      <w:pPr>
        <w:spacing w:after="0" w:line="360" w:lineRule="auto"/>
        <w:jc w:val="both"/>
        <w:rPr>
          <w:rFonts w:eastAsia="Times New Roman" w:cs="Arial"/>
          <w:b/>
          <w:lang w:eastAsia="cs-CZ"/>
        </w:rPr>
      </w:pPr>
      <w:r w:rsidRPr="00656282">
        <w:rPr>
          <w:rFonts w:eastAsia="Times New Roman" w:cs="Arial"/>
          <w:b/>
          <w:lang w:eastAsia="cs-CZ"/>
        </w:rPr>
        <w:lastRenderedPageBreak/>
        <w:t>Čerpaná přímá podpora ze státního rozpočtu a operačních programů v</w:t>
      </w:r>
      <w:r>
        <w:rPr>
          <w:rFonts w:eastAsia="Times New Roman" w:cs="Arial"/>
          <w:b/>
          <w:lang w:eastAsia="cs-CZ"/>
        </w:rPr>
        <w:t> </w:t>
      </w:r>
      <w:r w:rsidRPr="00656282">
        <w:rPr>
          <w:rFonts w:eastAsia="Times New Roman" w:cs="Arial"/>
          <w:b/>
          <w:lang w:eastAsia="cs-CZ"/>
        </w:rPr>
        <w:t>ČR</w:t>
      </w:r>
    </w:p>
    <w:p w14:paraId="4C95A127" w14:textId="77777777" w:rsidR="00AB24D3" w:rsidRPr="006E3992" w:rsidRDefault="00AB24D3" w:rsidP="00AB24D3">
      <w:pPr>
        <w:spacing w:after="120" w:line="360" w:lineRule="auto"/>
        <w:ind w:firstLine="578"/>
        <w:jc w:val="both"/>
        <w:rPr>
          <w:rFonts w:eastAsia="Times New Roman" w:cs="Arial"/>
          <w:b/>
          <w:lang w:eastAsia="cs-CZ"/>
        </w:rPr>
      </w:pPr>
      <w:r w:rsidRPr="006E3992">
        <w:rPr>
          <w:rFonts w:eastAsia="Times New Roman" w:cs="Arial"/>
          <w:bCs/>
          <w:lang w:eastAsia="cs-CZ"/>
        </w:rPr>
        <w:t xml:space="preserve">Podle údajů IS </w:t>
      </w:r>
      <w:proofErr w:type="spellStart"/>
      <w:r w:rsidRPr="006E3992">
        <w:rPr>
          <w:rFonts w:eastAsia="Times New Roman" w:cs="Arial"/>
          <w:bCs/>
          <w:lang w:eastAsia="cs-CZ"/>
        </w:rPr>
        <w:t>VaVaI</w:t>
      </w:r>
      <w:proofErr w:type="spellEnd"/>
      <w:r w:rsidRPr="006E3992">
        <w:rPr>
          <w:rFonts w:eastAsia="Times New Roman" w:cs="Arial"/>
          <w:bCs/>
          <w:lang w:eastAsia="cs-CZ"/>
        </w:rPr>
        <w:t xml:space="preserve"> celková čerpaná podpora subjektů provádějící </w:t>
      </w:r>
      <w:proofErr w:type="spellStart"/>
      <w:r w:rsidRPr="006E3992">
        <w:rPr>
          <w:rFonts w:eastAsia="Times New Roman" w:cs="Arial"/>
          <w:bCs/>
          <w:lang w:eastAsia="cs-CZ"/>
        </w:rPr>
        <w:t>VaVaI</w:t>
      </w:r>
      <w:proofErr w:type="spellEnd"/>
      <w:r w:rsidRPr="006E3992">
        <w:rPr>
          <w:rFonts w:eastAsia="Times New Roman" w:cs="Arial"/>
          <w:bCs/>
          <w:lang w:eastAsia="cs-CZ"/>
        </w:rPr>
        <w:t xml:space="preserve"> ze státního rozpočtu v roce 202</w:t>
      </w:r>
      <w:r>
        <w:rPr>
          <w:rFonts w:eastAsia="Times New Roman" w:cs="Arial"/>
          <w:bCs/>
          <w:lang w:eastAsia="cs-CZ"/>
        </w:rPr>
        <w:t>4</w:t>
      </w:r>
      <w:r w:rsidRPr="006E3992">
        <w:rPr>
          <w:rFonts w:eastAsia="Times New Roman" w:cs="Arial"/>
          <w:bCs/>
          <w:lang w:eastAsia="cs-CZ"/>
        </w:rPr>
        <w:t xml:space="preserve"> činila 42,3 mld. Kč a čerpaná podpora z fondů EU (tj. OP část EU) dosahovala 6,3 mld. Kč.</w:t>
      </w:r>
    </w:p>
    <w:p w14:paraId="23544064" w14:textId="0EA93FDE" w:rsidR="00AB24D3" w:rsidRPr="006E3992" w:rsidRDefault="00AB24D3" w:rsidP="00AB24D3">
      <w:pPr>
        <w:spacing w:after="120" w:line="360" w:lineRule="auto"/>
        <w:ind w:firstLine="578"/>
        <w:jc w:val="both"/>
        <w:rPr>
          <w:rFonts w:eastAsia="Times New Roman" w:cs="Arial"/>
          <w:b/>
          <w:lang w:eastAsia="cs-CZ"/>
        </w:rPr>
      </w:pPr>
      <w:r w:rsidRPr="006E3992">
        <w:rPr>
          <w:rFonts w:eastAsia="Times New Roman" w:cs="Arial"/>
          <w:bCs/>
          <w:lang w:eastAsia="cs-CZ"/>
        </w:rPr>
        <w:t>Největší objem podpory ze státního rozpočtu dlouhodobě čerpají VŠ, v roce 2024 čerpaly podporu ve výši 19,5 mld. Kč. Druhý největší objem čerpané podpory připadl ústavům AV ČR a</w:t>
      </w:r>
      <w:r>
        <w:rPr>
          <w:rFonts w:eastAsia="Times New Roman" w:cs="Arial"/>
          <w:bCs/>
          <w:lang w:eastAsia="cs-CZ"/>
        </w:rPr>
        <w:t> </w:t>
      </w:r>
      <w:r w:rsidRPr="006E3992">
        <w:rPr>
          <w:rFonts w:eastAsia="Times New Roman" w:cs="Arial"/>
          <w:bCs/>
          <w:lang w:eastAsia="cs-CZ"/>
        </w:rPr>
        <w:t>to</w:t>
      </w:r>
      <w:r>
        <w:rPr>
          <w:rFonts w:eastAsia="Times New Roman" w:cs="Arial"/>
          <w:bCs/>
          <w:lang w:eastAsia="cs-CZ"/>
        </w:rPr>
        <w:t> </w:t>
      </w:r>
      <w:r w:rsidRPr="006E3992">
        <w:rPr>
          <w:rFonts w:eastAsia="Times New Roman" w:cs="Arial"/>
          <w:bCs/>
          <w:lang w:eastAsia="cs-CZ"/>
        </w:rPr>
        <w:t xml:space="preserve">11,2 mld. Kč, organizace z podnikatelského a neziskového sektoru čerpaly 5,3 mld. Kč a zbylé, především tzv. resortní </w:t>
      </w:r>
      <w:r w:rsidR="00A6202E">
        <w:rPr>
          <w:rFonts w:eastAsia="Times New Roman" w:cs="Arial"/>
          <w:bCs/>
          <w:lang w:eastAsia="cs-CZ"/>
        </w:rPr>
        <w:t>VO</w:t>
      </w:r>
      <w:r w:rsidRPr="006E3992">
        <w:rPr>
          <w:rFonts w:eastAsia="Times New Roman" w:cs="Arial"/>
          <w:bCs/>
          <w:lang w:eastAsia="cs-CZ"/>
        </w:rPr>
        <w:t>, získaly podporu ve výši 4,3 mld. Kč.</w:t>
      </w:r>
    </w:p>
    <w:p w14:paraId="72371364" w14:textId="2BA428FE" w:rsidR="00AB24D3" w:rsidRPr="006E3992" w:rsidRDefault="00AB24D3" w:rsidP="00AB24D3">
      <w:pPr>
        <w:spacing w:after="120" w:line="360" w:lineRule="auto"/>
        <w:ind w:firstLine="578"/>
        <w:jc w:val="both"/>
        <w:rPr>
          <w:rFonts w:eastAsia="Times New Roman" w:cs="Arial"/>
          <w:b/>
          <w:lang w:eastAsia="cs-CZ"/>
        </w:rPr>
      </w:pPr>
      <w:r w:rsidRPr="006E3992">
        <w:rPr>
          <w:rFonts w:eastAsia="Times New Roman" w:cs="Arial"/>
          <w:bCs/>
          <w:lang w:eastAsia="cs-CZ"/>
        </w:rPr>
        <w:t xml:space="preserve">Nejvyšší objem veřejných zahraničních zdrojů na aktivity </w:t>
      </w:r>
      <w:proofErr w:type="spellStart"/>
      <w:r w:rsidRPr="006E3992">
        <w:rPr>
          <w:rFonts w:eastAsia="Times New Roman" w:cs="Arial"/>
          <w:bCs/>
          <w:lang w:eastAsia="cs-CZ"/>
        </w:rPr>
        <w:t>VaVaI</w:t>
      </w:r>
      <w:proofErr w:type="spellEnd"/>
      <w:r w:rsidRPr="006E3992">
        <w:rPr>
          <w:rFonts w:eastAsia="Times New Roman" w:cs="Arial"/>
          <w:bCs/>
          <w:lang w:eastAsia="cs-CZ"/>
        </w:rPr>
        <w:t xml:space="preserve"> v rámci OP čerpaly v roce 2024 taktéž VŠ (2,7 mld. Kč). Dalšími významnými příjemci z pohledu objemu čerpané podpory z</w:t>
      </w:r>
      <w:r>
        <w:rPr>
          <w:rFonts w:eastAsia="Times New Roman" w:cs="Arial"/>
          <w:bCs/>
          <w:lang w:eastAsia="cs-CZ"/>
        </w:rPr>
        <w:t> </w:t>
      </w:r>
      <w:r w:rsidRPr="006E3992">
        <w:rPr>
          <w:rFonts w:eastAsia="Times New Roman" w:cs="Arial"/>
          <w:bCs/>
          <w:lang w:eastAsia="cs-CZ"/>
        </w:rPr>
        <w:t xml:space="preserve">OP jsou subjekty z podnikatelského a neziskového sektoru (1,8 mld. Kč), AV ČR čerpala 1,5 mld. Kč a nejnižší podporu získaly resortní </w:t>
      </w:r>
      <w:r w:rsidR="00A6202E">
        <w:rPr>
          <w:rFonts w:eastAsia="Times New Roman" w:cs="Arial"/>
          <w:bCs/>
          <w:lang w:eastAsia="cs-CZ"/>
        </w:rPr>
        <w:t>VO</w:t>
      </w:r>
      <w:r w:rsidRPr="006E3992">
        <w:rPr>
          <w:rFonts w:eastAsia="Times New Roman" w:cs="Arial"/>
          <w:bCs/>
          <w:lang w:eastAsia="cs-CZ"/>
        </w:rPr>
        <w:t xml:space="preserve"> (264 mil. Kč).</w:t>
      </w:r>
    </w:p>
    <w:p w14:paraId="5BB18FB4" w14:textId="77777777" w:rsidR="00AB24D3" w:rsidRPr="006E3992" w:rsidRDefault="00AB24D3" w:rsidP="00AB24D3">
      <w:pPr>
        <w:pStyle w:val="Obrzek-nadpis"/>
      </w:pPr>
      <w:r w:rsidRPr="006E3992">
        <w:t xml:space="preserve">Graf B.3.4. Objem prostředků SR a části OP na </w:t>
      </w:r>
      <w:proofErr w:type="spellStart"/>
      <w:r w:rsidRPr="006E3992">
        <w:t>VaVaI</w:t>
      </w:r>
      <w:proofErr w:type="spellEnd"/>
      <w:r w:rsidRPr="006E3992">
        <w:t xml:space="preserve"> čerpaných skupinami příjemců v roce 202</w:t>
      </w:r>
      <w:r>
        <w:t>4</w:t>
      </w:r>
      <w:r w:rsidRPr="006E3992">
        <w:t xml:space="preserve"> (v mil. Kč)</w:t>
      </w:r>
    </w:p>
    <w:p w14:paraId="45E2DA29" w14:textId="77777777" w:rsidR="00AB24D3" w:rsidRPr="006E3992" w:rsidRDefault="00AB24D3" w:rsidP="00AB24D3">
      <w:pPr>
        <w:pStyle w:val="Obrzek-nadpis"/>
        <w:jc w:val="center"/>
      </w:pPr>
      <w:r>
        <w:rPr>
          <w:noProof/>
        </w:rPr>
        <w:drawing>
          <wp:inline distT="0" distB="0" distL="0" distR="0" wp14:anchorId="3C39AA05" wp14:editId="0B3C52D1">
            <wp:extent cx="6120130" cy="2531745"/>
            <wp:effectExtent l="0" t="0" r="0" b="1905"/>
            <wp:docPr id="293473143" name="Graf 1">
              <a:extLst xmlns:a="http://schemas.openxmlformats.org/drawingml/2006/main">
                <a:ext uri="{FF2B5EF4-FFF2-40B4-BE49-F238E27FC236}">
                  <a16:creationId xmlns:a16="http://schemas.microsoft.com/office/drawing/2014/main" id="{00000000-0008-0000-00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14:paraId="2AD834B5" w14:textId="77777777" w:rsidR="00AB24D3" w:rsidRPr="006E3992" w:rsidRDefault="00AB24D3" w:rsidP="00AB24D3">
      <w:pPr>
        <w:pStyle w:val="Zdrojapoznmka"/>
      </w:pPr>
      <w:r w:rsidRPr="006E3992">
        <w:t xml:space="preserve">Zdroj: IS </w:t>
      </w:r>
      <w:proofErr w:type="spellStart"/>
      <w:r w:rsidRPr="006E3992">
        <w:t>VaVaI</w:t>
      </w:r>
      <w:proofErr w:type="spellEnd"/>
      <w:r w:rsidRPr="006E3992">
        <w:t xml:space="preserve">, export dat 30. 10. 2025 </w:t>
      </w:r>
    </w:p>
    <w:p w14:paraId="436AC71D" w14:textId="77777777" w:rsidR="00AB24D3" w:rsidRPr="006E3992" w:rsidRDefault="00AB24D3" w:rsidP="00AB24D3">
      <w:pPr>
        <w:pStyle w:val="Zdrojapoznmka"/>
        <w:rPr>
          <w:rFonts w:cs="Arial"/>
        </w:rPr>
      </w:pPr>
      <w:r w:rsidRPr="006E3992">
        <w:t xml:space="preserve">Nejsou zahrnuty finance určené na poplatky za účast ČR v mezinárodních programech </w:t>
      </w:r>
      <w:proofErr w:type="spellStart"/>
      <w:r w:rsidRPr="006E3992">
        <w:t>VaV</w:t>
      </w:r>
      <w:proofErr w:type="spellEnd"/>
      <w:r w:rsidRPr="006E3992">
        <w:t xml:space="preserve"> a za členství v mezinárodních organizacích </w:t>
      </w:r>
      <w:proofErr w:type="spellStart"/>
      <w:r w:rsidRPr="006E3992">
        <w:t>VaV</w:t>
      </w:r>
      <w:proofErr w:type="spellEnd"/>
      <w:r w:rsidRPr="006E3992">
        <w:t xml:space="preserve">. * </w:t>
      </w:r>
      <w:r w:rsidRPr="006E3992">
        <w:rPr>
          <w:b/>
        </w:rPr>
        <w:t>CAV </w:t>
      </w:r>
      <w:r w:rsidRPr="006E3992">
        <w:t>– Podpora činnosti pracovišť AV ČR je zahnuta v institucionální podpoře</w:t>
      </w:r>
    </w:p>
    <w:p w14:paraId="726588B0" w14:textId="77777777" w:rsidR="00AB24D3" w:rsidRPr="006E3992" w:rsidRDefault="00AB24D3" w:rsidP="00AB24D3">
      <w:pPr>
        <w:pStyle w:val="Zdrojapoznmka"/>
        <w:spacing w:after="360"/>
      </w:pPr>
      <w:r w:rsidRPr="006E3992">
        <w:rPr>
          <w:b/>
        </w:rPr>
        <w:t>AV </w:t>
      </w:r>
      <w:r w:rsidRPr="006E3992">
        <w:t xml:space="preserve">– veřejné výzkumné instituce, které zřídila AV ČR dle zákona č. 341/2005 Sb.; </w:t>
      </w:r>
      <w:r w:rsidRPr="006E3992">
        <w:rPr>
          <w:b/>
        </w:rPr>
        <w:t>VŠ</w:t>
      </w:r>
      <w:r w:rsidRPr="006E3992">
        <w:t xml:space="preserve"> – vysoké školy (veřejné, státní a soukromé); </w:t>
      </w:r>
      <w:r w:rsidRPr="006E3992">
        <w:rPr>
          <w:b/>
        </w:rPr>
        <w:t>SP</w:t>
      </w:r>
      <w:r w:rsidRPr="006E3992">
        <w:t xml:space="preserve"> – státní příspěvkové organizace, organizační složky státu a veřejné výzkumné instituce mimo ústavů AV ČR a státních vysokých škol; </w:t>
      </w:r>
      <w:r w:rsidRPr="006E3992">
        <w:rPr>
          <w:b/>
        </w:rPr>
        <w:t>PF</w:t>
      </w:r>
      <w:r w:rsidRPr="006E3992">
        <w:t xml:space="preserve"> – právnické a fyzické osoby, jednotlivci a instituce nespadající do žádné z výše uvedených skupin, např. akciová společnost, společnost s ručením omezeným, obecně prospěšná společnost, nadace, občanské sdružení</w:t>
      </w:r>
    </w:p>
    <w:p w14:paraId="1E8EAE4A" w14:textId="77777777" w:rsidR="00EA6DE8" w:rsidRPr="00DF6896" w:rsidRDefault="00EA6DE8" w:rsidP="00EA6DE8">
      <w:pPr>
        <w:pStyle w:val="Obrzek-nadpis"/>
      </w:pPr>
      <w:r w:rsidRPr="00DF6896">
        <w:t>Institucionální podpora ze státního rozpočtu</w:t>
      </w:r>
    </w:p>
    <w:p w14:paraId="79556B9E" w14:textId="17A73AC1" w:rsidR="00AB24D3" w:rsidRPr="00EB5BB6" w:rsidRDefault="00AB24D3" w:rsidP="00AB24D3">
      <w:pPr>
        <w:spacing w:after="120" w:line="360" w:lineRule="auto"/>
        <w:ind w:firstLine="578"/>
        <w:jc w:val="both"/>
        <w:rPr>
          <w:rFonts w:eastAsia="Times New Roman" w:cs="Arial"/>
          <w:b/>
          <w:lang w:eastAsia="cs-CZ"/>
        </w:rPr>
      </w:pPr>
      <w:r w:rsidRPr="00EB5BB6">
        <w:rPr>
          <w:rFonts w:eastAsia="Times New Roman" w:cs="Arial"/>
          <w:bCs/>
          <w:lang w:eastAsia="cs-CZ"/>
        </w:rPr>
        <w:t>VŠ společně s ústavy AV ČR mají převažující podíl institucionální podpory, což je v souladu s tím, že největší objem institucionální podpory na DK</w:t>
      </w:r>
      <w:r>
        <w:rPr>
          <w:rFonts w:eastAsia="Times New Roman" w:cs="Arial"/>
          <w:bCs/>
          <w:lang w:eastAsia="cs-CZ"/>
        </w:rPr>
        <w:t xml:space="preserve"> </w:t>
      </w:r>
      <w:r w:rsidRPr="00EB5BB6">
        <w:rPr>
          <w:rFonts w:eastAsia="Times New Roman" w:cs="Arial"/>
          <w:bCs/>
          <w:lang w:eastAsia="cs-CZ"/>
        </w:rPr>
        <w:t>RVO poskytují v ČR ze svých kapitol MŠMT a AV ČR. V roce 2024 čerpaly VŠ prostředky na DK RVO ve výši téměř 9,3 mld. Kč a ústavy AV</w:t>
      </w:r>
      <w:r>
        <w:rPr>
          <w:rFonts w:eastAsia="Times New Roman" w:cs="Arial"/>
          <w:bCs/>
          <w:lang w:eastAsia="cs-CZ"/>
        </w:rPr>
        <w:t> </w:t>
      </w:r>
      <w:r w:rsidRPr="00EB5BB6">
        <w:rPr>
          <w:rFonts w:eastAsia="Times New Roman" w:cs="Arial"/>
          <w:bCs/>
          <w:lang w:eastAsia="cs-CZ"/>
        </w:rPr>
        <w:t>ČR čerpaly 5,7 mld. Kč.</w:t>
      </w:r>
    </w:p>
    <w:p w14:paraId="3CADC1E0" w14:textId="77777777" w:rsidR="00AB24D3" w:rsidRPr="00EB5BB6" w:rsidRDefault="00AB24D3" w:rsidP="00AB24D3">
      <w:pPr>
        <w:spacing w:after="120" w:line="360" w:lineRule="auto"/>
        <w:ind w:firstLine="578"/>
        <w:jc w:val="both"/>
        <w:rPr>
          <w:rFonts w:eastAsia="Times New Roman" w:cs="Arial"/>
          <w:b/>
          <w:lang w:eastAsia="cs-CZ"/>
        </w:rPr>
      </w:pPr>
      <w:r w:rsidRPr="00EB5BB6">
        <w:rPr>
          <w:rFonts w:eastAsia="Times New Roman" w:cs="Arial"/>
          <w:bCs/>
          <w:lang w:eastAsia="cs-CZ"/>
        </w:rPr>
        <w:lastRenderedPageBreak/>
        <w:t>Organizace z podnikatelského či neziskového sektoru mají dle očekávání nejnižší podíl institucionálního financování. Tuto převahu lze považovat za žádoucí</w:t>
      </w:r>
      <w:r>
        <w:rPr>
          <w:rFonts w:eastAsia="Times New Roman" w:cs="Arial"/>
          <w:bCs/>
          <w:lang w:eastAsia="cs-CZ"/>
        </w:rPr>
        <w:t xml:space="preserve"> a odpovídá </w:t>
      </w:r>
      <w:r w:rsidRPr="00C160A5">
        <w:rPr>
          <w:rFonts w:eastAsia="Times New Roman" w:cs="Arial"/>
          <w:bCs/>
          <w:lang w:eastAsia="cs-CZ"/>
        </w:rPr>
        <w:t>charakteru jejich činnosti, která je založena převážně na projektově orientovaném a smluvním financování.</w:t>
      </w:r>
      <w:r>
        <w:rPr>
          <w:rFonts w:eastAsia="Times New Roman" w:cs="Arial"/>
          <w:bCs/>
          <w:lang w:eastAsia="cs-CZ"/>
        </w:rPr>
        <w:t xml:space="preserve"> </w:t>
      </w:r>
      <w:r w:rsidRPr="00EB5BB6">
        <w:rPr>
          <w:rFonts w:eastAsia="Times New Roman" w:cs="Arial"/>
          <w:bCs/>
          <w:lang w:eastAsia="cs-CZ"/>
        </w:rPr>
        <w:t>Naopak u veřejných subjektů by mohla indikovat zvýšené riziko meziroční nestability ve financování.</w:t>
      </w:r>
    </w:p>
    <w:p w14:paraId="70F384C4" w14:textId="5C8F974A" w:rsidR="00AB24D3" w:rsidRPr="00EB5BB6" w:rsidRDefault="00AB24D3" w:rsidP="00AB24D3">
      <w:pPr>
        <w:spacing w:after="120" w:line="360" w:lineRule="auto"/>
        <w:ind w:firstLine="578"/>
        <w:jc w:val="both"/>
        <w:rPr>
          <w:rFonts w:eastAsia="Times New Roman" w:cs="Arial"/>
          <w:b/>
          <w:lang w:eastAsia="cs-CZ"/>
        </w:rPr>
      </w:pPr>
      <w:r w:rsidRPr="007727D2">
        <w:rPr>
          <w:rFonts w:eastAsia="Times New Roman" w:cs="Arial"/>
          <w:bCs/>
          <w:lang w:eastAsia="cs-CZ"/>
        </w:rPr>
        <w:t>Resorty dopravy (MD), životního prostředí (MŽP), zahraničních věcí (MZV) a práce a</w:t>
      </w:r>
      <w:r>
        <w:rPr>
          <w:rFonts w:eastAsia="Times New Roman" w:cs="Arial"/>
          <w:bCs/>
          <w:lang w:eastAsia="cs-CZ"/>
        </w:rPr>
        <w:t> </w:t>
      </w:r>
      <w:r w:rsidRPr="007727D2">
        <w:rPr>
          <w:rFonts w:eastAsia="Times New Roman" w:cs="Arial"/>
          <w:bCs/>
          <w:lang w:eastAsia="cs-CZ"/>
        </w:rPr>
        <w:t>sociálních věcí (MPSV) jsou poskytovateli výhradně institucionální podpory, zatímco účelová podpora je v jejich případě realizována prostřednictvím resortních programů v rámci rozpočtové kapitoly TA ČR.</w:t>
      </w:r>
    </w:p>
    <w:p w14:paraId="1C924BA6" w14:textId="77777777" w:rsidR="00EA6DE8" w:rsidRPr="006A1536" w:rsidRDefault="00EA6DE8" w:rsidP="00EA6DE8">
      <w:pPr>
        <w:pStyle w:val="Obrzek-nadpis"/>
      </w:pPr>
      <w:r w:rsidRPr="006A1536">
        <w:t>Účelová podpora ze státního rozpočtu</w:t>
      </w:r>
    </w:p>
    <w:p w14:paraId="03665236" w14:textId="79FCA292" w:rsidR="00AB24D3" w:rsidRPr="00945613" w:rsidRDefault="00AB24D3" w:rsidP="00AB24D3">
      <w:pPr>
        <w:spacing w:after="120" w:line="360" w:lineRule="auto"/>
        <w:ind w:firstLine="578"/>
        <w:jc w:val="both"/>
        <w:rPr>
          <w:rFonts w:eastAsia="Times New Roman" w:cs="Arial"/>
          <w:b/>
          <w:lang w:eastAsia="cs-CZ"/>
        </w:rPr>
      </w:pPr>
      <w:r w:rsidRPr="005F05BB">
        <w:rPr>
          <w:rFonts w:eastAsia="Times New Roman" w:cs="Arial"/>
          <w:bCs/>
          <w:lang w:eastAsia="cs-CZ"/>
        </w:rPr>
        <w:t xml:space="preserve">Účelovou podporu poskytuje především GA ČR v oblasti základního výzkumu, kterou využívají zejména vysoké školy a ústavy </w:t>
      </w:r>
      <w:r>
        <w:rPr>
          <w:rFonts w:eastAsia="Times New Roman" w:cs="Arial"/>
          <w:bCs/>
          <w:lang w:eastAsia="cs-CZ"/>
        </w:rPr>
        <w:t>AV</w:t>
      </w:r>
      <w:r w:rsidRPr="005F05BB">
        <w:rPr>
          <w:rFonts w:eastAsia="Times New Roman" w:cs="Arial"/>
          <w:bCs/>
          <w:lang w:eastAsia="cs-CZ"/>
        </w:rPr>
        <w:t xml:space="preserve"> ČR.</w:t>
      </w:r>
      <w:r>
        <w:rPr>
          <w:rFonts w:eastAsia="Times New Roman" w:cs="Arial"/>
          <w:bCs/>
          <w:lang w:eastAsia="cs-CZ"/>
        </w:rPr>
        <w:t xml:space="preserve"> </w:t>
      </w:r>
      <w:r w:rsidRPr="005F05BB">
        <w:rPr>
          <w:rFonts w:eastAsia="Times New Roman" w:cs="Arial"/>
          <w:bCs/>
          <w:lang w:eastAsia="cs-CZ"/>
        </w:rPr>
        <w:t>V oblasti aplikovaného výzkumu plní klíčovou roli TA ČR, jejíž podpora směřuje především do podnikatelského sektoru a vysokých škol.</w:t>
      </w:r>
      <w:r>
        <w:rPr>
          <w:rFonts w:eastAsia="Times New Roman" w:cs="Arial"/>
          <w:bCs/>
          <w:lang w:eastAsia="cs-CZ"/>
        </w:rPr>
        <w:t xml:space="preserve"> </w:t>
      </w:r>
      <w:r w:rsidRPr="005F05BB">
        <w:rPr>
          <w:rFonts w:eastAsia="Times New Roman" w:cs="Arial"/>
          <w:bCs/>
          <w:lang w:eastAsia="cs-CZ"/>
        </w:rPr>
        <w:t>Účelovou podporu ostatních resortů kromě jimi zřízených organizací využívají ve značné míře rovněž vysoké školy</w:t>
      </w:r>
      <w:r w:rsidR="00A6202E">
        <w:rPr>
          <w:rFonts w:eastAsia="Times New Roman" w:cs="Arial"/>
          <w:bCs/>
          <w:lang w:eastAsia="cs-CZ"/>
        </w:rPr>
        <w:t>.</w:t>
      </w:r>
    </w:p>
    <w:p w14:paraId="01307A2B" w14:textId="77777777" w:rsidR="00AB24D3" w:rsidRPr="00945613" w:rsidRDefault="00AB24D3" w:rsidP="00AB24D3">
      <w:pPr>
        <w:pStyle w:val="Obrzek-nadpis"/>
        <w:spacing w:after="0"/>
      </w:pPr>
      <w:r w:rsidRPr="00945613">
        <w:t>Graf B.3.5: Distribuce prostředků SR a části OP čerpaných skupinami příjemců v roce 202</w:t>
      </w:r>
      <w:r>
        <w:t>4</w:t>
      </w:r>
      <w:r w:rsidRPr="00945613">
        <w:t xml:space="preserve"> (v mil. Kč)</w:t>
      </w:r>
    </w:p>
    <w:p w14:paraId="3BCB7154" w14:textId="77777777" w:rsidR="00AB24D3" w:rsidRPr="00945613" w:rsidRDefault="00AB24D3" w:rsidP="00AB24D3">
      <w:pPr>
        <w:spacing w:after="120" w:line="360" w:lineRule="auto"/>
        <w:jc w:val="center"/>
        <w:rPr>
          <w:rFonts w:eastAsia="Times New Roman" w:cs="Arial"/>
          <w:bCs/>
          <w:lang w:eastAsia="cs-CZ"/>
        </w:rPr>
      </w:pPr>
      <w:r w:rsidRPr="00945613">
        <w:rPr>
          <w:noProof/>
        </w:rPr>
        <w:drawing>
          <wp:inline distT="0" distB="0" distL="0" distR="0" wp14:anchorId="4F90C3B0" wp14:editId="7FB01AF7">
            <wp:extent cx="6120130" cy="3095625"/>
            <wp:effectExtent l="0" t="0" r="0" b="0"/>
            <wp:docPr id="1367042819"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120130" cy="3095625"/>
                    </a:xfrm>
                    <a:prstGeom prst="rect">
                      <a:avLst/>
                    </a:prstGeom>
                    <a:noFill/>
                    <a:ln>
                      <a:noFill/>
                    </a:ln>
                  </pic:spPr>
                </pic:pic>
              </a:graphicData>
            </a:graphic>
          </wp:inline>
        </w:drawing>
      </w:r>
    </w:p>
    <w:p w14:paraId="06C775B8" w14:textId="77777777" w:rsidR="00AB24D3" w:rsidRPr="00945613" w:rsidRDefault="00AB24D3" w:rsidP="00AB24D3">
      <w:pPr>
        <w:pStyle w:val="Zdrojapoznmka"/>
      </w:pPr>
      <w:bookmarkStart w:id="23" w:name="_Hlk144486122"/>
      <w:r w:rsidRPr="00945613">
        <w:t xml:space="preserve">Zdroj: IS </w:t>
      </w:r>
      <w:proofErr w:type="spellStart"/>
      <w:r w:rsidRPr="00945613">
        <w:t>VaVaI</w:t>
      </w:r>
      <w:proofErr w:type="spellEnd"/>
      <w:r w:rsidRPr="00945613">
        <w:t xml:space="preserve">, export dat 30. 10. 2025 | Nejsou zahrnuty finance určené na poplatky za účast ČR v mezinárodních programech </w:t>
      </w:r>
      <w:proofErr w:type="spellStart"/>
      <w:r w:rsidRPr="00945613">
        <w:t>VaV</w:t>
      </w:r>
      <w:proofErr w:type="spellEnd"/>
      <w:r w:rsidRPr="00945613">
        <w:t xml:space="preserve"> a za členství v mezinárodních organizacích </w:t>
      </w:r>
      <w:proofErr w:type="spellStart"/>
      <w:r w:rsidRPr="00945613">
        <w:t>VaV</w:t>
      </w:r>
      <w:proofErr w:type="spellEnd"/>
      <w:r w:rsidRPr="00945613">
        <w:t xml:space="preserve">. </w:t>
      </w:r>
    </w:p>
    <w:p w14:paraId="2CFBB663" w14:textId="77777777" w:rsidR="00AB24D3" w:rsidRPr="00945613" w:rsidRDefault="00AB24D3" w:rsidP="00AB24D3">
      <w:pPr>
        <w:pStyle w:val="Zdrojapoznmka"/>
        <w:spacing w:after="360"/>
      </w:pPr>
      <w:r w:rsidRPr="00945613">
        <w:rPr>
          <w:b/>
        </w:rPr>
        <w:t>AV </w:t>
      </w:r>
      <w:r w:rsidRPr="00945613">
        <w:t xml:space="preserve">– veřejné výzkumné instituce, které zřídila AV ČR dle zákona č. 341/2005 Sb.; </w:t>
      </w:r>
      <w:r w:rsidRPr="00945613">
        <w:rPr>
          <w:b/>
        </w:rPr>
        <w:t>VŠ</w:t>
      </w:r>
      <w:r w:rsidRPr="00945613">
        <w:t xml:space="preserve"> – vysoké školy (veřejné, státní a soukromé); </w:t>
      </w:r>
      <w:r w:rsidRPr="00945613">
        <w:rPr>
          <w:b/>
        </w:rPr>
        <w:t>SP</w:t>
      </w:r>
      <w:r w:rsidRPr="00945613">
        <w:t xml:space="preserve"> – státní příspěvkové organizace, organizační složky státu a veřejné výzkumné instituce mimo ústavů AV ČR a státních vysokých škol; </w:t>
      </w:r>
      <w:r w:rsidRPr="00945613">
        <w:rPr>
          <w:b/>
        </w:rPr>
        <w:t>PF</w:t>
      </w:r>
      <w:r w:rsidRPr="00945613">
        <w:t xml:space="preserve"> – právnické a fyzické osoby, jednotlivci a instituce nespadající do žádné z výše uvedených skupin, např. akciová společnost, společnost s ručením omezeným, obecně prospěšná společnost, nadace, občanské sdružení</w:t>
      </w:r>
    </w:p>
    <w:bookmarkEnd w:id="23"/>
    <w:p w14:paraId="6983309E" w14:textId="050A699F" w:rsidR="00AB24D3" w:rsidRPr="008E660B" w:rsidRDefault="00AB24D3" w:rsidP="00AB24D3">
      <w:pPr>
        <w:spacing w:after="120" w:line="360" w:lineRule="auto"/>
        <w:ind w:firstLine="578"/>
        <w:jc w:val="both"/>
        <w:rPr>
          <w:rFonts w:eastAsia="Times New Roman" w:cs="Arial"/>
          <w:bCs/>
          <w:lang w:eastAsia="cs-CZ"/>
        </w:rPr>
      </w:pPr>
      <w:r w:rsidRPr="008E660B">
        <w:rPr>
          <w:rFonts w:eastAsia="Times New Roman" w:cs="Arial"/>
          <w:bCs/>
          <w:lang w:eastAsia="cs-CZ"/>
        </w:rPr>
        <w:t xml:space="preserve">V roce 2024 bylo podpořeno celkem 4 338 grantových či programových projektů: VŠ čerpaly podporu přes 3,1 tis. projektů, PF a AV čerpaly podporu shodně na 1,5 tis. projektů a SP na necelých 1,0 tis. projektů. </w:t>
      </w:r>
      <w:r w:rsidRPr="004B6F1D">
        <w:rPr>
          <w:rFonts w:eastAsia="Times New Roman" w:cs="Arial"/>
          <w:bCs/>
          <w:lang w:eastAsia="cs-CZ"/>
        </w:rPr>
        <w:t xml:space="preserve">S ohledem na celkový počet </w:t>
      </w:r>
      <w:r w:rsidR="00A6202E">
        <w:rPr>
          <w:rFonts w:eastAsia="Times New Roman" w:cs="Arial"/>
          <w:bCs/>
          <w:lang w:eastAsia="cs-CZ"/>
        </w:rPr>
        <w:t>VO</w:t>
      </w:r>
      <w:r w:rsidRPr="004B6F1D">
        <w:rPr>
          <w:rFonts w:eastAsia="Times New Roman" w:cs="Arial"/>
          <w:bCs/>
          <w:lang w:eastAsia="cs-CZ"/>
        </w:rPr>
        <w:t xml:space="preserve"> – zejména vysokých škol, ústavů AV </w:t>
      </w:r>
      <w:r w:rsidRPr="004B6F1D">
        <w:rPr>
          <w:rFonts w:eastAsia="Times New Roman" w:cs="Arial"/>
          <w:bCs/>
          <w:lang w:eastAsia="cs-CZ"/>
        </w:rPr>
        <w:lastRenderedPageBreak/>
        <w:t xml:space="preserve">ČR a resortních </w:t>
      </w:r>
      <w:r w:rsidR="00A6202E">
        <w:rPr>
          <w:rFonts w:eastAsia="Times New Roman" w:cs="Arial"/>
          <w:bCs/>
          <w:lang w:eastAsia="cs-CZ"/>
        </w:rPr>
        <w:t>VO</w:t>
      </w:r>
      <w:r w:rsidRPr="004B6F1D">
        <w:rPr>
          <w:rFonts w:eastAsia="Times New Roman" w:cs="Arial"/>
          <w:bCs/>
          <w:lang w:eastAsia="cs-CZ"/>
        </w:rPr>
        <w:t xml:space="preserve"> – lze uvedený počet projektů považovat za relativně vysoký. Tento stav může zvyšovat administrativní náročnost jak na straně poskytovatelů (v souvislosti s hodnocením a</w:t>
      </w:r>
      <w:r w:rsidR="004E355B">
        <w:rPr>
          <w:rFonts w:eastAsia="Times New Roman" w:cs="Arial"/>
          <w:bCs/>
          <w:lang w:eastAsia="cs-CZ"/>
        </w:rPr>
        <w:t> </w:t>
      </w:r>
      <w:r w:rsidRPr="004B6F1D">
        <w:rPr>
          <w:rFonts w:eastAsia="Times New Roman" w:cs="Arial"/>
          <w:bCs/>
          <w:lang w:eastAsia="cs-CZ"/>
        </w:rPr>
        <w:t>kontrolou projektů), tak na straně příjemců podpory.</w:t>
      </w:r>
    </w:p>
    <w:p w14:paraId="069B4B35" w14:textId="3DE197ED" w:rsidR="00AB24D3" w:rsidRDefault="00AB24D3" w:rsidP="00AB24D3">
      <w:pPr>
        <w:spacing w:after="240" w:line="360" w:lineRule="auto"/>
        <w:jc w:val="both"/>
        <w:rPr>
          <w:rFonts w:eastAsia="Times New Roman" w:cs="Arial"/>
          <w:bCs/>
          <w:lang w:eastAsia="cs-CZ"/>
        </w:rPr>
      </w:pPr>
      <w:r w:rsidRPr="008E660B">
        <w:rPr>
          <w:rFonts w:eastAsia="Times New Roman" w:cs="Arial"/>
          <w:bCs/>
          <w:lang w:eastAsia="cs-CZ"/>
        </w:rPr>
        <w:t>Účelová podpora poskytovaná z kapitoly MŠMT je specifická v tom, že zahrnuje dotační tituly na</w:t>
      </w:r>
      <w:r>
        <w:rPr>
          <w:rFonts w:eastAsia="Times New Roman" w:cs="Arial"/>
          <w:bCs/>
          <w:lang w:eastAsia="cs-CZ"/>
        </w:rPr>
        <w:t> </w:t>
      </w:r>
      <w:r w:rsidRPr="008E660B">
        <w:rPr>
          <w:rFonts w:eastAsia="Times New Roman" w:cs="Arial"/>
          <w:bCs/>
          <w:lang w:eastAsia="cs-CZ"/>
        </w:rPr>
        <w:t xml:space="preserve">projekty velkých výzkumných infrastruktur (VVI) pro </w:t>
      </w:r>
      <w:proofErr w:type="spellStart"/>
      <w:r w:rsidRPr="008E660B">
        <w:rPr>
          <w:rFonts w:eastAsia="Times New Roman" w:cs="Arial"/>
          <w:bCs/>
          <w:lang w:eastAsia="cs-CZ"/>
        </w:rPr>
        <w:t>VaVaI</w:t>
      </w:r>
      <w:proofErr w:type="spellEnd"/>
      <w:r w:rsidRPr="008E660B">
        <w:rPr>
          <w:rFonts w:eastAsia="Times New Roman" w:cs="Arial"/>
          <w:bCs/>
          <w:lang w:eastAsia="cs-CZ"/>
        </w:rPr>
        <w:t xml:space="preserve"> a specifický vysokoškolský výzkum, které však mají charakter spíše institucionální podpory, kdy podpora není poskytnuta na základě výsledku veřejné soutěže</w:t>
      </w:r>
      <w:r w:rsidR="00C66DD9">
        <w:rPr>
          <w:rFonts w:eastAsia="Times New Roman" w:cs="Arial"/>
          <w:bCs/>
          <w:lang w:eastAsia="cs-CZ"/>
        </w:rPr>
        <w:t xml:space="preserve"> (podle zákona č. 328/2025 Sb. budou nově velké výzkumné infrastruktury financovány prostřednictvím systémové podpory)</w:t>
      </w:r>
      <w:r w:rsidRPr="008E660B">
        <w:rPr>
          <w:rFonts w:eastAsia="Times New Roman" w:cs="Arial"/>
          <w:bCs/>
          <w:lang w:eastAsia="cs-CZ"/>
        </w:rPr>
        <w:t>.</w:t>
      </w:r>
    </w:p>
    <w:p w14:paraId="18CB61C7" w14:textId="4BAEA922" w:rsidR="007D5A2F" w:rsidRPr="000C3496" w:rsidRDefault="007D5A2F" w:rsidP="00AB24D3">
      <w:pPr>
        <w:spacing w:after="240" w:line="360" w:lineRule="auto"/>
        <w:jc w:val="both"/>
        <w:rPr>
          <w:rFonts w:eastAsia="Times New Roman" w:cs="Arial"/>
          <w:b/>
          <w:lang w:eastAsia="cs-CZ"/>
        </w:rPr>
      </w:pPr>
      <w:r w:rsidRPr="00E30A70">
        <w:rPr>
          <w:rFonts w:eastAsia="Times New Roman" w:cs="Arial"/>
          <w:b/>
          <w:lang w:eastAsia="cs-CZ"/>
        </w:rPr>
        <w:t xml:space="preserve">Operační programy pro oblast </w:t>
      </w:r>
      <w:proofErr w:type="spellStart"/>
      <w:r w:rsidRPr="00E30A70">
        <w:rPr>
          <w:rFonts w:eastAsia="Times New Roman" w:cs="Arial"/>
          <w:b/>
          <w:lang w:eastAsia="cs-CZ"/>
        </w:rPr>
        <w:t>VaVaI</w:t>
      </w:r>
      <w:proofErr w:type="spellEnd"/>
    </w:p>
    <w:p w14:paraId="553645CC" w14:textId="77777777" w:rsidR="00AB24D3" w:rsidRPr="008E660B" w:rsidRDefault="00AB24D3" w:rsidP="00AB24D3">
      <w:pPr>
        <w:spacing w:after="120" w:line="360" w:lineRule="auto"/>
        <w:ind w:firstLine="578"/>
        <w:jc w:val="both"/>
        <w:rPr>
          <w:rFonts w:eastAsia="Times New Roman" w:cs="Arial"/>
          <w:bCs/>
          <w:lang w:eastAsia="cs-CZ"/>
        </w:rPr>
      </w:pPr>
      <w:r w:rsidRPr="008E660B">
        <w:rPr>
          <w:rFonts w:eastAsia="Times New Roman" w:cs="Arial"/>
          <w:bCs/>
          <w:lang w:eastAsia="cs-CZ"/>
        </w:rPr>
        <w:t xml:space="preserve">ČR patří mezi země EU, které mají poměrně významný podíl veřejné podpory </w:t>
      </w:r>
      <w:proofErr w:type="spellStart"/>
      <w:r w:rsidRPr="008E660B">
        <w:rPr>
          <w:rFonts w:eastAsia="Times New Roman" w:cs="Arial"/>
          <w:bCs/>
          <w:lang w:eastAsia="cs-CZ"/>
        </w:rPr>
        <w:t>VaVaI</w:t>
      </w:r>
      <w:proofErr w:type="spellEnd"/>
      <w:r w:rsidRPr="008E660B">
        <w:rPr>
          <w:rFonts w:eastAsia="Times New Roman" w:cs="Arial"/>
          <w:bCs/>
          <w:lang w:eastAsia="cs-CZ"/>
        </w:rPr>
        <w:t xml:space="preserve"> </w:t>
      </w:r>
      <w:r w:rsidRPr="008E660B">
        <w:t>ze zahraničí</w:t>
      </w:r>
      <w:r w:rsidRPr="008E660B">
        <w:rPr>
          <w:rFonts w:eastAsia="Times New Roman" w:cs="Arial"/>
          <w:bCs/>
          <w:lang w:eastAsia="cs-CZ"/>
        </w:rPr>
        <w:t xml:space="preserve"> na celkové veřejné podpoře. Pro ČR jsou klíčovými zdroji zejména fondy EU a rámcové programy EU.</w:t>
      </w:r>
    </w:p>
    <w:p w14:paraId="1E209228" w14:textId="2105E56E" w:rsidR="00AB24D3" w:rsidRPr="008E660B" w:rsidRDefault="00AB24D3" w:rsidP="00AB24D3">
      <w:pPr>
        <w:spacing w:after="120" w:line="360" w:lineRule="auto"/>
        <w:ind w:firstLine="578"/>
        <w:jc w:val="both"/>
        <w:rPr>
          <w:rFonts w:eastAsia="Times New Roman" w:cs="Arial"/>
          <w:bCs/>
          <w:lang w:eastAsia="cs-CZ"/>
        </w:rPr>
      </w:pPr>
      <w:r w:rsidRPr="008E660B">
        <w:rPr>
          <w:rFonts w:eastAsia="Times New Roman" w:cs="Arial"/>
          <w:bCs/>
          <w:lang w:eastAsia="cs-CZ"/>
        </w:rPr>
        <w:t xml:space="preserve">Na posílení výzkumných kapacit v programovém období 2014–2020 cílily zejména Operační program Výzkum, vývoj a vzdělávání (OP VVV) a Operační program Podnikání a inovace pro konkurenceschopnost (OP PIK). Navazujícími operačními programy v letech 2021–2027 jsou OP JAK a OP TAK. Předpokládaná alokace na podporu </w:t>
      </w:r>
      <w:proofErr w:type="spellStart"/>
      <w:r w:rsidRPr="008E660B">
        <w:rPr>
          <w:rFonts w:eastAsia="Times New Roman" w:cs="Arial"/>
          <w:bCs/>
          <w:lang w:eastAsia="cs-CZ"/>
        </w:rPr>
        <w:t>VaVaI</w:t>
      </w:r>
      <w:proofErr w:type="spellEnd"/>
      <w:r w:rsidRPr="008E660B">
        <w:rPr>
          <w:rFonts w:eastAsia="Times New Roman" w:cs="Arial"/>
          <w:bCs/>
          <w:lang w:eastAsia="cs-CZ"/>
        </w:rPr>
        <w:t xml:space="preserve"> v rámci OP JAK je 43 mld. Kč a v rámci OP TAK je 31,1 mld. Kč. Čerpání podpory z obou operačních programů bylo zahájeno až v roce 2023.</w:t>
      </w:r>
    </w:p>
    <w:p w14:paraId="5EA02B42" w14:textId="77777777" w:rsidR="007D5A2F" w:rsidRDefault="007D5A2F" w:rsidP="007D5A2F">
      <w:pPr>
        <w:spacing w:after="0" w:line="360" w:lineRule="auto"/>
        <w:jc w:val="both"/>
        <w:rPr>
          <w:rFonts w:eastAsia="Times New Roman" w:cs="Arial"/>
          <w:b/>
          <w:lang w:eastAsia="cs-CZ"/>
        </w:rPr>
      </w:pPr>
      <w:r w:rsidRPr="00104D9E">
        <w:rPr>
          <w:rFonts w:eastAsia="Times New Roman" w:cs="Arial"/>
          <w:b/>
          <w:lang w:eastAsia="cs-CZ"/>
        </w:rPr>
        <w:t>→</w:t>
      </w:r>
      <w:r>
        <w:rPr>
          <w:rFonts w:eastAsia="Times New Roman" w:cs="Arial"/>
          <w:b/>
          <w:lang w:eastAsia="cs-CZ"/>
        </w:rPr>
        <w:t xml:space="preserve"> </w:t>
      </w:r>
      <w:r w:rsidRPr="0043254B">
        <w:rPr>
          <w:rFonts w:eastAsia="Times New Roman" w:cs="Arial"/>
          <w:b/>
          <w:lang w:eastAsia="cs-CZ"/>
        </w:rPr>
        <w:t>Operační program Jan Amos Komenský</w:t>
      </w:r>
      <w:r>
        <w:rPr>
          <w:rFonts w:eastAsia="Times New Roman" w:cs="Arial"/>
          <w:b/>
          <w:lang w:eastAsia="cs-CZ"/>
        </w:rPr>
        <w:t>:</w:t>
      </w:r>
    </w:p>
    <w:p w14:paraId="21EF3B4A" w14:textId="77777777" w:rsidR="00AB24D3" w:rsidRPr="00FC5B48" w:rsidRDefault="00AB24D3" w:rsidP="00AB24D3">
      <w:pPr>
        <w:spacing w:after="120" w:line="360" w:lineRule="auto"/>
        <w:ind w:firstLine="578"/>
        <w:jc w:val="both"/>
        <w:rPr>
          <w:rFonts w:eastAsia="Times New Roman" w:cs="Arial"/>
          <w:bCs/>
          <w:lang w:eastAsia="cs-CZ"/>
        </w:rPr>
      </w:pPr>
      <w:r w:rsidRPr="00FC5B48">
        <w:rPr>
          <w:rFonts w:eastAsia="Times New Roman" w:cs="Arial"/>
          <w:bCs/>
          <w:lang w:eastAsia="cs-CZ"/>
        </w:rPr>
        <w:t xml:space="preserve">OP JAK cílí na podporu rozvoje otevřené a vzdělané společnosti založené na znalostech a dovednostech, rovných příležitostech a rozvíjející potenciál každého jednotlivce s tím, že podpora povede k růstu konkurenceschopnosti ČR a zlepšení životních podmínek jejích obyvatel. Struktura OP JAK reflektuje prioritní témata podporovaná ze strukturálních fondů EU v programovém období 2021–2027. Z celkové alokace 84 mld. Kč je téměř polovina (41 mld. Kč) určena na Prioritu 1 </w:t>
      </w:r>
      <w:r>
        <w:rPr>
          <w:rFonts w:eastAsia="Times New Roman" w:cs="Arial"/>
          <w:bCs/>
          <w:lang w:eastAsia="cs-CZ"/>
        </w:rPr>
        <w:t>–</w:t>
      </w:r>
      <w:r w:rsidRPr="00FC5B48">
        <w:rPr>
          <w:rFonts w:eastAsia="Times New Roman" w:cs="Arial"/>
          <w:bCs/>
          <w:lang w:eastAsia="cs-CZ"/>
        </w:rPr>
        <w:t xml:space="preserve"> Výzkum a vývoj (17 mld. Kč vysoké školství a 26 mld. Kč regionální školství). V roce 2024 </w:t>
      </w:r>
      <w:r>
        <w:rPr>
          <w:rFonts w:eastAsia="Times New Roman" w:cs="Arial"/>
          <w:bCs/>
          <w:lang w:eastAsia="cs-CZ"/>
        </w:rPr>
        <w:t xml:space="preserve">dle údajů IS </w:t>
      </w:r>
      <w:proofErr w:type="spellStart"/>
      <w:r>
        <w:rPr>
          <w:rFonts w:eastAsia="Times New Roman" w:cs="Arial"/>
          <w:bCs/>
          <w:lang w:eastAsia="cs-CZ"/>
        </w:rPr>
        <w:t>VaVaI</w:t>
      </w:r>
      <w:proofErr w:type="spellEnd"/>
      <w:r>
        <w:rPr>
          <w:rFonts w:eastAsia="Times New Roman" w:cs="Arial"/>
          <w:bCs/>
          <w:lang w:eastAsia="cs-CZ"/>
        </w:rPr>
        <w:t xml:space="preserve"> </w:t>
      </w:r>
      <w:r w:rsidRPr="00FC5B48">
        <w:rPr>
          <w:rFonts w:eastAsia="Times New Roman" w:cs="Arial"/>
          <w:bCs/>
          <w:lang w:eastAsia="cs-CZ"/>
        </w:rPr>
        <w:t>byla poskytnuta podpora ve výši 6,2 mld. Kč (z toho 4,6 </w:t>
      </w:r>
      <w:r>
        <w:rPr>
          <w:rFonts w:eastAsia="Times New Roman" w:cs="Arial"/>
          <w:bCs/>
          <w:lang w:eastAsia="cs-CZ"/>
        </w:rPr>
        <w:t xml:space="preserve">OP </w:t>
      </w:r>
      <w:r w:rsidRPr="00FC5B48">
        <w:rPr>
          <w:rFonts w:eastAsia="Times New Roman" w:cs="Arial"/>
          <w:bCs/>
          <w:lang w:eastAsia="cs-CZ"/>
        </w:rPr>
        <w:t>část EU). Nejvyšší podporu čerpaly VŠ (3,4 mld. Kč)</w:t>
      </w:r>
      <w:r>
        <w:rPr>
          <w:rFonts w:eastAsia="Times New Roman" w:cs="Arial"/>
          <w:bCs/>
          <w:lang w:eastAsia="cs-CZ"/>
        </w:rPr>
        <w:t>, následují pak ústavy AV ČR (2,0 mld. Kč), s odstupem pak subjekty PF (0,5 mld. Kč) a SP (0,4 mld. Kč).</w:t>
      </w:r>
    </w:p>
    <w:p w14:paraId="74A9DC53" w14:textId="77777777" w:rsidR="007D5A2F" w:rsidRDefault="007D5A2F" w:rsidP="007D5A2F">
      <w:pPr>
        <w:spacing w:after="0" w:line="360" w:lineRule="auto"/>
        <w:jc w:val="both"/>
        <w:rPr>
          <w:rFonts w:eastAsia="Times New Roman" w:cs="Arial"/>
          <w:b/>
          <w:lang w:eastAsia="cs-CZ"/>
        </w:rPr>
      </w:pPr>
      <w:r w:rsidRPr="00104D9E">
        <w:rPr>
          <w:rFonts w:eastAsia="Times New Roman" w:cs="Arial"/>
          <w:b/>
          <w:lang w:eastAsia="cs-CZ"/>
        </w:rPr>
        <w:t>→</w:t>
      </w:r>
      <w:r>
        <w:rPr>
          <w:rFonts w:eastAsia="Times New Roman" w:cs="Arial"/>
          <w:b/>
          <w:lang w:eastAsia="cs-CZ"/>
        </w:rPr>
        <w:t xml:space="preserve"> </w:t>
      </w:r>
      <w:r w:rsidRPr="0043254B">
        <w:rPr>
          <w:rFonts w:eastAsia="Times New Roman" w:cs="Arial"/>
          <w:b/>
          <w:lang w:eastAsia="cs-CZ"/>
        </w:rPr>
        <w:t xml:space="preserve">Operační program </w:t>
      </w:r>
      <w:r>
        <w:rPr>
          <w:rFonts w:eastAsia="Times New Roman" w:cs="Arial"/>
          <w:b/>
          <w:lang w:eastAsia="cs-CZ"/>
        </w:rPr>
        <w:t>Technologie a aplikace pro konkurenceschopnost:</w:t>
      </w:r>
    </w:p>
    <w:bookmarkEnd w:id="22"/>
    <w:p w14:paraId="7D488E2E" w14:textId="77777777" w:rsidR="00AB24D3" w:rsidRPr="00FC5B48" w:rsidRDefault="00AB24D3" w:rsidP="00AB24D3">
      <w:pPr>
        <w:spacing w:after="120" w:line="360" w:lineRule="auto"/>
        <w:ind w:firstLine="578"/>
        <w:jc w:val="both"/>
        <w:rPr>
          <w:rFonts w:eastAsia="Times New Roman" w:cs="Arial"/>
          <w:bCs/>
          <w:lang w:eastAsia="cs-CZ"/>
        </w:rPr>
      </w:pPr>
      <w:r w:rsidRPr="00FC5B48">
        <w:rPr>
          <w:rFonts w:eastAsia="Times New Roman" w:cs="Arial"/>
          <w:bCs/>
          <w:lang w:eastAsia="cs-CZ"/>
        </w:rPr>
        <w:t xml:space="preserve">OP TAK cílí na zvýšení přidané hodnoty a produktivity malých a středních podniků, podporu rozvoje nových inovativních firem a klíčových dovedností, usnadnění chytrého přechodu k udržitelné a digitální ekonomice. Primární zaměření OP TAK je na podporu malých a středních firem, přesto v některých případech jsou podporovány i velké podniky (např. mimo jiné v oblasti výzkumu a vývoje). Na podporu výzkumu cílí primárně Specifický cíl 1.1 – Rozvoj a posilování výzkumných a inovačních kapacit a zavádění pokročilých technologií (v Prioritě 1 – Posilování výkonnosti podniků v oblasti výzkumu, vývoje a inovací a jejich digitální transformace). V roce </w:t>
      </w:r>
      <w:r w:rsidRPr="00FC5B48">
        <w:rPr>
          <w:rFonts w:eastAsia="Times New Roman" w:cs="Arial"/>
          <w:bCs/>
          <w:lang w:eastAsia="cs-CZ"/>
        </w:rPr>
        <w:lastRenderedPageBreak/>
        <w:t xml:space="preserve">2024 dle údajů IS </w:t>
      </w:r>
      <w:proofErr w:type="spellStart"/>
      <w:r w:rsidRPr="00FC5B48">
        <w:rPr>
          <w:rFonts w:eastAsia="Times New Roman" w:cs="Arial"/>
          <w:bCs/>
          <w:lang w:eastAsia="cs-CZ"/>
        </w:rPr>
        <w:t>VaVaI</w:t>
      </w:r>
      <w:proofErr w:type="spellEnd"/>
      <w:r w:rsidRPr="00FC5B48">
        <w:rPr>
          <w:rFonts w:eastAsia="Times New Roman" w:cs="Arial"/>
          <w:bCs/>
          <w:lang w:eastAsia="cs-CZ"/>
        </w:rPr>
        <w:t xml:space="preserve"> byla poskytnuta podpora ve výši 0,5 mld. Kč (tj. </w:t>
      </w:r>
      <w:r>
        <w:rPr>
          <w:rFonts w:eastAsia="Times New Roman" w:cs="Arial"/>
          <w:bCs/>
          <w:lang w:eastAsia="cs-CZ"/>
        </w:rPr>
        <w:t xml:space="preserve">OP </w:t>
      </w:r>
      <w:r w:rsidRPr="00FC5B48">
        <w:rPr>
          <w:rFonts w:eastAsia="Times New Roman" w:cs="Arial"/>
          <w:bCs/>
          <w:lang w:eastAsia="cs-CZ"/>
        </w:rPr>
        <w:t xml:space="preserve">část EU). Téměř 90 % této podpory čerpaly subjekty </w:t>
      </w:r>
      <w:r>
        <w:rPr>
          <w:rFonts w:eastAsia="Times New Roman" w:cs="Arial"/>
          <w:bCs/>
          <w:lang w:eastAsia="cs-CZ"/>
        </w:rPr>
        <w:t>podnikatelského sektoru</w:t>
      </w:r>
      <w:r w:rsidRPr="00FC5B48">
        <w:rPr>
          <w:rFonts w:eastAsia="Times New Roman" w:cs="Arial"/>
          <w:bCs/>
          <w:lang w:eastAsia="cs-CZ"/>
        </w:rPr>
        <w:t>.</w:t>
      </w:r>
    </w:p>
    <w:p w14:paraId="3F406E3B" w14:textId="77777777" w:rsidR="007D5A2F" w:rsidRPr="00E600F6" w:rsidRDefault="007D5A2F" w:rsidP="007D5A2F">
      <w:pPr>
        <w:spacing w:after="120" w:line="360" w:lineRule="auto"/>
        <w:jc w:val="both"/>
        <w:rPr>
          <w:rFonts w:cs="Arial"/>
          <w:b/>
          <w:bCs/>
        </w:rPr>
      </w:pPr>
      <w:r w:rsidRPr="00E600F6">
        <w:rPr>
          <w:rFonts w:cs="Arial"/>
          <w:b/>
          <w:bCs/>
        </w:rPr>
        <w:t>Oborová struktura přímé podpory</w:t>
      </w:r>
    </w:p>
    <w:p w14:paraId="203696D6" w14:textId="77777777" w:rsidR="00AB24D3" w:rsidRDefault="00AB24D3" w:rsidP="00AB24D3">
      <w:pPr>
        <w:spacing w:after="120" w:line="360" w:lineRule="auto"/>
        <w:ind w:firstLine="578"/>
        <w:jc w:val="both"/>
        <w:rPr>
          <w:rFonts w:eastAsia="Times New Roman" w:cs="Arial"/>
          <w:bCs/>
          <w:lang w:eastAsia="cs-CZ"/>
        </w:rPr>
      </w:pPr>
      <w:r w:rsidRPr="0018310B">
        <w:rPr>
          <w:rFonts w:eastAsia="Times New Roman" w:cs="Arial"/>
          <w:bCs/>
          <w:lang w:eastAsia="cs-CZ"/>
        </w:rPr>
        <w:t>Z oborového hlediska směřuje účelová podpora v ČR především k podpoře přírodních a technických věd. Institucionální podporu nelze v současnosti spolehlivě oborově členit z důvodu chybějících dat o distribuci uvnitř výzkumných organizací (zejména vysokých škol).</w:t>
      </w:r>
    </w:p>
    <w:p w14:paraId="69454204" w14:textId="4C309A7E" w:rsidR="00AB24D3" w:rsidRPr="0018310B" w:rsidRDefault="00AB24D3" w:rsidP="00AB24D3">
      <w:pPr>
        <w:spacing w:after="120" w:line="360" w:lineRule="auto"/>
        <w:ind w:firstLine="578"/>
        <w:jc w:val="both"/>
        <w:rPr>
          <w:rFonts w:eastAsia="Times New Roman" w:cs="Arial"/>
          <w:bCs/>
          <w:lang w:eastAsia="cs-CZ"/>
        </w:rPr>
      </w:pPr>
      <w:r w:rsidRPr="000907FD">
        <w:rPr>
          <w:rFonts w:eastAsia="Times New Roman" w:cs="Arial"/>
          <w:bCs/>
          <w:lang w:eastAsia="cs-CZ"/>
        </w:rPr>
        <w:t xml:space="preserve">Rozdělení přímé podpory ze státního rozpočtu v České republice je determinováno kombinací strategických dokumentů (Národní politika </w:t>
      </w:r>
      <w:proofErr w:type="spellStart"/>
      <w:r w:rsidRPr="000907FD">
        <w:rPr>
          <w:rFonts w:eastAsia="Times New Roman" w:cs="Arial"/>
          <w:bCs/>
          <w:lang w:eastAsia="cs-CZ"/>
        </w:rPr>
        <w:t>VaVaI</w:t>
      </w:r>
      <w:proofErr w:type="spellEnd"/>
      <w:r w:rsidRPr="000907FD">
        <w:rPr>
          <w:rFonts w:eastAsia="Times New Roman" w:cs="Arial"/>
          <w:bCs/>
          <w:lang w:eastAsia="cs-CZ"/>
        </w:rPr>
        <w:t xml:space="preserve">, Inovační strategie ČR 2019–2030, RIS3 2021–2027), resortním zaměřením poskytovatelů (agenturní vs. resortní programy), strukturou </w:t>
      </w:r>
      <w:r w:rsidR="00B53961">
        <w:rPr>
          <w:rFonts w:eastAsia="Times New Roman" w:cs="Arial"/>
          <w:bCs/>
          <w:lang w:eastAsia="cs-CZ"/>
        </w:rPr>
        <w:t>VO</w:t>
      </w:r>
      <w:r w:rsidRPr="000907FD">
        <w:rPr>
          <w:rFonts w:eastAsia="Times New Roman" w:cs="Arial"/>
          <w:bCs/>
          <w:lang w:eastAsia="cs-CZ"/>
        </w:rPr>
        <w:t xml:space="preserve"> a jejich kapacit a konečně i povahou dostupných nástrojů (účelové programy, DK RVO, SVV, velké výzkumné infrastruktury, sdílené činnosti, kofinancování operačních programů). Oborovou strukturu částečně utváří i mechanismy alokace v rámci výzkumných organizací</w:t>
      </w:r>
      <w:r>
        <w:rPr>
          <w:rFonts w:eastAsia="Times New Roman" w:cs="Arial"/>
          <w:bCs/>
          <w:lang w:eastAsia="cs-CZ"/>
        </w:rPr>
        <w:t>.</w:t>
      </w:r>
    </w:p>
    <w:p w14:paraId="6278EBB3" w14:textId="77777777" w:rsidR="00AB24D3" w:rsidRPr="00C76E15" w:rsidRDefault="00AB24D3" w:rsidP="00AB24D3">
      <w:pPr>
        <w:pStyle w:val="Obrzek-nadpis"/>
      </w:pPr>
      <w:r w:rsidRPr="00C76E15">
        <w:t>Graf B.3.6: Rozložení přímé podpory dle skupin oborů a dle zdroje financování (rok 2024)</w:t>
      </w:r>
    </w:p>
    <w:p w14:paraId="53F70F3D" w14:textId="77777777" w:rsidR="00AB24D3" w:rsidRPr="00C76E15" w:rsidRDefault="00AB24D3" w:rsidP="00AB24D3">
      <w:pPr>
        <w:pStyle w:val="Zdrojapoznmka"/>
      </w:pPr>
      <w:r w:rsidRPr="00C76E15">
        <w:rPr>
          <w:noProof/>
        </w:rPr>
        <w:drawing>
          <wp:inline distT="0" distB="0" distL="0" distR="0" wp14:anchorId="39926142" wp14:editId="3FAA0010">
            <wp:extent cx="6120130" cy="4084320"/>
            <wp:effectExtent l="0" t="0" r="0" b="0"/>
            <wp:docPr id="527376003" name="Graf 1">
              <a:extLst xmlns:a="http://schemas.openxmlformats.org/drawingml/2006/main">
                <a:ext uri="{FF2B5EF4-FFF2-40B4-BE49-F238E27FC236}">
                  <a16:creationId xmlns:a16="http://schemas.microsoft.com/office/drawing/2014/main" id="{955BD8D4-DDD3-4816-94A3-EDAB1CAD69E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14:paraId="48106F80" w14:textId="77777777" w:rsidR="00AB24D3" w:rsidRPr="00C76E15" w:rsidRDefault="00AB24D3" w:rsidP="00AB24D3">
      <w:pPr>
        <w:pStyle w:val="Zdrojapoznmka"/>
        <w:spacing w:after="360"/>
        <w:contextualSpacing w:val="0"/>
      </w:pPr>
      <w:r w:rsidRPr="00C76E15">
        <w:t xml:space="preserve">Zdroj: ČSÚ a IS </w:t>
      </w:r>
      <w:proofErr w:type="spellStart"/>
      <w:r w:rsidRPr="00C76E15">
        <w:t>VaVaI</w:t>
      </w:r>
      <w:proofErr w:type="spellEnd"/>
      <w:r w:rsidRPr="00C76E15">
        <w:t>, export dat 30. 10. 2025</w:t>
      </w:r>
      <w:r>
        <w:t xml:space="preserve"> | *) Včetně PROJEKT INOVACÍ</w:t>
      </w:r>
    </w:p>
    <w:p w14:paraId="337963AD" w14:textId="77777777" w:rsidR="00AB24D3" w:rsidRPr="000907FD" w:rsidRDefault="00AB24D3" w:rsidP="00AB24D3">
      <w:pPr>
        <w:spacing w:after="120" w:line="360" w:lineRule="auto"/>
        <w:ind w:firstLine="578"/>
        <w:jc w:val="both"/>
        <w:rPr>
          <w:noProof/>
        </w:rPr>
      </w:pPr>
      <w:r w:rsidRPr="000907FD">
        <w:rPr>
          <w:rFonts w:eastAsia="Times New Roman" w:cs="Arial"/>
          <w:bCs/>
          <w:lang w:eastAsia="cs-CZ"/>
        </w:rPr>
        <w:lastRenderedPageBreak/>
        <w:t>V případě oborového srovnání účelové podpory na tzv. PROJEKTY</w:t>
      </w:r>
      <w:r w:rsidRPr="000907FD">
        <w:rPr>
          <w:rFonts w:eastAsia="Times New Roman" w:cs="Arial"/>
          <w:bCs/>
          <w:vertAlign w:val="superscript"/>
          <w:lang w:eastAsia="cs-CZ"/>
        </w:rPr>
        <w:footnoteReference w:id="5"/>
      </w:r>
      <w:r w:rsidRPr="000907FD">
        <w:rPr>
          <w:rFonts w:eastAsia="Times New Roman" w:cs="Arial"/>
          <w:bCs/>
          <w:lang w:eastAsia="cs-CZ"/>
        </w:rPr>
        <w:t xml:space="preserve"> podle poskytovatele je dle očekávání podporována skupina oborů </w:t>
      </w:r>
      <w:r>
        <w:rPr>
          <w:rFonts w:eastAsia="Times New Roman" w:cs="Arial"/>
          <w:bCs/>
          <w:lang w:eastAsia="cs-CZ"/>
        </w:rPr>
        <w:t>Technické vědy</w:t>
      </w:r>
      <w:r w:rsidRPr="000907FD">
        <w:rPr>
          <w:rFonts w:eastAsia="Times New Roman" w:cs="Arial"/>
          <w:bCs/>
          <w:lang w:eastAsia="cs-CZ"/>
        </w:rPr>
        <w:t xml:space="preserve"> především prostřednictvím programů TA ČR. U tohoto oboru je stejně jako u </w:t>
      </w:r>
      <w:r>
        <w:rPr>
          <w:rFonts w:eastAsia="Times New Roman" w:cs="Arial"/>
          <w:bCs/>
          <w:lang w:eastAsia="cs-CZ"/>
        </w:rPr>
        <w:t>Přírodní vědy</w:t>
      </w:r>
      <w:r w:rsidRPr="000907FD">
        <w:rPr>
          <w:rFonts w:eastAsia="Times New Roman" w:cs="Arial"/>
          <w:bCs/>
          <w:lang w:eastAsia="cs-CZ"/>
        </w:rPr>
        <w:t xml:space="preserve"> dominance jednoho poskytovatele nejvýraznější. V případě skupiny oborů </w:t>
      </w:r>
      <w:r>
        <w:rPr>
          <w:rFonts w:eastAsia="Times New Roman" w:cs="Arial"/>
          <w:bCs/>
          <w:lang w:eastAsia="cs-CZ"/>
        </w:rPr>
        <w:t>Přírodní vědy</w:t>
      </w:r>
      <w:r w:rsidRPr="000907FD">
        <w:rPr>
          <w:rFonts w:eastAsia="Times New Roman" w:cs="Arial"/>
          <w:bCs/>
          <w:lang w:eastAsia="cs-CZ"/>
        </w:rPr>
        <w:t xml:space="preserve"> rozdělila největší objem prostředků GA ČR. Skupina oborů </w:t>
      </w:r>
      <w:r>
        <w:rPr>
          <w:rFonts w:eastAsia="Times New Roman" w:cs="Arial"/>
          <w:bCs/>
          <w:lang w:eastAsia="cs-CZ"/>
        </w:rPr>
        <w:t>Lékařské vědy</w:t>
      </w:r>
      <w:r w:rsidRPr="000907FD">
        <w:rPr>
          <w:rFonts w:eastAsia="Times New Roman" w:cs="Arial"/>
          <w:bCs/>
          <w:lang w:eastAsia="cs-CZ"/>
        </w:rPr>
        <w:t xml:space="preserve"> je nejvíce podporována prostřednictvím </w:t>
      </w:r>
      <w:proofErr w:type="spellStart"/>
      <w:r w:rsidRPr="000907FD">
        <w:rPr>
          <w:rFonts w:eastAsia="Times New Roman" w:cs="Arial"/>
          <w:bCs/>
          <w:lang w:eastAsia="cs-CZ"/>
        </w:rPr>
        <w:t>MZd</w:t>
      </w:r>
      <w:proofErr w:type="spellEnd"/>
      <w:r w:rsidRPr="000907FD">
        <w:rPr>
          <w:rFonts w:eastAsia="Times New Roman" w:cs="Arial"/>
          <w:bCs/>
          <w:lang w:eastAsia="cs-CZ"/>
        </w:rPr>
        <w:t xml:space="preserve"> a MŠMT. V případě společenských věd jsou dvěma největšími poskytovateli podpory TA ČR a GA ČR. Na skupinu </w:t>
      </w:r>
      <w:r>
        <w:rPr>
          <w:rFonts w:eastAsia="Times New Roman" w:cs="Arial"/>
          <w:bCs/>
          <w:lang w:eastAsia="cs-CZ"/>
        </w:rPr>
        <w:t>Zemědělské vědy</w:t>
      </w:r>
      <w:r w:rsidRPr="000907FD">
        <w:rPr>
          <w:rFonts w:eastAsia="Times New Roman" w:cs="Arial"/>
          <w:bCs/>
          <w:lang w:eastAsia="cs-CZ"/>
        </w:rPr>
        <w:t xml:space="preserve"> přispívá nejvíc resortní poskytovatel </w:t>
      </w:r>
      <w:proofErr w:type="spellStart"/>
      <w:r w:rsidRPr="000907FD">
        <w:rPr>
          <w:rFonts w:eastAsia="Times New Roman" w:cs="Arial"/>
          <w:bCs/>
          <w:lang w:eastAsia="cs-CZ"/>
        </w:rPr>
        <w:t>MZe</w:t>
      </w:r>
      <w:proofErr w:type="spellEnd"/>
      <w:r w:rsidRPr="000907FD">
        <w:rPr>
          <w:rFonts w:eastAsia="Times New Roman" w:cs="Arial"/>
          <w:bCs/>
          <w:lang w:eastAsia="cs-CZ"/>
        </w:rPr>
        <w:t xml:space="preserve">. Resortní poskytovatel MK nejvíce podporuje </w:t>
      </w:r>
      <w:r>
        <w:rPr>
          <w:rFonts w:eastAsia="Times New Roman" w:cs="Arial"/>
          <w:bCs/>
          <w:lang w:eastAsia="cs-CZ"/>
        </w:rPr>
        <w:t>Humanitní vědy</w:t>
      </w:r>
      <w:r w:rsidRPr="000907FD">
        <w:rPr>
          <w:rFonts w:eastAsia="Times New Roman" w:cs="Arial"/>
          <w:bCs/>
          <w:lang w:eastAsia="cs-CZ"/>
        </w:rPr>
        <w:t>.</w:t>
      </w:r>
    </w:p>
    <w:p w14:paraId="260847F2" w14:textId="77777777" w:rsidR="00AB24D3" w:rsidRPr="00447D4A" w:rsidRDefault="00AB24D3" w:rsidP="00AB24D3">
      <w:pPr>
        <w:pStyle w:val="Obrzek-nadpis"/>
      </w:pPr>
      <w:r w:rsidRPr="00447D4A">
        <w:t>Graf B.3.7: Účelová podpora na PROJEKTY</w:t>
      </w:r>
      <w:r w:rsidRPr="00447D4A">
        <w:rPr>
          <w:rStyle w:val="Znakapoznpodarou"/>
        </w:rPr>
        <w:footnoteReference w:id="6"/>
      </w:r>
      <w:r w:rsidRPr="00447D4A">
        <w:t xml:space="preserve"> ze SR skupinám oborů v roce 2024 podle poskytovatele (v mld. Kč)</w:t>
      </w:r>
    </w:p>
    <w:p w14:paraId="26BCC9A9" w14:textId="77777777" w:rsidR="00AB24D3" w:rsidRPr="00447D4A" w:rsidRDefault="00AB24D3" w:rsidP="00AB24D3">
      <w:pPr>
        <w:pStyle w:val="Obrzek-nadpis"/>
      </w:pPr>
      <w:r w:rsidRPr="00447D4A">
        <w:rPr>
          <w:noProof/>
        </w:rPr>
        <w:drawing>
          <wp:inline distT="0" distB="0" distL="0" distR="0" wp14:anchorId="60D720C8" wp14:editId="38118B39">
            <wp:extent cx="6120130" cy="2327275"/>
            <wp:effectExtent l="0" t="0" r="0" b="0"/>
            <wp:docPr id="271607880" name="Obrázek 1" descr="Obsah obrázku text, snímek obrazovky&#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607880" name="Obrázek 1" descr="Obsah obrázku text, snímek obrazovky&#10;&#10;Obsah generovaný pomocí AI může být nesprávný."/>
                    <pic:cNvPicPr/>
                  </pic:nvPicPr>
                  <pic:blipFill>
                    <a:blip r:embed="rId60"/>
                    <a:stretch>
                      <a:fillRect/>
                    </a:stretch>
                  </pic:blipFill>
                  <pic:spPr>
                    <a:xfrm>
                      <a:off x="0" y="0"/>
                      <a:ext cx="6120130" cy="2327275"/>
                    </a:xfrm>
                    <a:prstGeom prst="rect">
                      <a:avLst/>
                    </a:prstGeom>
                  </pic:spPr>
                </pic:pic>
              </a:graphicData>
            </a:graphic>
          </wp:inline>
        </w:drawing>
      </w:r>
    </w:p>
    <w:p w14:paraId="33911B75" w14:textId="77777777" w:rsidR="00AB24D3" w:rsidRPr="00447D4A" w:rsidRDefault="00AB24D3" w:rsidP="00AB24D3">
      <w:pPr>
        <w:pStyle w:val="Zdrojapoznmka"/>
        <w:spacing w:after="360"/>
      </w:pPr>
      <w:r w:rsidRPr="00447D4A">
        <w:t xml:space="preserve">Zdroj: IS </w:t>
      </w:r>
      <w:proofErr w:type="spellStart"/>
      <w:r w:rsidRPr="00447D4A">
        <w:t>VaVaI</w:t>
      </w:r>
      <w:proofErr w:type="spellEnd"/>
      <w:r w:rsidRPr="00447D4A">
        <w:t>, export dat 30. 10. 2025</w:t>
      </w:r>
      <w:r w:rsidRPr="00447D4A">
        <w:rPr>
          <w:noProof/>
        </w:rPr>
        <w:t xml:space="preserve"> </w:t>
      </w:r>
    </w:p>
    <w:p w14:paraId="154EEB2F" w14:textId="6824068A" w:rsidR="00AB24D3" w:rsidRDefault="00AB24D3" w:rsidP="00AB24D3">
      <w:pPr>
        <w:spacing w:after="120" w:line="360" w:lineRule="auto"/>
        <w:ind w:firstLine="578"/>
        <w:jc w:val="both"/>
        <w:rPr>
          <w:rFonts w:eastAsia="Times New Roman" w:cs="Arial"/>
          <w:bCs/>
          <w:lang w:eastAsia="cs-CZ"/>
        </w:rPr>
      </w:pPr>
      <w:r w:rsidRPr="00E678ED">
        <w:rPr>
          <w:rFonts w:eastAsia="Times New Roman" w:cs="Arial"/>
          <w:bCs/>
          <w:lang w:eastAsia="cs-CZ"/>
        </w:rPr>
        <w:t xml:space="preserve">Z mezinárodního srovnání přímé veřejné podpory z národních zdrojů vyplývá, že ve všech sledovaných zemích převažují </w:t>
      </w:r>
      <w:r>
        <w:rPr>
          <w:rFonts w:eastAsia="Times New Roman" w:cs="Arial"/>
          <w:bCs/>
          <w:lang w:eastAsia="cs-CZ"/>
        </w:rPr>
        <w:t>P</w:t>
      </w:r>
      <w:r w:rsidRPr="00E678ED">
        <w:rPr>
          <w:rFonts w:eastAsia="Times New Roman" w:cs="Arial"/>
          <w:bCs/>
          <w:lang w:eastAsia="cs-CZ"/>
        </w:rPr>
        <w:t xml:space="preserve">řírodní vědy a </w:t>
      </w:r>
      <w:r>
        <w:rPr>
          <w:rFonts w:eastAsia="Times New Roman" w:cs="Arial"/>
          <w:bCs/>
          <w:lang w:eastAsia="cs-CZ"/>
        </w:rPr>
        <w:t>T</w:t>
      </w:r>
      <w:r w:rsidRPr="00E678ED">
        <w:rPr>
          <w:rFonts w:eastAsia="Times New Roman" w:cs="Arial"/>
          <w:bCs/>
          <w:lang w:eastAsia="cs-CZ"/>
        </w:rPr>
        <w:t>echnické a inženýrské vědy, které ve většině případů tvoří více než polovinu celkových alokací.</w:t>
      </w:r>
      <w:r>
        <w:rPr>
          <w:rFonts w:eastAsia="Times New Roman" w:cs="Arial"/>
          <w:bCs/>
          <w:lang w:eastAsia="cs-CZ"/>
        </w:rPr>
        <w:t xml:space="preserve"> </w:t>
      </w:r>
      <w:r w:rsidRPr="00E678ED">
        <w:rPr>
          <w:rFonts w:eastAsia="Times New Roman" w:cs="Arial"/>
          <w:bCs/>
          <w:lang w:eastAsia="cs-CZ"/>
        </w:rPr>
        <w:t>V České republice však – na rozdíl od řady ostatních států – významně dominuje podpora přírodních věd, což může vést k relativně nižší úrovni financování ostatních oborových skupin.</w:t>
      </w:r>
      <w:r>
        <w:rPr>
          <w:rFonts w:eastAsia="Times New Roman" w:cs="Arial"/>
          <w:bCs/>
          <w:lang w:eastAsia="cs-CZ"/>
        </w:rPr>
        <w:t xml:space="preserve"> </w:t>
      </w:r>
      <w:r w:rsidRPr="00E678ED">
        <w:rPr>
          <w:rFonts w:eastAsia="Times New Roman" w:cs="Arial"/>
          <w:bCs/>
          <w:lang w:eastAsia="cs-CZ"/>
        </w:rPr>
        <w:t>Tento trend se týká zejména lékařských věd a</w:t>
      </w:r>
      <w:r>
        <w:rPr>
          <w:rFonts w:eastAsia="Times New Roman" w:cs="Arial"/>
          <w:bCs/>
          <w:lang w:eastAsia="cs-CZ"/>
        </w:rPr>
        <w:t> </w:t>
      </w:r>
      <w:r w:rsidRPr="00E678ED">
        <w:rPr>
          <w:rFonts w:eastAsia="Times New Roman" w:cs="Arial"/>
          <w:bCs/>
          <w:lang w:eastAsia="cs-CZ"/>
        </w:rPr>
        <w:t>společenských věd, jejichž podíl na celkové veřejné podpoře je v České republice pod průměrem srovnatelných zemí.</w:t>
      </w:r>
      <w:r>
        <w:rPr>
          <w:rFonts w:eastAsia="Times New Roman" w:cs="Arial"/>
          <w:bCs/>
          <w:lang w:eastAsia="cs-CZ"/>
        </w:rPr>
        <w:t xml:space="preserve"> </w:t>
      </w:r>
      <w:r w:rsidRPr="00CF0700">
        <w:rPr>
          <w:rFonts w:eastAsia="Times New Roman" w:cs="Arial"/>
          <w:bCs/>
          <w:lang w:eastAsia="cs-CZ"/>
        </w:rPr>
        <w:t xml:space="preserve">V roce 2024 byl podíl podpory </w:t>
      </w:r>
      <w:r>
        <w:rPr>
          <w:rFonts w:eastAsia="Times New Roman" w:cs="Arial"/>
          <w:bCs/>
          <w:lang w:eastAsia="cs-CZ"/>
        </w:rPr>
        <w:t>L</w:t>
      </w:r>
      <w:r w:rsidRPr="00CF0700">
        <w:rPr>
          <w:rFonts w:eastAsia="Times New Roman" w:cs="Arial"/>
          <w:bCs/>
          <w:lang w:eastAsia="cs-CZ"/>
        </w:rPr>
        <w:t>ékařským vědám přibližně dvakrát nižší než u</w:t>
      </w:r>
      <w:r>
        <w:rPr>
          <w:rFonts w:eastAsia="Times New Roman" w:cs="Arial"/>
          <w:bCs/>
          <w:lang w:eastAsia="cs-CZ"/>
        </w:rPr>
        <w:t> </w:t>
      </w:r>
      <w:r w:rsidRPr="00CF0700">
        <w:rPr>
          <w:rFonts w:eastAsia="Times New Roman" w:cs="Arial"/>
          <w:bCs/>
          <w:lang w:eastAsia="cs-CZ"/>
        </w:rPr>
        <w:t xml:space="preserve">zemí, jako jsou Nizozemsko či Švédsko. Podíl </w:t>
      </w:r>
      <w:r w:rsidRPr="00016C8D">
        <w:rPr>
          <w:rFonts w:eastAsia="Times New Roman" w:cs="Arial"/>
          <w:bCs/>
          <w:lang w:eastAsia="cs-CZ"/>
        </w:rPr>
        <w:t>podpor</w:t>
      </w:r>
      <w:r>
        <w:rPr>
          <w:rFonts w:eastAsia="Times New Roman" w:cs="Arial"/>
          <w:bCs/>
          <w:lang w:eastAsia="cs-CZ"/>
        </w:rPr>
        <w:t>y</w:t>
      </w:r>
      <w:r w:rsidRPr="00016C8D">
        <w:rPr>
          <w:rFonts w:eastAsia="Times New Roman" w:cs="Arial"/>
          <w:bCs/>
          <w:lang w:eastAsia="cs-CZ"/>
        </w:rPr>
        <w:t xml:space="preserve"> společenských věd byl zhruba o polovinu nižší než v zemích s nejvyšší relativní podporou těchto oborů.</w:t>
      </w:r>
    </w:p>
    <w:p w14:paraId="55E4BEC2" w14:textId="4D1ED683" w:rsidR="0019303E" w:rsidRDefault="0019303E" w:rsidP="006209EB">
      <w:pPr>
        <w:pStyle w:val="Nadpis2"/>
        <w:pageBreakBefore/>
        <w:spacing w:before="0" w:after="0" w:line="360" w:lineRule="auto"/>
        <w:ind w:left="578" w:hanging="578"/>
        <w:rPr>
          <w:rFonts w:eastAsia="Times New Roman"/>
        </w:rPr>
      </w:pPr>
      <w:bookmarkStart w:id="24" w:name="_Toc215589301"/>
      <w:r w:rsidRPr="0019303E">
        <w:rPr>
          <w:rFonts w:eastAsia="Times New Roman"/>
        </w:rPr>
        <w:lastRenderedPageBreak/>
        <w:t>Nepřímá veřejná podpora</w:t>
      </w:r>
      <w:r w:rsidR="00426596">
        <w:rPr>
          <w:rFonts w:eastAsia="Times New Roman"/>
        </w:rPr>
        <w:t xml:space="preserve"> </w:t>
      </w:r>
      <w:proofErr w:type="spellStart"/>
      <w:r w:rsidR="00426596">
        <w:rPr>
          <w:rFonts w:eastAsia="Times New Roman"/>
        </w:rPr>
        <w:t>VaV</w:t>
      </w:r>
      <w:bookmarkEnd w:id="24"/>
      <w:proofErr w:type="spellEnd"/>
    </w:p>
    <w:p w14:paraId="32733E62" w14:textId="5CA6EDF9" w:rsidR="001B1753" w:rsidRPr="004747C6" w:rsidRDefault="00D162BC" w:rsidP="00D162BC">
      <w:pPr>
        <w:spacing w:after="120" w:line="360" w:lineRule="auto"/>
        <w:jc w:val="both"/>
        <w:rPr>
          <w:rFonts w:eastAsia="Times New Roman" w:cs="Arial"/>
          <w:bCs/>
          <w:lang w:eastAsia="cs-CZ"/>
        </w:rPr>
      </w:pPr>
      <w:r w:rsidRPr="00D162BC">
        <w:rPr>
          <w:rFonts w:eastAsia="Times New Roman" w:cs="Arial"/>
          <w:bCs/>
          <w:highlight w:val="yellow"/>
          <w:lang w:eastAsia="cs-CZ"/>
        </w:rPr>
        <w:t>Bude dopracováno.</w:t>
      </w:r>
    </w:p>
    <w:p w14:paraId="77E9AABB" w14:textId="3D03EC4E" w:rsidR="00A92D5B" w:rsidRDefault="000B487A" w:rsidP="00C26286">
      <w:pPr>
        <w:pStyle w:val="Nadpis1"/>
        <w:pageBreakBefore/>
      </w:pPr>
      <w:bookmarkStart w:id="25" w:name="_Toc215589302"/>
      <w:r>
        <w:lastRenderedPageBreak/>
        <w:t xml:space="preserve">Lidé ve </w:t>
      </w:r>
      <w:proofErr w:type="spellStart"/>
      <w:r>
        <w:t>VaVaI</w:t>
      </w:r>
      <w:bookmarkEnd w:id="25"/>
      <w:proofErr w:type="spellEnd"/>
    </w:p>
    <w:p w14:paraId="59BD012E" w14:textId="32796AD3" w:rsidR="00C669D5" w:rsidRPr="00987A35" w:rsidRDefault="00C669D5" w:rsidP="00042EB8">
      <w:pPr>
        <w:spacing w:before="360" w:after="120"/>
        <w:ind w:left="992" w:firstLine="567"/>
        <w:jc w:val="both"/>
        <w:rPr>
          <w:rFonts w:cs="Arial"/>
          <w:b/>
          <w:bCs/>
        </w:rPr>
      </w:pPr>
      <w:r w:rsidRPr="00987A35">
        <w:rPr>
          <w:rFonts w:cs="Arial"/>
          <w:b/>
          <w:bCs/>
        </w:rPr>
        <w:t xml:space="preserve">LIDÉ VE </w:t>
      </w:r>
      <w:proofErr w:type="spellStart"/>
      <w:r w:rsidRPr="00987A35">
        <w:rPr>
          <w:rFonts w:cs="Arial"/>
          <w:b/>
          <w:bCs/>
        </w:rPr>
        <w:t>V</w:t>
      </w:r>
      <w:r w:rsidR="00FF6335">
        <w:rPr>
          <w:rFonts w:cs="Arial"/>
          <w:b/>
          <w:bCs/>
        </w:rPr>
        <w:t>a</w:t>
      </w:r>
      <w:r w:rsidRPr="00987A35">
        <w:rPr>
          <w:rFonts w:cs="Arial"/>
          <w:b/>
          <w:bCs/>
        </w:rPr>
        <w:t>V</w:t>
      </w:r>
      <w:r w:rsidR="00FF6335">
        <w:rPr>
          <w:rFonts w:cs="Arial"/>
          <w:b/>
          <w:bCs/>
        </w:rPr>
        <w:t>a</w:t>
      </w:r>
      <w:r w:rsidRPr="00987A35">
        <w:rPr>
          <w:rFonts w:cs="Arial"/>
          <w:b/>
          <w:bCs/>
        </w:rPr>
        <w:t>I</w:t>
      </w:r>
      <w:proofErr w:type="spellEnd"/>
    </w:p>
    <w:p w14:paraId="42E3376A" w14:textId="7703DDF1" w:rsidR="00C669D5" w:rsidRPr="00987A35" w:rsidRDefault="001C6AC9" w:rsidP="00235652">
      <w:pPr>
        <w:pStyle w:val="Odstavecseseznamem"/>
        <w:numPr>
          <w:ilvl w:val="3"/>
          <w:numId w:val="19"/>
        </w:numPr>
        <w:spacing w:after="60" w:line="240" w:lineRule="auto"/>
        <w:ind w:left="2268"/>
        <w:contextualSpacing w:val="0"/>
        <w:jc w:val="both"/>
        <w:rPr>
          <w:rFonts w:cs="Arial"/>
        </w:rPr>
      </w:pPr>
      <w:r w:rsidRPr="00426979">
        <w:rPr>
          <w:rFonts w:cs="Arial"/>
          <w:b/>
          <w:bCs/>
          <w:noProof/>
          <w:color w:val="1F2046"/>
        </w:rPr>
        <w:drawing>
          <wp:anchor distT="0" distB="0" distL="114300" distR="114300" simplePos="0" relativeHeight="251648512" behindDoc="0" locked="0" layoutInCell="1" allowOverlap="1" wp14:anchorId="777EC362" wp14:editId="2471005A">
            <wp:simplePos x="0" y="0"/>
            <wp:positionH relativeFrom="margin">
              <wp:posOffset>161925</wp:posOffset>
            </wp:positionH>
            <wp:positionV relativeFrom="margin">
              <wp:posOffset>803275</wp:posOffset>
            </wp:positionV>
            <wp:extent cx="676275" cy="676275"/>
            <wp:effectExtent l="0" t="0" r="0" b="9525"/>
            <wp:wrapNone/>
            <wp:docPr id="1165103866" name="Grafický objekt 7" descr="Vědecký žena se souvislou výpln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5429331" name="Grafický objekt 1925429331" descr="Vědecký žena se souvislou výplní"/>
                    <pic:cNvPicPr/>
                  </pic:nvPicPr>
                  <pic:blipFill>
                    <a:blip r:embed="rId27">
                      <a:extLst>
                        <a:ext uri="{96DAC541-7B7A-43D3-8B79-37D633B846F1}">
                          <asvg:svgBlip xmlns:asvg="http://schemas.microsoft.com/office/drawing/2016/SVG/main" r:embed="rId28"/>
                        </a:ext>
                      </a:extLst>
                    </a:blip>
                    <a:stretch>
                      <a:fillRect/>
                    </a:stretch>
                  </pic:blipFill>
                  <pic:spPr>
                    <a:xfrm>
                      <a:off x="0" y="0"/>
                      <a:ext cx="676275" cy="676275"/>
                    </a:xfrm>
                    <a:prstGeom prst="rect">
                      <a:avLst/>
                    </a:prstGeom>
                  </pic:spPr>
                </pic:pic>
              </a:graphicData>
            </a:graphic>
          </wp:anchor>
        </w:drawing>
      </w:r>
      <w:r w:rsidR="00C669D5" w:rsidRPr="00987A35">
        <w:rPr>
          <w:rFonts w:cs="Arial"/>
        </w:rPr>
        <w:t>Výzkumní pracovníci</w:t>
      </w:r>
    </w:p>
    <w:p w14:paraId="21D1B5C7" w14:textId="77777777" w:rsidR="00C669D5" w:rsidRPr="00987A35" w:rsidRDefault="00C669D5" w:rsidP="00235652">
      <w:pPr>
        <w:pStyle w:val="Odstavecseseznamem"/>
        <w:numPr>
          <w:ilvl w:val="3"/>
          <w:numId w:val="19"/>
        </w:numPr>
        <w:spacing w:after="60" w:line="240" w:lineRule="auto"/>
        <w:ind w:left="2268"/>
        <w:contextualSpacing w:val="0"/>
        <w:jc w:val="both"/>
        <w:rPr>
          <w:rFonts w:cs="Arial"/>
        </w:rPr>
      </w:pPr>
      <w:r w:rsidRPr="00987A35">
        <w:rPr>
          <w:rFonts w:cs="Arial"/>
        </w:rPr>
        <w:t>Genderové hledisko</w:t>
      </w:r>
    </w:p>
    <w:p w14:paraId="053745B9" w14:textId="13033B16" w:rsidR="00C669D5" w:rsidRPr="00987A35" w:rsidRDefault="00C669D5" w:rsidP="00235652">
      <w:pPr>
        <w:pStyle w:val="Odstavecseseznamem"/>
        <w:numPr>
          <w:ilvl w:val="3"/>
          <w:numId w:val="19"/>
        </w:numPr>
        <w:spacing w:after="60" w:line="240" w:lineRule="auto"/>
        <w:ind w:left="2268"/>
        <w:contextualSpacing w:val="0"/>
        <w:jc w:val="both"/>
        <w:rPr>
          <w:rFonts w:cs="Arial"/>
        </w:rPr>
      </w:pPr>
      <w:r w:rsidRPr="00987A35">
        <w:rPr>
          <w:rFonts w:cs="Arial"/>
        </w:rPr>
        <w:t>Mladí vědci</w:t>
      </w:r>
    </w:p>
    <w:p w14:paraId="347A870D" w14:textId="0FC3514B" w:rsidR="00C669D5" w:rsidRPr="00987A35" w:rsidRDefault="00C669D5" w:rsidP="00F45A9A">
      <w:pPr>
        <w:pStyle w:val="Odstavecseseznamem"/>
        <w:numPr>
          <w:ilvl w:val="3"/>
          <w:numId w:val="19"/>
        </w:numPr>
        <w:spacing w:after="480" w:line="240" w:lineRule="auto"/>
        <w:ind w:left="2268" w:hanging="357"/>
        <w:contextualSpacing w:val="0"/>
        <w:jc w:val="both"/>
        <w:rPr>
          <w:rFonts w:cs="Arial"/>
        </w:rPr>
      </w:pPr>
      <w:r w:rsidRPr="00987A35">
        <w:rPr>
          <w:rFonts w:cs="Arial"/>
        </w:rPr>
        <w:t>Vědci v</w:t>
      </w:r>
      <w:r w:rsidR="00D964A3">
        <w:rPr>
          <w:rFonts w:cs="Arial"/>
        </w:rPr>
        <w:t> </w:t>
      </w:r>
      <w:r w:rsidRPr="00987A35">
        <w:rPr>
          <w:rFonts w:cs="Arial"/>
        </w:rPr>
        <w:t>zahraničí</w:t>
      </w:r>
      <w:r w:rsidR="00D964A3">
        <w:rPr>
          <w:rFonts w:cs="Arial"/>
        </w:rPr>
        <w:t xml:space="preserve"> a zahraniční absolventi v ČR</w:t>
      </w:r>
    </w:p>
    <w:p w14:paraId="5AB7EED8" w14:textId="23E166D1" w:rsidR="000B487A" w:rsidRDefault="000B487A" w:rsidP="009536C2">
      <w:pPr>
        <w:pStyle w:val="Nadpis2"/>
        <w:ind w:left="578" w:hanging="578"/>
        <w:rPr>
          <w:rFonts w:eastAsia="Times New Roman"/>
        </w:rPr>
      </w:pPr>
      <w:bookmarkStart w:id="26" w:name="_Toc215589303"/>
      <w:r>
        <w:rPr>
          <w:rFonts w:eastAsia="Times New Roman"/>
        </w:rPr>
        <w:t>Výzkumní pracovníci</w:t>
      </w:r>
      <w:bookmarkEnd w:id="26"/>
    </w:p>
    <w:p w14:paraId="49D73DE4" w14:textId="5C283BCA" w:rsidR="005768D4" w:rsidRPr="005768D4" w:rsidRDefault="005768D4" w:rsidP="005768D4">
      <w:pPr>
        <w:spacing w:after="120" w:line="360" w:lineRule="auto"/>
        <w:jc w:val="both"/>
        <w:rPr>
          <w:rFonts w:eastAsia="Times New Roman" w:cs="Arial"/>
          <w:bCs/>
          <w:lang w:eastAsia="cs-CZ"/>
        </w:rPr>
      </w:pPr>
      <w:r w:rsidRPr="00D162BC">
        <w:rPr>
          <w:rFonts w:eastAsia="Times New Roman" w:cs="Arial"/>
          <w:bCs/>
          <w:highlight w:val="yellow"/>
          <w:lang w:eastAsia="cs-CZ"/>
        </w:rPr>
        <w:t>Bude dopracováno.</w:t>
      </w:r>
    </w:p>
    <w:p w14:paraId="298103FE" w14:textId="68E758A0" w:rsidR="002303A8" w:rsidRDefault="00A407EA" w:rsidP="00A407EA">
      <w:pPr>
        <w:pStyle w:val="Nadpis2"/>
        <w:pageBreakBefore/>
        <w:ind w:left="578" w:hanging="578"/>
        <w:rPr>
          <w:rFonts w:eastAsia="Times New Roman"/>
        </w:rPr>
      </w:pPr>
      <w:bookmarkStart w:id="27" w:name="_Toc215589304"/>
      <w:r w:rsidRPr="00A407EA">
        <w:rPr>
          <w:rFonts w:eastAsia="Times New Roman"/>
        </w:rPr>
        <w:lastRenderedPageBreak/>
        <w:t>G</w:t>
      </w:r>
      <w:r>
        <w:rPr>
          <w:rFonts w:eastAsia="Times New Roman"/>
        </w:rPr>
        <w:t>enderové hledi</w:t>
      </w:r>
      <w:r w:rsidRPr="00A407EA">
        <w:rPr>
          <w:rFonts w:eastAsia="Times New Roman"/>
        </w:rPr>
        <w:t>sko</w:t>
      </w:r>
      <w:bookmarkEnd w:id="27"/>
    </w:p>
    <w:p w14:paraId="5F72187B" w14:textId="41C21CE1" w:rsidR="00473A44" w:rsidRPr="005768D4" w:rsidRDefault="005768D4" w:rsidP="005768D4">
      <w:pPr>
        <w:spacing w:after="120" w:line="360" w:lineRule="auto"/>
        <w:jc w:val="both"/>
        <w:rPr>
          <w:rFonts w:eastAsia="Times New Roman" w:cs="Arial"/>
          <w:bCs/>
          <w:lang w:eastAsia="cs-CZ"/>
        </w:rPr>
      </w:pPr>
      <w:r w:rsidRPr="00D162BC">
        <w:rPr>
          <w:rFonts w:eastAsia="Times New Roman" w:cs="Arial"/>
          <w:bCs/>
          <w:highlight w:val="yellow"/>
          <w:lang w:eastAsia="cs-CZ"/>
        </w:rPr>
        <w:t>Bude dopracováno.</w:t>
      </w:r>
    </w:p>
    <w:p w14:paraId="77870F75" w14:textId="71991B99" w:rsidR="005768D4" w:rsidRDefault="005768D4" w:rsidP="005768D4">
      <w:pPr>
        <w:spacing w:after="120" w:line="360" w:lineRule="auto"/>
        <w:jc w:val="both"/>
      </w:pPr>
    </w:p>
    <w:p w14:paraId="19C4A735" w14:textId="77777777" w:rsidR="005768D4" w:rsidRDefault="005768D4">
      <w:r>
        <w:br w:type="page"/>
      </w:r>
    </w:p>
    <w:p w14:paraId="1F1F0707" w14:textId="4685A8CA" w:rsidR="000B487A" w:rsidRPr="0019303E" w:rsidRDefault="000B487A" w:rsidP="00E762A0">
      <w:pPr>
        <w:pStyle w:val="Nadpis2"/>
        <w:spacing w:before="0" w:after="0" w:line="360" w:lineRule="auto"/>
        <w:ind w:left="578" w:hanging="578"/>
        <w:rPr>
          <w:rFonts w:eastAsia="Times New Roman"/>
        </w:rPr>
      </w:pPr>
      <w:bookmarkStart w:id="28" w:name="_Toc215589305"/>
      <w:r>
        <w:rPr>
          <w:rFonts w:eastAsia="Times New Roman"/>
        </w:rPr>
        <w:lastRenderedPageBreak/>
        <w:t>Mladí vědci</w:t>
      </w:r>
      <w:bookmarkEnd w:id="28"/>
    </w:p>
    <w:p w14:paraId="28BA2532" w14:textId="3E543944" w:rsidR="00EB2EA7" w:rsidRPr="005768D4" w:rsidRDefault="005768D4" w:rsidP="005768D4">
      <w:pPr>
        <w:spacing w:after="120" w:line="360" w:lineRule="auto"/>
        <w:jc w:val="both"/>
        <w:rPr>
          <w:rFonts w:eastAsia="Times New Roman" w:cs="Arial"/>
          <w:bCs/>
          <w:lang w:eastAsia="cs-CZ"/>
        </w:rPr>
      </w:pPr>
      <w:r w:rsidRPr="00D162BC">
        <w:rPr>
          <w:rFonts w:eastAsia="Times New Roman" w:cs="Arial"/>
          <w:bCs/>
          <w:highlight w:val="yellow"/>
          <w:lang w:eastAsia="cs-CZ"/>
        </w:rPr>
        <w:t>Bude dopracováno.</w:t>
      </w:r>
    </w:p>
    <w:p w14:paraId="67A74863" w14:textId="77777777" w:rsidR="00EB2EA7" w:rsidRDefault="00EB2EA7">
      <w:pPr>
        <w:rPr>
          <w:rFonts w:eastAsia="Times New Roman" w:cs="Arial"/>
          <w:bCs/>
          <w:lang w:eastAsia="cs-CZ"/>
        </w:rPr>
      </w:pPr>
      <w:r>
        <w:rPr>
          <w:rFonts w:eastAsia="Times New Roman" w:cs="Arial"/>
          <w:bCs/>
          <w:lang w:eastAsia="cs-CZ"/>
        </w:rPr>
        <w:br w:type="page"/>
      </w:r>
    </w:p>
    <w:p w14:paraId="22B5FDF3" w14:textId="4EDABE07" w:rsidR="000B487A" w:rsidRDefault="007B278D" w:rsidP="009536C2">
      <w:pPr>
        <w:pStyle w:val="Nadpis2"/>
        <w:ind w:left="578" w:hanging="578"/>
        <w:rPr>
          <w:rFonts w:eastAsia="Times New Roman"/>
        </w:rPr>
      </w:pPr>
      <w:bookmarkStart w:id="29" w:name="_Toc215589306"/>
      <w:r>
        <w:rPr>
          <w:rFonts w:eastAsia="Times New Roman"/>
        </w:rPr>
        <w:lastRenderedPageBreak/>
        <w:t>V</w:t>
      </w:r>
      <w:r w:rsidR="00A53562">
        <w:rPr>
          <w:rFonts w:eastAsia="Times New Roman"/>
        </w:rPr>
        <w:t>ědci</w:t>
      </w:r>
      <w:r>
        <w:rPr>
          <w:rFonts w:eastAsia="Times New Roman"/>
        </w:rPr>
        <w:t xml:space="preserve"> v</w:t>
      </w:r>
      <w:r w:rsidR="00D964A3">
        <w:rPr>
          <w:rFonts w:eastAsia="Times New Roman"/>
        </w:rPr>
        <w:t> </w:t>
      </w:r>
      <w:r>
        <w:rPr>
          <w:rFonts w:eastAsia="Times New Roman"/>
        </w:rPr>
        <w:t>zahraničí</w:t>
      </w:r>
      <w:r w:rsidR="00D964A3">
        <w:rPr>
          <w:rFonts w:eastAsia="Times New Roman"/>
        </w:rPr>
        <w:t xml:space="preserve"> a zahraniční absolventi v ČR</w:t>
      </w:r>
      <w:bookmarkEnd w:id="29"/>
    </w:p>
    <w:p w14:paraId="30533798" w14:textId="238A80A7" w:rsidR="00534E19" w:rsidRPr="00A545A3" w:rsidRDefault="00A545A3" w:rsidP="00A545A3">
      <w:pPr>
        <w:spacing w:after="120" w:line="360" w:lineRule="auto"/>
        <w:jc w:val="both"/>
        <w:rPr>
          <w:rFonts w:eastAsia="Times New Roman" w:cs="Arial"/>
          <w:bCs/>
          <w:lang w:eastAsia="cs-CZ"/>
        </w:rPr>
      </w:pPr>
      <w:r w:rsidRPr="00D162BC">
        <w:rPr>
          <w:rFonts w:eastAsia="Times New Roman" w:cs="Arial"/>
          <w:bCs/>
          <w:highlight w:val="yellow"/>
          <w:lang w:eastAsia="cs-CZ"/>
        </w:rPr>
        <w:t>Bude dopracováno.</w:t>
      </w:r>
    </w:p>
    <w:p w14:paraId="6F35293F" w14:textId="77777777" w:rsidR="0069039F" w:rsidRPr="00DA6EFA" w:rsidRDefault="0069039F" w:rsidP="008C6BAC">
      <w:pPr>
        <w:spacing w:after="0" w:line="360" w:lineRule="auto"/>
      </w:pPr>
    </w:p>
    <w:p w14:paraId="2EF703D6" w14:textId="2D332775" w:rsidR="006338C7" w:rsidRDefault="000B487A" w:rsidP="000B487A">
      <w:pPr>
        <w:pStyle w:val="Nadpis1"/>
        <w:pageBreakBefore/>
      </w:pPr>
      <w:bookmarkStart w:id="30" w:name="_Toc215589307"/>
      <w:r>
        <w:lastRenderedPageBreak/>
        <w:t>Výzkumné organizace</w:t>
      </w:r>
      <w:r w:rsidR="00237927">
        <w:t xml:space="preserve"> a velké výzkumné infrastruktury</w:t>
      </w:r>
      <w:bookmarkEnd w:id="30"/>
    </w:p>
    <w:p w14:paraId="6130622D" w14:textId="1FCE5871" w:rsidR="00C669D5" w:rsidRPr="00987A35" w:rsidRDefault="001C6AC9" w:rsidP="00320D83">
      <w:pPr>
        <w:spacing w:before="360" w:after="120"/>
        <w:ind w:firstLine="1559"/>
        <w:jc w:val="both"/>
        <w:rPr>
          <w:rFonts w:cs="Arial"/>
          <w:b/>
          <w:bCs/>
        </w:rPr>
      </w:pPr>
      <w:r w:rsidRPr="00426979">
        <w:rPr>
          <w:rFonts w:cs="Arial"/>
          <w:b/>
          <w:bCs/>
          <w:noProof/>
          <w:color w:val="1F2046"/>
        </w:rPr>
        <w:drawing>
          <wp:anchor distT="0" distB="0" distL="114300" distR="114300" simplePos="0" relativeHeight="251708928" behindDoc="0" locked="0" layoutInCell="1" allowOverlap="1" wp14:anchorId="4A23AC36" wp14:editId="77442E92">
            <wp:simplePos x="0" y="0"/>
            <wp:positionH relativeFrom="margin">
              <wp:posOffset>200025</wp:posOffset>
            </wp:positionH>
            <wp:positionV relativeFrom="margin">
              <wp:posOffset>546100</wp:posOffset>
            </wp:positionV>
            <wp:extent cx="619125" cy="619125"/>
            <wp:effectExtent l="0" t="0" r="0" b="0"/>
            <wp:wrapNone/>
            <wp:docPr id="1184441686" name="Grafický objekt 11" descr="Kód QR se souvislou výpln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118952" name="Grafický objekt 62118952" descr="Kód QR se souvislou výplní"/>
                    <pic:cNvPicPr/>
                  </pic:nvPicPr>
                  <pic:blipFill>
                    <a:blip r:embed="rId29">
                      <a:extLst>
                        <a:ext uri="{96DAC541-7B7A-43D3-8B79-37D633B846F1}">
                          <asvg:svgBlip xmlns:asvg="http://schemas.microsoft.com/office/drawing/2016/SVG/main" r:embed="rId30"/>
                        </a:ext>
                      </a:extLst>
                    </a:blip>
                    <a:stretch>
                      <a:fillRect/>
                    </a:stretch>
                  </pic:blipFill>
                  <pic:spPr>
                    <a:xfrm>
                      <a:off x="0" y="0"/>
                      <a:ext cx="619125" cy="619125"/>
                    </a:xfrm>
                    <a:prstGeom prst="rect">
                      <a:avLst/>
                    </a:prstGeom>
                  </pic:spPr>
                </pic:pic>
              </a:graphicData>
            </a:graphic>
            <wp14:sizeRelH relativeFrom="margin">
              <wp14:pctWidth>0</wp14:pctWidth>
            </wp14:sizeRelH>
            <wp14:sizeRelV relativeFrom="margin">
              <wp14:pctHeight>0</wp14:pctHeight>
            </wp14:sizeRelV>
          </wp:anchor>
        </w:drawing>
      </w:r>
      <w:r w:rsidR="00C669D5" w:rsidRPr="00987A35">
        <w:rPr>
          <w:rFonts w:cs="Arial"/>
          <w:b/>
          <w:bCs/>
        </w:rPr>
        <w:t>VÝZKUMNÉ ORGANIZACE, ZAŘÍZENÍ A INFRASTRUKTURA</w:t>
      </w:r>
    </w:p>
    <w:p w14:paraId="18333736" w14:textId="77777777" w:rsidR="00C669D5" w:rsidRDefault="00C669D5" w:rsidP="00235652">
      <w:pPr>
        <w:pStyle w:val="Odstavecseseznamem"/>
        <w:numPr>
          <w:ilvl w:val="3"/>
          <w:numId w:val="19"/>
        </w:numPr>
        <w:spacing w:after="60" w:line="240" w:lineRule="auto"/>
        <w:ind w:left="2268"/>
        <w:contextualSpacing w:val="0"/>
        <w:jc w:val="both"/>
        <w:rPr>
          <w:rFonts w:cs="Arial"/>
        </w:rPr>
      </w:pPr>
      <w:r w:rsidRPr="00987A35">
        <w:rPr>
          <w:rFonts w:cs="Arial"/>
        </w:rPr>
        <w:t>Výzkumné organizace v</w:t>
      </w:r>
      <w:r>
        <w:rPr>
          <w:rFonts w:cs="Arial"/>
        </w:rPr>
        <w:t> </w:t>
      </w:r>
      <w:r w:rsidRPr="00987A35">
        <w:rPr>
          <w:rFonts w:cs="Arial"/>
        </w:rPr>
        <w:t>ČR</w:t>
      </w:r>
    </w:p>
    <w:p w14:paraId="7FD9C471" w14:textId="6AF1BB12" w:rsidR="00C669D5" w:rsidRPr="00987A35" w:rsidRDefault="00C669D5" w:rsidP="00C9387D">
      <w:pPr>
        <w:pStyle w:val="Odstavecseseznamem"/>
        <w:numPr>
          <w:ilvl w:val="3"/>
          <w:numId w:val="19"/>
        </w:numPr>
        <w:spacing w:after="480" w:line="240" w:lineRule="auto"/>
        <w:ind w:left="2268" w:hanging="357"/>
        <w:contextualSpacing w:val="0"/>
        <w:jc w:val="both"/>
        <w:rPr>
          <w:rFonts w:cs="Arial"/>
        </w:rPr>
      </w:pPr>
      <w:r w:rsidRPr="00987A35">
        <w:rPr>
          <w:rFonts w:cs="Arial"/>
        </w:rPr>
        <w:t>V</w:t>
      </w:r>
      <w:r w:rsidR="001C6AC9">
        <w:rPr>
          <w:rFonts w:cs="Arial"/>
        </w:rPr>
        <w:t>elké v</w:t>
      </w:r>
      <w:r w:rsidRPr="00987A35">
        <w:rPr>
          <w:rFonts w:cs="Arial"/>
        </w:rPr>
        <w:t>ýzkumné infrastruktury</w:t>
      </w:r>
    </w:p>
    <w:p w14:paraId="46A5892E" w14:textId="48A870D0" w:rsidR="00B37B27" w:rsidRPr="0019303E" w:rsidRDefault="00B37B27" w:rsidP="009536C2">
      <w:pPr>
        <w:pStyle w:val="Nadpis2"/>
        <w:ind w:left="578" w:hanging="578"/>
        <w:rPr>
          <w:rFonts w:eastAsia="Times New Roman"/>
        </w:rPr>
      </w:pPr>
      <w:bookmarkStart w:id="31" w:name="_Toc215589308"/>
      <w:r w:rsidRPr="00B37B27">
        <w:rPr>
          <w:rFonts w:eastAsia="Times New Roman"/>
        </w:rPr>
        <w:t>Výzkumné organizace v</w:t>
      </w:r>
      <w:r w:rsidR="00712F59">
        <w:rPr>
          <w:rFonts w:eastAsia="Times New Roman"/>
        </w:rPr>
        <w:t> </w:t>
      </w:r>
      <w:r w:rsidRPr="00B37B27">
        <w:rPr>
          <w:rFonts w:eastAsia="Times New Roman"/>
        </w:rPr>
        <w:t>ČR</w:t>
      </w:r>
      <w:bookmarkEnd w:id="31"/>
      <w:r w:rsidR="00712F59">
        <w:rPr>
          <w:rFonts w:eastAsia="Times New Roman"/>
        </w:rPr>
        <w:t xml:space="preserve"> </w:t>
      </w:r>
    </w:p>
    <w:p w14:paraId="156E3490" w14:textId="4359348F" w:rsidR="005374B0" w:rsidRDefault="005374B0" w:rsidP="00B16BF0">
      <w:pPr>
        <w:spacing w:after="120" w:line="360" w:lineRule="auto"/>
        <w:ind w:firstLine="709"/>
        <w:jc w:val="both"/>
        <w:rPr>
          <w:rFonts w:eastAsia="Times New Roman" w:cs="Arial"/>
          <w:bCs/>
          <w:lang w:eastAsia="cs-CZ"/>
        </w:rPr>
      </w:pPr>
      <w:r w:rsidRPr="00CC3F18">
        <w:rPr>
          <w:rFonts w:eastAsia="Times New Roman" w:cs="Arial"/>
          <w:bCs/>
          <w:lang w:eastAsia="cs-CZ"/>
        </w:rPr>
        <w:t xml:space="preserve">Dle </w:t>
      </w:r>
      <w:r>
        <w:rPr>
          <w:rFonts w:eastAsia="Times New Roman" w:cs="Arial"/>
          <w:bCs/>
          <w:lang w:eastAsia="cs-CZ"/>
        </w:rPr>
        <w:t xml:space="preserve">údajů </w:t>
      </w:r>
      <w:r w:rsidRPr="00CC3F18">
        <w:rPr>
          <w:rFonts w:eastAsia="Times New Roman" w:cs="Arial"/>
          <w:bCs/>
          <w:lang w:eastAsia="cs-CZ"/>
        </w:rPr>
        <w:t>ČSÚ (202</w:t>
      </w:r>
      <w:r>
        <w:rPr>
          <w:rFonts w:eastAsia="Times New Roman" w:cs="Arial"/>
          <w:bCs/>
          <w:lang w:eastAsia="cs-CZ"/>
        </w:rPr>
        <w:t>5</w:t>
      </w:r>
      <w:r w:rsidRPr="00CC3F18">
        <w:rPr>
          <w:rFonts w:eastAsia="Times New Roman" w:cs="Arial"/>
          <w:bCs/>
          <w:lang w:eastAsia="cs-CZ"/>
        </w:rPr>
        <w:t>) prováděl</w:t>
      </w:r>
      <w:r>
        <w:rPr>
          <w:rFonts w:eastAsia="Times New Roman" w:cs="Arial"/>
          <w:bCs/>
          <w:lang w:eastAsia="cs-CZ"/>
        </w:rPr>
        <w:t>o</w:t>
      </w:r>
      <w:r w:rsidRPr="00CC3F18">
        <w:rPr>
          <w:rFonts w:eastAsia="Times New Roman" w:cs="Arial"/>
          <w:bCs/>
          <w:lang w:eastAsia="cs-CZ"/>
        </w:rPr>
        <w:t xml:space="preserve"> </w:t>
      </w:r>
      <w:r>
        <w:rPr>
          <w:rFonts w:eastAsia="Times New Roman" w:cs="Arial"/>
          <w:bCs/>
          <w:lang w:eastAsia="cs-CZ"/>
        </w:rPr>
        <w:t>výzkumnou a vývojovou</w:t>
      </w:r>
      <w:r w:rsidRPr="00CC3F18">
        <w:rPr>
          <w:rFonts w:eastAsia="Times New Roman" w:cs="Arial"/>
          <w:bCs/>
          <w:lang w:eastAsia="cs-CZ"/>
        </w:rPr>
        <w:t xml:space="preserve"> činnost </w:t>
      </w:r>
      <w:r>
        <w:rPr>
          <w:rFonts w:eastAsia="Times New Roman" w:cs="Arial"/>
          <w:bCs/>
          <w:lang w:eastAsia="cs-CZ"/>
        </w:rPr>
        <w:t xml:space="preserve">v roce 2024 </w:t>
      </w:r>
      <w:r w:rsidRPr="00CC3F18">
        <w:rPr>
          <w:rFonts w:eastAsia="Times New Roman" w:cs="Arial"/>
          <w:bCs/>
          <w:lang w:eastAsia="cs-CZ"/>
        </w:rPr>
        <w:t xml:space="preserve">celkem </w:t>
      </w:r>
      <w:r>
        <w:rPr>
          <w:rFonts w:eastAsia="Times New Roman" w:cs="Arial"/>
          <w:bCs/>
          <w:lang w:eastAsia="cs-CZ"/>
        </w:rPr>
        <w:br/>
      </w:r>
      <w:r w:rsidRPr="00EA4162">
        <w:rPr>
          <w:rFonts w:eastAsia="Times New Roman" w:cs="Arial"/>
          <w:bCs/>
          <w:lang w:eastAsia="cs-CZ"/>
        </w:rPr>
        <w:t xml:space="preserve">3 </w:t>
      </w:r>
      <w:r>
        <w:rPr>
          <w:rFonts w:eastAsia="Times New Roman" w:cs="Arial"/>
          <w:bCs/>
          <w:lang w:eastAsia="cs-CZ"/>
        </w:rPr>
        <w:t>157 </w:t>
      </w:r>
      <w:r w:rsidRPr="00CC3F18">
        <w:rPr>
          <w:rFonts w:eastAsia="Times New Roman" w:cs="Arial"/>
          <w:bCs/>
          <w:lang w:eastAsia="cs-CZ"/>
        </w:rPr>
        <w:t>subjektů</w:t>
      </w:r>
      <w:r>
        <w:rPr>
          <w:rFonts w:eastAsia="Times New Roman" w:cs="Arial"/>
          <w:bCs/>
          <w:lang w:eastAsia="cs-CZ"/>
        </w:rPr>
        <w:t xml:space="preserve">. V rámci dotazníkového šetření ČSÚ je dále sledován počet tzv. pracovišť </w:t>
      </w:r>
      <w:proofErr w:type="spellStart"/>
      <w:r>
        <w:rPr>
          <w:rFonts w:eastAsia="Times New Roman" w:cs="Arial"/>
          <w:bCs/>
          <w:lang w:eastAsia="cs-CZ"/>
        </w:rPr>
        <w:t>VaV</w:t>
      </w:r>
      <w:proofErr w:type="spellEnd"/>
      <w:r>
        <w:rPr>
          <w:rFonts w:eastAsia="Times New Roman" w:cs="Arial"/>
          <w:bCs/>
          <w:lang w:eastAsia="cs-CZ"/>
        </w:rPr>
        <w:t>, zde</w:t>
      </w:r>
      <w:r w:rsidR="004E355B">
        <w:rPr>
          <w:rFonts w:eastAsia="Times New Roman" w:cs="Arial"/>
          <w:bCs/>
          <w:lang w:eastAsia="cs-CZ"/>
        </w:rPr>
        <w:t> </w:t>
      </w:r>
      <w:r>
        <w:rPr>
          <w:rFonts w:eastAsia="Times New Roman" w:cs="Arial"/>
          <w:bCs/>
          <w:lang w:eastAsia="cs-CZ"/>
        </w:rPr>
        <w:t xml:space="preserve">je počet nepatrně o 225 vyšší, a to konkrétně </w:t>
      </w:r>
      <w:r w:rsidRPr="00EA4162">
        <w:rPr>
          <w:rFonts w:eastAsia="Times New Roman" w:cs="Arial"/>
          <w:bCs/>
          <w:lang w:eastAsia="cs-CZ"/>
        </w:rPr>
        <w:t>3 </w:t>
      </w:r>
      <w:r>
        <w:rPr>
          <w:rFonts w:eastAsia="Times New Roman" w:cs="Arial"/>
          <w:bCs/>
          <w:lang w:eastAsia="cs-CZ"/>
        </w:rPr>
        <w:t xml:space="preserve">382. V případě vládního a vysokoškolského sektoru je typické, že jednotlivé ekonomické subjekty mají více pracovišť. Tento rozpad je nejvíce patrný v případě veřejných a státních vysokých škol, v systému je celkem </w:t>
      </w:r>
      <w:r w:rsidRPr="00EA4162">
        <w:rPr>
          <w:rFonts w:eastAsia="Times New Roman" w:cs="Arial"/>
          <w:bCs/>
          <w:lang w:eastAsia="cs-CZ"/>
        </w:rPr>
        <w:t>28 subjektů a 186</w:t>
      </w:r>
      <w:r w:rsidR="001B6E06">
        <w:rPr>
          <w:rFonts w:eastAsia="Times New Roman" w:cs="Arial"/>
          <w:bCs/>
          <w:lang w:eastAsia="cs-CZ"/>
        </w:rPr>
        <w:t> </w:t>
      </w:r>
      <w:r>
        <w:rPr>
          <w:rFonts w:eastAsia="Times New Roman" w:cs="Arial"/>
          <w:bCs/>
          <w:lang w:eastAsia="cs-CZ"/>
        </w:rPr>
        <w:t>pracovišť.</w:t>
      </w:r>
    </w:p>
    <w:p w14:paraId="5C3851C5" w14:textId="77777777" w:rsidR="005374B0" w:rsidRPr="00377F64" w:rsidRDefault="005374B0" w:rsidP="005374B0">
      <w:pPr>
        <w:pStyle w:val="Obrzek-nadpis"/>
        <w:spacing w:after="0"/>
      </w:pPr>
      <w:r w:rsidRPr="00734F7C">
        <w:t>Graf D.1.1:</w:t>
      </w:r>
      <w:r w:rsidRPr="00377F64">
        <w:t xml:space="preserve"> </w:t>
      </w:r>
      <w:r>
        <w:t>Počet pracovišť dle sektoru provádění a průměrný podíl na celkových výdajích</w:t>
      </w:r>
    </w:p>
    <w:p w14:paraId="77A5DEE9" w14:textId="77777777" w:rsidR="005374B0" w:rsidRDefault="005374B0" w:rsidP="005374B0">
      <w:pPr>
        <w:pStyle w:val="Zdrojapoznmka"/>
        <w:jc w:val="center"/>
      </w:pPr>
      <w:r>
        <w:rPr>
          <w:noProof/>
          <w14:ligatures w14:val="standardContextual"/>
        </w:rPr>
        <w:drawing>
          <wp:inline distT="0" distB="0" distL="0" distR="0" wp14:anchorId="1E72FD9A" wp14:editId="3C77BB96">
            <wp:extent cx="5760720" cy="2851785"/>
            <wp:effectExtent l="0" t="0" r="0" b="5715"/>
            <wp:docPr id="2105461497" name="Obrázek 1" descr="Obsah obrázku text, snímek obrazovky, diagram, Paralelní&#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5461497" name="Obrázek 1" descr="Obsah obrázku text, snímek obrazovky, diagram, Paralelní&#10;&#10;Obsah generovaný pomocí AI může být nesprávný."/>
                    <pic:cNvPicPr/>
                  </pic:nvPicPr>
                  <pic:blipFill>
                    <a:blip r:embed="rId61"/>
                    <a:stretch>
                      <a:fillRect/>
                    </a:stretch>
                  </pic:blipFill>
                  <pic:spPr>
                    <a:xfrm>
                      <a:off x="0" y="0"/>
                      <a:ext cx="5760720" cy="2851785"/>
                    </a:xfrm>
                    <a:prstGeom prst="rect">
                      <a:avLst/>
                    </a:prstGeom>
                  </pic:spPr>
                </pic:pic>
              </a:graphicData>
            </a:graphic>
          </wp:inline>
        </w:drawing>
      </w:r>
    </w:p>
    <w:p w14:paraId="31658383" w14:textId="77777777" w:rsidR="005374B0" w:rsidRPr="00216D0C" w:rsidRDefault="005374B0" w:rsidP="001C6AC9">
      <w:pPr>
        <w:pStyle w:val="Zdrojapoznmka"/>
      </w:pPr>
      <w:r w:rsidRPr="00377F64">
        <w:t xml:space="preserve">Zdroj dat: </w:t>
      </w:r>
      <w:r>
        <w:t>ČSÚ, 2025</w:t>
      </w:r>
    </w:p>
    <w:p w14:paraId="79AAF6DF" w14:textId="77777777" w:rsidR="005374B0" w:rsidRDefault="005374B0" w:rsidP="005374B0">
      <w:pPr>
        <w:spacing w:after="120" w:line="360" w:lineRule="auto"/>
        <w:jc w:val="both"/>
        <w:rPr>
          <w:rFonts w:eastAsia="Times New Roman" w:cs="Arial"/>
          <w:bCs/>
          <w:lang w:eastAsia="cs-CZ"/>
        </w:rPr>
      </w:pPr>
      <w:r>
        <w:rPr>
          <w:rFonts w:eastAsia="Times New Roman" w:cs="Arial"/>
          <w:bCs/>
          <w:lang w:eastAsia="cs-CZ"/>
        </w:rPr>
        <w:t>V</w:t>
      </w:r>
      <w:r w:rsidRPr="00CC3F18">
        <w:rPr>
          <w:rFonts w:eastAsia="Times New Roman" w:cs="Arial"/>
          <w:bCs/>
          <w:lang w:eastAsia="cs-CZ"/>
        </w:rPr>
        <w:t>ětšin</w:t>
      </w:r>
      <w:r>
        <w:rPr>
          <w:rFonts w:eastAsia="Times New Roman" w:cs="Arial"/>
          <w:bCs/>
          <w:lang w:eastAsia="cs-CZ"/>
        </w:rPr>
        <w:t>u</w:t>
      </w:r>
      <w:r w:rsidRPr="00CC3F18">
        <w:rPr>
          <w:rFonts w:eastAsia="Times New Roman" w:cs="Arial"/>
          <w:bCs/>
          <w:lang w:eastAsia="cs-CZ"/>
        </w:rPr>
        <w:t xml:space="preserve"> </w:t>
      </w:r>
      <w:r>
        <w:rPr>
          <w:rFonts w:eastAsia="Times New Roman" w:cs="Arial"/>
          <w:bCs/>
          <w:lang w:eastAsia="cs-CZ"/>
        </w:rPr>
        <w:t>subjektů tvořily</w:t>
      </w:r>
      <w:r w:rsidRPr="00CC3F18">
        <w:rPr>
          <w:rFonts w:eastAsia="Times New Roman" w:cs="Arial"/>
          <w:bCs/>
          <w:lang w:eastAsia="cs-CZ"/>
        </w:rPr>
        <w:t xml:space="preserve"> podniky</w:t>
      </w:r>
      <w:r>
        <w:rPr>
          <w:rFonts w:eastAsia="Times New Roman" w:cs="Arial"/>
          <w:bCs/>
          <w:lang w:eastAsia="cs-CZ"/>
        </w:rPr>
        <w:t xml:space="preserve"> </w:t>
      </w:r>
      <w:r w:rsidRPr="00CC3F18">
        <w:rPr>
          <w:rFonts w:eastAsia="Times New Roman" w:cs="Arial"/>
          <w:bCs/>
          <w:lang w:eastAsia="cs-CZ"/>
        </w:rPr>
        <w:t xml:space="preserve">(tj. </w:t>
      </w:r>
      <w:r>
        <w:rPr>
          <w:rFonts w:eastAsia="Times New Roman" w:cs="Arial"/>
          <w:bCs/>
          <w:lang w:eastAsia="cs-CZ"/>
        </w:rPr>
        <w:t>90</w:t>
      </w:r>
      <w:r w:rsidRPr="00CC3F18">
        <w:rPr>
          <w:rFonts w:eastAsia="Times New Roman" w:cs="Arial"/>
          <w:bCs/>
          <w:lang w:eastAsia="cs-CZ"/>
        </w:rPr>
        <w:t xml:space="preserve"> %).</w:t>
      </w:r>
      <w:r>
        <w:rPr>
          <w:rFonts w:eastAsia="Times New Roman" w:cs="Arial"/>
          <w:bCs/>
          <w:lang w:eastAsia="cs-CZ"/>
        </w:rPr>
        <w:t xml:space="preserve"> Počet podnikatelských subjektů je přibližný s počtem pracovišť </w:t>
      </w:r>
      <w:proofErr w:type="spellStart"/>
      <w:r>
        <w:rPr>
          <w:rFonts w:eastAsia="Times New Roman" w:cs="Arial"/>
          <w:bCs/>
          <w:lang w:eastAsia="cs-CZ"/>
        </w:rPr>
        <w:t>VaV</w:t>
      </w:r>
      <w:proofErr w:type="spellEnd"/>
      <w:r>
        <w:rPr>
          <w:rFonts w:eastAsia="Times New Roman" w:cs="Arial"/>
          <w:bCs/>
          <w:lang w:eastAsia="cs-CZ"/>
        </w:rPr>
        <w:t>. Největší počet dlouhodobě tvoří soukromé domácí podniky (</w:t>
      </w:r>
      <w:r w:rsidRPr="00CC1A92">
        <w:rPr>
          <w:rFonts w:eastAsia="Times New Roman" w:cs="Arial"/>
          <w:bCs/>
          <w:lang w:eastAsia="cs-CZ"/>
        </w:rPr>
        <w:t>7</w:t>
      </w:r>
      <w:r>
        <w:rPr>
          <w:rFonts w:eastAsia="Times New Roman" w:cs="Arial"/>
          <w:bCs/>
          <w:lang w:eastAsia="cs-CZ"/>
        </w:rPr>
        <w:t>7 %), s odstupem jsou pak soukromé podniky pod zahraniční kontrolou (</w:t>
      </w:r>
      <w:r w:rsidRPr="00CC1A92">
        <w:rPr>
          <w:rFonts w:eastAsia="Times New Roman" w:cs="Arial"/>
          <w:bCs/>
          <w:lang w:eastAsia="cs-CZ"/>
        </w:rPr>
        <w:t>2</w:t>
      </w:r>
      <w:r>
        <w:rPr>
          <w:rFonts w:eastAsia="Times New Roman" w:cs="Arial"/>
          <w:bCs/>
          <w:lang w:eastAsia="cs-CZ"/>
        </w:rPr>
        <w:t>1 %) a nejméně početnou skupinou jsou veřejné podniky (2 %).</w:t>
      </w:r>
    </w:p>
    <w:p w14:paraId="2ECDBCDA" w14:textId="2A67DBB4" w:rsidR="005374B0" w:rsidRDefault="005374B0" w:rsidP="001C6AC9">
      <w:pPr>
        <w:spacing w:after="120" w:line="360" w:lineRule="auto"/>
        <w:ind w:firstLine="709"/>
        <w:jc w:val="both"/>
      </w:pPr>
      <w:r w:rsidRPr="009B6A20">
        <w:rPr>
          <w:rFonts w:eastAsia="Times New Roman" w:cs="Arial"/>
          <w:bCs/>
          <w:lang w:eastAsia="cs-CZ"/>
        </w:rPr>
        <w:t xml:space="preserve">S ohledem na vysoký podíl subjektů v podnikatelském sektoru není </w:t>
      </w:r>
      <w:r>
        <w:rPr>
          <w:rFonts w:eastAsia="Times New Roman" w:cs="Arial"/>
          <w:bCs/>
          <w:lang w:eastAsia="cs-CZ"/>
        </w:rPr>
        <w:t>překvapivé</w:t>
      </w:r>
      <w:r w:rsidRPr="009B6A20">
        <w:rPr>
          <w:rFonts w:eastAsia="Times New Roman" w:cs="Arial"/>
          <w:bCs/>
          <w:lang w:eastAsia="cs-CZ"/>
        </w:rPr>
        <w:t>, že</w:t>
      </w:r>
      <w:r>
        <w:rPr>
          <w:rFonts w:eastAsia="Times New Roman" w:cs="Arial"/>
          <w:bCs/>
          <w:lang w:eastAsia="cs-CZ"/>
        </w:rPr>
        <w:t> </w:t>
      </w:r>
      <w:r w:rsidRPr="009B6A20">
        <w:rPr>
          <w:rFonts w:eastAsia="Times New Roman" w:cs="Arial"/>
          <w:bCs/>
          <w:lang w:eastAsia="cs-CZ"/>
        </w:rPr>
        <w:t>n</w:t>
      </w:r>
      <w:r w:rsidRPr="009B6A20">
        <w:t xml:space="preserve">ejvíce prostředků na </w:t>
      </w:r>
      <w:proofErr w:type="spellStart"/>
      <w:r w:rsidRPr="009B6A20">
        <w:t>VaV</w:t>
      </w:r>
      <w:proofErr w:type="spellEnd"/>
      <w:r w:rsidRPr="009B6A20">
        <w:t xml:space="preserve"> vynakládají právě podniky. V</w:t>
      </w:r>
      <w:r>
        <w:t> roce 2023 tvoří</w:t>
      </w:r>
      <w:r w:rsidRPr="009B6A20">
        <w:t xml:space="preserve"> </w:t>
      </w:r>
      <w:r w:rsidRPr="00CC1A92">
        <w:t>6</w:t>
      </w:r>
      <w:r>
        <w:t>3 </w:t>
      </w:r>
      <w:r w:rsidRPr="009B6A20">
        <w:t xml:space="preserve">% celkových výdajů na </w:t>
      </w:r>
      <w:proofErr w:type="spellStart"/>
      <w:r w:rsidRPr="009B6A20">
        <w:t>VaV</w:t>
      </w:r>
      <w:proofErr w:type="spellEnd"/>
      <w:r w:rsidRPr="009B6A20">
        <w:t>, tento podíl se přibližuje podílu obvyklému ve většině států západní Evropy</w:t>
      </w:r>
      <w:r w:rsidRPr="00D9637D">
        <w:t>. Průměr EU byl v roce 202</w:t>
      </w:r>
      <w:r>
        <w:t>3</w:t>
      </w:r>
      <w:r w:rsidRPr="00D9637D">
        <w:t xml:space="preserve"> </w:t>
      </w:r>
      <w:r>
        <w:t>srovnatelných 64</w:t>
      </w:r>
      <w:r w:rsidRPr="00D9637D">
        <w:t xml:space="preserve"> %, například </w:t>
      </w:r>
      <w:r>
        <w:t>v </w:t>
      </w:r>
      <w:r w:rsidRPr="00D9637D">
        <w:t>Belgi</w:t>
      </w:r>
      <w:r>
        <w:t>i, Irsku či Švédsku tento podíl přesáhl 70 %.</w:t>
      </w:r>
    </w:p>
    <w:p w14:paraId="08BF3FD8" w14:textId="77777777" w:rsidR="001C6AC9" w:rsidRDefault="001C6AC9" w:rsidP="001C6AC9">
      <w:pPr>
        <w:spacing w:after="120" w:line="360" w:lineRule="auto"/>
        <w:ind w:firstLine="709"/>
        <w:jc w:val="both"/>
        <w:rPr>
          <w:rFonts w:eastAsia="Times New Roman" w:cs="Arial"/>
          <w:bCs/>
          <w:lang w:eastAsia="cs-CZ"/>
        </w:rPr>
      </w:pPr>
    </w:p>
    <w:p w14:paraId="25D2CA25" w14:textId="3BA6CACF" w:rsidR="005374B0" w:rsidRPr="008B6166" w:rsidRDefault="005374B0" w:rsidP="001C6AC9">
      <w:pPr>
        <w:spacing w:after="120" w:line="360" w:lineRule="auto"/>
        <w:ind w:firstLine="709"/>
        <w:jc w:val="both"/>
        <w:rPr>
          <w:rFonts w:eastAsia="Times New Roman" w:cs="Arial"/>
          <w:bCs/>
          <w:lang w:eastAsia="cs-CZ"/>
        </w:rPr>
      </w:pPr>
      <w:r w:rsidRPr="00855401">
        <w:rPr>
          <w:rFonts w:eastAsia="Times New Roman" w:cs="Arial"/>
          <w:bCs/>
          <w:lang w:eastAsia="cs-CZ"/>
        </w:rPr>
        <w:lastRenderedPageBreak/>
        <w:t xml:space="preserve">Nejvíce je podniků majících do 5 pracovníků </w:t>
      </w:r>
      <w:proofErr w:type="spellStart"/>
      <w:r w:rsidRPr="00855401">
        <w:rPr>
          <w:rFonts w:eastAsia="Times New Roman" w:cs="Arial"/>
          <w:bCs/>
          <w:lang w:eastAsia="cs-CZ"/>
        </w:rPr>
        <w:t>VaV</w:t>
      </w:r>
      <w:proofErr w:type="spellEnd"/>
      <w:r w:rsidRPr="00855401">
        <w:rPr>
          <w:rFonts w:eastAsia="Times New Roman" w:cs="Arial"/>
          <w:bCs/>
          <w:lang w:eastAsia="cs-CZ"/>
        </w:rPr>
        <w:t xml:space="preserve"> (téměř 57 %), podniky s více než 100 pracovníky </w:t>
      </w:r>
      <w:proofErr w:type="spellStart"/>
      <w:r w:rsidRPr="00855401">
        <w:rPr>
          <w:rFonts w:eastAsia="Times New Roman" w:cs="Arial"/>
          <w:bCs/>
          <w:lang w:eastAsia="cs-CZ"/>
        </w:rPr>
        <w:t>VaV</w:t>
      </w:r>
      <w:proofErr w:type="spellEnd"/>
      <w:r w:rsidRPr="00855401">
        <w:rPr>
          <w:rFonts w:eastAsia="Times New Roman" w:cs="Arial"/>
          <w:bCs/>
          <w:lang w:eastAsia="cs-CZ"/>
        </w:rPr>
        <w:t xml:space="preserve"> jsou v ČR spíše výjimkou (96). V případě objemu výdajů </w:t>
      </w:r>
      <w:proofErr w:type="spellStart"/>
      <w:r w:rsidRPr="00855401">
        <w:rPr>
          <w:rFonts w:eastAsia="Times New Roman" w:cs="Arial"/>
          <w:bCs/>
          <w:lang w:eastAsia="cs-CZ"/>
        </w:rPr>
        <w:t>VaV</w:t>
      </w:r>
      <w:proofErr w:type="spellEnd"/>
      <w:r w:rsidRPr="00855401">
        <w:rPr>
          <w:rFonts w:eastAsia="Times New Roman" w:cs="Arial"/>
          <w:bCs/>
          <w:lang w:eastAsia="cs-CZ"/>
        </w:rPr>
        <w:t xml:space="preserve"> je nejvíce podniků, které vydají ročně v průměru mezi 1–10 mil. Kč (1 475), přičemž podniků, které vydávají na </w:t>
      </w:r>
      <w:proofErr w:type="spellStart"/>
      <w:r w:rsidRPr="00855401">
        <w:rPr>
          <w:rFonts w:eastAsia="Times New Roman" w:cs="Arial"/>
          <w:bCs/>
          <w:lang w:eastAsia="cs-CZ"/>
        </w:rPr>
        <w:t>VaV</w:t>
      </w:r>
      <w:proofErr w:type="spellEnd"/>
      <w:r w:rsidRPr="00855401">
        <w:rPr>
          <w:rFonts w:eastAsia="Times New Roman" w:cs="Arial"/>
          <w:bCs/>
          <w:lang w:eastAsia="cs-CZ"/>
        </w:rPr>
        <w:t xml:space="preserve"> více jak 100 mil. Kč ročně je 149. Pracoviště v podnikatelském sektoru jsou primárně zaměřena na </w:t>
      </w:r>
      <w:proofErr w:type="spellStart"/>
      <w:r w:rsidRPr="00855401">
        <w:rPr>
          <w:rFonts w:eastAsia="Times New Roman" w:cs="Arial"/>
          <w:bCs/>
          <w:lang w:eastAsia="cs-CZ"/>
        </w:rPr>
        <w:t>VaV</w:t>
      </w:r>
      <w:proofErr w:type="spellEnd"/>
      <w:r w:rsidRPr="00855401">
        <w:rPr>
          <w:rFonts w:eastAsia="Times New Roman" w:cs="Arial"/>
          <w:bCs/>
          <w:lang w:eastAsia="cs-CZ"/>
        </w:rPr>
        <w:t xml:space="preserve"> v odvětví zpracovatelského průmyslu (kód ekonomické činnosti NACE 10–33).</w:t>
      </w:r>
    </w:p>
    <w:p w14:paraId="47A5C9D7" w14:textId="77777777" w:rsidR="005374B0" w:rsidRPr="00377F64" w:rsidRDefault="005374B0" w:rsidP="005374B0">
      <w:pPr>
        <w:pStyle w:val="Obrzek-nadpis"/>
      </w:pPr>
      <w:r w:rsidRPr="00734F7C">
        <w:t>Graf D.1.2:</w:t>
      </w:r>
      <w:r w:rsidRPr="00377F64">
        <w:t xml:space="preserve"> </w:t>
      </w:r>
      <w:r>
        <w:t>Údaje o výzkumných pracovištích v podnikatelském sektoru v roce 2024</w:t>
      </w:r>
    </w:p>
    <w:p w14:paraId="3E3D26D4" w14:textId="77777777" w:rsidR="005374B0" w:rsidRDefault="005374B0" w:rsidP="005374B0">
      <w:pPr>
        <w:spacing w:after="0"/>
        <w:jc w:val="center"/>
        <w:rPr>
          <w:rFonts w:eastAsia="Times New Roman" w:cs="Arial"/>
          <w:bCs/>
          <w:lang w:eastAsia="cs-CZ"/>
        </w:rPr>
      </w:pPr>
      <w:r>
        <w:rPr>
          <w:noProof/>
          <w14:ligatures w14:val="standardContextual"/>
        </w:rPr>
        <w:drawing>
          <wp:inline distT="0" distB="0" distL="0" distR="0" wp14:anchorId="43F42950" wp14:editId="08E1C280">
            <wp:extent cx="5760720" cy="5351145"/>
            <wp:effectExtent l="0" t="0" r="0" b="1905"/>
            <wp:docPr id="1442754227" name="Obrázek 1" descr="Obsah obrázku text, snímek obrazovky, diagram, Paralelní&#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2754227" name="Obrázek 1" descr="Obsah obrázku text, snímek obrazovky, diagram, Paralelní&#10;&#10;Obsah generovaný pomocí AI může být nesprávný."/>
                    <pic:cNvPicPr/>
                  </pic:nvPicPr>
                  <pic:blipFill>
                    <a:blip r:embed="rId62"/>
                    <a:stretch>
                      <a:fillRect/>
                    </a:stretch>
                  </pic:blipFill>
                  <pic:spPr>
                    <a:xfrm>
                      <a:off x="0" y="0"/>
                      <a:ext cx="5760720" cy="5351145"/>
                    </a:xfrm>
                    <a:prstGeom prst="rect">
                      <a:avLst/>
                    </a:prstGeom>
                  </pic:spPr>
                </pic:pic>
              </a:graphicData>
            </a:graphic>
          </wp:inline>
        </w:drawing>
      </w:r>
    </w:p>
    <w:p w14:paraId="4B07782B" w14:textId="77777777" w:rsidR="005374B0" w:rsidRDefault="005374B0" w:rsidP="005374B0">
      <w:pPr>
        <w:pStyle w:val="Zdrojapoznmka"/>
      </w:pPr>
      <w:r w:rsidRPr="00377F64">
        <w:t xml:space="preserve">Zdroj dat: </w:t>
      </w:r>
      <w:r>
        <w:t>ČSÚ, 2025</w:t>
      </w:r>
    </w:p>
    <w:p w14:paraId="7899EBB3" w14:textId="77777777" w:rsidR="005374B0" w:rsidRPr="00216D0C" w:rsidRDefault="005374B0" w:rsidP="005374B0">
      <w:pPr>
        <w:pStyle w:val="Zdrojapoznmka"/>
        <w:spacing w:after="360"/>
      </w:pPr>
      <w:r>
        <w:t xml:space="preserve">V dolních grafech jsou uvedeny průměrné hodnoty mezi lety 2020–2024. </w:t>
      </w:r>
    </w:p>
    <w:p w14:paraId="5F5671EB" w14:textId="1D06D81E" w:rsidR="005374B0" w:rsidRPr="005A35CA" w:rsidRDefault="005374B0" w:rsidP="001C6AC9">
      <w:pPr>
        <w:spacing w:after="120" w:line="360" w:lineRule="auto"/>
        <w:ind w:firstLine="709"/>
        <w:jc w:val="both"/>
        <w:rPr>
          <w:rFonts w:eastAsia="Times New Roman" w:cs="Arial"/>
          <w:bCs/>
          <w:lang w:eastAsia="cs-CZ"/>
        </w:rPr>
      </w:pPr>
      <w:r w:rsidRPr="005A35CA">
        <w:rPr>
          <w:rFonts w:eastAsia="Times New Roman" w:cs="Arial"/>
          <w:bCs/>
          <w:lang w:eastAsia="cs-CZ"/>
        </w:rPr>
        <w:t>Druhou nejpočetnější skupinou jsou subjekty spadající do vládního sektoru, v této skupině se</w:t>
      </w:r>
      <w:r>
        <w:rPr>
          <w:rFonts w:eastAsia="Times New Roman" w:cs="Arial"/>
          <w:bCs/>
          <w:lang w:eastAsia="cs-CZ"/>
        </w:rPr>
        <w:t> </w:t>
      </w:r>
      <w:r w:rsidRPr="005A35CA">
        <w:rPr>
          <w:rFonts w:eastAsia="Times New Roman" w:cs="Arial"/>
          <w:bCs/>
          <w:lang w:eastAsia="cs-CZ"/>
        </w:rPr>
        <w:t>nachází cca 174 subjektů, z toho téměř třetinu tvoří ústavy AV ČR (54) a další třetinu Knihovny, archivy a muzea (52).</w:t>
      </w:r>
    </w:p>
    <w:p w14:paraId="125D30DF" w14:textId="0CBF245C" w:rsidR="005374B0" w:rsidRDefault="005374B0" w:rsidP="001C6AC9">
      <w:pPr>
        <w:spacing w:after="120" w:line="360" w:lineRule="auto"/>
        <w:ind w:firstLine="709"/>
        <w:jc w:val="both"/>
        <w:rPr>
          <w:rFonts w:eastAsia="Times New Roman" w:cs="Arial"/>
          <w:bCs/>
          <w:lang w:eastAsia="cs-CZ"/>
        </w:rPr>
      </w:pPr>
      <w:r w:rsidRPr="005A35CA">
        <w:rPr>
          <w:rFonts w:eastAsia="Times New Roman" w:cs="Arial"/>
          <w:bCs/>
          <w:lang w:eastAsia="cs-CZ"/>
        </w:rPr>
        <w:t xml:space="preserve">Ve vládním sektoru je nejvíce pracovišť majících méně jak 5 pracovníků </w:t>
      </w:r>
      <w:proofErr w:type="spellStart"/>
      <w:r w:rsidRPr="005A35CA">
        <w:rPr>
          <w:rFonts w:eastAsia="Times New Roman" w:cs="Arial"/>
          <w:bCs/>
          <w:lang w:eastAsia="cs-CZ"/>
        </w:rPr>
        <w:t>VaV</w:t>
      </w:r>
      <w:proofErr w:type="spellEnd"/>
      <w:r w:rsidRPr="005A35CA">
        <w:rPr>
          <w:rFonts w:eastAsia="Times New Roman" w:cs="Arial"/>
          <w:bCs/>
          <w:lang w:eastAsia="cs-CZ"/>
        </w:rPr>
        <w:t xml:space="preserve"> (32 %), dále v pořadí jsou zastoupena pracoviště s více jak 100 pracovníky </w:t>
      </w:r>
      <w:proofErr w:type="spellStart"/>
      <w:r w:rsidRPr="005A35CA">
        <w:rPr>
          <w:rFonts w:eastAsia="Times New Roman" w:cs="Arial"/>
          <w:bCs/>
          <w:lang w:eastAsia="cs-CZ"/>
        </w:rPr>
        <w:t>VaV</w:t>
      </w:r>
      <w:proofErr w:type="spellEnd"/>
      <w:r w:rsidRPr="005A35CA">
        <w:rPr>
          <w:rFonts w:eastAsia="Times New Roman" w:cs="Arial"/>
          <w:bCs/>
          <w:lang w:eastAsia="cs-CZ"/>
        </w:rPr>
        <w:t xml:space="preserve"> (20 %). V případě objemu výdajů </w:t>
      </w:r>
      <w:proofErr w:type="spellStart"/>
      <w:r w:rsidRPr="005A35CA">
        <w:rPr>
          <w:rFonts w:eastAsia="Times New Roman" w:cs="Arial"/>
          <w:bCs/>
          <w:lang w:eastAsia="cs-CZ"/>
        </w:rPr>
        <w:t>VaV</w:t>
      </w:r>
      <w:proofErr w:type="spellEnd"/>
      <w:r w:rsidRPr="005A35CA">
        <w:rPr>
          <w:rFonts w:eastAsia="Times New Roman" w:cs="Arial"/>
          <w:bCs/>
          <w:lang w:eastAsia="cs-CZ"/>
        </w:rPr>
        <w:t xml:space="preserve"> je nejvíce pracovišť, která vydají ročně v průměru mezi 1–10 mil. Kč (27 %), přičemž </w:t>
      </w:r>
      <w:r w:rsidRPr="005A35CA">
        <w:rPr>
          <w:rFonts w:eastAsia="Times New Roman" w:cs="Arial"/>
          <w:bCs/>
          <w:lang w:eastAsia="cs-CZ"/>
        </w:rPr>
        <w:lastRenderedPageBreak/>
        <w:t xml:space="preserve">pracoviště, která vydávají na </w:t>
      </w:r>
      <w:proofErr w:type="spellStart"/>
      <w:r w:rsidRPr="005A35CA">
        <w:rPr>
          <w:rFonts w:eastAsia="Times New Roman" w:cs="Arial"/>
          <w:bCs/>
          <w:lang w:eastAsia="cs-CZ"/>
        </w:rPr>
        <w:t>VaV</w:t>
      </w:r>
      <w:proofErr w:type="spellEnd"/>
      <w:r w:rsidRPr="005A35CA">
        <w:rPr>
          <w:rFonts w:eastAsia="Times New Roman" w:cs="Arial"/>
          <w:bCs/>
          <w:lang w:eastAsia="cs-CZ"/>
        </w:rPr>
        <w:t xml:space="preserve"> více jak 100 mil. Kč, jsou také značně zastoupena (25 %). Ve</w:t>
      </w:r>
      <w:r w:rsidR="001C6AC9">
        <w:rPr>
          <w:rFonts w:eastAsia="Times New Roman" w:cs="Arial"/>
          <w:bCs/>
          <w:lang w:eastAsia="cs-CZ"/>
        </w:rPr>
        <w:t> </w:t>
      </w:r>
      <w:r w:rsidRPr="005A35CA">
        <w:rPr>
          <w:rFonts w:eastAsia="Times New Roman" w:cs="Arial"/>
          <w:bCs/>
          <w:lang w:eastAsia="cs-CZ"/>
        </w:rPr>
        <w:t>vládním sektoru jsou poměrně hojně zastoupena pracoviště zaměřená na oblast humanitních věd (38 %), což je dáno tím, že je zde vysoký počet VO typu Knihovny, archivy a</w:t>
      </w:r>
      <w:r>
        <w:rPr>
          <w:rFonts w:eastAsia="Times New Roman" w:cs="Arial"/>
          <w:bCs/>
          <w:lang w:eastAsia="cs-CZ"/>
        </w:rPr>
        <w:t> </w:t>
      </w:r>
      <w:r w:rsidRPr="005A35CA">
        <w:rPr>
          <w:rFonts w:eastAsia="Times New Roman" w:cs="Arial"/>
          <w:bCs/>
          <w:lang w:eastAsia="cs-CZ"/>
        </w:rPr>
        <w:t>muzea. Druhou nejvíce zastoupenou oblastí jsou pak přírodní vědy (29 %).</w:t>
      </w:r>
    </w:p>
    <w:p w14:paraId="614973C0" w14:textId="77777777" w:rsidR="005374B0" w:rsidRPr="00377F64" w:rsidRDefault="005374B0" w:rsidP="005374B0">
      <w:pPr>
        <w:pStyle w:val="Obrzek-nadpis"/>
      </w:pPr>
      <w:r w:rsidRPr="00734F7C">
        <w:t>Graf D.1.3:</w:t>
      </w:r>
      <w:r w:rsidRPr="00377F64">
        <w:t xml:space="preserve"> </w:t>
      </w:r>
      <w:r>
        <w:t>Údaje o výzkumných pracovištích ve vládním sektoru v roce 2024</w:t>
      </w:r>
    </w:p>
    <w:p w14:paraId="59EA7F64" w14:textId="77777777" w:rsidR="005374B0" w:rsidRDefault="005374B0" w:rsidP="005374B0">
      <w:pPr>
        <w:spacing w:after="0"/>
        <w:jc w:val="center"/>
        <w:rPr>
          <w:rFonts w:eastAsia="Times New Roman" w:cs="Arial"/>
          <w:b/>
          <w:lang w:eastAsia="cs-CZ"/>
        </w:rPr>
      </w:pPr>
      <w:r>
        <w:rPr>
          <w:noProof/>
          <w14:ligatures w14:val="standardContextual"/>
        </w:rPr>
        <w:drawing>
          <wp:inline distT="0" distB="0" distL="0" distR="0" wp14:anchorId="1E07E7AB" wp14:editId="304F481D">
            <wp:extent cx="5760720" cy="4943475"/>
            <wp:effectExtent l="0" t="0" r="0" b="9525"/>
            <wp:docPr id="2089978578" name="Obrázek 1" descr="Obsah obrázku text, snímek obrazovky, diagram, Paralelní&#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78578" name="Obrázek 1" descr="Obsah obrázku text, snímek obrazovky, diagram, Paralelní&#10;&#10;Obsah generovaný pomocí AI může být nesprávný."/>
                    <pic:cNvPicPr/>
                  </pic:nvPicPr>
                  <pic:blipFill>
                    <a:blip r:embed="rId63"/>
                    <a:stretch>
                      <a:fillRect/>
                    </a:stretch>
                  </pic:blipFill>
                  <pic:spPr>
                    <a:xfrm>
                      <a:off x="0" y="0"/>
                      <a:ext cx="5760720" cy="4943475"/>
                    </a:xfrm>
                    <a:prstGeom prst="rect">
                      <a:avLst/>
                    </a:prstGeom>
                  </pic:spPr>
                </pic:pic>
              </a:graphicData>
            </a:graphic>
          </wp:inline>
        </w:drawing>
      </w:r>
    </w:p>
    <w:p w14:paraId="1425F5B9" w14:textId="77777777" w:rsidR="005374B0" w:rsidRDefault="005374B0" w:rsidP="005374B0">
      <w:pPr>
        <w:pStyle w:val="Zdrojapoznmka"/>
      </w:pPr>
      <w:r w:rsidRPr="00377F64">
        <w:t xml:space="preserve">Zdroj dat: </w:t>
      </w:r>
      <w:r>
        <w:t>ČSÚ, 2025</w:t>
      </w:r>
    </w:p>
    <w:p w14:paraId="0F507E3F" w14:textId="77777777" w:rsidR="005374B0" w:rsidRPr="00216D0C" w:rsidRDefault="005374B0" w:rsidP="005374B0">
      <w:pPr>
        <w:pStyle w:val="Zdrojapoznmka"/>
        <w:spacing w:after="360"/>
      </w:pPr>
      <w:r>
        <w:t xml:space="preserve">V dolních grafech jsou uvedeny průměrné hodnoty mezi lety 2020–2024. </w:t>
      </w:r>
    </w:p>
    <w:p w14:paraId="4F4309C4" w14:textId="77777777" w:rsidR="005374B0" w:rsidRPr="009D458C" w:rsidRDefault="005374B0" w:rsidP="005374B0">
      <w:pPr>
        <w:spacing w:after="0" w:line="360" w:lineRule="auto"/>
        <w:ind w:firstLine="709"/>
        <w:jc w:val="both"/>
        <w:rPr>
          <w:rFonts w:eastAsia="Times New Roman" w:cs="Arial"/>
          <w:bCs/>
          <w:highlight w:val="yellow"/>
          <w:lang w:eastAsia="cs-CZ"/>
        </w:rPr>
      </w:pPr>
      <w:r w:rsidRPr="00513EA6">
        <w:rPr>
          <w:rFonts w:eastAsia="Times New Roman" w:cs="Arial"/>
          <w:bCs/>
          <w:lang w:eastAsia="cs-CZ"/>
        </w:rPr>
        <w:t xml:space="preserve">Ve vysokoškolském sektoru je evidováno 60 subjektů, po přepočtu pak 218 výzkumných pracovišť </w:t>
      </w:r>
      <w:proofErr w:type="spellStart"/>
      <w:r w:rsidRPr="00513EA6">
        <w:rPr>
          <w:rFonts w:eastAsia="Times New Roman" w:cs="Arial"/>
          <w:bCs/>
          <w:lang w:eastAsia="cs-CZ"/>
        </w:rPr>
        <w:t>VaV</w:t>
      </w:r>
      <w:proofErr w:type="spellEnd"/>
      <w:r w:rsidRPr="00513EA6">
        <w:rPr>
          <w:rFonts w:eastAsia="Times New Roman" w:cs="Arial"/>
          <w:bCs/>
          <w:lang w:eastAsia="cs-CZ"/>
        </w:rPr>
        <w:t>. Z celkového počtu subjektů je 28 veřejných a státních škol, 12 fakultních nemocnic, zbylých 20 subjektů tvoří soukromé VŠ.</w:t>
      </w:r>
    </w:p>
    <w:p w14:paraId="59DA8682" w14:textId="2D6A5E54" w:rsidR="005374B0" w:rsidRPr="008B6166" w:rsidRDefault="005374B0" w:rsidP="005374B0">
      <w:pPr>
        <w:spacing w:after="0" w:line="360" w:lineRule="auto"/>
        <w:ind w:firstLine="709"/>
        <w:jc w:val="both"/>
        <w:rPr>
          <w:rFonts w:eastAsia="Times New Roman" w:cs="Arial"/>
          <w:bCs/>
          <w:lang w:eastAsia="cs-CZ"/>
        </w:rPr>
      </w:pPr>
      <w:r w:rsidRPr="00513EA6">
        <w:rPr>
          <w:rFonts w:eastAsia="Times New Roman" w:cs="Arial"/>
          <w:bCs/>
          <w:lang w:eastAsia="cs-CZ"/>
        </w:rPr>
        <w:t xml:space="preserve">Ve vysokoškolském sektoru jsou nejvíce zastoupena pracoviště </w:t>
      </w:r>
      <w:proofErr w:type="spellStart"/>
      <w:r w:rsidRPr="00513EA6">
        <w:rPr>
          <w:rFonts w:eastAsia="Times New Roman" w:cs="Arial"/>
          <w:bCs/>
          <w:lang w:eastAsia="cs-CZ"/>
        </w:rPr>
        <w:t>VaV</w:t>
      </w:r>
      <w:proofErr w:type="spellEnd"/>
      <w:r w:rsidRPr="00513EA6">
        <w:rPr>
          <w:rFonts w:eastAsia="Times New Roman" w:cs="Arial"/>
          <w:bCs/>
          <w:lang w:eastAsia="cs-CZ"/>
        </w:rPr>
        <w:t xml:space="preserve"> mající mezi 20–50 pracovníky </w:t>
      </w:r>
      <w:proofErr w:type="spellStart"/>
      <w:r w:rsidRPr="00513EA6">
        <w:rPr>
          <w:rFonts w:eastAsia="Times New Roman" w:cs="Arial"/>
          <w:bCs/>
          <w:lang w:eastAsia="cs-CZ"/>
        </w:rPr>
        <w:t>VaV</w:t>
      </w:r>
      <w:proofErr w:type="spellEnd"/>
      <w:r w:rsidRPr="00513EA6">
        <w:rPr>
          <w:rFonts w:eastAsia="Times New Roman" w:cs="Arial"/>
          <w:bCs/>
          <w:lang w:eastAsia="cs-CZ"/>
        </w:rPr>
        <w:t xml:space="preserve"> (31 %), dále pak jsou velkým počtem zastoupena pracoviště s více než 100 pracovníky </w:t>
      </w:r>
      <w:proofErr w:type="spellStart"/>
      <w:r w:rsidRPr="00513EA6">
        <w:rPr>
          <w:rFonts w:eastAsia="Times New Roman" w:cs="Arial"/>
          <w:bCs/>
          <w:lang w:eastAsia="cs-CZ"/>
        </w:rPr>
        <w:t>VaV</w:t>
      </w:r>
      <w:proofErr w:type="spellEnd"/>
      <w:r w:rsidRPr="00513EA6">
        <w:rPr>
          <w:rFonts w:eastAsia="Times New Roman" w:cs="Arial"/>
          <w:bCs/>
          <w:lang w:eastAsia="cs-CZ"/>
        </w:rPr>
        <w:t xml:space="preserve"> (25 %). V případě objemu výdajů </w:t>
      </w:r>
      <w:proofErr w:type="spellStart"/>
      <w:r w:rsidRPr="00513EA6">
        <w:rPr>
          <w:rFonts w:eastAsia="Times New Roman" w:cs="Arial"/>
          <w:bCs/>
          <w:lang w:eastAsia="cs-CZ"/>
        </w:rPr>
        <w:t>VaV</w:t>
      </w:r>
      <w:proofErr w:type="spellEnd"/>
      <w:r w:rsidRPr="00513EA6">
        <w:rPr>
          <w:rFonts w:eastAsia="Times New Roman" w:cs="Arial"/>
          <w:bCs/>
          <w:lang w:eastAsia="cs-CZ"/>
        </w:rPr>
        <w:t xml:space="preserve"> je nejvíce pracovišť, která vydají ročně v průměru mezi 10–50 mil. Kč (33 %), dále jsou pracoviště ve vysokoškolském sektoru s výdaji </w:t>
      </w:r>
      <w:proofErr w:type="spellStart"/>
      <w:r w:rsidRPr="00513EA6">
        <w:rPr>
          <w:rFonts w:eastAsia="Times New Roman" w:cs="Arial"/>
          <w:bCs/>
          <w:lang w:eastAsia="cs-CZ"/>
        </w:rPr>
        <w:t>VaV</w:t>
      </w:r>
      <w:proofErr w:type="spellEnd"/>
      <w:r w:rsidRPr="00513EA6">
        <w:rPr>
          <w:rFonts w:eastAsia="Times New Roman" w:cs="Arial"/>
          <w:bCs/>
          <w:lang w:eastAsia="cs-CZ"/>
        </w:rPr>
        <w:t xml:space="preserve"> více jak 100 mil. Kč (32 %). Pracoviště v tomto sektoru jsou dle vědních oborů relativně </w:t>
      </w:r>
      <w:r w:rsidRPr="00513EA6">
        <w:rPr>
          <w:rFonts w:eastAsia="Times New Roman" w:cs="Arial"/>
          <w:bCs/>
          <w:lang w:eastAsia="cs-CZ"/>
        </w:rPr>
        <w:lastRenderedPageBreak/>
        <w:t>rovnoměrně zastoupena s dominancí sociálních věd (26 %) a naopak s</w:t>
      </w:r>
      <w:r>
        <w:rPr>
          <w:rFonts w:eastAsia="Times New Roman" w:cs="Arial"/>
          <w:bCs/>
          <w:lang w:eastAsia="cs-CZ"/>
        </w:rPr>
        <w:t> </w:t>
      </w:r>
      <w:r w:rsidRPr="00513EA6">
        <w:rPr>
          <w:rFonts w:eastAsia="Times New Roman" w:cs="Arial"/>
          <w:bCs/>
          <w:lang w:eastAsia="cs-CZ"/>
        </w:rPr>
        <w:t>výjimkou zemědělských věd, která jsou zastoupena pouhými 5 %.</w:t>
      </w:r>
    </w:p>
    <w:p w14:paraId="679C8869" w14:textId="77777777" w:rsidR="00FD1BF2" w:rsidRPr="00377F64" w:rsidRDefault="00FD1BF2" w:rsidP="00FD1BF2">
      <w:pPr>
        <w:pStyle w:val="Obrzek-nadpis"/>
      </w:pPr>
      <w:r w:rsidRPr="00734F7C">
        <w:t>Graf D.1.4:</w:t>
      </w:r>
      <w:r w:rsidRPr="00377F64">
        <w:t xml:space="preserve"> </w:t>
      </w:r>
      <w:r>
        <w:t>Údaje o výzkumných pracovištích ve vysokoškolském sektoru v roce 2024</w:t>
      </w:r>
    </w:p>
    <w:p w14:paraId="7B2A0A0B" w14:textId="77777777" w:rsidR="00FD1BF2" w:rsidRDefault="00FD1BF2" w:rsidP="00FD1BF2">
      <w:pPr>
        <w:spacing w:after="0"/>
        <w:jc w:val="center"/>
      </w:pPr>
      <w:r>
        <w:rPr>
          <w:noProof/>
          <w14:ligatures w14:val="standardContextual"/>
        </w:rPr>
        <w:drawing>
          <wp:inline distT="0" distB="0" distL="0" distR="0" wp14:anchorId="4621620A" wp14:editId="09BAE9BC">
            <wp:extent cx="5760720" cy="5461635"/>
            <wp:effectExtent l="0" t="0" r="0" b="5715"/>
            <wp:docPr id="286970616" name="Obrázek 1" descr="Obsah obrázku text, snímek obrazovky, diagram, Paralelní&#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970616" name="Obrázek 1" descr="Obsah obrázku text, snímek obrazovky, diagram, Paralelní&#10;&#10;Obsah generovaný pomocí AI může být nesprávný."/>
                    <pic:cNvPicPr/>
                  </pic:nvPicPr>
                  <pic:blipFill>
                    <a:blip r:embed="rId64"/>
                    <a:stretch>
                      <a:fillRect/>
                    </a:stretch>
                  </pic:blipFill>
                  <pic:spPr>
                    <a:xfrm>
                      <a:off x="0" y="0"/>
                      <a:ext cx="5760720" cy="5461635"/>
                    </a:xfrm>
                    <a:prstGeom prst="rect">
                      <a:avLst/>
                    </a:prstGeom>
                  </pic:spPr>
                </pic:pic>
              </a:graphicData>
            </a:graphic>
          </wp:inline>
        </w:drawing>
      </w:r>
    </w:p>
    <w:p w14:paraId="16D04966" w14:textId="77777777" w:rsidR="00FD1BF2" w:rsidRDefault="00FD1BF2" w:rsidP="00FD1BF2">
      <w:pPr>
        <w:pStyle w:val="Zdrojapoznmka"/>
        <w:spacing w:after="120"/>
      </w:pPr>
      <w:r w:rsidRPr="00377F64">
        <w:t xml:space="preserve">Zdroj dat: </w:t>
      </w:r>
      <w:r>
        <w:t>ČSÚ, 2025</w:t>
      </w:r>
    </w:p>
    <w:p w14:paraId="4F9C9C34" w14:textId="77777777" w:rsidR="00FD1BF2" w:rsidRDefault="00FD1BF2" w:rsidP="00FD1BF2">
      <w:pPr>
        <w:pStyle w:val="Zdrojapoznmka"/>
        <w:spacing w:after="360"/>
      </w:pPr>
      <w:r>
        <w:t xml:space="preserve">V dolních grafech jsou uvedeny průměrné hodnoty mezi lety 2020–2024. </w:t>
      </w:r>
    </w:p>
    <w:p w14:paraId="2D288DA7" w14:textId="20FEDF78" w:rsidR="00FD1BF2" w:rsidRDefault="00FD1BF2" w:rsidP="00FD1BF2">
      <w:pPr>
        <w:pStyle w:val="Zdrojapoznmka"/>
        <w:spacing w:after="360"/>
      </w:pPr>
    </w:p>
    <w:p w14:paraId="6CCFB464" w14:textId="77777777" w:rsidR="00FD1BF2" w:rsidRDefault="00FD1BF2">
      <w:pPr>
        <w:rPr>
          <w:rFonts w:eastAsia="Times New Roman" w:cs="Times New Roman"/>
          <w:i/>
          <w:sz w:val="18"/>
          <w:szCs w:val="24"/>
          <w:lang w:eastAsia="cs-CZ"/>
        </w:rPr>
      </w:pPr>
      <w:r>
        <w:br w:type="page"/>
      </w:r>
    </w:p>
    <w:p w14:paraId="3896EF5C" w14:textId="5A4B1962" w:rsidR="00425BB2" w:rsidRDefault="00425BB2" w:rsidP="00B6383F">
      <w:pPr>
        <w:pStyle w:val="Nadpis2"/>
        <w:keepNext w:val="0"/>
        <w:numPr>
          <w:ilvl w:val="0"/>
          <w:numId w:val="0"/>
        </w:numPr>
        <w:rPr>
          <w:rFonts w:eastAsia="Times New Roman"/>
        </w:rPr>
      </w:pPr>
      <w:bookmarkStart w:id="32" w:name="_Toc215589309"/>
      <w:r w:rsidRPr="00425BB2">
        <w:rPr>
          <w:rFonts w:eastAsia="Times New Roman"/>
        </w:rPr>
        <w:lastRenderedPageBreak/>
        <w:t>D.2 V</w:t>
      </w:r>
      <w:r w:rsidR="00887D40">
        <w:rPr>
          <w:rFonts w:eastAsia="Times New Roman"/>
        </w:rPr>
        <w:t>elké v</w:t>
      </w:r>
      <w:r w:rsidRPr="00425BB2">
        <w:rPr>
          <w:rFonts w:eastAsia="Times New Roman"/>
        </w:rPr>
        <w:t>ýzkumné infrastruktury</w:t>
      </w:r>
      <w:bookmarkEnd w:id="32"/>
    </w:p>
    <w:p w14:paraId="1705BC85" w14:textId="67F26DE4" w:rsidR="000C39F7" w:rsidRDefault="00FD1BF2" w:rsidP="00FD1BF2">
      <w:pPr>
        <w:spacing w:after="120" w:line="360" w:lineRule="auto"/>
        <w:jc w:val="both"/>
      </w:pPr>
      <w:r w:rsidRPr="00FD1BF2">
        <w:rPr>
          <w:rFonts w:cs="Arial"/>
          <w:highlight w:val="yellow"/>
          <w:shd w:val="clear" w:color="auto" w:fill="FFFFFF"/>
        </w:rPr>
        <w:t>Bude dopracováno.</w:t>
      </w:r>
    </w:p>
    <w:p w14:paraId="3CEDCEFF" w14:textId="7AA7367A" w:rsidR="00FD1BF2" w:rsidRDefault="00FD1BF2" w:rsidP="00FD1BF2">
      <w:pPr>
        <w:spacing w:after="120" w:line="360" w:lineRule="auto"/>
        <w:jc w:val="both"/>
      </w:pPr>
    </w:p>
    <w:p w14:paraId="7BE1E0F9" w14:textId="77777777" w:rsidR="00FD1BF2" w:rsidRDefault="00FD1BF2">
      <w:r>
        <w:br w:type="page"/>
      </w:r>
    </w:p>
    <w:p w14:paraId="7C99C04B" w14:textId="1CCDBD85" w:rsidR="00504068" w:rsidRPr="001C6AC9" w:rsidRDefault="00504068" w:rsidP="003D35D7">
      <w:pPr>
        <w:pStyle w:val="Nadpis1"/>
        <w:pageBreakBefore/>
      </w:pPr>
      <w:bookmarkStart w:id="33" w:name="_Toc215589310"/>
      <w:r w:rsidRPr="001C6AC9">
        <w:lastRenderedPageBreak/>
        <w:t>V</w:t>
      </w:r>
      <w:r w:rsidR="003D35D7">
        <w:t xml:space="preserve">ýkonnost a efektivita </w:t>
      </w:r>
      <w:proofErr w:type="spellStart"/>
      <w:r w:rsidRPr="001C6AC9">
        <w:t>VaVaI</w:t>
      </w:r>
      <w:bookmarkEnd w:id="33"/>
      <w:proofErr w:type="spellEnd"/>
    </w:p>
    <w:p w14:paraId="317307A4" w14:textId="7B4CA250" w:rsidR="00504068" w:rsidRPr="00987A35" w:rsidRDefault="001C6AC9" w:rsidP="00235652">
      <w:pPr>
        <w:pStyle w:val="Odstavecseseznamem"/>
        <w:numPr>
          <w:ilvl w:val="3"/>
          <w:numId w:val="19"/>
        </w:numPr>
        <w:spacing w:after="60" w:line="240" w:lineRule="auto"/>
        <w:ind w:left="2268"/>
        <w:contextualSpacing w:val="0"/>
        <w:jc w:val="both"/>
        <w:rPr>
          <w:rFonts w:cs="Arial"/>
        </w:rPr>
      </w:pPr>
      <w:r w:rsidRPr="00426979">
        <w:rPr>
          <w:rFonts w:cs="Arial"/>
          <w:b/>
          <w:bCs/>
          <w:noProof/>
          <w:color w:val="1F2046"/>
        </w:rPr>
        <w:drawing>
          <wp:anchor distT="0" distB="0" distL="114300" distR="114300" simplePos="0" relativeHeight="251654656" behindDoc="0" locked="0" layoutInCell="1" allowOverlap="1" wp14:anchorId="77673113" wp14:editId="59C73896">
            <wp:simplePos x="0" y="0"/>
            <wp:positionH relativeFrom="margin">
              <wp:posOffset>285750</wp:posOffset>
            </wp:positionH>
            <wp:positionV relativeFrom="margin">
              <wp:posOffset>389890</wp:posOffset>
            </wp:positionV>
            <wp:extent cx="666750" cy="666750"/>
            <wp:effectExtent l="0" t="0" r="0" b="0"/>
            <wp:wrapNone/>
            <wp:docPr id="664885786" name="Grafický objekt 9" descr="Pruhový graf se vzestupným trendem se souvislou výpln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828666" name="Grafický objekt 570828666" descr="Pruhový graf se vzestupným trendem se souvislou výplní"/>
                    <pic:cNvPicPr/>
                  </pic:nvPicPr>
                  <pic:blipFill>
                    <a:blip r:embed="rId31">
                      <a:extLst>
                        <a:ext uri="{96DAC541-7B7A-43D3-8B79-37D633B846F1}">
                          <asvg:svgBlip xmlns:asvg="http://schemas.microsoft.com/office/drawing/2016/SVG/main" r:embed="rId32"/>
                        </a:ext>
                      </a:extLst>
                    </a:blip>
                    <a:stretch>
                      <a:fillRect/>
                    </a:stretch>
                  </pic:blipFill>
                  <pic:spPr>
                    <a:xfrm>
                      <a:off x="0" y="0"/>
                      <a:ext cx="666750" cy="666750"/>
                    </a:xfrm>
                    <a:prstGeom prst="rect">
                      <a:avLst/>
                    </a:prstGeom>
                  </pic:spPr>
                </pic:pic>
              </a:graphicData>
            </a:graphic>
            <wp14:sizeRelH relativeFrom="margin">
              <wp14:pctWidth>0</wp14:pctWidth>
            </wp14:sizeRelH>
            <wp14:sizeRelV relativeFrom="margin">
              <wp14:pctHeight>0</wp14:pctHeight>
            </wp14:sizeRelV>
          </wp:anchor>
        </w:drawing>
      </w:r>
      <w:r w:rsidR="00504068" w:rsidRPr="00987A35">
        <w:rPr>
          <w:rFonts w:cs="Arial"/>
        </w:rPr>
        <w:t xml:space="preserve">Výsledky </w:t>
      </w:r>
      <w:proofErr w:type="spellStart"/>
      <w:r w:rsidR="00EF7DA7">
        <w:rPr>
          <w:rFonts w:cs="Arial"/>
        </w:rPr>
        <w:t>VaV</w:t>
      </w:r>
      <w:proofErr w:type="spellEnd"/>
    </w:p>
    <w:p w14:paraId="24F8E4F0" w14:textId="77777777" w:rsidR="00504068" w:rsidRPr="00987A35" w:rsidRDefault="00504068" w:rsidP="00235652">
      <w:pPr>
        <w:pStyle w:val="Odstavecseseznamem"/>
        <w:numPr>
          <w:ilvl w:val="3"/>
          <w:numId w:val="19"/>
        </w:numPr>
        <w:spacing w:after="60" w:line="240" w:lineRule="auto"/>
        <w:ind w:left="2268"/>
        <w:contextualSpacing w:val="0"/>
        <w:jc w:val="both"/>
        <w:rPr>
          <w:rFonts w:cs="Arial"/>
        </w:rPr>
      </w:pPr>
      <w:r w:rsidRPr="00987A35">
        <w:rPr>
          <w:rFonts w:cs="Arial"/>
        </w:rPr>
        <w:t>Inovační výkonnost</w:t>
      </w:r>
    </w:p>
    <w:p w14:paraId="7B73942A" w14:textId="77777777" w:rsidR="00504068" w:rsidRPr="00987A35" w:rsidRDefault="00504068" w:rsidP="00235652">
      <w:pPr>
        <w:pStyle w:val="Odstavecseseznamem"/>
        <w:numPr>
          <w:ilvl w:val="3"/>
          <w:numId w:val="19"/>
        </w:numPr>
        <w:spacing w:after="60" w:line="240" w:lineRule="auto"/>
        <w:ind w:left="2268"/>
        <w:contextualSpacing w:val="0"/>
        <w:jc w:val="both"/>
        <w:rPr>
          <w:rFonts w:cs="Arial"/>
        </w:rPr>
      </w:pPr>
      <w:r w:rsidRPr="00987A35">
        <w:rPr>
          <w:rFonts w:cs="Arial"/>
        </w:rPr>
        <w:t xml:space="preserve">Spolupráce: Kolaborativní </w:t>
      </w:r>
      <w:r>
        <w:rPr>
          <w:rFonts w:cs="Arial"/>
        </w:rPr>
        <w:t xml:space="preserve">a smluvní </w:t>
      </w:r>
      <w:r w:rsidRPr="00987A35">
        <w:rPr>
          <w:rFonts w:cs="Arial"/>
        </w:rPr>
        <w:t>výzkum</w:t>
      </w:r>
    </w:p>
    <w:p w14:paraId="1C080C51" w14:textId="77777777" w:rsidR="00504068" w:rsidRPr="00987A35" w:rsidRDefault="00504068" w:rsidP="00353232">
      <w:pPr>
        <w:pStyle w:val="Odstavecseseznamem"/>
        <w:numPr>
          <w:ilvl w:val="3"/>
          <w:numId w:val="19"/>
        </w:numPr>
        <w:spacing w:after="480" w:line="240" w:lineRule="auto"/>
        <w:ind w:left="2268" w:hanging="357"/>
        <w:contextualSpacing w:val="0"/>
        <w:jc w:val="both"/>
        <w:rPr>
          <w:rFonts w:cs="Arial"/>
        </w:rPr>
      </w:pPr>
      <w:r w:rsidRPr="00987A35">
        <w:rPr>
          <w:rFonts w:cs="Arial"/>
        </w:rPr>
        <w:t>Transfer technologií a znalostí</w:t>
      </w:r>
    </w:p>
    <w:p w14:paraId="6E01A936" w14:textId="729950DE" w:rsidR="00B37B27" w:rsidRPr="0019303E" w:rsidRDefault="00B37B27" w:rsidP="00B318D8">
      <w:pPr>
        <w:pStyle w:val="Nadpis2"/>
        <w:ind w:left="578" w:hanging="578"/>
        <w:rPr>
          <w:rFonts w:eastAsia="Times New Roman"/>
        </w:rPr>
      </w:pPr>
      <w:bookmarkStart w:id="34" w:name="_Toc215589311"/>
      <w:r>
        <w:rPr>
          <w:rFonts w:eastAsia="Times New Roman"/>
        </w:rPr>
        <w:t xml:space="preserve">Výsledky </w:t>
      </w:r>
      <w:proofErr w:type="spellStart"/>
      <w:r w:rsidR="00EF7DA7">
        <w:rPr>
          <w:rFonts w:eastAsia="Times New Roman"/>
        </w:rPr>
        <w:t>VaV</w:t>
      </w:r>
      <w:bookmarkEnd w:id="34"/>
      <w:proofErr w:type="spellEnd"/>
    </w:p>
    <w:p w14:paraId="1F3A8A08" w14:textId="77777777" w:rsidR="00C26286" w:rsidRPr="0025031E" w:rsidRDefault="00C26286" w:rsidP="009A3262">
      <w:pPr>
        <w:pStyle w:val="Obrzek-nadpis"/>
        <w:spacing w:before="0" w:after="0" w:line="360" w:lineRule="auto"/>
        <w:rPr>
          <w:rFonts w:cs="Arial"/>
        </w:rPr>
      </w:pPr>
      <w:r w:rsidRPr="0025031E">
        <w:rPr>
          <w:rFonts w:cs="Arial"/>
        </w:rPr>
        <w:t>Klíčové trendy</w:t>
      </w:r>
    </w:p>
    <w:p w14:paraId="47B1D7FC" w14:textId="77777777" w:rsidR="00FD1BF2" w:rsidRPr="00902BE8" w:rsidRDefault="00FD1BF2" w:rsidP="00FD1BF2">
      <w:pPr>
        <w:spacing w:after="120" w:line="360" w:lineRule="auto"/>
        <w:ind w:firstLine="709"/>
        <w:jc w:val="both"/>
        <w:rPr>
          <w:rFonts w:eastAsia="Times New Roman" w:cs="Arial"/>
          <w:bCs/>
          <w:lang w:eastAsia="cs-CZ"/>
        </w:rPr>
      </w:pPr>
      <w:bookmarkStart w:id="35" w:name="_Hlk143010046"/>
      <w:r w:rsidRPr="00902BE8">
        <w:rPr>
          <w:rFonts w:eastAsia="Times New Roman" w:cs="Arial"/>
          <w:bCs/>
          <w:lang w:eastAsia="cs-CZ"/>
        </w:rPr>
        <w:t>V roce 2024 vzniklo přes 45 tis. výsledků. Celkový počet výsledků sice vykazuje meziroční i dekádovou klesající tendenci, ale i tak je v ČR produkce výsledků poměrně vysoká – mezi lety 2020 až 2024 vzniklo v průměru více než 50,5 tis. výsledků ročně.</w:t>
      </w:r>
    </w:p>
    <w:bookmarkEnd w:id="35"/>
    <w:p w14:paraId="25129F1D" w14:textId="77777777" w:rsidR="00FD1BF2" w:rsidRPr="00EE1E6D" w:rsidRDefault="00FD1BF2" w:rsidP="00FD1BF2">
      <w:pPr>
        <w:pStyle w:val="Obrzek-nadpis"/>
        <w:spacing w:after="120"/>
      </w:pPr>
      <w:r w:rsidRPr="00EE1E6D">
        <w:t>Graf E.1.1: Vývoj počtu publikačních a nepublikačních výsledků v ČR</w:t>
      </w:r>
    </w:p>
    <w:p w14:paraId="566ED47B" w14:textId="77777777" w:rsidR="00FD1BF2" w:rsidRPr="00EE1E6D" w:rsidRDefault="00FD1BF2" w:rsidP="00FD1BF2">
      <w:pPr>
        <w:pStyle w:val="Obrzek-nadpis"/>
        <w:spacing w:after="0"/>
        <w:jc w:val="center"/>
      </w:pPr>
      <w:r w:rsidRPr="00EE1E6D">
        <w:rPr>
          <w:noProof/>
        </w:rPr>
        <w:drawing>
          <wp:inline distT="0" distB="0" distL="0" distR="0" wp14:anchorId="75FB7F3F" wp14:editId="4C4D7D9C">
            <wp:extent cx="6120130" cy="2748280"/>
            <wp:effectExtent l="0" t="0" r="0" b="0"/>
            <wp:docPr id="2068546268" name="Obrázek 1" descr="Obsah obrázku text, snímek obrazovky, Písmo, Paralelní&#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8546268" name="Obrázek 1" descr="Obsah obrázku text, snímek obrazovky, Písmo, Paralelní&#10;&#10;Obsah generovaný pomocí AI může být nesprávný."/>
                    <pic:cNvPicPr/>
                  </pic:nvPicPr>
                  <pic:blipFill>
                    <a:blip r:embed="rId65"/>
                    <a:stretch>
                      <a:fillRect/>
                    </a:stretch>
                  </pic:blipFill>
                  <pic:spPr>
                    <a:xfrm>
                      <a:off x="0" y="0"/>
                      <a:ext cx="6120130" cy="2748280"/>
                    </a:xfrm>
                    <a:prstGeom prst="rect">
                      <a:avLst/>
                    </a:prstGeom>
                  </pic:spPr>
                </pic:pic>
              </a:graphicData>
            </a:graphic>
          </wp:inline>
        </w:drawing>
      </w:r>
    </w:p>
    <w:p w14:paraId="74DA4E51" w14:textId="77777777" w:rsidR="00FD1BF2" w:rsidRPr="00EE1E6D" w:rsidRDefault="00FD1BF2" w:rsidP="00FD1BF2">
      <w:pPr>
        <w:pStyle w:val="Zdrojapoznmka"/>
      </w:pPr>
      <w:r w:rsidRPr="00EE1E6D">
        <w:t xml:space="preserve">Zdroj: IS </w:t>
      </w:r>
      <w:proofErr w:type="spellStart"/>
      <w:r w:rsidRPr="00EE1E6D">
        <w:t>VaVaI</w:t>
      </w:r>
      <w:proofErr w:type="spellEnd"/>
      <w:r w:rsidRPr="00EE1E6D">
        <w:t>, export dat 31. 10. 2025</w:t>
      </w:r>
    </w:p>
    <w:p w14:paraId="3B0E06A8" w14:textId="77777777" w:rsidR="00FD1BF2" w:rsidRPr="003F2F86" w:rsidRDefault="00FD1BF2" w:rsidP="00FD1BF2">
      <w:pPr>
        <w:spacing w:after="120" w:line="360" w:lineRule="auto"/>
        <w:ind w:firstLine="709"/>
        <w:jc w:val="both"/>
        <w:rPr>
          <w:rFonts w:eastAsia="Times New Roman" w:cs="Arial"/>
          <w:bCs/>
          <w:lang w:eastAsia="cs-CZ"/>
        </w:rPr>
      </w:pPr>
      <w:r w:rsidRPr="003F2F86">
        <w:rPr>
          <w:rFonts w:eastAsia="Times New Roman" w:cs="Arial"/>
          <w:bCs/>
          <w:lang w:eastAsia="cs-CZ"/>
        </w:rPr>
        <w:t>V posledních pěti letech tvořil podíl publikačních výsledků 76 %. Zbylou čtvrtinu tvořily tzv. nepublikační výsledky, které lze dále členit na tzv. aplikované a ostatní (přehled typů výsledků, viz příloha P.E.1.A).</w:t>
      </w:r>
    </w:p>
    <w:p w14:paraId="24222D28" w14:textId="77777777" w:rsidR="00FD1BF2" w:rsidRPr="003F2F86" w:rsidRDefault="00FD1BF2" w:rsidP="00FD1BF2">
      <w:pPr>
        <w:spacing w:after="240" w:line="360" w:lineRule="auto"/>
        <w:ind w:firstLine="708"/>
        <w:jc w:val="both"/>
        <w:rPr>
          <w:rFonts w:eastAsia="Times New Roman" w:cs="Arial"/>
          <w:bCs/>
          <w:lang w:eastAsia="cs-CZ"/>
        </w:rPr>
      </w:pPr>
      <w:r w:rsidRPr="007B06EF">
        <w:rPr>
          <w:rFonts w:eastAsia="Times New Roman" w:cs="Arial"/>
          <w:bCs/>
          <w:lang w:eastAsia="cs-CZ"/>
        </w:rPr>
        <w:t>Na poklesu celkového počtu výsledků se podílel především úbytek publikačních výsledků. V souvislosti se zavedením Metodiky 2017+ znatelně klesá produkce výsledků typu článek ve sborníku (D) a kapitola v knize</w:t>
      </w:r>
      <w:r w:rsidRPr="007B06EF">
        <w:rPr>
          <w:rFonts w:eastAsia="Times New Roman" w:cs="Arial"/>
          <w:bCs/>
          <w:i/>
          <w:iCs/>
          <w:lang w:eastAsia="cs-CZ"/>
        </w:rPr>
        <w:t xml:space="preserve"> </w:t>
      </w:r>
      <w:r w:rsidRPr="007B06EF">
        <w:rPr>
          <w:rFonts w:eastAsia="Times New Roman" w:cs="Arial"/>
          <w:bCs/>
          <w:lang w:eastAsia="cs-CZ"/>
        </w:rPr>
        <w:t>(C), v porovnávaných letech 2020 a 2024 u uvedených druhů téměř o třetinu (viz příloha P.E.1.B).</w:t>
      </w:r>
      <w:r w:rsidRPr="003F2F86">
        <w:rPr>
          <w:rFonts w:eastAsia="Times New Roman" w:cs="Arial"/>
          <w:bCs/>
          <w:lang w:eastAsia="cs-CZ"/>
        </w:rPr>
        <w:t xml:space="preserve"> Pokles produkce výsledků je možné sledovat také u tzv. nepublikačních výsledků, a to především u výsledků druhu výzkumná zpráva (V) a certifikovaná metodika, léčebný postup a specializovaná mapa (N), (viz příloha P.E.1.C).</w:t>
      </w:r>
    </w:p>
    <w:p w14:paraId="4E2B0E01" w14:textId="77777777" w:rsidR="00FD1BF2" w:rsidRPr="00A35AC6" w:rsidRDefault="00FD1BF2" w:rsidP="00FD1BF2">
      <w:pPr>
        <w:spacing w:after="120" w:line="360" w:lineRule="auto"/>
        <w:ind w:firstLine="709"/>
        <w:jc w:val="both"/>
        <w:rPr>
          <w:rFonts w:eastAsia="Times New Roman" w:cs="Arial"/>
          <w:bCs/>
          <w:lang w:eastAsia="cs-CZ"/>
        </w:rPr>
      </w:pPr>
      <w:r w:rsidRPr="00A35AC6">
        <w:rPr>
          <w:rFonts w:eastAsia="Times New Roman" w:cs="Arial"/>
          <w:bCs/>
          <w:lang w:eastAsia="cs-CZ"/>
        </w:rPr>
        <w:t xml:space="preserve">Z mezinárodního srovnání </w:t>
      </w:r>
      <w:r w:rsidRPr="00A35AC6">
        <w:t>Zprávy o výkonnosti EU v oblasti vědy, výzkumu a inovací</w:t>
      </w:r>
      <w:r w:rsidRPr="00A35AC6">
        <w:rPr>
          <w:rFonts w:eastAsia="Times New Roman" w:cs="Arial"/>
          <w:bCs/>
          <w:lang w:eastAsia="cs-CZ"/>
        </w:rPr>
        <w:t xml:space="preserve"> (SRIP, 2024) vyplývá, že v ČR se v předchozích letech u publikačních výsledků prosazovala </w:t>
      </w:r>
      <w:r w:rsidRPr="00A35AC6">
        <w:rPr>
          <w:rFonts w:eastAsia="Times New Roman" w:cs="Arial"/>
          <w:bCs/>
          <w:lang w:eastAsia="cs-CZ"/>
        </w:rPr>
        <w:lastRenderedPageBreak/>
        <w:t xml:space="preserve">kvantita (podíl na celkové produkci vědeckých publikací vyjádřený v %) nad kvalitou (podíl v top 10 % nejcitovanějších vědeckých publikací vyjádřený v %). Díky zavedení Metodiky 2017+ (konkrétně Modul 1) lze očekávat redukci této tendence, neboť je jí kladen stále větší důraz na excelentní výzkum, tj. mimo jiné na publikaci v kvalitních a mezinárodně uznávaných periodikách s nadprůměrným vlivem dle ukazatele </w:t>
      </w:r>
      <w:proofErr w:type="spellStart"/>
      <w:r w:rsidRPr="00A35AC6">
        <w:rPr>
          <w:rFonts w:cs="Arial"/>
        </w:rPr>
        <w:t>Article</w:t>
      </w:r>
      <w:proofErr w:type="spellEnd"/>
      <w:r w:rsidRPr="00A35AC6">
        <w:rPr>
          <w:rFonts w:cs="Arial"/>
        </w:rPr>
        <w:t xml:space="preserve"> Influence </w:t>
      </w:r>
      <w:proofErr w:type="spellStart"/>
      <w:r w:rsidRPr="00A35AC6">
        <w:rPr>
          <w:rFonts w:cs="Arial"/>
        </w:rPr>
        <w:t>Score</w:t>
      </w:r>
      <w:proofErr w:type="spellEnd"/>
      <w:r w:rsidRPr="00A35AC6">
        <w:rPr>
          <w:rFonts w:eastAsia="Times New Roman" w:cs="Arial"/>
          <w:bCs/>
          <w:lang w:eastAsia="cs-CZ"/>
        </w:rPr>
        <w:t xml:space="preserve"> (AIS).</w:t>
      </w:r>
    </w:p>
    <w:p w14:paraId="64C51839" w14:textId="77777777" w:rsidR="00FD1BF2" w:rsidRPr="00DC64B4" w:rsidRDefault="00FD1BF2" w:rsidP="00FD1BF2">
      <w:pPr>
        <w:spacing w:after="120" w:line="360" w:lineRule="auto"/>
        <w:ind w:firstLine="709"/>
        <w:jc w:val="both"/>
        <w:rPr>
          <w:rFonts w:eastAsia="Times New Roman" w:cs="Arial"/>
          <w:bCs/>
          <w:lang w:eastAsia="cs-CZ"/>
        </w:rPr>
      </w:pPr>
      <w:r w:rsidRPr="00DC64B4">
        <w:rPr>
          <w:rFonts w:eastAsia="Times New Roman" w:cs="Arial"/>
          <w:bCs/>
          <w:lang w:eastAsia="cs-CZ"/>
        </w:rPr>
        <w:t xml:space="preserve">Dlouhodobě je možné spatřovat nízký, stabilně čtvrtinový poměr nepublikačních výsledků k celkovému počtu výsledků. Např. podíl výsledků se zvláštní právní ochranou, konkrétně patentů (P), se ve období mezi lety 2020 až 2024 pohyboval v průměrném </w:t>
      </w:r>
      <w:r w:rsidRPr="003612C2">
        <w:rPr>
          <w:rFonts w:eastAsia="Times New Roman" w:cs="Arial"/>
          <w:bCs/>
          <w:lang w:eastAsia="cs-CZ"/>
        </w:rPr>
        <w:t>počtu 260 za rok.</w:t>
      </w:r>
    </w:p>
    <w:p w14:paraId="1B77B05F" w14:textId="01C880E5" w:rsidR="00C26286" w:rsidRPr="00FE595E" w:rsidRDefault="00C26286" w:rsidP="00A03F55">
      <w:pPr>
        <w:pStyle w:val="Obrzek-nadpis"/>
        <w:spacing w:before="0" w:after="120" w:line="360" w:lineRule="auto"/>
        <w:rPr>
          <w:rFonts w:cs="Arial"/>
        </w:rPr>
      </w:pPr>
      <w:r w:rsidRPr="00FE595E">
        <w:rPr>
          <w:rFonts w:cs="Arial"/>
        </w:rPr>
        <w:t xml:space="preserve">Výsledky dle typu </w:t>
      </w:r>
      <w:r w:rsidR="00CE12DC">
        <w:rPr>
          <w:rFonts w:cs="Arial"/>
        </w:rPr>
        <w:t>VO</w:t>
      </w:r>
    </w:p>
    <w:p w14:paraId="1DF2182C" w14:textId="77777777" w:rsidR="00FD1BF2" w:rsidRPr="00BF445D" w:rsidRDefault="00FD1BF2" w:rsidP="00FD1BF2">
      <w:pPr>
        <w:spacing w:after="240" w:line="360" w:lineRule="auto"/>
        <w:ind w:firstLine="708"/>
        <w:jc w:val="both"/>
        <w:rPr>
          <w:rFonts w:eastAsia="Times New Roman" w:cs="Arial"/>
          <w:bCs/>
          <w:lang w:eastAsia="cs-CZ"/>
        </w:rPr>
      </w:pPr>
      <w:r w:rsidRPr="00BF445D">
        <w:rPr>
          <w:rFonts w:eastAsia="Times New Roman" w:cs="Arial"/>
          <w:bCs/>
          <w:lang w:eastAsia="cs-CZ"/>
        </w:rPr>
        <w:t xml:space="preserve">V roce 2024 bylo publikováno 26,2 tis. recenzovaných odborných článků (J), přes 85 % z nich v časopisech indexovaných v databázích </w:t>
      </w:r>
      <w:proofErr w:type="spellStart"/>
      <w:r w:rsidRPr="00BF445D">
        <w:rPr>
          <w:rFonts w:eastAsia="Times New Roman" w:cs="Arial"/>
          <w:bCs/>
          <w:lang w:eastAsia="cs-CZ"/>
        </w:rPr>
        <w:t>WoS</w:t>
      </w:r>
      <w:proofErr w:type="spellEnd"/>
      <w:r w:rsidRPr="00BF445D">
        <w:rPr>
          <w:rFonts w:eastAsia="Times New Roman" w:cs="Arial"/>
          <w:bCs/>
          <w:lang w:eastAsia="cs-CZ"/>
        </w:rPr>
        <w:t xml:space="preserve"> či </w:t>
      </w:r>
      <w:proofErr w:type="spellStart"/>
      <w:r w:rsidRPr="00BF445D">
        <w:rPr>
          <w:rFonts w:eastAsia="Times New Roman" w:cs="Arial"/>
          <w:bCs/>
          <w:lang w:eastAsia="cs-CZ"/>
        </w:rPr>
        <w:t>Scopus</w:t>
      </w:r>
      <w:proofErr w:type="spellEnd"/>
      <w:r w:rsidRPr="00BF445D">
        <w:rPr>
          <w:rFonts w:eastAsia="Times New Roman" w:cs="Arial"/>
          <w:bCs/>
          <w:lang w:eastAsia="cs-CZ"/>
        </w:rPr>
        <w:t xml:space="preserve">. Největším producentem jsou VŠ (tj. přes 21,1 tis.), vysoký podíl své produkce článků v periodikách indexovaných ve </w:t>
      </w:r>
      <w:proofErr w:type="spellStart"/>
      <w:r w:rsidRPr="00BF445D">
        <w:rPr>
          <w:rFonts w:eastAsia="Times New Roman" w:cs="Arial"/>
          <w:bCs/>
          <w:lang w:eastAsia="cs-CZ"/>
        </w:rPr>
        <w:t>WoS</w:t>
      </w:r>
      <w:proofErr w:type="spellEnd"/>
      <w:r w:rsidRPr="00BF445D">
        <w:rPr>
          <w:rFonts w:eastAsia="Times New Roman" w:cs="Arial"/>
          <w:bCs/>
          <w:lang w:eastAsia="cs-CZ"/>
        </w:rPr>
        <w:t xml:space="preserve"> nebo </w:t>
      </w:r>
      <w:proofErr w:type="spellStart"/>
      <w:r w:rsidRPr="00BF445D">
        <w:rPr>
          <w:rFonts w:eastAsia="Times New Roman" w:cs="Arial"/>
          <w:bCs/>
          <w:lang w:eastAsia="cs-CZ"/>
        </w:rPr>
        <w:t>Scopus</w:t>
      </w:r>
      <w:proofErr w:type="spellEnd"/>
      <w:r w:rsidRPr="00BF445D">
        <w:rPr>
          <w:rFonts w:eastAsia="Times New Roman" w:cs="Arial"/>
          <w:bCs/>
          <w:lang w:eastAsia="cs-CZ"/>
        </w:rPr>
        <w:t xml:space="preserve"> mají dle očekávání také ústavy AV ČR (95 % z 5,4 tis.), naopak nejnižší má skupina PF (tj. podniky, 64 % z 0,4 tis.).</w:t>
      </w:r>
    </w:p>
    <w:p w14:paraId="70FB5355" w14:textId="77777777" w:rsidR="00FD1BF2" w:rsidRPr="00EE1E6D" w:rsidRDefault="00FD1BF2" w:rsidP="00FD1BF2">
      <w:pPr>
        <w:pStyle w:val="Obrzek-nadpis"/>
      </w:pPr>
      <w:r w:rsidRPr="00EE1E6D">
        <w:t>Graf E.1.2: Struktura výsledků druhu J dle výskytu periodika (rok 2024)</w:t>
      </w:r>
    </w:p>
    <w:p w14:paraId="74B8E1FB" w14:textId="77777777" w:rsidR="00FD1BF2" w:rsidRPr="00EE1E6D" w:rsidRDefault="00FD1BF2" w:rsidP="00FD1BF2">
      <w:pPr>
        <w:spacing w:after="0" w:line="360" w:lineRule="auto"/>
        <w:jc w:val="both"/>
        <w:rPr>
          <w:rFonts w:eastAsia="Times New Roman" w:cs="Arial"/>
          <w:bCs/>
          <w:lang w:eastAsia="cs-CZ"/>
        </w:rPr>
      </w:pPr>
      <w:r w:rsidRPr="00EE1E6D">
        <w:rPr>
          <w:noProof/>
        </w:rPr>
        <w:drawing>
          <wp:inline distT="0" distB="0" distL="0" distR="0" wp14:anchorId="1B399C2C" wp14:editId="0C29027B">
            <wp:extent cx="6120130" cy="1980000"/>
            <wp:effectExtent l="0" t="0" r="0" b="0"/>
            <wp:docPr id="345925025" name="Graf 1">
              <a:extLst xmlns:a="http://schemas.openxmlformats.org/drawingml/2006/main">
                <a:ext uri="{FF2B5EF4-FFF2-40B4-BE49-F238E27FC236}">
                  <a16:creationId xmlns:a16="http://schemas.microsoft.com/office/drawing/2014/main" id="{00000000-0008-0000-04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14:paraId="73C24EFE" w14:textId="77777777" w:rsidR="00FD1BF2" w:rsidRPr="00BF445D" w:rsidRDefault="00FD1BF2" w:rsidP="00FD1BF2">
      <w:pPr>
        <w:pStyle w:val="Zdrojapoznmka"/>
        <w:spacing w:before="0" w:after="120"/>
      </w:pPr>
      <w:r w:rsidRPr="00BF445D">
        <w:t xml:space="preserve">Zdroj: IS </w:t>
      </w:r>
      <w:proofErr w:type="spellStart"/>
      <w:r w:rsidRPr="00BF445D">
        <w:t>VaVaI</w:t>
      </w:r>
      <w:proofErr w:type="spellEnd"/>
      <w:r w:rsidRPr="00BF445D">
        <w:t>, export dat 31. 10. 2025</w:t>
      </w:r>
    </w:p>
    <w:p w14:paraId="005D6D60" w14:textId="77777777" w:rsidR="00FD1BF2" w:rsidRPr="00BF445D" w:rsidRDefault="00FD1BF2" w:rsidP="00FD1BF2">
      <w:pPr>
        <w:pStyle w:val="Zdrojapoznmka"/>
        <w:spacing w:before="0"/>
        <w:rPr>
          <w:rFonts w:cs="Arial"/>
        </w:rPr>
      </w:pPr>
      <w:r w:rsidRPr="00BF445D">
        <w:t xml:space="preserve">Struktura výsledků druhu J obsahuje data s rokem uplatnění 2024. Horní část sloupcových grafů vyjadřuje podíl článků publikovaných v indexovaných časopisech </w:t>
      </w:r>
      <w:proofErr w:type="spellStart"/>
      <w:r w:rsidRPr="00BF445D">
        <w:t>WoS</w:t>
      </w:r>
      <w:proofErr w:type="spellEnd"/>
      <w:r w:rsidRPr="00BF445D">
        <w:t xml:space="preserve"> nebo </w:t>
      </w:r>
      <w:proofErr w:type="spellStart"/>
      <w:r w:rsidRPr="00BF445D">
        <w:t>Scopus</w:t>
      </w:r>
      <w:proofErr w:type="spellEnd"/>
      <w:r w:rsidRPr="00BF445D">
        <w:t>, spodní část vyjadřuje podíl článků publikovaných v ostatních recenzovaných periodikách.</w:t>
      </w:r>
    </w:p>
    <w:p w14:paraId="46501025" w14:textId="395C3742" w:rsidR="00FD1BF2" w:rsidRPr="00E427B3" w:rsidRDefault="00FD1BF2" w:rsidP="00FD1BF2">
      <w:pPr>
        <w:spacing w:after="120" w:line="360" w:lineRule="auto"/>
        <w:ind w:firstLine="708"/>
        <w:jc w:val="both"/>
        <w:rPr>
          <w:rFonts w:eastAsia="Times New Roman" w:cs="Arial"/>
          <w:bCs/>
          <w:lang w:eastAsia="cs-CZ"/>
        </w:rPr>
      </w:pPr>
      <w:r w:rsidRPr="00E427B3">
        <w:rPr>
          <w:rFonts w:eastAsia="Times New Roman" w:cs="Arial"/>
          <w:bCs/>
          <w:lang w:eastAsia="cs-CZ"/>
        </w:rPr>
        <w:t>Největším producentem nepublikačních aplikovaných výsledků jsou dle očekávání subjekty PF (tj. převážně podniky), a to především díky produkci výsledků druhů prototyp, funkční vzorek (G) a poloprovoz (Z). Druhým největším producentem jsou VŠ, ty se nejvíce soustředily na</w:t>
      </w:r>
      <w:r w:rsidR="004E355B">
        <w:rPr>
          <w:rFonts w:eastAsia="Times New Roman" w:cs="Arial"/>
          <w:bCs/>
          <w:lang w:eastAsia="cs-CZ"/>
        </w:rPr>
        <w:t> </w:t>
      </w:r>
      <w:r w:rsidRPr="00E427B3">
        <w:rPr>
          <w:rFonts w:eastAsia="Times New Roman" w:cs="Arial"/>
          <w:bCs/>
          <w:lang w:eastAsia="cs-CZ"/>
        </w:rPr>
        <w:t>produkci výsledků druhů prototyp výzkumná zpráva (V) a funkční vzorek (G). Subjekty ze</w:t>
      </w:r>
      <w:r w:rsidR="004E355B">
        <w:rPr>
          <w:rFonts w:eastAsia="Times New Roman" w:cs="Arial"/>
          <w:bCs/>
          <w:lang w:eastAsia="cs-CZ"/>
        </w:rPr>
        <w:t> </w:t>
      </w:r>
      <w:r w:rsidRPr="00E427B3">
        <w:rPr>
          <w:rFonts w:eastAsia="Times New Roman" w:cs="Arial"/>
          <w:bCs/>
          <w:lang w:eastAsia="cs-CZ"/>
        </w:rPr>
        <w:t>skupiny SP, kterou tvoří především tzv. resortní VO, soustředily svou produkci nejvíce do druhu výsledků certifikovaná metodika, léčebný postup a specializovaná mapa (N). Ústavy AV ČR vytvořily v souhrnném počtu nejméně aplikovaných výsledků a svou produkci soustředily do druhů výsledků prototyp a funkční vzorek (G).</w:t>
      </w:r>
    </w:p>
    <w:p w14:paraId="04B27B9B" w14:textId="77777777" w:rsidR="00FD1BF2" w:rsidRPr="00EE1E6D" w:rsidRDefault="00FD1BF2" w:rsidP="00FD1BF2">
      <w:pPr>
        <w:pStyle w:val="Obrzek-nadpis"/>
      </w:pPr>
      <w:r w:rsidRPr="00EE1E6D">
        <w:lastRenderedPageBreak/>
        <w:t>Graf E.1.3: Struktura aplikovaných výsledků (rok 2024)</w:t>
      </w:r>
    </w:p>
    <w:p w14:paraId="4E3CA447" w14:textId="77777777" w:rsidR="00FD1BF2" w:rsidRPr="00EE1E6D" w:rsidRDefault="00FD1BF2" w:rsidP="00FD1BF2">
      <w:pPr>
        <w:pStyle w:val="Zdrojapoznmka"/>
        <w:jc w:val="center"/>
      </w:pPr>
      <w:r w:rsidRPr="00EE1E6D">
        <w:rPr>
          <w:noProof/>
        </w:rPr>
        <w:drawing>
          <wp:inline distT="0" distB="0" distL="0" distR="0" wp14:anchorId="2753A7CE" wp14:editId="1874BABC">
            <wp:extent cx="6120000" cy="3615978"/>
            <wp:effectExtent l="0" t="0" r="0" b="3810"/>
            <wp:docPr id="119853165" name="Obrázek 1" descr="Obsah obrázku text, snímek obrazovky, design&#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853165" name="Obrázek 1" descr="Obsah obrázku text, snímek obrazovky, design&#10;&#10;Obsah generovaný pomocí AI může být nesprávný."/>
                    <pic:cNvPicPr/>
                  </pic:nvPicPr>
                  <pic:blipFill>
                    <a:blip r:embed="rId67"/>
                    <a:stretch>
                      <a:fillRect/>
                    </a:stretch>
                  </pic:blipFill>
                  <pic:spPr>
                    <a:xfrm>
                      <a:off x="0" y="0"/>
                      <a:ext cx="6120000" cy="3615978"/>
                    </a:xfrm>
                    <a:prstGeom prst="rect">
                      <a:avLst/>
                    </a:prstGeom>
                  </pic:spPr>
                </pic:pic>
              </a:graphicData>
            </a:graphic>
          </wp:inline>
        </w:drawing>
      </w:r>
    </w:p>
    <w:p w14:paraId="07770FC3" w14:textId="77777777" w:rsidR="00FD1BF2" w:rsidRPr="00EE1E6D" w:rsidRDefault="00FD1BF2" w:rsidP="00FD1BF2">
      <w:pPr>
        <w:pStyle w:val="Zdrojapoznmka"/>
        <w:spacing w:before="240" w:after="120"/>
      </w:pPr>
      <w:r w:rsidRPr="00EE1E6D">
        <w:t xml:space="preserve">Zdroj: IS </w:t>
      </w:r>
      <w:proofErr w:type="spellStart"/>
      <w:r w:rsidRPr="00EE1E6D">
        <w:t>VaVaI</w:t>
      </w:r>
      <w:proofErr w:type="spellEnd"/>
      <w:r w:rsidRPr="00EE1E6D">
        <w:t xml:space="preserve">, export dat 31. 10. 2025 </w:t>
      </w:r>
    </w:p>
    <w:p w14:paraId="7DA468C1" w14:textId="77777777" w:rsidR="00FD1BF2" w:rsidRPr="00EE1E6D" w:rsidRDefault="00FD1BF2" w:rsidP="00FD1BF2">
      <w:pPr>
        <w:pStyle w:val="Zdrojapoznmka"/>
        <w:spacing w:before="0" w:line="276" w:lineRule="auto"/>
        <w:rPr>
          <w:rFonts w:cs="Arial"/>
          <w:bCs/>
        </w:rPr>
      </w:pPr>
      <w:r w:rsidRPr="00EE1E6D">
        <w:t>V popisu názvu kategorie VO jsou v závorkách uvedeny absolutní počty výsledků pro aplikované výsledky bez H, S, T a I (druhy výsledků viz příloha P.E.1.A).</w:t>
      </w:r>
    </w:p>
    <w:p w14:paraId="18321DB6" w14:textId="77777777" w:rsidR="001325FE" w:rsidRPr="00216BA4" w:rsidRDefault="001325FE" w:rsidP="001325FE">
      <w:pPr>
        <w:pStyle w:val="Obrzek-nadpis"/>
        <w:spacing w:after="0" w:line="360" w:lineRule="auto"/>
        <w:rPr>
          <w:rFonts w:cs="Arial"/>
        </w:rPr>
      </w:pPr>
      <w:r w:rsidRPr="00216BA4">
        <w:rPr>
          <w:rFonts w:cs="Arial"/>
        </w:rPr>
        <w:t>Výsledky dle oborové klasifikace</w:t>
      </w:r>
    </w:p>
    <w:p w14:paraId="344BA59E" w14:textId="77777777" w:rsidR="00FD1BF2" w:rsidRPr="00263F60" w:rsidRDefault="00FD1BF2" w:rsidP="00FD1BF2">
      <w:pPr>
        <w:spacing w:after="240" w:line="360" w:lineRule="auto"/>
        <w:ind w:firstLine="708"/>
        <w:jc w:val="both"/>
        <w:rPr>
          <w:rFonts w:eastAsia="Times New Roman" w:cs="Arial"/>
          <w:bCs/>
          <w:lang w:eastAsia="cs-CZ"/>
        </w:rPr>
      </w:pPr>
      <w:r w:rsidRPr="00263F60">
        <w:rPr>
          <w:rFonts w:eastAsia="Times New Roman" w:cs="Arial"/>
          <w:bCs/>
          <w:lang w:eastAsia="cs-CZ"/>
        </w:rPr>
        <w:t xml:space="preserve">V roce 2024 vznikl v ČR největší podíl výsledků opět v oborových skupinách FORD Natural </w:t>
      </w:r>
      <w:proofErr w:type="spellStart"/>
      <w:r w:rsidRPr="00263F60">
        <w:rPr>
          <w:rFonts w:eastAsia="Times New Roman" w:cs="Arial"/>
          <w:bCs/>
          <w:lang w:eastAsia="cs-CZ"/>
        </w:rPr>
        <w:t>Sciences</w:t>
      </w:r>
      <w:proofErr w:type="spellEnd"/>
      <w:r w:rsidRPr="00263F60">
        <w:rPr>
          <w:rFonts w:eastAsia="Times New Roman" w:cs="Arial"/>
          <w:bCs/>
          <w:lang w:eastAsia="cs-CZ"/>
        </w:rPr>
        <w:t xml:space="preserve"> (14,9 tis.), </w:t>
      </w:r>
      <w:proofErr w:type="spellStart"/>
      <w:r w:rsidRPr="00263F60">
        <w:rPr>
          <w:rFonts w:eastAsia="Times New Roman" w:cs="Arial"/>
          <w:bCs/>
          <w:lang w:eastAsia="cs-CZ"/>
        </w:rPr>
        <w:t>Engineering</w:t>
      </w:r>
      <w:proofErr w:type="spellEnd"/>
      <w:r w:rsidRPr="00263F60">
        <w:rPr>
          <w:rFonts w:eastAsia="Times New Roman" w:cs="Arial"/>
          <w:bCs/>
          <w:lang w:eastAsia="cs-CZ"/>
        </w:rPr>
        <w:t xml:space="preserve"> and Technology (7,9 tis.) a s mírným odstupem pak ve skupině </w:t>
      </w:r>
      <w:proofErr w:type="spellStart"/>
      <w:r w:rsidRPr="00263F60">
        <w:rPr>
          <w:rFonts w:eastAsia="Times New Roman" w:cs="Arial"/>
          <w:bCs/>
          <w:lang w:eastAsia="cs-CZ"/>
        </w:rPr>
        <w:t>Social</w:t>
      </w:r>
      <w:proofErr w:type="spellEnd"/>
      <w:r w:rsidRPr="00263F60">
        <w:rPr>
          <w:rFonts w:eastAsia="Times New Roman" w:cs="Arial"/>
          <w:bCs/>
          <w:lang w:eastAsia="cs-CZ"/>
        </w:rPr>
        <w:t xml:space="preserve"> </w:t>
      </w:r>
      <w:proofErr w:type="spellStart"/>
      <w:r w:rsidRPr="00263F60">
        <w:rPr>
          <w:rFonts w:eastAsia="Times New Roman" w:cs="Arial"/>
          <w:bCs/>
          <w:lang w:eastAsia="cs-CZ"/>
        </w:rPr>
        <w:t>Sciences</w:t>
      </w:r>
      <w:proofErr w:type="spellEnd"/>
      <w:r w:rsidRPr="00263F60">
        <w:rPr>
          <w:rFonts w:eastAsia="Times New Roman" w:cs="Arial"/>
          <w:bCs/>
          <w:lang w:eastAsia="cs-CZ"/>
        </w:rPr>
        <w:t xml:space="preserve"> (7,3 tis.). Středně velkými skupinami jsou </w:t>
      </w:r>
      <w:proofErr w:type="spellStart"/>
      <w:r w:rsidRPr="00263F60">
        <w:rPr>
          <w:rFonts w:eastAsia="Times New Roman" w:cs="Arial"/>
          <w:bCs/>
          <w:lang w:eastAsia="cs-CZ"/>
        </w:rPr>
        <w:t>Medical</w:t>
      </w:r>
      <w:proofErr w:type="spellEnd"/>
      <w:r w:rsidRPr="00263F60">
        <w:rPr>
          <w:rFonts w:eastAsia="Times New Roman" w:cs="Arial"/>
          <w:bCs/>
          <w:lang w:eastAsia="cs-CZ"/>
        </w:rPr>
        <w:t xml:space="preserve"> and </w:t>
      </w:r>
      <w:proofErr w:type="spellStart"/>
      <w:r w:rsidRPr="00263F60">
        <w:rPr>
          <w:rFonts w:eastAsia="Times New Roman" w:cs="Arial"/>
          <w:bCs/>
          <w:lang w:eastAsia="cs-CZ"/>
        </w:rPr>
        <w:t>Health</w:t>
      </w:r>
      <w:proofErr w:type="spellEnd"/>
      <w:r w:rsidRPr="00263F60">
        <w:rPr>
          <w:rFonts w:eastAsia="Times New Roman" w:cs="Arial"/>
          <w:bCs/>
          <w:lang w:eastAsia="cs-CZ"/>
        </w:rPr>
        <w:t xml:space="preserve"> </w:t>
      </w:r>
      <w:proofErr w:type="spellStart"/>
      <w:r w:rsidRPr="00263F60">
        <w:rPr>
          <w:rFonts w:eastAsia="Times New Roman" w:cs="Arial"/>
          <w:bCs/>
          <w:lang w:eastAsia="cs-CZ"/>
        </w:rPr>
        <w:t>Sciences</w:t>
      </w:r>
      <w:proofErr w:type="spellEnd"/>
      <w:r w:rsidRPr="00263F60">
        <w:rPr>
          <w:rFonts w:eastAsia="Times New Roman" w:cs="Arial"/>
          <w:bCs/>
          <w:lang w:eastAsia="cs-CZ"/>
        </w:rPr>
        <w:t xml:space="preserve"> (5,9 tis.) a </w:t>
      </w:r>
      <w:proofErr w:type="spellStart"/>
      <w:r w:rsidRPr="00263F60">
        <w:rPr>
          <w:rFonts w:eastAsia="Times New Roman" w:cs="Arial"/>
          <w:bCs/>
          <w:lang w:eastAsia="cs-CZ"/>
        </w:rPr>
        <w:t>Humanities</w:t>
      </w:r>
      <w:proofErr w:type="spellEnd"/>
      <w:r w:rsidRPr="00263F60">
        <w:rPr>
          <w:rFonts w:eastAsia="Times New Roman" w:cs="Arial"/>
          <w:bCs/>
          <w:lang w:eastAsia="cs-CZ"/>
        </w:rPr>
        <w:t xml:space="preserve"> and </w:t>
      </w:r>
      <w:proofErr w:type="spellStart"/>
      <w:r w:rsidRPr="00263F60">
        <w:rPr>
          <w:rFonts w:eastAsia="Times New Roman" w:cs="Arial"/>
          <w:bCs/>
          <w:lang w:eastAsia="cs-CZ"/>
        </w:rPr>
        <w:t>the</w:t>
      </w:r>
      <w:proofErr w:type="spellEnd"/>
      <w:r w:rsidRPr="00263F60">
        <w:rPr>
          <w:rFonts w:eastAsia="Times New Roman" w:cs="Arial"/>
          <w:bCs/>
          <w:lang w:eastAsia="cs-CZ"/>
        </w:rPr>
        <w:t xml:space="preserve"> </w:t>
      </w:r>
      <w:proofErr w:type="spellStart"/>
      <w:r w:rsidRPr="00263F60">
        <w:rPr>
          <w:rFonts w:eastAsia="Times New Roman" w:cs="Arial"/>
          <w:bCs/>
          <w:lang w:eastAsia="cs-CZ"/>
        </w:rPr>
        <w:t>Arts</w:t>
      </w:r>
      <w:proofErr w:type="spellEnd"/>
      <w:r w:rsidRPr="00263F60">
        <w:rPr>
          <w:rFonts w:eastAsia="Times New Roman" w:cs="Arial"/>
          <w:bCs/>
          <w:lang w:eastAsia="cs-CZ"/>
        </w:rPr>
        <w:t xml:space="preserve"> (5,9 tis.). Skupinou s nejnižší produkcí výsledků za rok 2024 je </w:t>
      </w:r>
      <w:proofErr w:type="spellStart"/>
      <w:r w:rsidRPr="00263F60">
        <w:rPr>
          <w:rFonts w:eastAsia="Times New Roman" w:cs="Arial"/>
          <w:bCs/>
          <w:lang w:eastAsia="cs-CZ"/>
        </w:rPr>
        <w:t>Agricultural</w:t>
      </w:r>
      <w:proofErr w:type="spellEnd"/>
      <w:r w:rsidRPr="00263F60">
        <w:rPr>
          <w:rFonts w:eastAsia="Times New Roman" w:cs="Arial"/>
          <w:bCs/>
          <w:lang w:eastAsia="cs-CZ"/>
        </w:rPr>
        <w:t xml:space="preserve"> and </w:t>
      </w:r>
      <w:proofErr w:type="spellStart"/>
      <w:r w:rsidRPr="00263F60">
        <w:rPr>
          <w:rFonts w:eastAsia="Times New Roman" w:cs="Arial"/>
          <w:bCs/>
          <w:lang w:eastAsia="cs-CZ"/>
        </w:rPr>
        <w:t>Veterinary</w:t>
      </w:r>
      <w:proofErr w:type="spellEnd"/>
      <w:r w:rsidRPr="00263F60">
        <w:rPr>
          <w:rFonts w:eastAsia="Times New Roman" w:cs="Arial"/>
          <w:bCs/>
          <w:lang w:eastAsia="cs-CZ"/>
        </w:rPr>
        <w:t xml:space="preserve"> </w:t>
      </w:r>
      <w:proofErr w:type="spellStart"/>
      <w:r w:rsidRPr="00263F60">
        <w:rPr>
          <w:rFonts w:eastAsia="Times New Roman" w:cs="Arial"/>
          <w:bCs/>
          <w:lang w:eastAsia="cs-CZ"/>
        </w:rPr>
        <w:t>Sciences</w:t>
      </w:r>
      <w:proofErr w:type="spellEnd"/>
      <w:r w:rsidRPr="00263F60">
        <w:rPr>
          <w:rFonts w:eastAsia="Times New Roman" w:cs="Arial"/>
          <w:bCs/>
          <w:lang w:eastAsia="cs-CZ"/>
        </w:rPr>
        <w:t xml:space="preserve"> (3,2 tis.).</w:t>
      </w:r>
    </w:p>
    <w:p w14:paraId="5185389B" w14:textId="77777777" w:rsidR="00FD1BF2" w:rsidRPr="00EE1E6D" w:rsidRDefault="00FD1BF2" w:rsidP="00FD1BF2">
      <w:pPr>
        <w:pStyle w:val="Obrzek-nadpis"/>
      </w:pPr>
      <w:r w:rsidRPr="00EE1E6D">
        <w:lastRenderedPageBreak/>
        <w:t>Graf E.1.4: Publikační a nepublikační výsledky v ČR dle skupin oborů FORD (rok 2024)</w:t>
      </w:r>
    </w:p>
    <w:p w14:paraId="7ED9640D" w14:textId="77777777" w:rsidR="00FD1BF2" w:rsidRPr="00EE1E6D" w:rsidRDefault="00FD1BF2" w:rsidP="00FD1BF2">
      <w:pPr>
        <w:spacing w:after="0" w:line="360" w:lineRule="auto"/>
        <w:jc w:val="center"/>
        <w:rPr>
          <w:rFonts w:cs="Arial"/>
        </w:rPr>
      </w:pPr>
      <w:r w:rsidRPr="00EE1E6D">
        <w:rPr>
          <w:noProof/>
        </w:rPr>
        <w:drawing>
          <wp:inline distT="0" distB="0" distL="0" distR="0" wp14:anchorId="5C07D8AB" wp14:editId="340FF243">
            <wp:extent cx="6120130" cy="2880000"/>
            <wp:effectExtent l="0" t="0" r="0" b="0"/>
            <wp:docPr id="1446839319" name="Graf 1">
              <a:extLst xmlns:a="http://schemas.openxmlformats.org/drawingml/2006/main">
                <a:ext uri="{FF2B5EF4-FFF2-40B4-BE49-F238E27FC236}">
                  <a16:creationId xmlns:a16="http://schemas.microsoft.com/office/drawing/2014/main" id="{00000000-0008-0000-00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14:paraId="74E04D71" w14:textId="77777777" w:rsidR="00FD1BF2" w:rsidRPr="00EE1E6D" w:rsidRDefault="00FD1BF2" w:rsidP="00FD1BF2">
      <w:pPr>
        <w:pStyle w:val="Zdrojapoznmka"/>
        <w:spacing w:before="0"/>
      </w:pPr>
      <w:r w:rsidRPr="00EE1E6D">
        <w:t xml:space="preserve">Zdroj: IS </w:t>
      </w:r>
      <w:proofErr w:type="spellStart"/>
      <w:r w:rsidRPr="00EE1E6D">
        <w:t>VaVaI</w:t>
      </w:r>
      <w:proofErr w:type="spellEnd"/>
      <w:r w:rsidRPr="00EE1E6D">
        <w:t xml:space="preserve">, export dat </w:t>
      </w:r>
      <w:r>
        <w:t>3</w:t>
      </w:r>
      <w:r w:rsidRPr="00EE1E6D">
        <w:t>1. 10. 202</w:t>
      </w:r>
      <w:r>
        <w:t>5</w:t>
      </w:r>
    </w:p>
    <w:p w14:paraId="6C0D78BE" w14:textId="77777777" w:rsidR="00FD1BF2" w:rsidRPr="007B765F" w:rsidRDefault="00FD1BF2" w:rsidP="00FD1BF2">
      <w:pPr>
        <w:spacing w:after="120" w:line="360" w:lineRule="auto"/>
        <w:ind w:firstLine="708"/>
        <w:jc w:val="both"/>
        <w:rPr>
          <w:rFonts w:eastAsia="Times New Roman" w:cs="Arial"/>
          <w:bCs/>
          <w:lang w:eastAsia="cs-CZ"/>
        </w:rPr>
      </w:pPr>
      <w:r w:rsidRPr="007B765F">
        <w:rPr>
          <w:rFonts w:eastAsia="Times New Roman" w:cs="Arial"/>
          <w:bCs/>
          <w:lang w:eastAsia="cs-CZ"/>
        </w:rPr>
        <w:t xml:space="preserve">Dlouhodobě nejvyšší podíl nepublikačních výsledků je v ČR v oborových skupinách </w:t>
      </w:r>
      <w:proofErr w:type="spellStart"/>
      <w:r w:rsidRPr="007B765F">
        <w:rPr>
          <w:rFonts w:eastAsia="Times New Roman" w:cs="Arial"/>
          <w:bCs/>
          <w:lang w:eastAsia="cs-CZ"/>
        </w:rPr>
        <w:t>Agricultural</w:t>
      </w:r>
      <w:proofErr w:type="spellEnd"/>
      <w:r w:rsidRPr="007B765F">
        <w:rPr>
          <w:rFonts w:eastAsia="Times New Roman" w:cs="Arial"/>
          <w:bCs/>
          <w:lang w:eastAsia="cs-CZ"/>
        </w:rPr>
        <w:t xml:space="preserve"> </w:t>
      </w:r>
      <w:proofErr w:type="spellStart"/>
      <w:r w:rsidRPr="007B765F">
        <w:rPr>
          <w:rFonts w:eastAsia="Times New Roman" w:cs="Arial"/>
          <w:bCs/>
          <w:lang w:eastAsia="cs-CZ"/>
        </w:rPr>
        <w:t>Sciences</w:t>
      </w:r>
      <w:proofErr w:type="spellEnd"/>
      <w:r w:rsidRPr="007B765F">
        <w:rPr>
          <w:rFonts w:eastAsia="Times New Roman" w:cs="Arial"/>
          <w:bCs/>
          <w:lang w:eastAsia="cs-CZ"/>
        </w:rPr>
        <w:t xml:space="preserve"> a </w:t>
      </w:r>
      <w:proofErr w:type="spellStart"/>
      <w:r w:rsidRPr="007B765F">
        <w:rPr>
          <w:rFonts w:eastAsia="Times New Roman" w:cs="Arial"/>
          <w:bCs/>
          <w:lang w:eastAsia="cs-CZ"/>
        </w:rPr>
        <w:t>Engineering</w:t>
      </w:r>
      <w:proofErr w:type="spellEnd"/>
      <w:r w:rsidRPr="007B765F">
        <w:rPr>
          <w:rFonts w:eastAsia="Times New Roman" w:cs="Arial"/>
          <w:bCs/>
          <w:lang w:eastAsia="cs-CZ"/>
        </w:rPr>
        <w:t xml:space="preserve"> and Technology, naopak ve skupinách Natural </w:t>
      </w:r>
      <w:proofErr w:type="spellStart"/>
      <w:r w:rsidRPr="007B765F">
        <w:rPr>
          <w:rFonts w:eastAsia="Times New Roman" w:cs="Arial"/>
          <w:bCs/>
          <w:lang w:eastAsia="cs-CZ"/>
        </w:rPr>
        <w:t>Sciences</w:t>
      </w:r>
      <w:proofErr w:type="spellEnd"/>
      <w:r w:rsidRPr="007B765F">
        <w:rPr>
          <w:rFonts w:eastAsia="Times New Roman" w:cs="Arial"/>
          <w:bCs/>
          <w:lang w:eastAsia="cs-CZ"/>
        </w:rPr>
        <w:t xml:space="preserve"> a </w:t>
      </w:r>
      <w:proofErr w:type="spellStart"/>
      <w:r w:rsidRPr="007B765F">
        <w:rPr>
          <w:rFonts w:eastAsia="Times New Roman" w:cs="Arial"/>
          <w:bCs/>
          <w:lang w:eastAsia="cs-CZ"/>
        </w:rPr>
        <w:t>Medical</w:t>
      </w:r>
      <w:proofErr w:type="spellEnd"/>
      <w:r w:rsidRPr="007B765F">
        <w:rPr>
          <w:rFonts w:eastAsia="Times New Roman" w:cs="Arial"/>
          <w:bCs/>
          <w:lang w:eastAsia="cs-CZ"/>
        </w:rPr>
        <w:t xml:space="preserve"> and </w:t>
      </w:r>
      <w:proofErr w:type="spellStart"/>
      <w:r w:rsidRPr="007B765F">
        <w:rPr>
          <w:rFonts w:eastAsia="Times New Roman" w:cs="Arial"/>
          <w:bCs/>
          <w:lang w:eastAsia="cs-CZ"/>
        </w:rPr>
        <w:t>Health</w:t>
      </w:r>
      <w:proofErr w:type="spellEnd"/>
      <w:r w:rsidRPr="007B765F">
        <w:rPr>
          <w:rFonts w:eastAsia="Times New Roman" w:cs="Arial"/>
          <w:bCs/>
          <w:lang w:eastAsia="cs-CZ"/>
        </w:rPr>
        <w:t xml:space="preserve"> </w:t>
      </w:r>
      <w:proofErr w:type="spellStart"/>
      <w:r w:rsidRPr="007B765F">
        <w:rPr>
          <w:rFonts w:eastAsia="Times New Roman" w:cs="Arial"/>
          <w:bCs/>
          <w:lang w:eastAsia="cs-CZ"/>
        </w:rPr>
        <w:t>Sciences</w:t>
      </w:r>
      <w:proofErr w:type="spellEnd"/>
      <w:r w:rsidRPr="007B765F">
        <w:rPr>
          <w:rFonts w:eastAsia="Times New Roman" w:cs="Arial"/>
          <w:bCs/>
          <w:lang w:eastAsia="cs-CZ"/>
        </w:rPr>
        <w:t xml:space="preserve"> byl zaznamenán podíl nejnižší.</w:t>
      </w:r>
    </w:p>
    <w:p w14:paraId="5BDE0589" w14:textId="77777777" w:rsidR="00FD1BF2" w:rsidRPr="004C00A1" w:rsidRDefault="00FD1BF2" w:rsidP="00FD1BF2">
      <w:pPr>
        <w:spacing w:after="120" w:line="360" w:lineRule="auto"/>
        <w:ind w:firstLine="708"/>
        <w:jc w:val="both"/>
        <w:rPr>
          <w:rFonts w:cs="Arial"/>
        </w:rPr>
      </w:pPr>
      <w:r w:rsidRPr="004C00A1">
        <w:rPr>
          <w:rFonts w:cs="Arial"/>
        </w:rPr>
        <w:t xml:space="preserve">Největší podíl publikací indexovaných v databázi </w:t>
      </w:r>
      <w:proofErr w:type="spellStart"/>
      <w:r w:rsidRPr="004C00A1">
        <w:rPr>
          <w:rFonts w:cs="Arial"/>
        </w:rPr>
        <w:t>WoS</w:t>
      </w:r>
      <w:proofErr w:type="spellEnd"/>
      <w:r w:rsidRPr="004C00A1">
        <w:rPr>
          <w:rFonts w:cs="Arial"/>
        </w:rPr>
        <w:t xml:space="preserve"> vzniká v ČR v oborové skupině Natural </w:t>
      </w:r>
      <w:proofErr w:type="spellStart"/>
      <w:r w:rsidRPr="004C00A1">
        <w:rPr>
          <w:rFonts w:cs="Arial"/>
        </w:rPr>
        <w:t>Sciences</w:t>
      </w:r>
      <w:proofErr w:type="spellEnd"/>
      <w:r w:rsidRPr="004C00A1">
        <w:rPr>
          <w:rFonts w:cs="Arial"/>
        </w:rPr>
        <w:t xml:space="preserve">, s mírným odstupem je pak relativně vysoký počet publikací ve skupinách </w:t>
      </w:r>
      <w:proofErr w:type="spellStart"/>
      <w:r w:rsidRPr="004C00A1">
        <w:rPr>
          <w:rFonts w:cs="Arial"/>
        </w:rPr>
        <w:t>Engineering</w:t>
      </w:r>
      <w:proofErr w:type="spellEnd"/>
      <w:r w:rsidRPr="004C00A1">
        <w:rPr>
          <w:rFonts w:cs="Arial"/>
        </w:rPr>
        <w:t xml:space="preserve"> and Technology a </w:t>
      </w:r>
      <w:proofErr w:type="spellStart"/>
      <w:r w:rsidRPr="004C00A1">
        <w:rPr>
          <w:rFonts w:cs="Arial"/>
        </w:rPr>
        <w:t>Medical</w:t>
      </w:r>
      <w:proofErr w:type="spellEnd"/>
      <w:r w:rsidRPr="004C00A1">
        <w:rPr>
          <w:rFonts w:cs="Arial"/>
        </w:rPr>
        <w:t xml:space="preserve"> and </w:t>
      </w:r>
      <w:proofErr w:type="spellStart"/>
      <w:r w:rsidRPr="004C00A1">
        <w:rPr>
          <w:rFonts w:cs="Arial"/>
        </w:rPr>
        <w:t>Health</w:t>
      </w:r>
      <w:proofErr w:type="spellEnd"/>
      <w:r w:rsidRPr="004C00A1">
        <w:rPr>
          <w:rFonts w:cs="Arial"/>
        </w:rPr>
        <w:t xml:space="preserve"> </w:t>
      </w:r>
      <w:proofErr w:type="spellStart"/>
      <w:r w:rsidRPr="004C00A1">
        <w:rPr>
          <w:rFonts w:cs="Arial"/>
        </w:rPr>
        <w:t>Sciences</w:t>
      </w:r>
      <w:proofErr w:type="spellEnd"/>
      <w:r w:rsidRPr="004C00A1">
        <w:rPr>
          <w:rFonts w:cs="Arial"/>
        </w:rPr>
        <w:t xml:space="preserve"> (viz graf E.1.5 v pravém horním rohu). Ukazuje se, že relativně vysoká produkce publikačních výsledků v rámci skupiny </w:t>
      </w:r>
      <w:proofErr w:type="spellStart"/>
      <w:r w:rsidRPr="004C00A1">
        <w:rPr>
          <w:rFonts w:cs="Arial"/>
        </w:rPr>
        <w:t>Social</w:t>
      </w:r>
      <w:proofErr w:type="spellEnd"/>
      <w:r w:rsidRPr="004C00A1">
        <w:rPr>
          <w:rFonts w:cs="Arial"/>
        </w:rPr>
        <w:t xml:space="preserve"> </w:t>
      </w:r>
      <w:proofErr w:type="spellStart"/>
      <w:r w:rsidRPr="004C00A1">
        <w:rPr>
          <w:rFonts w:cs="Arial"/>
        </w:rPr>
        <w:t>Sciences</w:t>
      </w:r>
      <w:proofErr w:type="spellEnd"/>
      <w:r w:rsidRPr="004C00A1">
        <w:rPr>
          <w:rFonts w:cs="Arial"/>
        </w:rPr>
        <w:t xml:space="preserve"> se neodráží v počtu publikací indexovaných v databázi </w:t>
      </w:r>
      <w:proofErr w:type="spellStart"/>
      <w:r w:rsidRPr="004C00A1">
        <w:rPr>
          <w:rFonts w:cs="Arial"/>
        </w:rPr>
        <w:t>WoS</w:t>
      </w:r>
      <w:proofErr w:type="spellEnd"/>
      <w:r w:rsidRPr="004C00A1">
        <w:rPr>
          <w:rFonts w:cs="Arial"/>
        </w:rPr>
        <w:t>.</w:t>
      </w:r>
    </w:p>
    <w:p w14:paraId="1BA29F94" w14:textId="1C34AF8A" w:rsidR="000F3FB2" w:rsidRPr="00CF1EB6" w:rsidRDefault="000F3FB2" w:rsidP="00D000AA">
      <w:pPr>
        <w:spacing w:after="120" w:line="360" w:lineRule="auto"/>
        <w:jc w:val="both"/>
        <w:rPr>
          <w:rFonts w:cs="Arial"/>
        </w:rPr>
        <w:sectPr w:rsidR="000F3FB2" w:rsidRPr="00CF1EB6" w:rsidSect="001325FE">
          <w:headerReference w:type="even" r:id="rId69"/>
          <w:headerReference w:type="default" r:id="rId70"/>
          <w:headerReference w:type="first" r:id="rId71"/>
          <w:footerReference w:type="first" r:id="rId72"/>
          <w:pgSz w:w="11906" w:h="16838" w:code="9"/>
          <w:pgMar w:top="1134" w:right="1134" w:bottom="1134" w:left="1134" w:header="708" w:footer="708" w:gutter="0"/>
          <w:cols w:space="708"/>
          <w:docGrid w:linePitch="360"/>
        </w:sectPr>
      </w:pPr>
    </w:p>
    <w:p w14:paraId="2B335651" w14:textId="77777777" w:rsidR="00FD1BF2" w:rsidRDefault="00FD1BF2" w:rsidP="00FD1BF2">
      <w:pPr>
        <w:keepNext/>
        <w:spacing w:before="120" w:after="240" w:line="240" w:lineRule="auto"/>
        <w:jc w:val="both"/>
        <w:rPr>
          <w:rFonts w:eastAsia="Times New Roman" w:cs="Times New Roman"/>
          <w:b/>
          <w:szCs w:val="24"/>
          <w:lang w:eastAsia="cs-CZ"/>
        </w:rPr>
      </w:pPr>
      <w:r>
        <w:rPr>
          <w:rFonts w:eastAsia="Times New Roman" w:cs="Times New Roman"/>
          <w:b/>
          <w:noProof/>
          <w:szCs w:val="24"/>
          <w:lang w:eastAsia="cs-CZ"/>
        </w:rPr>
        <w:lastRenderedPageBreak/>
        <w:drawing>
          <wp:anchor distT="0" distB="0" distL="114300" distR="114300" simplePos="0" relativeHeight="251703808" behindDoc="0" locked="0" layoutInCell="1" allowOverlap="1" wp14:anchorId="248B9AD9" wp14:editId="1B70646E">
            <wp:simplePos x="0" y="0"/>
            <wp:positionH relativeFrom="margin">
              <wp:posOffset>7391345</wp:posOffset>
            </wp:positionH>
            <wp:positionV relativeFrom="paragraph">
              <wp:posOffset>10795</wp:posOffset>
            </wp:positionV>
            <wp:extent cx="2165085" cy="1440000"/>
            <wp:effectExtent l="0" t="0" r="6985" b="8255"/>
            <wp:wrapNone/>
            <wp:docPr id="763767260" name="Obrázek 4" descr="Obsah obrázku text, snímek obrazovky, astronomie&#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767260" name="Obrázek 4" descr="Obsah obrázku text, snímek obrazovky, astronomie&#10;&#10;Obsah generovaný pomocí AI může být nesprávný."/>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2165085" cy="1440000"/>
                    </a:xfrm>
                    <a:prstGeom prst="rect">
                      <a:avLst/>
                    </a:prstGeom>
                    <a:noFill/>
                  </pic:spPr>
                </pic:pic>
              </a:graphicData>
            </a:graphic>
            <wp14:sizeRelH relativeFrom="page">
              <wp14:pctWidth>0</wp14:pctWidth>
            </wp14:sizeRelH>
            <wp14:sizeRelV relativeFrom="page">
              <wp14:pctHeight>0</wp14:pctHeight>
            </wp14:sizeRelV>
          </wp:anchor>
        </w:drawing>
      </w:r>
      <w:r w:rsidRPr="00EF67B4">
        <w:rPr>
          <w:rFonts w:eastAsia="Times New Roman" w:cs="Times New Roman"/>
          <w:b/>
          <w:szCs w:val="24"/>
          <w:lang w:eastAsia="cs-CZ"/>
        </w:rPr>
        <w:t xml:space="preserve">Graf E.1.5: Počty publikací českých autorů ve </w:t>
      </w:r>
      <w:proofErr w:type="spellStart"/>
      <w:r w:rsidRPr="00EF67B4">
        <w:rPr>
          <w:rFonts w:eastAsia="Times New Roman" w:cs="Times New Roman"/>
          <w:b/>
          <w:szCs w:val="24"/>
          <w:lang w:eastAsia="cs-CZ"/>
        </w:rPr>
        <w:t>WoS</w:t>
      </w:r>
      <w:proofErr w:type="spellEnd"/>
      <w:r w:rsidRPr="00EF67B4">
        <w:rPr>
          <w:rFonts w:eastAsia="Times New Roman" w:cs="Times New Roman"/>
          <w:b/>
          <w:szCs w:val="24"/>
          <w:lang w:eastAsia="cs-CZ"/>
        </w:rPr>
        <w:t xml:space="preserve"> v oborech a jejich citovanost</w:t>
      </w:r>
    </w:p>
    <w:p w14:paraId="6B833180" w14:textId="77777777" w:rsidR="00FD1BF2" w:rsidRPr="00EF67B4" w:rsidRDefault="00FD1BF2" w:rsidP="00FD1BF2">
      <w:pPr>
        <w:spacing w:after="0" w:line="360" w:lineRule="auto"/>
        <w:jc w:val="center"/>
        <w:rPr>
          <w:rFonts w:cs="Arial"/>
        </w:rPr>
      </w:pPr>
      <w:r w:rsidRPr="00EF67B4">
        <w:rPr>
          <w:noProof/>
        </w:rPr>
        <w:drawing>
          <wp:inline distT="0" distB="0" distL="0" distR="0" wp14:anchorId="5A463D4F" wp14:editId="53AADEDB">
            <wp:extent cx="4673650" cy="4680000"/>
            <wp:effectExtent l="0" t="0" r="0" b="0"/>
            <wp:docPr id="1335244024" name="Graf 1">
              <a:extLst xmlns:a="http://schemas.openxmlformats.org/drawingml/2006/main">
                <a:ext uri="{FF2B5EF4-FFF2-40B4-BE49-F238E27FC236}">
                  <a16:creationId xmlns:a16="http://schemas.microsoft.com/office/drawing/2014/main" id="{00000000-0008-0000-04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r w:rsidRPr="00EF67B4">
        <w:rPr>
          <w:noProof/>
        </w:rPr>
        <w:drawing>
          <wp:inline distT="0" distB="0" distL="0" distR="0" wp14:anchorId="5D346B9F" wp14:editId="3F119A76">
            <wp:extent cx="4680000" cy="4680000"/>
            <wp:effectExtent l="0" t="0" r="6350" b="6350"/>
            <wp:docPr id="2020878402" name="Graf 1">
              <a:extLst xmlns:a="http://schemas.openxmlformats.org/drawingml/2006/main">
                <a:ext uri="{FF2B5EF4-FFF2-40B4-BE49-F238E27FC236}">
                  <a16:creationId xmlns:a16="http://schemas.microsoft.com/office/drawing/2014/main" id="{00000000-0008-0000-05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14:paraId="230EDC3C" w14:textId="77777777" w:rsidR="00FD1BF2" w:rsidRPr="00EF67B4" w:rsidRDefault="00FD1BF2" w:rsidP="00FD1BF2">
      <w:pPr>
        <w:pStyle w:val="Zdrojapoznmka"/>
        <w:spacing w:after="0" w:line="240" w:lineRule="auto"/>
      </w:pPr>
      <w:r w:rsidRPr="00EF67B4">
        <w:t xml:space="preserve">Zdroj: </w:t>
      </w:r>
      <w:proofErr w:type="spellStart"/>
      <w:r w:rsidRPr="00EF67B4">
        <w:t>WoS</w:t>
      </w:r>
      <w:proofErr w:type="spellEnd"/>
      <w:r w:rsidRPr="00EF67B4">
        <w:t xml:space="preserve">, zařazeny jsou publikace typu </w:t>
      </w:r>
      <w:proofErr w:type="spellStart"/>
      <w:r w:rsidRPr="00EF67B4">
        <w:t>article</w:t>
      </w:r>
      <w:proofErr w:type="spellEnd"/>
      <w:r w:rsidRPr="00EF67B4">
        <w:t xml:space="preserve">, </w:t>
      </w:r>
      <w:proofErr w:type="spellStart"/>
      <w:r w:rsidRPr="00EF67B4">
        <w:t>review</w:t>
      </w:r>
      <w:proofErr w:type="spellEnd"/>
      <w:r w:rsidRPr="00EF67B4">
        <w:t xml:space="preserve"> a </w:t>
      </w:r>
      <w:proofErr w:type="spellStart"/>
      <w:r w:rsidRPr="00EF67B4">
        <w:t>letter</w:t>
      </w:r>
      <w:proofErr w:type="spellEnd"/>
      <w:r w:rsidRPr="00EF67B4">
        <w:t xml:space="preserve"> za období 2020–2024 v periodikách </w:t>
      </w:r>
      <w:proofErr w:type="spellStart"/>
      <w:r w:rsidRPr="00EF67B4">
        <w:t>WoS</w:t>
      </w:r>
      <w:proofErr w:type="spellEnd"/>
      <w:r w:rsidRPr="00EF67B4">
        <w:t xml:space="preserve"> </w:t>
      </w:r>
      <w:proofErr w:type="spellStart"/>
      <w:r w:rsidRPr="00EF67B4">
        <w:t>Core</w:t>
      </w:r>
      <w:proofErr w:type="spellEnd"/>
      <w:r w:rsidRPr="00EF67B4">
        <w:t xml:space="preserve"> </w:t>
      </w:r>
      <w:proofErr w:type="spellStart"/>
      <w:r w:rsidRPr="00EF67B4">
        <w:t>Collection</w:t>
      </w:r>
      <w:proofErr w:type="spellEnd"/>
      <w:r w:rsidRPr="00EF67B4">
        <w:t>, oborové členění dle OECD (</w:t>
      </w:r>
      <w:proofErr w:type="spellStart"/>
      <w:r w:rsidRPr="00EF67B4">
        <w:t>Frascati</w:t>
      </w:r>
      <w:proofErr w:type="spellEnd"/>
      <w:r w:rsidRPr="00EF67B4">
        <w:t xml:space="preserve"> </w:t>
      </w:r>
      <w:proofErr w:type="spellStart"/>
      <w:r w:rsidRPr="00EF67B4">
        <w:t>Manual</w:t>
      </w:r>
      <w:proofErr w:type="spellEnd"/>
      <w:r w:rsidRPr="00EF67B4">
        <w:t xml:space="preserve">) </w:t>
      </w:r>
    </w:p>
    <w:p w14:paraId="0C23B075" w14:textId="77777777" w:rsidR="00FD1BF2" w:rsidRPr="00EF67B4" w:rsidRDefault="00FD1BF2" w:rsidP="00FD1BF2">
      <w:pPr>
        <w:pStyle w:val="Zdrojapoznmka"/>
        <w:spacing w:after="0" w:line="240" w:lineRule="auto"/>
        <w:rPr>
          <w:rFonts w:cs="Arial"/>
        </w:rPr>
      </w:pPr>
      <w:r w:rsidRPr="00EF67B4">
        <w:t xml:space="preserve">Započteny jsou publikace, u nichž má alespoň jeden z autorů v adrese uvedeno „Czech“ (není zohledněno spoluautorství). Na obrázku vlevo jsou zařazeny skupiny oborů, u nichž bylo v databázi alespoň 1 500 publikací za sledované období. Horizontální osa: Index změny v počtu publikací v letech 2020 a 2024: (2024–2020) / 2020 v %. | Vertikální osa: </w:t>
      </w:r>
      <w:proofErr w:type="spellStart"/>
      <w:r w:rsidRPr="00EF67B4">
        <w:t>Normalized</w:t>
      </w:r>
      <w:proofErr w:type="spellEnd"/>
      <w:r w:rsidRPr="00EF67B4">
        <w:t xml:space="preserve"> </w:t>
      </w:r>
      <w:proofErr w:type="spellStart"/>
      <w:r w:rsidRPr="00EF67B4">
        <w:t>Citation</w:t>
      </w:r>
      <w:proofErr w:type="spellEnd"/>
      <w:r w:rsidRPr="00EF67B4">
        <w:t xml:space="preserve"> </w:t>
      </w:r>
      <w:proofErr w:type="spellStart"/>
      <w:r w:rsidRPr="00EF67B4">
        <w:t>Impact</w:t>
      </w:r>
      <w:proofErr w:type="spellEnd"/>
      <w:r w:rsidRPr="00EF67B4">
        <w:t xml:space="preserve"> k datu 31. 10. 2025 (normalizováno na úrovni jednotlivých oborů s následnou agregací indexu; v případě, že publikace náleží k více oborům, je použit aritmetický průměr); hodnota y = 1 odpovídá přibližně světovému průměru. Plocha bublin vyjadřuje počet publikací za období 2020–2024.</w:t>
      </w:r>
    </w:p>
    <w:p w14:paraId="503536FE" w14:textId="77777777" w:rsidR="00FD1BF2" w:rsidRPr="004C04FC" w:rsidRDefault="00FD1BF2" w:rsidP="00FD1BF2">
      <w:pPr>
        <w:pStyle w:val="Odstavecseseznamem"/>
        <w:spacing w:after="0" w:line="360" w:lineRule="auto"/>
        <w:ind w:left="426"/>
        <w:jc w:val="both"/>
        <w:rPr>
          <w:rFonts w:eastAsia="Times New Roman" w:cs="Arial"/>
          <w:highlight w:val="yellow"/>
          <w:lang w:eastAsia="cs-CZ"/>
        </w:rPr>
        <w:sectPr w:rsidR="00FD1BF2" w:rsidRPr="004C04FC" w:rsidSect="00FD1BF2">
          <w:headerReference w:type="even" r:id="rId76"/>
          <w:headerReference w:type="default" r:id="rId77"/>
          <w:footerReference w:type="default" r:id="rId78"/>
          <w:headerReference w:type="first" r:id="rId79"/>
          <w:pgSz w:w="16838" w:h="11906" w:orient="landscape"/>
          <w:pgMar w:top="720" w:right="720" w:bottom="720" w:left="720" w:header="708" w:footer="708" w:gutter="0"/>
          <w:cols w:space="708"/>
          <w:docGrid w:linePitch="360"/>
        </w:sectPr>
      </w:pPr>
    </w:p>
    <w:p w14:paraId="250B44D0" w14:textId="77777777" w:rsidR="00FD1BF2" w:rsidRPr="00510130" w:rsidRDefault="00FD1BF2" w:rsidP="00FD1BF2">
      <w:pPr>
        <w:pStyle w:val="Obrzek-nadpis"/>
        <w:spacing w:before="0" w:after="120" w:line="360" w:lineRule="auto"/>
        <w:rPr>
          <w:rFonts w:cs="Arial"/>
        </w:rPr>
      </w:pPr>
      <w:r w:rsidRPr="00510130">
        <w:rPr>
          <w:rFonts w:cs="Arial"/>
        </w:rPr>
        <w:lastRenderedPageBreak/>
        <w:t>Kvalita publikačních výsledků v mezinárodním srovnání</w:t>
      </w:r>
    </w:p>
    <w:p w14:paraId="3C5B9DAE" w14:textId="77777777" w:rsidR="00FD1BF2" w:rsidRPr="003F7A9B" w:rsidRDefault="00FD1BF2" w:rsidP="00FD1BF2">
      <w:pPr>
        <w:spacing w:after="120" w:line="360" w:lineRule="auto"/>
        <w:ind w:firstLine="708"/>
        <w:jc w:val="both"/>
        <w:rPr>
          <w:rFonts w:eastAsia="Times New Roman" w:cs="Arial"/>
          <w:bCs/>
          <w:lang w:eastAsia="cs-CZ"/>
        </w:rPr>
      </w:pPr>
      <w:r w:rsidRPr="00EF5955">
        <w:rPr>
          <w:rFonts w:eastAsia="Times New Roman" w:cs="Arial"/>
          <w:bCs/>
          <w:lang w:eastAsia="cs-CZ"/>
        </w:rPr>
        <w:t>Při hodnocení kvality publikací je užitečné sledovat jejich strukturu z hlediska citačního ohlasu periodik a s ní související publikační strategii, která se může napříč obory lišit. Ukazuje se, že mezi lety 2015 a 2024 došlo ve všech šesti skupinách oborů k nárůstu počtu zahraničních časopisů, ve kterých čeští autoři publikovali.</w:t>
      </w:r>
      <w:r>
        <w:rPr>
          <w:rFonts w:eastAsia="Times New Roman" w:cs="Arial"/>
          <w:bCs/>
          <w:lang w:eastAsia="cs-CZ"/>
        </w:rPr>
        <w:t xml:space="preserve"> </w:t>
      </w:r>
      <w:r w:rsidRPr="003F7A9B">
        <w:rPr>
          <w:rFonts w:eastAsia="Times New Roman" w:cs="Arial"/>
          <w:bCs/>
          <w:lang w:eastAsia="cs-CZ"/>
        </w:rPr>
        <w:t xml:space="preserve">Vzrostl i podíl zahraničních časopisů řazených dle AIS do 1. kvartilu (Q1), z čehož lze usuzovat, že čeští autoři směřovali svou publikační aktivitu stále častěji do kvalitních periodik (více viz příloha P.E.1.D). Počet českých časopisů se téměř nezměnil – jsou zaznamenány pouze změny v řádu jednotek, navíc většina časopisů spadá do dvou nižších kvartilů (Q3 a Q4), pouze v případě skupiny </w:t>
      </w:r>
      <w:proofErr w:type="spellStart"/>
      <w:r w:rsidRPr="003F7A9B">
        <w:rPr>
          <w:rFonts w:eastAsia="Times New Roman" w:cs="Arial"/>
          <w:bCs/>
          <w:lang w:eastAsia="cs-CZ"/>
        </w:rPr>
        <w:t>Social</w:t>
      </w:r>
      <w:proofErr w:type="spellEnd"/>
      <w:r w:rsidRPr="003F7A9B">
        <w:rPr>
          <w:rFonts w:eastAsia="Times New Roman" w:cs="Arial"/>
          <w:bCs/>
          <w:lang w:eastAsia="cs-CZ"/>
        </w:rPr>
        <w:t xml:space="preserve"> </w:t>
      </w:r>
      <w:proofErr w:type="spellStart"/>
      <w:r w:rsidRPr="003F7A9B">
        <w:rPr>
          <w:rFonts w:eastAsia="Times New Roman" w:cs="Arial"/>
          <w:bCs/>
          <w:lang w:eastAsia="cs-CZ"/>
        </w:rPr>
        <w:t>Sciences</w:t>
      </w:r>
      <w:proofErr w:type="spellEnd"/>
      <w:r w:rsidRPr="003F7A9B">
        <w:rPr>
          <w:rFonts w:eastAsia="Times New Roman" w:cs="Arial"/>
          <w:bCs/>
          <w:lang w:eastAsia="cs-CZ"/>
        </w:rPr>
        <w:t xml:space="preserve"> jsou zaznamenány časopisy v Q1.</w:t>
      </w:r>
    </w:p>
    <w:p w14:paraId="21BCE5F1" w14:textId="77777777" w:rsidR="00FD1BF2" w:rsidRPr="001E4004" w:rsidRDefault="00FD1BF2" w:rsidP="00FD1BF2">
      <w:pPr>
        <w:spacing w:after="120" w:line="360" w:lineRule="auto"/>
        <w:ind w:firstLine="708"/>
        <w:jc w:val="both"/>
        <w:rPr>
          <w:rFonts w:eastAsia="Times New Roman" w:cs="Arial"/>
          <w:bCs/>
          <w:lang w:eastAsia="cs-CZ"/>
        </w:rPr>
      </w:pPr>
      <w:r w:rsidRPr="001E4004">
        <w:rPr>
          <w:rFonts w:eastAsia="Times New Roman" w:cs="Arial"/>
          <w:bCs/>
          <w:lang w:eastAsia="cs-CZ"/>
        </w:rPr>
        <w:t xml:space="preserve">K vysoké citovanosti může přispívat účast vědeckých pracovníků v mezinárodních konsorciích, což lze sledovat u oborů ze skupiny </w:t>
      </w:r>
      <w:proofErr w:type="spellStart"/>
      <w:r w:rsidRPr="001E4004">
        <w:rPr>
          <w:rFonts w:eastAsia="Times New Roman" w:cs="Arial"/>
          <w:bCs/>
          <w:lang w:eastAsia="cs-CZ"/>
        </w:rPr>
        <w:t>Medical</w:t>
      </w:r>
      <w:proofErr w:type="spellEnd"/>
      <w:r w:rsidRPr="001E4004">
        <w:rPr>
          <w:rFonts w:eastAsia="Times New Roman" w:cs="Arial"/>
          <w:bCs/>
          <w:lang w:eastAsia="cs-CZ"/>
        </w:rPr>
        <w:t xml:space="preserve"> and </w:t>
      </w:r>
      <w:proofErr w:type="spellStart"/>
      <w:r w:rsidRPr="001E4004">
        <w:rPr>
          <w:rFonts w:eastAsia="Times New Roman" w:cs="Arial"/>
          <w:bCs/>
          <w:lang w:eastAsia="cs-CZ"/>
        </w:rPr>
        <w:t>Health</w:t>
      </w:r>
      <w:proofErr w:type="spellEnd"/>
      <w:r w:rsidRPr="001E4004">
        <w:rPr>
          <w:rFonts w:eastAsia="Times New Roman" w:cs="Arial"/>
          <w:bCs/>
          <w:lang w:eastAsia="cs-CZ"/>
        </w:rPr>
        <w:t xml:space="preserve"> </w:t>
      </w:r>
      <w:proofErr w:type="spellStart"/>
      <w:r w:rsidRPr="001E4004">
        <w:rPr>
          <w:rFonts w:eastAsia="Times New Roman" w:cs="Arial"/>
          <w:bCs/>
          <w:lang w:eastAsia="cs-CZ"/>
        </w:rPr>
        <w:t>Sciences</w:t>
      </w:r>
      <w:proofErr w:type="spellEnd"/>
      <w:r w:rsidRPr="001E4004">
        <w:rPr>
          <w:rFonts w:eastAsia="Times New Roman" w:cs="Arial"/>
          <w:bCs/>
          <w:lang w:eastAsia="cs-CZ"/>
        </w:rPr>
        <w:t>, typicky se jedná o publikace s 30 a více autory (viz více příloha P.E.1.F).</w:t>
      </w:r>
      <w:r>
        <w:rPr>
          <w:rFonts w:eastAsia="Times New Roman" w:cs="Arial"/>
          <w:bCs/>
          <w:lang w:eastAsia="cs-CZ"/>
        </w:rPr>
        <w:t xml:space="preserve"> </w:t>
      </w:r>
    </w:p>
    <w:p w14:paraId="66CE1E33" w14:textId="77777777" w:rsidR="00FD1BF2" w:rsidRPr="007B43D6" w:rsidRDefault="00FD1BF2" w:rsidP="00FD1BF2">
      <w:pPr>
        <w:spacing w:after="120" w:line="360" w:lineRule="auto"/>
        <w:ind w:firstLine="708"/>
        <w:jc w:val="both"/>
        <w:rPr>
          <w:rFonts w:eastAsia="Times New Roman" w:cs="Arial"/>
          <w:bCs/>
          <w:lang w:eastAsia="cs-CZ"/>
        </w:rPr>
      </w:pPr>
      <w:r w:rsidRPr="007B43D6">
        <w:rPr>
          <w:rFonts w:eastAsia="Times New Roman" w:cs="Arial"/>
          <w:bCs/>
          <w:lang w:eastAsia="cs-CZ"/>
        </w:rPr>
        <w:t xml:space="preserve">Z mezinárodního srovnání vývoje normalizovaného citačního indexu pro jednotlivé oborové skupiny (NCI) je patrné, že ČR patří ke státům zaostávajícím za průměrem EU15. Pouze v případě skupiny </w:t>
      </w:r>
      <w:proofErr w:type="spellStart"/>
      <w:r w:rsidRPr="007B43D6">
        <w:rPr>
          <w:rFonts w:eastAsia="Times New Roman" w:cs="Arial"/>
          <w:bCs/>
          <w:lang w:eastAsia="cs-CZ"/>
        </w:rPr>
        <w:t>Medical</w:t>
      </w:r>
      <w:proofErr w:type="spellEnd"/>
      <w:r w:rsidRPr="007B43D6">
        <w:rPr>
          <w:rFonts w:eastAsia="Times New Roman" w:cs="Arial"/>
          <w:bCs/>
          <w:lang w:eastAsia="cs-CZ"/>
        </w:rPr>
        <w:t xml:space="preserve"> and </w:t>
      </w:r>
      <w:proofErr w:type="spellStart"/>
      <w:r w:rsidRPr="007B43D6">
        <w:rPr>
          <w:rFonts w:eastAsia="Times New Roman" w:cs="Arial"/>
          <w:bCs/>
          <w:lang w:eastAsia="cs-CZ"/>
        </w:rPr>
        <w:t>Health</w:t>
      </w:r>
      <w:proofErr w:type="spellEnd"/>
      <w:r w:rsidRPr="007B43D6">
        <w:rPr>
          <w:rFonts w:eastAsia="Times New Roman" w:cs="Arial"/>
          <w:bCs/>
          <w:lang w:eastAsia="cs-CZ"/>
        </w:rPr>
        <w:t xml:space="preserve"> </w:t>
      </w:r>
      <w:proofErr w:type="spellStart"/>
      <w:r w:rsidRPr="007B43D6">
        <w:rPr>
          <w:rFonts w:eastAsia="Times New Roman" w:cs="Arial"/>
          <w:bCs/>
          <w:lang w:eastAsia="cs-CZ"/>
        </w:rPr>
        <w:t>Sciences</w:t>
      </w:r>
      <w:proofErr w:type="spellEnd"/>
      <w:r w:rsidRPr="007B43D6">
        <w:rPr>
          <w:rFonts w:eastAsia="Times New Roman" w:cs="Arial"/>
          <w:bCs/>
          <w:lang w:eastAsia="cs-CZ"/>
        </w:rPr>
        <w:t xml:space="preserve"> ČR překročila průměr EU-15 (viz příloha P.E.1.G).</w:t>
      </w:r>
    </w:p>
    <w:p w14:paraId="0C696797" w14:textId="77777777" w:rsidR="00FD1BF2" w:rsidRPr="007C00EB" w:rsidRDefault="00FD1BF2" w:rsidP="00FD1BF2">
      <w:pPr>
        <w:spacing w:after="120" w:line="360" w:lineRule="auto"/>
        <w:ind w:firstLine="708"/>
        <w:jc w:val="both"/>
        <w:rPr>
          <w:rFonts w:cs="Arial"/>
        </w:rPr>
      </w:pPr>
      <w:r w:rsidRPr="007C00EB">
        <w:rPr>
          <w:rFonts w:cs="Arial"/>
        </w:rPr>
        <w:t xml:space="preserve">Dle porovnání hodnot NCI se ukazuje, že pouze skupina oborů </w:t>
      </w:r>
      <w:proofErr w:type="spellStart"/>
      <w:r w:rsidRPr="007C00EB">
        <w:rPr>
          <w:rFonts w:cs="Arial"/>
        </w:rPr>
        <w:t>Medical</w:t>
      </w:r>
      <w:proofErr w:type="spellEnd"/>
      <w:r w:rsidRPr="007C00EB">
        <w:rPr>
          <w:rFonts w:cs="Arial"/>
        </w:rPr>
        <w:t xml:space="preserve"> and </w:t>
      </w:r>
      <w:proofErr w:type="spellStart"/>
      <w:r w:rsidRPr="007C00EB">
        <w:rPr>
          <w:rFonts w:cs="Arial"/>
        </w:rPr>
        <w:t>Health</w:t>
      </w:r>
      <w:proofErr w:type="spellEnd"/>
      <w:r w:rsidRPr="007C00EB">
        <w:rPr>
          <w:rFonts w:cs="Arial"/>
        </w:rPr>
        <w:t xml:space="preserve"> </w:t>
      </w:r>
      <w:proofErr w:type="spellStart"/>
      <w:r w:rsidRPr="007C00EB">
        <w:rPr>
          <w:rFonts w:cs="Arial"/>
        </w:rPr>
        <w:t>Sciences</w:t>
      </w:r>
      <w:proofErr w:type="spellEnd"/>
      <w:r w:rsidRPr="007C00EB">
        <w:rPr>
          <w:rFonts w:cs="Arial"/>
        </w:rPr>
        <w:t xml:space="preserve"> má tuto hodnotu nad světovým průměrem (tj. vyšší než 1). Hodnotu NCI vyšší než 1 má zatím pouze 18 ze všech 42 oborů FORD. Na druhou stranu je možné u oborových skupin sledovat pozitivní trend v růstu podílu článků publikovaných v časopisech v prvních dvou kvartilech (p</w:t>
      </w:r>
      <w:r w:rsidRPr="007C00EB">
        <w:rPr>
          <w:rFonts w:eastAsia="Times New Roman" w:cs="Arial"/>
          <w:bCs/>
          <w:lang w:eastAsia="cs-CZ"/>
        </w:rPr>
        <w:t>říloha P.E.1.E).</w:t>
      </w:r>
    </w:p>
    <w:p w14:paraId="42B7D642" w14:textId="77777777" w:rsidR="00FD1BF2" w:rsidRPr="00AA522F" w:rsidRDefault="00FD1BF2" w:rsidP="00FD1BF2">
      <w:pPr>
        <w:spacing w:after="120" w:line="360" w:lineRule="auto"/>
        <w:ind w:firstLine="708"/>
        <w:jc w:val="both"/>
        <w:rPr>
          <w:rFonts w:eastAsia="Times New Roman" w:cs="Arial"/>
          <w:bCs/>
          <w:lang w:eastAsia="cs-CZ"/>
        </w:rPr>
      </w:pPr>
      <w:r w:rsidRPr="00AA522F">
        <w:rPr>
          <w:rFonts w:eastAsia="Times New Roman" w:cs="Arial"/>
          <w:bCs/>
          <w:lang w:eastAsia="cs-CZ"/>
        </w:rPr>
        <w:t xml:space="preserve">Z detailnější analýzy je patrné, že u všech oborů FORD je v ČR podíl produkce článků v horních dvou kvartilech (Q1 a Q2) vyšší než 50 %. V případě skupin Natural </w:t>
      </w:r>
      <w:proofErr w:type="spellStart"/>
      <w:r w:rsidRPr="00AA522F">
        <w:rPr>
          <w:rFonts w:eastAsia="Times New Roman" w:cs="Arial"/>
          <w:bCs/>
          <w:lang w:eastAsia="cs-CZ"/>
        </w:rPr>
        <w:t>Sciences</w:t>
      </w:r>
      <w:proofErr w:type="spellEnd"/>
      <w:r w:rsidRPr="00AA522F">
        <w:rPr>
          <w:rFonts w:eastAsia="Times New Roman" w:cs="Arial"/>
          <w:bCs/>
          <w:lang w:eastAsia="cs-CZ"/>
        </w:rPr>
        <w:t xml:space="preserve">, </w:t>
      </w:r>
      <w:proofErr w:type="spellStart"/>
      <w:r w:rsidRPr="00AA522F">
        <w:rPr>
          <w:rFonts w:eastAsia="Times New Roman" w:cs="Arial"/>
          <w:bCs/>
          <w:lang w:eastAsia="cs-CZ"/>
        </w:rPr>
        <w:t>Engineering</w:t>
      </w:r>
      <w:proofErr w:type="spellEnd"/>
      <w:r w:rsidRPr="00AA522F">
        <w:rPr>
          <w:rFonts w:eastAsia="Times New Roman" w:cs="Arial"/>
          <w:bCs/>
          <w:lang w:eastAsia="cs-CZ"/>
        </w:rPr>
        <w:t xml:space="preserve"> and Technology a </w:t>
      </w:r>
      <w:proofErr w:type="spellStart"/>
      <w:r w:rsidRPr="00AA522F">
        <w:rPr>
          <w:rFonts w:eastAsia="Times New Roman" w:cs="Arial"/>
          <w:bCs/>
          <w:lang w:eastAsia="cs-CZ"/>
        </w:rPr>
        <w:t>Agricultural</w:t>
      </w:r>
      <w:proofErr w:type="spellEnd"/>
      <w:r w:rsidRPr="00AA522F">
        <w:rPr>
          <w:rFonts w:eastAsia="Times New Roman" w:cs="Arial"/>
          <w:bCs/>
          <w:lang w:eastAsia="cs-CZ"/>
        </w:rPr>
        <w:t xml:space="preserve"> and </w:t>
      </w:r>
      <w:proofErr w:type="spellStart"/>
      <w:r w:rsidRPr="00AA522F">
        <w:rPr>
          <w:rFonts w:eastAsia="Times New Roman" w:cs="Arial"/>
          <w:bCs/>
          <w:lang w:eastAsia="cs-CZ"/>
        </w:rPr>
        <w:t>Veterinary</w:t>
      </w:r>
      <w:proofErr w:type="spellEnd"/>
      <w:r w:rsidRPr="00AA522F">
        <w:rPr>
          <w:rFonts w:eastAsia="Times New Roman" w:cs="Arial"/>
          <w:bCs/>
          <w:lang w:eastAsia="cs-CZ"/>
        </w:rPr>
        <w:t xml:space="preserve"> </w:t>
      </w:r>
      <w:proofErr w:type="spellStart"/>
      <w:r w:rsidRPr="00AA522F">
        <w:rPr>
          <w:rFonts w:eastAsia="Times New Roman" w:cs="Arial"/>
          <w:bCs/>
          <w:lang w:eastAsia="cs-CZ"/>
        </w:rPr>
        <w:t>Sciences</w:t>
      </w:r>
      <w:proofErr w:type="spellEnd"/>
      <w:r w:rsidRPr="00AA522F">
        <w:rPr>
          <w:rFonts w:eastAsia="Times New Roman" w:cs="Arial"/>
          <w:bCs/>
          <w:lang w:eastAsia="cs-CZ"/>
        </w:rPr>
        <w:t xml:space="preserve"> dokonce převyšuje 75 % (viz příloha P.E.1.H). Přestože jsou tyto podíly relativně vysoké, nedostačují k tomu, aby byl citační ohlas českých autorů alespoň na úrovni EU-15. </w:t>
      </w:r>
    </w:p>
    <w:p w14:paraId="21A389FB" w14:textId="77777777" w:rsidR="00FD1BF2" w:rsidRPr="00952D18" w:rsidRDefault="00FD1BF2" w:rsidP="00FD1BF2">
      <w:pPr>
        <w:spacing w:after="120" w:line="360" w:lineRule="auto"/>
        <w:ind w:firstLine="708"/>
        <w:jc w:val="both"/>
        <w:rPr>
          <w:rFonts w:eastAsia="Times New Roman" w:cs="Arial"/>
          <w:bCs/>
          <w:lang w:eastAsia="cs-CZ"/>
        </w:rPr>
      </w:pPr>
      <w:r w:rsidRPr="00952D18">
        <w:rPr>
          <w:rFonts w:eastAsia="Times New Roman" w:cs="Arial"/>
          <w:bCs/>
          <w:lang w:eastAsia="cs-CZ"/>
        </w:rPr>
        <w:t xml:space="preserve">Míra publikování českých autorů s mezinárodní účastí se ve všech oborových skupinách pohybovala nad průměrem EU-15 a v posledních letech došlo ve všech skupinách oborů s výjimkou </w:t>
      </w:r>
      <w:proofErr w:type="spellStart"/>
      <w:r w:rsidRPr="00952D18">
        <w:rPr>
          <w:rFonts w:eastAsia="Times New Roman" w:cs="Arial"/>
          <w:bCs/>
          <w:lang w:eastAsia="cs-CZ"/>
        </w:rPr>
        <w:t>Agricultural</w:t>
      </w:r>
      <w:proofErr w:type="spellEnd"/>
      <w:r w:rsidRPr="00952D18">
        <w:rPr>
          <w:rFonts w:eastAsia="Times New Roman" w:cs="Arial"/>
          <w:bCs/>
          <w:lang w:eastAsia="cs-CZ"/>
        </w:rPr>
        <w:t xml:space="preserve"> and </w:t>
      </w:r>
      <w:proofErr w:type="spellStart"/>
      <w:r w:rsidRPr="00952D18">
        <w:rPr>
          <w:rFonts w:eastAsia="Times New Roman" w:cs="Arial"/>
          <w:bCs/>
          <w:lang w:eastAsia="cs-CZ"/>
        </w:rPr>
        <w:t>Veterinary</w:t>
      </w:r>
      <w:proofErr w:type="spellEnd"/>
      <w:r w:rsidRPr="00952D18">
        <w:rPr>
          <w:rFonts w:eastAsia="Times New Roman" w:cs="Arial"/>
          <w:bCs/>
          <w:lang w:eastAsia="cs-CZ"/>
        </w:rPr>
        <w:t xml:space="preserve"> </w:t>
      </w:r>
      <w:proofErr w:type="spellStart"/>
      <w:r w:rsidRPr="00952D18">
        <w:rPr>
          <w:rFonts w:eastAsia="Times New Roman" w:cs="Arial"/>
          <w:bCs/>
          <w:lang w:eastAsia="cs-CZ"/>
        </w:rPr>
        <w:t>Sciences</w:t>
      </w:r>
      <w:proofErr w:type="spellEnd"/>
      <w:r w:rsidRPr="00952D18">
        <w:rPr>
          <w:rFonts w:eastAsia="Times New Roman" w:cs="Arial"/>
          <w:bCs/>
          <w:lang w:eastAsia="cs-CZ"/>
        </w:rPr>
        <w:t> ke zvýšení podílu publikací vytvořených v mezinárodním kolektivu autorů (viz graf E.1.6).</w:t>
      </w:r>
    </w:p>
    <w:p w14:paraId="19F11A28" w14:textId="77777777" w:rsidR="00FD1BF2" w:rsidRPr="00497760" w:rsidRDefault="00FD1BF2" w:rsidP="00FD1BF2">
      <w:pPr>
        <w:spacing w:after="120" w:line="360" w:lineRule="auto"/>
        <w:ind w:firstLine="708"/>
        <w:jc w:val="both"/>
        <w:rPr>
          <w:rFonts w:eastAsia="Times New Roman" w:cs="Arial"/>
          <w:bCs/>
          <w:lang w:eastAsia="cs-CZ"/>
        </w:rPr>
      </w:pPr>
      <w:r w:rsidRPr="00497760">
        <w:rPr>
          <w:rFonts w:eastAsia="Times New Roman" w:cs="Arial"/>
          <w:bCs/>
          <w:lang w:eastAsia="cs-CZ"/>
        </w:rPr>
        <w:t xml:space="preserve">Nejvyšší míra spolupráce českých autorů byla opět v oborové skupině Natural </w:t>
      </w:r>
      <w:proofErr w:type="spellStart"/>
      <w:r w:rsidRPr="00497760">
        <w:rPr>
          <w:rFonts w:eastAsia="Times New Roman" w:cs="Arial"/>
          <w:bCs/>
          <w:lang w:eastAsia="cs-CZ"/>
        </w:rPr>
        <w:t>Sciences</w:t>
      </w:r>
      <w:proofErr w:type="spellEnd"/>
      <w:r w:rsidRPr="00497760">
        <w:rPr>
          <w:rFonts w:eastAsia="Times New Roman" w:cs="Arial"/>
          <w:bCs/>
          <w:lang w:eastAsia="cs-CZ"/>
        </w:rPr>
        <w:t xml:space="preserve">, což koresponduje se zjištěním, že tato oborová skupina má největší počet článků s množstvím autorů nad 100 a více. Oborové skupiny </w:t>
      </w:r>
      <w:proofErr w:type="spellStart"/>
      <w:r w:rsidRPr="00497760">
        <w:rPr>
          <w:rFonts w:eastAsia="Times New Roman" w:cs="Arial"/>
          <w:bCs/>
          <w:lang w:eastAsia="cs-CZ"/>
        </w:rPr>
        <w:t>Social</w:t>
      </w:r>
      <w:proofErr w:type="spellEnd"/>
      <w:r w:rsidRPr="00497760">
        <w:rPr>
          <w:rFonts w:eastAsia="Times New Roman" w:cs="Arial"/>
          <w:bCs/>
          <w:lang w:eastAsia="cs-CZ"/>
        </w:rPr>
        <w:t xml:space="preserve"> </w:t>
      </w:r>
      <w:proofErr w:type="spellStart"/>
      <w:r w:rsidRPr="00497760">
        <w:rPr>
          <w:rFonts w:eastAsia="Times New Roman" w:cs="Arial"/>
          <w:bCs/>
          <w:lang w:eastAsia="cs-CZ"/>
        </w:rPr>
        <w:t>Sciences</w:t>
      </w:r>
      <w:proofErr w:type="spellEnd"/>
      <w:r w:rsidRPr="00497760">
        <w:rPr>
          <w:rFonts w:eastAsia="Times New Roman" w:cs="Arial"/>
          <w:bCs/>
          <w:lang w:eastAsia="cs-CZ"/>
        </w:rPr>
        <w:t xml:space="preserve"> a </w:t>
      </w:r>
      <w:proofErr w:type="spellStart"/>
      <w:r w:rsidRPr="00497760">
        <w:rPr>
          <w:rFonts w:eastAsia="Times New Roman" w:cs="Arial"/>
          <w:bCs/>
          <w:lang w:eastAsia="cs-CZ"/>
        </w:rPr>
        <w:t>Humanities</w:t>
      </w:r>
      <w:proofErr w:type="spellEnd"/>
      <w:r w:rsidRPr="00497760">
        <w:rPr>
          <w:rFonts w:eastAsia="Times New Roman" w:cs="Arial"/>
          <w:bCs/>
          <w:lang w:eastAsia="cs-CZ"/>
        </w:rPr>
        <w:t xml:space="preserve"> and </w:t>
      </w:r>
      <w:proofErr w:type="spellStart"/>
      <w:r w:rsidRPr="00497760">
        <w:rPr>
          <w:rFonts w:eastAsia="Times New Roman" w:cs="Arial"/>
          <w:bCs/>
          <w:lang w:eastAsia="cs-CZ"/>
        </w:rPr>
        <w:t>the</w:t>
      </w:r>
      <w:proofErr w:type="spellEnd"/>
      <w:r w:rsidRPr="00497760">
        <w:rPr>
          <w:rFonts w:eastAsia="Times New Roman" w:cs="Arial"/>
          <w:bCs/>
          <w:lang w:eastAsia="cs-CZ"/>
        </w:rPr>
        <w:t xml:space="preserve"> </w:t>
      </w:r>
      <w:proofErr w:type="spellStart"/>
      <w:r w:rsidRPr="00497760">
        <w:rPr>
          <w:rFonts w:eastAsia="Times New Roman" w:cs="Arial"/>
          <w:bCs/>
          <w:lang w:eastAsia="cs-CZ"/>
        </w:rPr>
        <w:t>Arts</w:t>
      </w:r>
      <w:proofErr w:type="spellEnd"/>
      <w:r w:rsidRPr="00497760">
        <w:rPr>
          <w:rFonts w:eastAsia="Times New Roman" w:cs="Arial"/>
          <w:bCs/>
          <w:lang w:eastAsia="cs-CZ"/>
        </w:rPr>
        <w:t xml:space="preserve"> mají stále relativně nízký podíl publikací vytvořených ve spolupráci se zahraničními partnery, což lze přisuzovat i odlišné publikační praxi v daných oborech.</w:t>
      </w:r>
    </w:p>
    <w:p w14:paraId="51853E4E" w14:textId="77777777" w:rsidR="00FD1BF2" w:rsidRPr="00F36C60" w:rsidRDefault="00FD1BF2" w:rsidP="00FD1BF2">
      <w:pPr>
        <w:spacing w:after="120" w:line="360" w:lineRule="auto"/>
        <w:ind w:firstLine="708"/>
        <w:jc w:val="both"/>
        <w:rPr>
          <w:rFonts w:eastAsia="Times New Roman" w:cs="Arial"/>
          <w:bCs/>
          <w:lang w:eastAsia="cs-CZ"/>
        </w:rPr>
      </w:pPr>
      <w:r w:rsidRPr="00F36C60">
        <w:rPr>
          <w:rFonts w:eastAsia="Times New Roman" w:cs="Arial"/>
          <w:bCs/>
          <w:lang w:eastAsia="cs-CZ"/>
        </w:rPr>
        <w:lastRenderedPageBreak/>
        <w:t>Podrobnější analýzy ukazují, že ačkoliv probíhá spolupráce českých vědců se zahraničními partnery, nedosahuje ČR u těchto publikací vždy nejvyšší kvality jako je tomu např. v případě Estonska či Izraele (viz příloha P.E.1.I).</w:t>
      </w:r>
    </w:p>
    <w:p w14:paraId="59FD9867" w14:textId="4219FFE8" w:rsidR="00593581" w:rsidRDefault="00593581" w:rsidP="00593581">
      <w:pPr>
        <w:spacing w:after="120" w:line="360" w:lineRule="auto"/>
        <w:jc w:val="both"/>
        <w:rPr>
          <w:rFonts w:eastAsia="Times New Roman" w:cs="Arial"/>
          <w:bCs/>
          <w:highlight w:val="yellow"/>
          <w:lang w:eastAsia="cs-CZ"/>
        </w:rPr>
        <w:sectPr w:rsidR="00593581" w:rsidSect="00593581">
          <w:headerReference w:type="even" r:id="rId80"/>
          <w:headerReference w:type="default" r:id="rId81"/>
          <w:footerReference w:type="default" r:id="rId82"/>
          <w:headerReference w:type="first" r:id="rId83"/>
          <w:pgSz w:w="11906" w:h="16838"/>
          <w:pgMar w:top="1134" w:right="1418" w:bottom="1134" w:left="1134" w:header="709" w:footer="709" w:gutter="0"/>
          <w:cols w:space="708"/>
          <w:docGrid w:linePitch="360"/>
        </w:sectPr>
      </w:pPr>
      <w:r w:rsidRPr="00593581">
        <w:rPr>
          <w:rFonts w:eastAsia="Times New Roman" w:cs="Arial"/>
          <w:bCs/>
          <w:highlight w:val="yellow"/>
          <w:lang w:eastAsia="cs-CZ"/>
        </w:rPr>
        <w:t xml:space="preserve"> </w:t>
      </w:r>
    </w:p>
    <w:p w14:paraId="27D0E371" w14:textId="77777777" w:rsidR="00FD1BF2" w:rsidRPr="00EF67B4" w:rsidRDefault="00FD1BF2" w:rsidP="00FD1BF2">
      <w:pPr>
        <w:pStyle w:val="Obrzek-nadpis"/>
        <w:spacing w:before="0" w:after="0"/>
      </w:pPr>
      <w:r w:rsidRPr="00EF67B4">
        <w:lastRenderedPageBreak/>
        <w:t>Graf E.1.6: Podíl vědeckých publikací vytvořených mezinárodními autorskými týmy v zemích EU a vybranými státy OECD</w:t>
      </w:r>
    </w:p>
    <w:p w14:paraId="13B230AF" w14:textId="77777777" w:rsidR="00FD1BF2" w:rsidRPr="00EF67B4" w:rsidRDefault="00FD1BF2" w:rsidP="00FD1BF2">
      <w:pPr>
        <w:pStyle w:val="Zdrojapoznmka"/>
        <w:jc w:val="center"/>
      </w:pPr>
      <w:r w:rsidRPr="00EF67B4">
        <w:rPr>
          <w:noProof/>
        </w:rPr>
        <w:drawing>
          <wp:inline distT="0" distB="0" distL="0" distR="0" wp14:anchorId="35FB01E5" wp14:editId="7E778EF9">
            <wp:extent cx="8746668" cy="5762625"/>
            <wp:effectExtent l="0" t="0" r="0" b="0"/>
            <wp:docPr id="347793366" name="Obrázek 1" descr="Obsah obrázku text, diagram, mapa, číslo&#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7793366" name="Obrázek 1" descr="Obsah obrázku text, diagram, mapa, číslo&#10;&#10;Obsah generovaný pomocí AI může být nesprávný."/>
                    <pic:cNvPicPr/>
                  </pic:nvPicPr>
                  <pic:blipFill>
                    <a:blip r:embed="rId84"/>
                    <a:stretch>
                      <a:fillRect/>
                    </a:stretch>
                  </pic:blipFill>
                  <pic:spPr>
                    <a:xfrm>
                      <a:off x="0" y="0"/>
                      <a:ext cx="8749872" cy="5764736"/>
                    </a:xfrm>
                    <a:prstGeom prst="rect">
                      <a:avLst/>
                    </a:prstGeom>
                  </pic:spPr>
                </pic:pic>
              </a:graphicData>
            </a:graphic>
          </wp:inline>
        </w:drawing>
      </w:r>
    </w:p>
    <w:p w14:paraId="360259C1" w14:textId="77777777" w:rsidR="00FD1BF2" w:rsidRPr="00EF67B4" w:rsidRDefault="00FD1BF2" w:rsidP="00FD1BF2">
      <w:pPr>
        <w:pStyle w:val="Zdrojapoznmka"/>
      </w:pPr>
      <w:bookmarkStart w:id="36" w:name="_Hlk160197944"/>
      <w:r w:rsidRPr="00EF67B4">
        <w:t xml:space="preserve">Zdroj: </w:t>
      </w:r>
      <w:proofErr w:type="spellStart"/>
      <w:r w:rsidRPr="00EF67B4">
        <w:t>WoS</w:t>
      </w:r>
      <w:proofErr w:type="spellEnd"/>
      <w:r w:rsidRPr="00EF67B4">
        <w:t xml:space="preserve">, zařazeny jsou publikace typu </w:t>
      </w:r>
      <w:proofErr w:type="spellStart"/>
      <w:r w:rsidRPr="00EF67B4">
        <w:t>article</w:t>
      </w:r>
      <w:proofErr w:type="spellEnd"/>
      <w:r w:rsidRPr="00EF67B4">
        <w:t xml:space="preserve">, </w:t>
      </w:r>
      <w:proofErr w:type="spellStart"/>
      <w:r w:rsidRPr="00EF67B4">
        <w:t>review</w:t>
      </w:r>
      <w:proofErr w:type="spellEnd"/>
      <w:r w:rsidRPr="00EF67B4">
        <w:t xml:space="preserve"> a </w:t>
      </w:r>
      <w:proofErr w:type="spellStart"/>
      <w:r w:rsidRPr="00EF67B4">
        <w:t>letter</w:t>
      </w:r>
      <w:proofErr w:type="spellEnd"/>
      <w:r w:rsidRPr="00EF67B4">
        <w:t xml:space="preserve"> </w:t>
      </w:r>
      <w:bookmarkEnd w:id="36"/>
      <w:r w:rsidRPr="00EF67B4">
        <w:t xml:space="preserve">za období 2020–2024 v periodikách </w:t>
      </w:r>
      <w:proofErr w:type="spellStart"/>
      <w:r w:rsidRPr="00EF67B4">
        <w:t>WoS</w:t>
      </w:r>
      <w:proofErr w:type="spellEnd"/>
      <w:r w:rsidRPr="00EF67B4">
        <w:t xml:space="preserve"> </w:t>
      </w:r>
      <w:proofErr w:type="spellStart"/>
      <w:r w:rsidRPr="00EF67B4">
        <w:t>Core</w:t>
      </w:r>
      <w:proofErr w:type="spellEnd"/>
      <w:r w:rsidRPr="00EF67B4">
        <w:t xml:space="preserve"> </w:t>
      </w:r>
      <w:proofErr w:type="spellStart"/>
      <w:r w:rsidRPr="00EF67B4">
        <w:t>Collection</w:t>
      </w:r>
      <w:proofErr w:type="spellEnd"/>
      <w:r w:rsidRPr="00EF67B4">
        <w:t>, oborové členění dle OECD (</w:t>
      </w:r>
      <w:proofErr w:type="spellStart"/>
      <w:r w:rsidRPr="00EF67B4">
        <w:t>Frascati</w:t>
      </w:r>
      <w:proofErr w:type="spellEnd"/>
      <w:r w:rsidRPr="00EF67B4">
        <w:t xml:space="preserve"> </w:t>
      </w:r>
      <w:proofErr w:type="spellStart"/>
      <w:r w:rsidRPr="00EF67B4">
        <w:t>Manual</w:t>
      </w:r>
      <w:proofErr w:type="spellEnd"/>
      <w:r w:rsidRPr="00EF67B4">
        <w:t>).</w:t>
      </w:r>
    </w:p>
    <w:p w14:paraId="133A1317" w14:textId="77777777" w:rsidR="00FD1BF2" w:rsidRPr="004C04FC" w:rsidRDefault="00FD1BF2" w:rsidP="00FD1BF2">
      <w:pPr>
        <w:spacing w:after="120" w:line="360" w:lineRule="auto"/>
        <w:jc w:val="both"/>
        <w:rPr>
          <w:rFonts w:eastAsia="Times New Roman" w:cs="Arial"/>
          <w:bCs/>
          <w:highlight w:val="yellow"/>
          <w:lang w:eastAsia="cs-CZ"/>
        </w:rPr>
        <w:sectPr w:rsidR="00FD1BF2" w:rsidRPr="004C04FC" w:rsidSect="00FD1BF2">
          <w:pgSz w:w="16838" w:h="11906" w:orient="landscape"/>
          <w:pgMar w:top="720" w:right="720" w:bottom="720" w:left="720" w:header="709" w:footer="709" w:gutter="0"/>
          <w:cols w:space="708"/>
          <w:docGrid w:linePitch="360"/>
        </w:sectPr>
      </w:pPr>
    </w:p>
    <w:p w14:paraId="3F41C4DA" w14:textId="6F10C69E" w:rsidR="00B37B27" w:rsidRDefault="00B37B27" w:rsidP="0089753D">
      <w:pPr>
        <w:pStyle w:val="Nadpis2"/>
        <w:pageBreakBefore/>
        <w:spacing w:before="0" w:after="0" w:line="360" w:lineRule="auto"/>
        <w:ind w:left="578" w:hanging="578"/>
        <w:rPr>
          <w:rFonts w:eastAsia="Times New Roman"/>
        </w:rPr>
      </w:pPr>
      <w:bookmarkStart w:id="37" w:name="_Toc215589312"/>
      <w:r>
        <w:rPr>
          <w:rFonts w:eastAsia="Times New Roman"/>
        </w:rPr>
        <w:lastRenderedPageBreak/>
        <w:t>Inovační výkonnost</w:t>
      </w:r>
      <w:bookmarkEnd w:id="37"/>
    </w:p>
    <w:p w14:paraId="37BDEEDE" w14:textId="77777777" w:rsidR="00EA71AC" w:rsidRPr="00EC05BD" w:rsidRDefault="00EA71AC" w:rsidP="00EA71AC">
      <w:pPr>
        <w:spacing w:after="120" w:line="360" w:lineRule="auto"/>
        <w:ind w:firstLine="709"/>
        <w:jc w:val="both"/>
        <w:rPr>
          <w:rFonts w:eastAsia="Times New Roman" w:cs="Arial"/>
          <w:bCs/>
          <w:lang w:eastAsia="cs-CZ"/>
        </w:rPr>
      </w:pPr>
      <w:r w:rsidRPr="00EC05BD">
        <w:rPr>
          <w:rFonts w:eastAsia="Times New Roman" w:cs="Arial"/>
          <w:bCs/>
          <w:lang w:eastAsia="cs-CZ"/>
        </w:rPr>
        <w:t xml:space="preserve">Generální ředitelství pro výzkum a inovace </w:t>
      </w:r>
      <w:r>
        <w:rPr>
          <w:rFonts w:eastAsia="Times New Roman" w:cs="Arial"/>
          <w:bCs/>
          <w:lang w:eastAsia="cs-CZ"/>
        </w:rPr>
        <w:t xml:space="preserve">Evropské komise vydává jednou za dva roky Zprávu o výkonnosti EU v oblasti vědy, výzkumu a inovací (Science, </w:t>
      </w:r>
      <w:proofErr w:type="spellStart"/>
      <w:r>
        <w:rPr>
          <w:rFonts w:eastAsia="Times New Roman" w:cs="Arial"/>
          <w:bCs/>
          <w:lang w:eastAsia="cs-CZ"/>
        </w:rPr>
        <w:t>Research</w:t>
      </w:r>
      <w:proofErr w:type="spellEnd"/>
      <w:r>
        <w:rPr>
          <w:rFonts w:eastAsia="Times New Roman" w:cs="Arial"/>
          <w:bCs/>
          <w:lang w:eastAsia="cs-CZ"/>
        </w:rPr>
        <w:t xml:space="preserve"> and Innovation Performance </w:t>
      </w:r>
      <w:proofErr w:type="spellStart"/>
      <w:r>
        <w:rPr>
          <w:rFonts w:eastAsia="Times New Roman" w:cs="Arial"/>
          <w:bCs/>
          <w:lang w:eastAsia="cs-CZ"/>
        </w:rPr>
        <w:t>of</w:t>
      </w:r>
      <w:proofErr w:type="spellEnd"/>
      <w:r>
        <w:rPr>
          <w:rFonts w:eastAsia="Times New Roman" w:cs="Arial"/>
          <w:bCs/>
          <w:lang w:eastAsia="cs-CZ"/>
        </w:rPr>
        <w:t xml:space="preserve"> </w:t>
      </w:r>
      <w:proofErr w:type="spellStart"/>
      <w:r>
        <w:rPr>
          <w:rFonts w:eastAsia="Times New Roman" w:cs="Arial"/>
          <w:bCs/>
          <w:lang w:eastAsia="cs-CZ"/>
        </w:rPr>
        <w:t>the</w:t>
      </w:r>
      <w:proofErr w:type="spellEnd"/>
      <w:r>
        <w:rPr>
          <w:rFonts w:eastAsia="Times New Roman" w:cs="Arial"/>
          <w:bCs/>
          <w:lang w:eastAsia="cs-CZ"/>
        </w:rPr>
        <w:t xml:space="preserve"> EU, SRIP)</w:t>
      </w:r>
      <w:r>
        <w:rPr>
          <w:rStyle w:val="Znakapoznpodarou"/>
          <w:rFonts w:eastAsia="Times New Roman" w:cs="Arial"/>
          <w:bCs/>
          <w:lang w:eastAsia="cs-CZ"/>
        </w:rPr>
        <w:footnoteReference w:id="7"/>
      </w:r>
      <w:r>
        <w:rPr>
          <w:rFonts w:eastAsia="Times New Roman" w:cs="Arial"/>
          <w:bCs/>
          <w:lang w:eastAsia="cs-CZ"/>
        </w:rPr>
        <w:t>. Tento report analyzuje dynamiku výzkumu a inovací, inovační výkonnost Evropy a její hnací síly a formuluje doporučení do budoucna.</w:t>
      </w:r>
    </w:p>
    <w:p w14:paraId="0C818AF0" w14:textId="77777777" w:rsidR="00EA71AC" w:rsidRDefault="00EA71AC" w:rsidP="00EA71AC">
      <w:pPr>
        <w:spacing w:after="120" w:line="360" w:lineRule="auto"/>
        <w:ind w:firstLine="709"/>
        <w:jc w:val="both"/>
        <w:rPr>
          <w:rFonts w:eastAsia="Times New Roman" w:cs="Arial"/>
          <w:bCs/>
          <w:lang w:eastAsia="cs-CZ"/>
        </w:rPr>
      </w:pPr>
      <w:r w:rsidRPr="00CC589A">
        <w:rPr>
          <w:rFonts w:eastAsia="Times New Roman" w:cs="Arial"/>
          <w:bCs/>
          <w:lang w:eastAsia="cs-CZ"/>
        </w:rPr>
        <w:t xml:space="preserve">Hlavními zjištěními Science, </w:t>
      </w:r>
      <w:proofErr w:type="spellStart"/>
      <w:r w:rsidRPr="00CC589A">
        <w:rPr>
          <w:rFonts w:eastAsia="Times New Roman" w:cs="Arial"/>
          <w:bCs/>
          <w:lang w:eastAsia="cs-CZ"/>
        </w:rPr>
        <w:t>Research</w:t>
      </w:r>
      <w:proofErr w:type="spellEnd"/>
      <w:r w:rsidRPr="00CC589A">
        <w:rPr>
          <w:rFonts w:eastAsia="Times New Roman" w:cs="Arial"/>
          <w:bCs/>
          <w:lang w:eastAsia="cs-CZ"/>
        </w:rPr>
        <w:t xml:space="preserve"> and Innovation Performance </w:t>
      </w:r>
      <w:proofErr w:type="spellStart"/>
      <w:r w:rsidRPr="00CC589A">
        <w:rPr>
          <w:rFonts w:eastAsia="Times New Roman" w:cs="Arial"/>
          <w:bCs/>
          <w:lang w:eastAsia="cs-CZ"/>
        </w:rPr>
        <w:t>of</w:t>
      </w:r>
      <w:proofErr w:type="spellEnd"/>
      <w:r w:rsidRPr="00CC589A">
        <w:rPr>
          <w:rFonts w:eastAsia="Times New Roman" w:cs="Arial"/>
          <w:bCs/>
          <w:lang w:eastAsia="cs-CZ"/>
        </w:rPr>
        <w:t xml:space="preserve"> </w:t>
      </w:r>
      <w:proofErr w:type="spellStart"/>
      <w:r w:rsidRPr="00CC589A">
        <w:rPr>
          <w:rFonts w:eastAsia="Times New Roman" w:cs="Arial"/>
          <w:bCs/>
          <w:lang w:eastAsia="cs-CZ"/>
        </w:rPr>
        <w:t>the</w:t>
      </w:r>
      <w:proofErr w:type="spellEnd"/>
      <w:r w:rsidRPr="00CC589A">
        <w:rPr>
          <w:rFonts w:eastAsia="Times New Roman" w:cs="Arial"/>
          <w:bCs/>
          <w:lang w:eastAsia="cs-CZ"/>
        </w:rPr>
        <w:t xml:space="preserve"> EU 2024 jsou</w:t>
      </w:r>
      <w:r w:rsidRPr="00CC589A">
        <w:rPr>
          <w:rStyle w:val="Znakapoznpodarou"/>
          <w:rFonts w:eastAsia="Times New Roman" w:cs="Arial"/>
          <w:bCs/>
          <w:lang w:eastAsia="cs-CZ"/>
        </w:rPr>
        <w:footnoteReference w:id="8"/>
      </w:r>
      <w:r w:rsidRPr="00CC589A">
        <w:rPr>
          <w:rFonts w:eastAsia="Times New Roman" w:cs="Arial"/>
          <w:bCs/>
          <w:lang w:eastAsia="cs-CZ"/>
        </w:rPr>
        <w:t>:</w:t>
      </w:r>
    </w:p>
    <w:p w14:paraId="60BBD188" w14:textId="77777777" w:rsidR="00EA71AC" w:rsidRPr="00CC589A" w:rsidRDefault="00EA71AC" w:rsidP="00EA71AC">
      <w:pPr>
        <w:spacing w:after="120" w:line="360" w:lineRule="auto"/>
        <w:ind w:firstLine="709"/>
        <w:jc w:val="both"/>
        <w:rPr>
          <w:rFonts w:eastAsia="Times New Roman" w:cs="Arial"/>
          <w:bCs/>
          <w:lang w:eastAsia="cs-CZ"/>
        </w:rPr>
      </w:pPr>
      <w:r w:rsidRPr="00CC589A">
        <w:rPr>
          <w:rFonts w:eastAsia="Times New Roman" w:cs="Arial"/>
          <w:bCs/>
          <w:lang w:eastAsia="cs-CZ"/>
        </w:rPr>
        <w:t xml:space="preserve">→ </w:t>
      </w:r>
      <w:r>
        <w:rPr>
          <w:rFonts w:eastAsia="Times New Roman" w:cs="Arial"/>
          <w:bCs/>
          <w:lang w:eastAsia="cs-CZ"/>
        </w:rPr>
        <w:t xml:space="preserve">intenzita </w:t>
      </w:r>
      <w:proofErr w:type="spellStart"/>
      <w:r>
        <w:rPr>
          <w:rFonts w:eastAsia="Times New Roman" w:cs="Arial"/>
          <w:bCs/>
          <w:lang w:eastAsia="cs-CZ"/>
        </w:rPr>
        <w:t>VaV</w:t>
      </w:r>
      <w:proofErr w:type="spellEnd"/>
      <w:r>
        <w:rPr>
          <w:rFonts w:eastAsia="Times New Roman" w:cs="Arial"/>
          <w:bCs/>
          <w:lang w:eastAsia="cs-CZ"/>
        </w:rPr>
        <w:t xml:space="preserve"> EU 27 je na úrovni 2,2 % HDP, tzn. pod úrovní USA, Japonska, Jižní Koreje a Číny; významnou roli v tomto ukazateli hrají soukromé investice do </w:t>
      </w:r>
      <w:proofErr w:type="spellStart"/>
      <w:r>
        <w:rPr>
          <w:rFonts w:eastAsia="Times New Roman" w:cs="Arial"/>
          <w:bCs/>
          <w:lang w:eastAsia="cs-CZ"/>
        </w:rPr>
        <w:t>VaV</w:t>
      </w:r>
      <w:proofErr w:type="spellEnd"/>
      <w:r>
        <w:rPr>
          <w:rFonts w:eastAsia="Times New Roman" w:cs="Arial"/>
          <w:bCs/>
          <w:lang w:eastAsia="cs-CZ"/>
        </w:rPr>
        <w:t>; silná stránka EU 27 je v tzv. zelených technologiích; naopak EU 27 zaostává za USA a Čínou v digitálních oblastech (</w:t>
      </w:r>
      <w:proofErr w:type="gramStart"/>
      <w:r>
        <w:rPr>
          <w:rFonts w:eastAsia="Times New Roman" w:cs="Arial"/>
          <w:bCs/>
          <w:lang w:eastAsia="cs-CZ"/>
        </w:rPr>
        <w:t>Internet</w:t>
      </w:r>
      <w:proofErr w:type="gramEnd"/>
      <w:r>
        <w:rPr>
          <w:rFonts w:eastAsia="Times New Roman" w:cs="Arial"/>
          <w:bCs/>
          <w:lang w:eastAsia="cs-CZ"/>
        </w:rPr>
        <w:t xml:space="preserve"> </w:t>
      </w:r>
      <w:proofErr w:type="spellStart"/>
      <w:r>
        <w:rPr>
          <w:rFonts w:eastAsia="Times New Roman" w:cs="Arial"/>
          <w:bCs/>
          <w:lang w:eastAsia="cs-CZ"/>
        </w:rPr>
        <w:t>of</w:t>
      </w:r>
      <w:proofErr w:type="spellEnd"/>
      <w:r>
        <w:rPr>
          <w:rFonts w:eastAsia="Times New Roman" w:cs="Arial"/>
          <w:bCs/>
          <w:lang w:eastAsia="cs-CZ"/>
        </w:rPr>
        <w:t xml:space="preserve"> </w:t>
      </w:r>
      <w:proofErr w:type="spellStart"/>
      <w:r>
        <w:rPr>
          <w:rFonts w:eastAsia="Times New Roman" w:cs="Arial"/>
          <w:bCs/>
          <w:lang w:eastAsia="cs-CZ"/>
        </w:rPr>
        <w:t>Things</w:t>
      </w:r>
      <w:proofErr w:type="spellEnd"/>
      <w:r>
        <w:rPr>
          <w:rFonts w:eastAsia="Times New Roman" w:cs="Arial"/>
          <w:bCs/>
          <w:lang w:eastAsia="cs-CZ"/>
        </w:rPr>
        <w:t xml:space="preserve">, umělá inteligence); geopolitický kontext směřuje pozornost k obranému </w:t>
      </w:r>
      <w:proofErr w:type="spellStart"/>
      <w:r>
        <w:rPr>
          <w:rFonts w:eastAsia="Times New Roman" w:cs="Arial"/>
          <w:bCs/>
          <w:lang w:eastAsia="cs-CZ"/>
        </w:rPr>
        <w:t>VaV</w:t>
      </w:r>
      <w:proofErr w:type="spellEnd"/>
      <w:r>
        <w:rPr>
          <w:rFonts w:eastAsia="Times New Roman" w:cs="Arial"/>
          <w:bCs/>
          <w:lang w:eastAsia="cs-CZ"/>
        </w:rPr>
        <w:t xml:space="preserve">; investice EU do obrany jsou tvořeny především pořizováním obranného vybavení než samotnou podstatou </w:t>
      </w:r>
      <w:proofErr w:type="spellStart"/>
      <w:r>
        <w:rPr>
          <w:rFonts w:eastAsia="Times New Roman" w:cs="Arial"/>
          <w:bCs/>
          <w:lang w:eastAsia="cs-CZ"/>
        </w:rPr>
        <w:t>VaV</w:t>
      </w:r>
      <w:proofErr w:type="spellEnd"/>
      <w:r>
        <w:rPr>
          <w:rFonts w:eastAsia="Times New Roman" w:cs="Arial"/>
          <w:bCs/>
          <w:lang w:eastAsia="cs-CZ"/>
        </w:rPr>
        <w:t>;</w:t>
      </w:r>
    </w:p>
    <w:p w14:paraId="20623F07" w14:textId="452F657A" w:rsidR="00EA71AC" w:rsidRPr="00CC589A" w:rsidRDefault="00EA71AC" w:rsidP="00EA71AC">
      <w:pPr>
        <w:spacing w:after="120" w:line="360" w:lineRule="auto"/>
        <w:ind w:firstLine="709"/>
        <w:jc w:val="both"/>
        <w:rPr>
          <w:rFonts w:eastAsia="Times New Roman" w:cs="Arial"/>
          <w:bCs/>
          <w:lang w:eastAsia="cs-CZ"/>
        </w:rPr>
      </w:pPr>
      <w:r w:rsidRPr="00CC589A">
        <w:rPr>
          <w:rFonts w:eastAsia="Times New Roman" w:cs="Arial"/>
          <w:bCs/>
          <w:lang w:eastAsia="cs-CZ"/>
        </w:rPr>
        <w:t xml:space="preserve">→ </w:t>
      </w:r>
      <w:r>
        <w:rPr>
          <w:rFonts w:eastAsia="Times New Roman" w:cs="Arial"/>
          <w:bCs/>
          <w:lang w:eastAsia="cs-CZ"/>
        </w:rPr>
        <w:t xml:space="preserve">výhodou EU 27 je stabilní výzkumná základna, celosvětově je na 2. místě z pohledu vědeckých výstupů; Čína vede v počtu nejvíce citovaných publikací; rozšířený je v EU také otevřený přístup k vědeckým výstupům; EU 27 má širokou škálu institucí, které jsou ale hodnocené průměrně, naopak anglosaský model se vyznačuje koncentrací elitních institucí; rychlým tempem roste význam umělé inteligence v činnostech </w:t>
      </w:r>
      <w:proofErr w:type="spellStart"/>
      <w:r>
        <w:rPr>
          <w:rFonts w:eastAsia="Times New Roman" w:cs="Arial"/>
          <w:bCs/>
          <w:lang w:eastAsia="cs-CZ"/>
        </w:rPr>
        <w:t>VaV</w:t>
      </w:r>
      <w:proofErr w:type="spellEnd"/>
      <w:r>
        <w:rPr>
          <w:rFonts w:eastAsia="Times New Roman" w:cs="Arial"/>
          <w:bCs/>
          <w:lang w:eastAsia="cs-CZ"/>
        </w:rPr>
        <w:t xml:space="preserve"> (vedoucí úlohu převzala Čína, následuje USA a EU);</w:t>
      </w:r>
    </w:p>
    <w:p w14:paraId="7418A33E" w14:textId="77777777" w:rsidR="00EA71AC" w:rsidRPr="00CC589A" w:rsidRDefault="00EA71AC" w:rsidP="00EA71AC">
      <w:pPr>
        <w:spacing w:after="120" w:line="360" w:lineRule="auto"/>
        <w:ind w:firstLine="709"/>
        <w:jc w:val="both"/>
        <w:rPr>
          <w:rFonts w:eastAsia="Times New Roman" w:cs="Arial"/>
          <w:bCs/>
          <w:lang w:eastAsia="cs-CZ"/>
        </w:rPr>
      </w:pPr>
      <w:r w:rsidRPr="00CC589A">
        <w:rPr>
          <w:rFonts w:eastAsia="Times New Roman" w:cs="Arial"/>
          <w:bCs/>
          <w:lang w:eastAsia="cs-CZ"/>
        </w:rPr>
        <w:t xml:space="preserve">→ </w:t>
      </w:r>
      <w:r>
        <w:rPr>
          <w:rFonts w:eastAsia="Times New Roman" w:cs="Arial"/>
          <w:bCs/>
          <w:lang w:eastAsia="cs-CZ"/>
        </w:rPr>
        <w:t xml:space="preserve">regionální rozdíly ve </w:t>
      </w:r>
      <w:proofErr w:type="spellStart"/>
      <w:r>
        <w:rPr>
          <w:rFonts w:eastAsia="Times New Roman" w:cs="Arial"/>
          <w:bCs/>
          <w:lang w:eastAsia="cs-CZ"/>
        </w:rPr>
        <w:t>VaV</w:t>
      </w:r>
      <w:proofErr w:type="spellEnd"/>
      <w:r>
        <w:rPr>
          <w:rFonts w:eastAsia="Times New Roman" w:cs="Arial"/>
          <w:bCs/>
          <w:lang w:eastAsia="cs-CZ"/>
        </w:rPr>
        <w:t xml:space="preserve"> a inovační výkonnosti jsou patrné také v Evropě; v severní a západní Evropě je soustředěna většina lídrů v oblasti inovací, zatímco mírní a začínající inovátoři se nacházejí v jižní a východní Evropě; </w:t>
      </w:r>
    </w:p>
    <w:p w14:paraId="703B6819" w14:textId="36EF763F" w:rsidR="00EA71AC" w:rsidRPr="00CC589A" w:rsidRDefault="00EA71AC" w:rsidP="00EA71AC">
      <w:pPr>
        <w:spacing w:after="120" w:line="360" w:lineRule="auto"/>
        <w:ind w:firstLine="709"/>
        <w:jc w:val="both"/>
        <w:rPr>
          <w:rFonts w:eastAsia="Times New Roman" w:cs="Arial"/>
          <w:bCs/>
          <w:lang w:eastAsia="cs-CZ"/>
        </w:rPr>
      </w:pPr>
      <w:r w:rsidRPr="00CC589A">
        <w:rPr>
          <w:rFonts w:eastAsia="Times New Roman" w:cs="Arial"/>
          <w:bCs/>
          <w:lang w:eastAsia="cs-CZ"/>
        </w:rPr>
        <w:t xml:space="preserve">→ </w:t>
      </w:r>
      <w:r>
        <w:rPr>
          <w:rFonts w:eastAsia="Times New Roman" w:cs="Arial"/>
          <w:bCs/>
          <w:lang w:eastAsia="cs-CZ"/>
        </w:rPr>
        <w:t xml:space="preserve">pro hospodářský růst a konkurenceschopnost je klíčová produktivita práce, při zvyšování produktivity práce v EU hraje stěžejní roli </w:t>
      </w:r>
      <w:proofErr w:type="spellStart"/>
      <w:r>
        <w:rPr>
          <w:rFonts w:eastAsia="Times New Roman" w:cs="Arial"/>
          <w:bCs/>
          <w:lang w:eastAsia="cs-CZ"/>
        </w:rPr>
        <w:t>VaV</w:t>
      </w:r>
      <w:proofErr w:type="spellEnd"/>
      <w:r>
        <w:rPr>
          <w:rFonts w:eastAsia="Times New Roman" w:cs="Arial"/>
          <w:bCs/>
          <w:lang w:eastAsia="cs-CZ"/>
        </w:rPr>
        <w:t>; technologický pokrok a mezinárodní obchod přispívají k polarizaci pracovních míst tím, že zvyšují poptávku po vysoce kvalifikovaných pracovnících a snižují počet rutinních středně kvalifikovaných pozic; zaměstnanost v EU 27 je soustředěna do výroby, na rozdíl od koncentrace zaměstnanosti v USA do zdravotnictví, IT a financí.</w:t>
      </w:r>
    </w:p>
    <w:p w14:paraId="32157A8C" w14:textId="77777777" w:rsidR="00EA71AC" w:rsidRDefault="00EA71AC" w:rsidP="00EA71AC">
      <w:pPr>
        <w:spacing w:after="120" w:line="360" w:lineRule="auto"/>
        <w:jc w:val="both"/>
        <w:rPr>
          <w:rFonts w:eastAsia="Times New Roman" w:cs="Arial"/>
          <w:bCs/>
          <w:highlight w:val="yellow"/>
          <w:lang w:eastAsia="cs-CZ"/>
        </w:rPr>
      </w:pPr>
    </w:p>
    <w:p w14:paraId="7D0B2340" w14:textId="77777777" w:rsidR="00EA71AC" w:rsidRDefault="00EA71AC" w:rsidP="00EA71AC">
      <w:pPr>
        <w:spacing w:after="120" w:line="360" w:lineRule="auto"/>
        <w:ind w:firstLine="708"/>
        <w:jc w:val="both"/>
        <w:rPr>
          <w:rFonts w:eastAsia="Times New Roman" w:cs="Arial"/>
          <w:bCs/>
          <w:lang w:eastAsia="cs-CZ"/>
        </w:rPr>
      </w:pPr>
      <w:r>
        <w:rPr>
          <w:rFonts w:eastAsia="Times New Roman" w:cs="Arial"/>
          <w:bCs/>
          <w:lang w:eastAsia="cs-CZ"/>
        </w:rPr>
        <w:lastRenderedPageBreak/>
        <w:t xml:space="preserve">Dalším reportem zaměřeným na investice do průmyslového </w:t>
      </w:r>
      <w:proofErr w:type="spellStart"/>
      <w:r>
        <w:rPr>
          <w:rFonts w:eastAsia="Times New Roman" w:cs="Arial"/>
          <w:bCs/>
          <w:lang w:eastAsia="cs-CZ"/>
        </w:rPr>
        <w:t>VaV</w:t>
      </w:r>
      <w:proofErr w:type="spellEnd"/>
      <w:r>
        <w:rPr>
          <w:rFonts w:eastAsia="Times New Roman" w:cs="Arial"/>
          <w:bCs/>
          <w:lang w:eastAsia="cs-CZ"/>
        </w:rPr>
        <w:t xml:space="preserve"> je EU </w:t>
      </w:r>
      <w:proofErr w:type="spellStart"/>
      <w:r>
        <w:rPr>
          <w:rFonts w:eastAsia="Times New Roman" w:cs="Arial"/>
          <w:bCs/>
          <w:lang w:eastAsia="cs-CZ"/>
        </w:rPr>
        <w:t>Industrial</w:t>
      </w:r>
      <w:proofErr w:type="spellEnd"/>
      <w:r>
        <w:rPr>
          <w:rFonts w:eastAsia="Times New Roman" w:cs="Arial"/>
          <w:bCs/>
          <w:lang w:eastAsia="cs-CZ"/>
        </w:rPr>
        <w:t xml:space="preserve"> R&amp;D </w:t>
      </w:r>
      <w:proofErr w:type="spellStart"/>
      <w:r>
        <w:rPr>
          <w:rFonts w:eastAsia="Times New Roman" w:cs="Arial"/>
          <w:bCs/>
          <w:lang w:eastAsia="cs-CZ"/>
        </w:rPr>
        <w:t>Investment</w:t>
      </w:r>
      <w:proofErr w:type="spellEnd"/>
      <w:r>
        <w:rPr>
          <w:rFonts w:eastAsia="Times New Roman" w:cs="Arial"/>
          <w:bCs/>
          <w:lang w:eastAsia="cs-CZ"/>
        </w:rPr>
        <w:t xml:space="preserve"> </w:t>
      </w:r>
      <w:proofErr w:type="spellStart"/>
      <w:r>
        <w:rPr>
          <w:rFonts w:eastAsia="Times New Roman" w:cs="Arial"/>
          <w:bCs/>
          <w:lang w:eastAsia="cs-CZ"/>
        </w:rPr>
        <w:t>Scoreboard</w:t>
      </w:r>
      <w:proofErr w:type="spellEnd"/>
      <w:r>
        <w:rPr>
          <w:rFonts w:eastAsia="Times New Roman" w:cs="Arial"/>
          <w:bCs/>
          <w:lang w:eastAsia="cs-CZ"/>
        </w:rPr>
        <w:t xml:space="preserve"> 2024</w:t>
      </w:r>
      <w:r>
        <w:rPr>
          <w:rStyle w:val="Znakapoznpodarou"/>
          <w:rFonts w:eastAsia="Times New Roman" w:cs="Arial"/>
          <w:bCs/>
          <w:lang w:eastAsia="cs-CZ"/>
        </w:rPr>
        <w:footnoteReference w:id="9"/>
      </w:r>
      <w:r>
        <w:rPr>
          <w:rFonts w:eastAsia="Times New Roman" w:cs="Arial"/>
          <w:bCs/>
          <w:lang w:eastAsia="cs-CZ"/>
        </w:rPr>
        <w:t xml:space="preserve">, který sleduje a analyzuje trendy investic do průmyslového </w:t>
      </w:r>
      <w:proofErr w:type="spellStart"/>
      <w:r>
        <w:rPr>
          <w:rFonts w:eastAsia="Times New Roman" w:cs="Arial"/>
          <w:bCs/>
          <w:lang w:eastAsia="cs-CZ"/>
        </w:rPr>
        <w:t>VaV</w:t>
      </w:r>
      <w:proofErr w:type="spellEnd"/>
      <w:r>
        <w:rPr>
          <w:rFonts w:eastAsia="Times New Roman" w:cs="Arial"/>
          <w:bCs/>
          <w:lang w:eastAsia="cs-CZ"/>
        </w:rPr>
        <w:t xml:space="preserve"> v kontextu cíle politiky investic do </w:t>
      </w:r>
      <w:proofErr w:type="spellStart"/>
      <w:r>
        <w:rPr>
          <w:rFonts w:eastAsia="Times New Roman" w:cs="Arial"/>
          <w:bCs/>
          <w:lang w:eastAsia="cs-CZ"/>
        </w:rPr>
        <w:t>VaV</w:t>
      </w:r>
      <w:proofErr w:type="spellEnd"/>
      <w:r>
        <w:rPr>
          <w:rFonts w:eastAsia="Times New Roman" w:cs="Arial"/>
          <w:bCs/>
          <w:lang w:eastAsia="cs-CZ"/>
        </w:rPr>
        <w:t xml:space="preserve"> ve výši 3 % HDP v EU, což je klíčový ukazatel výkonnosti dlouhodobé konkurenceschopnosti EU. Za zásadní pro vypořádání historických rozdílů v produktivitě ve srovnání s hlavními globálními konkurenty je pokládán růst soukromých investic do </w:t>
      </w:r>
      <w:proofErr w:type="spellStart"/>
      <w:r>
        <w:rPr>
          <w:rFonts w:eastAsia="Times New Roman" w:cs="Arial"/>
          <w:bCs/>
          <w:lang w:eastAsia="cs-CZ"/>
        </w:rPr>
        <w:t>VaV</w:t>
      </w:r>
      <w:proofErr w:type="spellEnd"/>
      <w:r>
        <w:rPr>
          <w:rFonts w:eastAsia="Times New Roman" w:cs="Arial"/>
          <w:bCs/>
          <w:lang w:eastAsia="cs-CZ"/>
        </w:rPr>
        <w:t>.</w:t>
      </w:r>
    </w:p>
    <w:p w14:paraId="2F5438A6" w14:textId="77777777" w:rsidR="00EA71AC" w:rsidRDefault="00EA71AC" w:rsidP="00EA71AC">
      <w:pPr>
        <w:spacing w:after="120" w:line="360" w:lineRule="auto"/>
        <w:ind w:firstLine="709"/>
        <w:jc w:val="both"/>
        <w:rPr>
          <w:rFonts w:eastAsia="Times New Roman" w:cs="Arial"/>
          <w:bCs/>
          <w:lang w:eastAsia="cs-CZ"/>
        </w:rPr>
      </w:pPr>
      <w:r w:rsidRPr="00CC589A">
        <w:rPr>
          <w:rFonts w:eastAsia="Times New Roman" w:cs="Arial"/>
          <w:bCs/>
          <w:lang w:eastAsia="cs-CZ"/>
        </w:rPr>
        <w:t xml:space="preserve">Hlavními zjištěními </w:t>
      </w:r>
      <w:r>
        <w:rPr>
          <w:rFonts w:eastAsia="Times New Roman" w:cs="Arial"/>
          <w:bCs/>
          <w:lang w:eastAsia="cs-CZ"/>
        </w:rPr>
        <w:t xml:space="preserve">EU </w:t>
      </w:r>
      <w:proofErr w:type="spellStart"/>
      <w:r>
        <w:rPr>
          <w:rFonts w:eastAsia="Times New Roman" w:cs="Arial"/>
          <w:bCs/>
          <w:lang w:eastAsia="cs-CZ"/>
        </w:rPr>
        <w:t>Industrial</w:t>
      </w:r>
      <w:proofErr w:type="spellEnd"/>
      <w:r>
        <w:rPr>
          <w:rFonts w:eastAsia="Times New Roman" w:cs="Arial"/>
          <w:bCs/>
          <w:lang w:eastAsia="cs-CZ"/>
        </w:rPr>
        <w:t xml:space="preserve"> R&amp;D </w:t>
      </w:r>
      <w:proofErr w:type="spellStart"/>
      <w:r>
        <w:rPr>
          <w:rFonts w:eastAsia="Times New Roman" w:cs="Arial"/>
          <w:bCs/>
          <w:lang w:eastAsia="cs-CZ"/>
        </w:rPr>
        <w:t>Investment</w:t>
      </w:r>
      <w:proofErr w:type="spellEnd"/>
      <w:r>
        <w:rPr>
          <w:rFonts w:eastAsia="Times New Roman" w:cs="Arial"/>
          <w:bCs/>
          <w:lang w:eastAsia="cs-CZ"/>
        </w:rPr>
        <w:t xml:space="preserve"> </w:t>
      </w:r>
      <w:proofErr w:type="spellStart"/>
      <w:r>
        <w:rPr>
          <w:rFonts w:eastAsia="Times New Roman" w:cs="Arial"/>
          <w:bCs/>
          <w:lang w:eastAsia="cs-CZ"/>
        </w:rPr>
        <w:t>Scoreboard</w:t>
      </w:r>
      <w:proofErr w:type="spellEnd"/>
      <w:r>
        <w:rPr>
          <w:rFonts w:eastAsia="Times New Roman" w:cs="Arial"/>
          <w:bCs/>
          <w:lang w:eastAsia="cs-CZ"/>
        </w:rPr>
        <w:t xml:space="preserve"> 2024 </w:t>
      </w:r>
      <w:r w:rsidRPr="00CC589A">
        <w:rPr>
          <w:rFonts w:eastAsia="Times New Roman" w:cs="Arial"/>
          <w:bCs/>
          <w:lang w:eastAsia="cs-CZ"/>
        </w:rPr>
        <w:t>jsou:</w:t>
      </w:r>
    </w:p>
    <w:p w14:paraId="4D0E0F72" w14:textId="28D46AD2" w:rsidR="00EA71AC" w:rsidRDefault="00EA71AC" w:rsidP="00EA71AC">
      <w:pPr>
        <w:spacing w:after="120" w:line="360" w:lineRule="auto"/>
        <w:ind w:firstLine="708"/>
        <w:jc w:val="both"/>
        <w:rPr>
          <w:rFonts w:eastAsia="Times New Roman" w:cs="Arial"/>
          <w:bCs/>
          <w:lang w:eastAsia="cs-CZ"/>
        </w:rPr>
      </w:pPr>
      <w:r w:rsidRPr="00CC589A">
        <w:rPr>
          <w:rFonts w:eastAsia="Times New Roman" w:cs="Arial"/>
          <w:bCs/>
          <w:lang w:eastAsia="cs-CZ"/>
        </w:rPr>
        <w:t xml:space="preserve">→ </w:t>
      </w:r>
      <w:r>
        <w:rPr>
          <w:rFonts w:eastAsia="Times New Roman" w:cs="Arial"/>
          <w:bCs/>
          <w:lang w:eastAsia="cs-CZ"/>
        </w:rPr>
        <w:t xml:space="preserve">investice do </w:t>
      </w:r>
      <w:proofErr w:type="spellStart"/>
      <w:r>
        <w:rPr>
          <w:rFonts w:eastAsia="Times New Roman" w:cs="Arial"/>
          <w:bCs/>
          <w:lang w:eastAsia="cs-CZ"/>
        </w:rPr>
        <w:t>VaV</w:t>
      </w:r>
      <w:proofErr w:type="spellEnd"/>
      <w:r>
        <w:rPr>
          <w:rFonts w:eastAsia="Times New Roman" w:cs="Arial"/>
          <w:bCs/>
          <w:lang w:eastAsia="cs-CZ"/>
        </w:rPr>
        <w:t xml:space="preserve"> v roce 2023 rychle rostly, ale nedosahují tempa předchozího období; 2 tis. největších světových společností investovalo v roce 2023 do </w:t>
      </w:r>
      <w:proofErr w:type="spellStart"/>
      <w:r>
        <w:rPr>
          <w:rFonts w:eastAsia="Times New Roman" w:cs="Arial"/>
          <w:bCs/>
          <w:lang w:eastAsia="cs-CZ"/>
        </w:rPr>
        <w:t>VaV</w:t>
      </w:r>
      <w:proofErr w:type="spellEnd"/>
      <w:r>
        <w:rPr>
          <w:rFonts w:eastAsia="Times New Roman" w:cs="Arial"/>
          <w:bCs/>
          <w:lang w:eastAsia="cs-CZ"/>
        </w:rPr>
        <w:t xml:space="preserve"> 1 257,7</w:t>
      </w:r>
      <w:r w:rsidR="00395FCE">
        <w:rPr>
          <w:rFonts w:eastAsia="Times New Roman" w:cs="Arial"/>
          <w:bCs/>
          <w:lang w:eastAsia="cs-CZ"/>
        </w:rPr>
        <w:t> </w:t>
      </w:r>
      <w:r>
        <w:rPr>
          <w:rFonts w:eastAsia="Times New Roman" w:cs="Arial"/>
          <w:bCs/>
          <w:lang w:eastAsia="cs-CZ"/>
        </w:rPr>
        <w:t>mld.</w:t>
      </w:r>
      <w:r w:rsidR="00395FCE">
        <w:rPr>
          <w:rFonts w:eastAsia="Times New Roman" w:cs="Arial"/>
          <w:bCs/>
          <w:lang w:eastAsia="cs-CZ"/>
        </w:rPr>
        <w:t> </w:t>
      </w:r>
      <w:r>
        <w:rPr>
          <w:rFonts w:eastAsia="Times New Roman" w:cs="Arial"/>
          <w:bCs/>
          <w:lang w:eastAsia="cs-CZ"/>
        </w:rPr>
        <w:t>EUR (tj. o 90,6 mld. EUR více než v roce 2022); i tento nárůst byl ale menší než</w:t>
      </w:r>
      <w:r w:rsidR="00395FCE">
        <w:rPr>
          <w:rFonts w:eastAsia="Times New Roman" w:cs="Arial"/>
          <w:bCs/>
          <w:lang w:eastAsia="cs-CZ"/>
        </w:rPr>
        <w:t> </w:t>
      </w:r>
      <w:r>
        <w:rPr>
          <w:rFonts w:eastAsia="Times New Roman" w:cs="Arial"/>
          <w:bCs/>
          <w:lang w:eastAsia="cs-CZ"/>
        </w:rPr>
        <w:t xml:space="preserve">růst přímo po pandemii COVID-19 v letech 2021 a 2022; společnost </w:t>
      </w:r>
      <w:proofErr w:type="spellStart"/>
      <w:r>
        <w:rPr>
          <w:rFonts w:eastAsia="Times New Roman" w:cs="Arial"/>
          <w:bCs/>
          <w:lang w:eastAsia="cs-CZ"/>
        </w:rPr>
        <w:t>Alphabet</w:t>
      </w:r>
      <w:proofErr w:type="spellEnd"/>
      <w:r>
        <w:rPr>
          <w:rFonts w:eastAsia="Times New Roman" w:cs="Arial"/>
          <w:bCs/>
          <w:lang w:eastAsia="cs-CZ"/>
        </w:rPr>
        <w:t xml:space="preserve"> (USA) investovala v roce 2023 do </w:t>
      </w:r>
      <w:proofErr w:type="spellStart"/>
      <w:r>
        <w:rPr>
          <w:rFonts w:eastAsia="Times New Roman" w:cs="Arial"/>
          <w:bCs/>
          <w:lang w:eastAsia="cs-CZ"/>
        </w:rPr>
        <w:t>VaV</w:t>
      </w:r>
      <w:proofErr w:type="spellEnd"/>
      <w:r>
        <w:rPr>
          <w:rFonts w:eastAsia="Times New Roman" w:cs="Arial"/>
          <w:bCs/>
          <w:lang w:eastAsia="cs-CZ"/>
        </w:rPr>
        <w:t xml:space="preserve"> nejvíce (40 mld. EUR) a v rámci EU 27 je to společnost Volkswagen na 5. místě s 22 mld. EUR (jediná společnost EU v top 10); hranice pro umístění v 2 tis. nejvíce investujících společností do </w:t>
      </w:r>
      <w:proofErr w:type="spellStart"/>
      <w:r>
        <w:rPr>
          <w:rFonts w:eastAsia="Times New Roman" w:cs="Arial"/>
          <w:bCs/>
          <w:lang w:eastAsia="cs-CZ"/>
        </w:rPr>
        <w:t>VaV</w:t>
      </w:r>
      <w:proofErr w:type="spellEnd"/>
      <w:r>
        <w:rPr>
          <w:rFonts w:eastAsia="Times New Roman" w:cs="Arial"/>
          <w:bCs/>
          <w:lang w:eastAsia="cs-CZ"/>
        </w:rPr>
        <w:t xml:space="preserve"> je 67 mil. EUR;</w:t>
      </w:r>
    </w:p>
    <w:p w14:paraId="2F736BC5" w14:textId="37B3DF23" w:rsidR="00EA71AC" w:rsidRDefault="00EA71AC" w:rsidP="00EA71AC">
      <w:pPr>
        <w:spacing w:after="120" w:line="360" w:lineRule="auto"/>
        <w:ind w:firstLine="708"/>
        <w:jc w:val="both"/>
        <w:rPr>
          <w:rFonts w:eastAsia="Times New Roman" w:cs="Arial"/>
          <w:bCs/>
          <w:lang w:eastAsia="cs-CZ"/>
        </w:rPr>
      </w:pPr>
      <w:r w:rsidRPr="00CC589A">
        <w:rPr>
          <w:rFonts w:eastAsia="Times New Roman" w:cs="Arial"/>
          <w:bCs/>
          <w:lang w:eastAsia="cs-CZ"/>
        </w:rPr>
        <w:t>→</w:t>
      </w:r>
      <w:r>
        <w:rPr>
          <w:rFonts w:eastAsia="Times New Roman" w:cs="Arial"/>
          <w:bCs/>
          <w:lang w:eastAsia="cs-CZ"/>
        </w:rPr>
        <w:t xml:space="preserve"> stejně jako v předchozích letech jsou ¾ globálních investic do </w:t>
      </w:r>
      <w:proofErr w:type="spellStart"/>
      <w:r>
        <w:rPr>
          <w:rFonts w:eastAsia="Times New Roman" w:cs="Arial"/>
          <w:bCs/>
          <w:lang w:eastAsia="cs-CZ"/>
        </w:rPr>
        <w:t>VaV</w:t>
      </w:r>
      <w:proofErr w:type="spellEnd"/>
      <w:r>
        <w:rPr>
          <w:rFonts w:eastAsia="Times New Roman" w:cs="Arial"/>
          <w:bCs/>
          <w:lang w:eastAsia="cs-CZ"/>
        </w:rPr>
        <w:t xml:space="preserve"> tvořeny ve čtyřech odvětvích – IT hardware a software, zdravotnictví a automobilový průmysl; společnosti z EU si</w:t>
      </w:r>
      <w:r w:rsidR="00E23936">
        <w:rPr>
          <w:rFonts w:eastAsia="Times New Roman" w:cs="Arial"/>
          <w:bCs/>
          <w:lang w:eastAsia="cs-CZ"/>
        </w:rPr>
        <w:t> </w:t>
      </w:r>
      <w:r>
        <w:rPr>
          <w:rFonts w:eastAsia="Times New Roman" w:cs="Arial"/>
          <w:bCs/>
          <w:lang w:eastAsia="cs-CZ"/>
        </w:rPr>
        <w:t xml:space="preserve">udržují vedoucí postavení v oblasti globálního automobilového </w:t>
      </w:r>
      <w:proofErr w:type="spellStart"/>
      <w:r>
        <w:rPr>
          <w:rFonts w:eastAsia="Times New Roman" w:cs="Arial"/>
          <w:bCs/>
          <w:lang w:eastAsia="cs-CZ"/>
        </w:rPr>
        <w:t>VaV</w:t>
      </w:r>
      <w:proofErr w:type="spellEnd"/>
      <w:r>
        <w:rPr>
          <w:rFonts w:eastAsia="Times New Roman" w:cs="Arial"/>
          <w:bCs/>
          <w:lang w:eastAsia="cs-CZ"/>
        </w:rPr>
        <w:t xml:space="preserve">, naopak společnosti z USA vedou v odvětvích souvisejících s informačními a komunikačními technologiemi a zdravotnictvím, zatímco čínské společnosti v posledních 10 letech stabilně rostou ve všech odvětvích; v EU 27 investuje automobilový sektor nejvíce do </w:t>
      </w:r>
      <w:proofErr w:type="spellStart"/>
      <w:r>
        <w:rPr>
          <w:rFonts w:eastAsia="Times New Roman" w:cs="Arial"/>
          <w:bCs/>
          <w:lang w:eastAsia="cs-CZ"/>
        </w:rPr>
        <w:t>VaV</w:t>
      </w:r>
      <w:proofErr w:type="spellEnd"/>
      <w:r>
        <w:rPr>
          <w:rFonts w:eastAsia="Times New Roman" w:cs="Arial"/>
          <w:bCs/>
          <w:lang w:eastAsia="cs-CZ"/>
        </w:rPr>
        <w:t>, a to dvakrát tolik než v roce 2013;</w:t>
      </w:r>
    </w:p>
    <w:p w14:paraId="79FA38DC" w14:textId="773FCC82" w:rsidR="00EA71AC" w:rsidRDefault="00EA71AC" w:rsidP="00EA71AC">
      <w:pPr>
        <w:spacing w:after="120" w:line="360" w:lineRule="auto"/>
        <w:ind w:firstLine="708"/>
        <w:jc w:val="both"/>
        <w:rPr>
          <w:rFonts w:eastAsia="Times New Roman" w:cs="Arial"/>
          <w:bCs/>
          <w:lang w:eastAsia="cs-CZ"/>
        </w:rPr>
      </w:pPr>
      <w:r w:rsidRPr="00CC589A">
        <w:rPr>
          <w:rFonts w:eastAsia="Times New Roman" w:cs="Arial"/>
          <w:bCs/>
          <w:lang w:eastAsia="cs-CZ"/>
        </w:rPr>
        <w:t>→</w:t>
      </w:r>
      <w:r>
        <w:rPr>
          <w:rFonts w:eastAsia="Times New Roman" w:cs="Arial"/>
          <w:bCs/>
          <w:lang w:eastAsia="cs-CZ"/>
        </w:rPr>
        <w:t xml:space="preserve"> report nad rámec výše uvedených 2 tis. společností analyzuje vzorek 800 společností se sídlem v EU s cílem zachytit i menší společnosti, které se zabývají </w:t>
      </w:r>
      <w:proofErr w:type="spellStart"/>
      <w:r>
        <w:rPr>
          <w:rFonts w:eastAsia="Times New Roman" w:cs="Arial"/>
          <w:bCs/>
          <w:lang w:eastAsia="cs-CZ"/>
        </w:rPr>
        <w:t>VaV</w:t>
      </w:r>
      <w:proofErr w:type="spellEnd"/>
      <w:r>
        <w:rPr>
          <w:rFonts w:eastAsia="Times New Roman" w:cs="Arial"/>
          <w:bCs/>
          <w:lang w:eastAsia="cs-CZ"/>
        </w:rPr>
        <w:t>, ale do největších 2</w:t>
      </w:r>
      <w:r w:rsidR="00E23936">
        <w:rPr>
          <w:rFonts w:eastAsia="Times New Roman" w:cs="Arial"/>
          <w:bCs/>
          <w:lang w:eastAsia="cs-CZ"/>
        </w:rPr>
        <w:t> </w:t>
      </w:r>
      <w:r>
        <w:rPr>
          <w:rFonts w:eastAsia="Times New Roman" w:cs="Arial"/>
          <w:bCs/>
          <w:lang w:eastAsia="cs-CZ"/>
        </w:rPr>
        <w:t xml:space="preserve">tis. společností se nedostaly; z těchto 800 společností je jen 322 mezi 2 tis. společností s největšími investicemi do </w:t>
      </w:r>
      <w:proofErr w:type="spellStart"/>
      <w:r>
        <w:rPr>
          <w:rFonts w:eastAsia="Times New Roman" w:cs="Arial"/>
          <w:bCs/>
          <w:lang w:eastAsia="cs-CZ"/>
        </w:rPr>
        <w:t>VaV</w:t>
      </w:r>
      <w:proofErr w:type="spellEnd"/>
      <w:r>
        <w:rPr>
          <w:rFonts w:eastAsia="Times New Roman" w:cs="Arial"/>
          <w:bCs/>
          <w:lang w:eastAsia="cs-CZ"/>
        </w:rPr>
        <w:t xml:space="preserve">; těchto 800 společností se nachází v 19 státech EU 27 (nejvíce v Německu, Francii a Nizozemsku) a jejich investice do </w:t>
      </w:r>
      <w:proofErr w:type="spellStart"/>
      <w:r>
        <w:rPr>
          <w:rFonts w:eastAsia="Times New Roman" w:cs="Arial"/>
          <w:bCs/>
          <w:lang w:eastAsia="cs-CZ"/>
        </w:rPr>
        <w:t>VaV</w:t>
      </w:r>
      <w:proofErr w:type="spellEnd"/>
      <w:r>
        <w:rPr>
          <w:rFonts w:eastAsia="Times New Roman" w:cs="Arial"/>
          <w:bCs/>
          <w:lang w:eastAsia="cs-CZ"/>
        </w:rPr>
        <w:t xml:space="preserve"> byly v roce 2023 7 mil. EUR a více; dohromady tyto společnosti investovali do </w:t>
      </w:r>
      <w:proofErr w:type="spellStart"/>
      <w:r>
        <w:rPr>
          <w:rFonts w:eastAsia="Times New Roman" w:cs="Arial"/>
          <w:bCs/>
          <w:lang w:eastAsia="cs-CZ"/>
        </w:rPr>
        <w:t>VaV</w:t>
      </w:r>
      <w:proofErr w:type="spellEnd"/>
      <w:r>
        <w:rPr>
          <w:rFonts w:eastAsia="Times New Roman" w:cs="Arial"/>
          <w:bCs/>
          <w:lang w:eastAsia="cs-CZ"/>
        </w:rPr>
        <w:t xml:space="preserve"> 247,7 mld. EUR; </w:t>
      </w:r>
    </w:p>
    <w:p w14:paraId="0F643707" w14:textId="77777777" w:rsidR="00EA71AC" w:rsidRPr="00D222FF" w:rsidRDefault="00EA71AC" w:rsidP="00EA71AC">
      <w:pPr>
        <w:spacing w:after="120" w:line="360" w:lineRule="auto"/>
        <w:ind w:firstLine="708"/>
        <w:jc w:val="both"/>
        <w:rPr>
          <w:rFonts w:eastAsia="Times New Roman" w:cs="Arial"/>
          <w:bCs/>
          <w:lang w:eastAsia="cs-CZ"/>
        </w:rPr>
      </w:pPr>
      <w:r w:rsidRPr="00CC589A">
        <w:rPr>
          <w:rFonts w:eastAsia="Times New Roman" w:cs="Arial"/>
          <w:bCs/>
          <w:lang w:eastAsia="cs-CZ"/>
        </w:rPr>
        <w:t>→</w:t>
      </w:r>
      <w:r>
        <w:rPr>
          <w:rFonts w:eastAsia="Times New Roman" w:cs="Arial"/>
          <w:bCs/>
          <w:lang w:eastAsia="cs-CZ"/>
        </w:rPr>
        <w:t xml:space="preserve"> růst investic do </w:t>
      </w:r>
      <w:proofErr w:type="spellStart"/>
      <w:r>
        <w:rPr>
          <w:rFonts w:eastAsia="Times New Roman" w:cs="Arial"/>
          <w:bCs/>
          <w:lang w:eastAsia="cs-CZ"/>
        </w:rPr>
        <w:t>VaV</w:t>
      </w:r>
      <w:proofErr w:type="spellEnd"/>
      <w:r>
        <w:rPr>
          <w:rFonts w:eastAsia="Times New Roman" w:cs="Arial"/>
          <w:bCs/>
          <w:lang w:eastAsia="cs-CZ"/>
        </w:rPr>
        <w:t xml:space="preserve"> výrazně překonal jak produktivitu práce, tak růst patentů; ačkoli </w:t>
      </w:r>
      <w:proofErr w:type="spellStart"/>
      <w:r>
        <w:rPr>
          <w:rFonts w:eastAsia="Times New Roman" w:cs="Arial"/>
          <w:bCs/>
          <w:lang w:eastAsia="cs-CZ"/>
        </w:rPr>
        <w:t>VaV</w:t>
      </w:r>
      <w:proofErr w:type="spellEnd"/>
      <w:r>
        <w:rPr>
          <w:rFonts w:eastAsia="Times New Roman" w:cs="Arial"/>
          <w:bCs/>
          <w:lang w:eastAsia="cs-CZ"/>
        </w:rPr>
        <w:t xml:space="preserve"> stále pozitivně přispívá k produktivitě práce a patentování, ekonometrická analýza naznačuje globální trend klesající návratnosti investic do </w:t>
      </w:r>
      <w:proofErr w:type="spellStart"/>
      <w:r>
        <w:rPr>
          <w:rFonts w:eastAsia="Times New Roman" w:cs="Arial"/>
          <w:bCs/>
          <w:lang w:eastAsia="cs-CZ"/>
        </w:rPr>
        <w:t>VaV</w:t>
      </w:r>
      <w:proofErr w:type="spellEnd"/>
      <w:r>
        <w:rPr>
          <w:rFonts w:eastAsia="Times New Roman" w:cs="Arial"/>
          <w:bCs/>
          <w:lang w:eastAsia="cs-CZ"/>
        </w:rPr>
        <w:t xml:space="preserve"> pro přední investory do </w:t>
      </w:r>
      <w:proofErr w:type="spellStart"/>
      <w:r>
        <w:rPr>
          <w:rFonts w:eastAsia="Times New Roman" w:cs="Arial"/>
          <w:bCs/>
          <w:lang w:eastAsia="cs-CZ"/>
        </w:rPr>
        <w:t>VaV</w:t>
      </w:r>
      <w:proofErr w:type="spellEnd"/>
      <w:r>
        <w:rPr>
          <w:rFonts w:eastAsia="Times New Roman" w:cs="Arial"/>
          <w:bCs/>
          <w:lang w:eastAsia="cs-CZ"/>
        </w:rPr>
        <w:t>.</w:t>
      </w:r>
    </w:p>
    <w:p w14:paraId="129FB8A0" w14:textId="77777777" w:rsidR="00EA71AC" w:rsidRPr="001343E0" w:rsidRDefault="00EA71AC" w:rsidP="00EA71AC">
      <w:pPr>
        <w:spacing w:after="120" w:line="360" w:lineRule="auto"/>
        <w:ind w:left="708"/>
        <w:jc w:val="both"/>
        <w:rPr>
          <w:rFonts w:eastAsia="Times New Roman" w:cs="Arial"/>
          <w:bCs/>
          <w:highlight w:val="yellow"/>
          <w:lang w:eastAsia="cs-CZ"/>
        </w:rPr>
      </w:pPr>
    </w:p>
    <w:p w14:paraId="147A84A1" w14:textId="4FFB2D75" w:rsidR="00EA71AC" w:rsidRPr="00A02B4C" w:rsidRDefault="00EA71AC" w:rsidP="00EA71AC">
      <w:pPr>
        <w:spacing w:after="120" w:line="360" w:lineRule="auto"/>
        <w:ind w:firstLine="709"/>
        <w:jc w:val="both"/>
        <w:rPr>
          <w:rFonts w:cs="Arial"/>
        </w:rPr>
      </w:pPr>
      <w:r w:rsidRPr="00A02B4C">
        <w:rPr>
          <w:rFonts w:eastAsia="Times New Roman" w:cs="Arial"/>
          <w:bCs/>
          <w:lang w:eastAsia="cs-CZ"/>
        </w:rPr>
        <w:lastRenderedPageBreak/>
        <w:t>Stejně jako v předchozích letech i v roce 2023 dosahuje ČR nižší hodnoty znalostní intenzity, než je průměr EU 27</w:t>
      </w:r>
      <w:r>
        <w:rPr>
          <w:rFonts w:eastAsia="Times New Roman" w:cs="Arial"/>
          <w:bCs/>
          <w:lang w:eastAsia="cs-CZ"/>
        </w:rPr>
        <w:t xml:space="preserve"> (ČR 1,82 a průměr EU 27 je 2,14)</w:t>
      </w:r>
      <w:r w:rsidRPr="00A02B4C">
        <w:rPr>
          <w:rFonts w:cs="Arial"/>
        </w:rPr>
        <w:t>. V hodnocení znalostní intenzity dosahuje ČR na 11. pozici (stejně jako v předchozím roce).</w:t>
      </w:r>
      <w:r>
        <w:rPr>
          <w:rFonts w:cs="Arial"/>
        </w:rPr>
        <w:t xml:space="preserve"> Nejvyšší znalostní intenzitu v EU 27 vykazuje Švédsko, Belgie a Rakousko, ve světovém měřítku je to Jižní Korea a nad průměrem EU 27 je také například Švýcarsko, USA a Japonsko. Nejvyšší růst znalostní intenzity v porovnání let 2017 a 2023 vykazuje Belgie, Estonsko a Chorvatsko, naopak pokles je</w:t>
      </w:r>
      <w:r w:rsidR="00395FCE">
        <w:rPr>
          <w:rFonts w:cs="Arial"/>
        </w:rPr>
        <w:t> </w:t>
      </w:r>
      <w:r>
        <w:rPr>
          <w:rFonts w:cs="Arial"/>
        </w:rPr>
        <w:t>patrný u Lucemburska a stagnace u Francie. Znalostní intenzita ČR ve srovnání let 2017 a 2023 vzrostla o 0,07 p. b. (tj. 4 %).</w:t>
      </w:r>
    </w:p>
    <w:p w14:paraId="3B3ED84D" w14:textId="57B115E1" w:rsidR="00EA71AC" w:rsidRPr="00C60A7B" w:rsidRDefault="00EA71AC" w:rsidP="00EA71AC">
      <w:pPr>
        <w:spacing w:after="120" w:line="360" w:lineRule="auto"/>
        <w:ind w:firstLine="709"/>
        <w:jc w:val="both"/>
        <w:rPr>
          <w:rFonts w:eastAsia="Times New Roman" w:cs="Arial"/>
          <w:bCs/>
          <w:lang w:eastAsia="cs-CZ"/>
        </w:rPr>
      </w:pPr>
      <w:r w:rsidRPr="00C60A7B">
        <w:rPr>
          <w:rFonts w:cs="Arial"/>
        </w:rPr>
        <w:t xml:space="preserve">Zatímco v roce 2022 dosahovala ČR 81 % průměrné hodnoty EU 27 ve výdajích na </w:t>
      </w:r>
      <w:proofErr w:type="spellStart"/>
      <w:r w:rsidRPr="00C60A7B">
        <w:rPr>
          <w:rFonts w:cs="Arial"/>
        </w:rPr>
        <w:t>VaV</w:t>
      </w:r>
      <w:proofErr w:type="spellEnd"/>
      <w:r w:rsidRPr="00C60A7B">
        <w:rPr>
          <w:rFonts w:cs="Arial"/>
        </w:rPr>
        <w:t xml:space="preserve"> na jednoho obyvatele ve standardu kupní síly (PPS) v cenách roku 2025, v roce 2023 je to již jen 75 % (v absolutním vyjádření </w:t>
      </w:r>
      <w:r w:rsidRPr="00C60A7B">
        <w:rPr>
          <w:rFonts w:eastAsia="Times New Roman" w:cs="Arial"/>
          <w:bCs/>
          <w:lang w:eastAsia="cs-CZ"/>
        </w:rPr>
        <w:t>ČR 443,65, průměr EU 593,66). Nejvyšších hodnot v rámci EU 27 dosahuje Švédsko, Rakousko, Belgie a Německo.</w:t>
      </w:r>
      <w:r>
        <w:rPr>
          <w:rFonts w:eastAsia="Times New Roman" w:cs="Arial"/>
          <w:bCs/>
          <w:lang w:eastAsia="cs-CZ"/>
        </w:rPr>
        <w:t xml:space="preserve"> Nad průměrem EU 27 se nachází ještě Dánsko, Finsko, Nizozemsko a Francie. Jak je patrné z grafu </w:t>
      </w:r>
      <w:r w:rsidR="00395FCE">
        <w:rPr>
          <w:rFonts w:eastAsia="Times New Roman" w:cs="Arial"/>
          <w:bCs/>
          <w:lang w:eastAsia="cs-CZ"/>
        </w:rPr>
        <w:t>E.2.1,</w:t>
      </w:r>
      <w:r>
        <w:rPr>
          <w:rFonts w:eastAsia="Times New Roman" w:cs="Arial"/>
          <w:bCs/>
          <w:lang w:eastAsia="cs-CZ"/>
        </w:rPr>
        <w:t xml:space="preserve"> ČR se nachází v obou uvedených ukazatelích pod průměrem EU 27, ale ve srovnání hodnot ČR za roky 2012, 2017 a</w:t>
      </w:r>
      <w:r w:rsidR="00395FCE">
        <w:rPr>
          <w:rFonts w:eastAsia="Times New Roman" w:cs="Arial"/>
          <w:bCs/>
          <w:lang w:eastAsia="cs-CZ"/>
        </w:rPr>
        <w:t> </w:t>
      </w:r>
      <w:r>
        <w:rPr>
          <w:rFonts w:eastAsia="Times New Roman" w:cs="Arial"/>
          <w:bCs/>
          <w:lang w:eastAsia="cs-CZ"/>
        </w:rPr>
        <w:t>2023 je patrný pozitivní trend.</w:t>
      </w:r>
    </w:p>
    <w:p w14:paraId="4AF81385" w14:textId="422030A7" w:rsidR="002C1215" w:rsidRPr="002C1215" w:rsidRDefault="002C1215" w:rsidP="00DA352F">
      <w:pPr>
        <w:pStyle w:val="Obrzek-nadpis"/>
        <w:spacing w:before="0" w:after="0"/>
      </w:pPr>
      <w:r w:rsidRPr="002C1215">
        <w:t xml:space="preserve">Graf </w:t>
      </w:r>
      <w:r w:rsidRPr="00A64DCF">
        <w:t>E.</w:t>
      </w:r>
      <w:r w:rsidR="00A64DCF" w:rsidRPr="00A64DCF">
        <w:t>2</w:t>
      </w:r>
      <w:r w:rsidR="00A64DCF">
        <w:t>.1</w:t>
      </w:r>
      <w:r w:rsidRPr="002C1215">
        <w:t xml:space="preserve">: Srovnání zemí dle GERD na HDP a dle výdajů na </w:t>
      </w:r>
      <w:proofErr w:type="spellStart"/>
      <w:r w:rsidRPr="002C1215">
        <w:t>VaV</w:t>
      </w:r>
      <w:proofErr w:type="spellEnd"/>
      <w:r w:rsidRPr="002C1215">
        <w:t xml:space="preserve"> na obyvatele </w:t>
      </w:r>
      <w:r>
        <w:t>(</w:t>
      </w:r>
      <w:r w:rsidRPr="002C1215">
        <w:t>202</w:t>
      </w:r>
      <w:r w:rsidR="00EA71AC">
        <w:t>3</w:t>
      </w:r>
      <w:r>
        <w:t>)</w:t>
      </w:r>
    </w:p>
    <w:p w14:paraId="748FA42D" w14:textId="77777777" w:rsidR="00EA71AC" w:rsidRDefault="00EA71AC" w:rsidP="00EA71AC">
      <w:pPr>
        <w:pStyle w:val="Obrzek-nadpis"/>
        <w:spacing w:before="0" w:after="0"/>
        <w:jc w:val="center"/>
      </w:pPr>
      <w:r w:rsidRPr="00333FC4">
        <w:rPr>
          <w:noProof/>
        </w:rPr>
        <w:drawing>
          <wp:inline distT="0" distB="0" distL="0" distR="0" wp14:anchorId="4A94B175" wp14:editId="4568B1F7">
            <wp:extent cx="5361120" cy="2933395"/>
            <wp:effectExtent l="0" t="0" r="0" b="635"/>
            <wp:docPr id="22399081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5">
                      <a:extLst>
                        <a:ext uri="{28A0092B-C50C-407E-A947-70E740481C1C}">
                          <a14:useLocalDpi xmlns:a14="http://schemas.microsoft.com/office/drawing/2010/main" val="0"/>
                        </a:ext>
                      </a:extLst>
                    </a:blip>
                    <a:srcRect l="3429" t="7712" r="3492" b="3912"/>
                    <a:stretch>
                      <a:fillRect/>
                    </a:stretch>
                  </pic:blipFill>
                  <pic:spPr bwMode="auto">
                    <a:xfrm>
                      <a:off x="0" y="0"/>
                      <a:ext cx="5362009" cy="2933881"/>
                    </a:xfrm>
                    <a:prstGeom prst="rect">
                      <a:avLst/>
                    </a:prstGeom>
                    <a:noFill/>
                    <a:ln>
                      <a:noFill/>
                    </a:ln>
                    <a:extLst>
                      <a:ext uri="{53640926-AAD7-44D8-BBD7-CCE9431645EC}">
                        <a14:shadowObscured xmlns:a14="http://schemas.microsoft.com/office/drawing/2010/main"/>
                      </a:ext>
                    </a:extLst>
                  </pic:spPr>
                </pic:pic>
              </a:graphicData>
            </a:graphic>
          </wp:inline>
        </w:drawing>
      </w:r>
    </w:p>
    <w:p w14:paraId="459A46A3" w14:textId="77777777" w:rsidR="00EA71AC" w:rsidRPr="00333FC4" w:rsidRDefault="00EA71AC" w:rsidP="00EA71AC">
      <w:pPr>
        <w:pStyle w:val="Zdrojapoznmka"/>
      </w:pPr>
      <w:r w:rsidRPr="00333FC4">
        <w:t xml:space="preserve">Zdroj: vlastní zpracování dle </w:t>
      </w:r>
      <w:proofErr w:type="spellStart"/>
      <w:r w:rsidRPr="00333FC4">
        <w:t>Eurostat</w:t>
      </w:r>
      <w:proofErr w:type="spellEnd"/>
      <w:r w:rsidRPr="00333FC4">
        <w:t xml:space="preserve"> a OECD (MSTI Database)</w:t>
      </w:r>
    </w:p>
    <w:p w14:paraId="3D90D7B9" w14:textId="77777777" w:rsidR="00EA71AC" w:rsidRPr="0065201A" w:rsidRDefault="00EA71AC" w:rsidP="00EA71AC">
      <w:pPr>
        <w:spacing w:after="120" w:line="360" w:lineRule="auto"/>
        <w:jc w:val="both"/>
        <w:rPr>
          <w:rFonts w:eastAsia="Times New Roman" w:cs="Arial"/>
          <w:b/>
          <w:bCs/>
          <w:lang w:eastAsia="cs-CZ"/>
        </w:rPr>
      </w:pPr>
      <w:r w:rsidRPr="0065201A">
        <w:rPr>
          <w:rFonts w:eastAsia="Times New Roman" w:cs="Arial"/>
          <w:b/>
          <w:bCs/>
          <w:lang w:eastAsia="cs-CZ"/>
        </w:rPr>
        <w:t>Níže jsou uvedeny příslušné ukazatele mezinárodního srovnání</w:t>
      </w:r>
      <w:r>
        <w:rPr>
          <w:rFonts w:eastAsia="Times New Roman" w:cs="Arial"/>
          <w:b/>
          <w:bCs/>
          <w:lang w:eastAsia="cs-CZ"/>
        </w:rPr>
        <w:t xml:space="preserve"> inovační výkonnosti</w:t>
      </w:r>
      <w:r w:rsidRPr="0065201A">
        <w:rPr>
          <w:rFonts w:eastAsia="Times New Roman" w:cs="Arial"/>
          <w:b/>
          <w:bCs/>
          <w:lang w:eastAsia="cs-CZ"/>
        </w:rPr>
        <w:t>:</w:t>
      </w:r>
    </w:p>
    <w:p w14:paraId="78B0B7C9" w14:textId="77777777" w:rsidR="00EA71AC" w:rsidRPr="0065201A" w:rsidRDefault="00EA71AC" w:rsidP="00EA71AC">
      <w:pPr>
        <w:pStyle w:val="Odstavecseseznamem"/>
        <w:numPr>
          <w:ilvl w:val="3"/>
          <w:numId w:val="19"/>
        </w:numPr>
        <w:spacing w:after="120" w:line="360" w:lineRule="auto"/>
        <w:ind w:left="709" w:hanging="283"/>
        <w:jc w:val="both"/>
        <w:rPr>
          <w:rFonts w:cs="Arial"/>
        </w:rPr>
      </w:pPr>
      <w:proofErr w:type="spellStart"/>
      <w:r w:rsidRPr="0065201A">
        <w:rPr>
          <w:rFonts w:cs="Arial"/>
        </w:rPr>
        <w:t>European</w:t>
      </w:r>
      <w:proofErr w:type="spellEnd"/>
      <w:r w:rsidRPr="0065201A">
        <w:rPr>
          <w:rFonts w:cs="Arial"/>
        </w:rPr>
        <w:t xml:space="preserve"> Innovation </w:t>
      </w:r>
      <w:proofErr w:type="spellStart"/>
      <w:r w:rsidRPr="0065201A">
        <w:rPr>
          <w:rFonts w:cs="Arial"/>
        </w:rPr>
        <w:t>Scoreboard</w:t>
      </w:r>
      <w:proofErr w:type="spellEnd"/>
      <w:r w:rsidRPr="0065201A">
        <w:rPr>
          <w:rFonts w:cs="Arial"/>
        </w:rPr>
        <w:t xml:space="preserve"> (EIS)</w:t>
      </w:r>
    </w:p>
    <w:p w14:paraId="2E878338" w14:textId="77777777" w:rsidR="00EA71AC" w:rsidRDefault="00EA71AC" w:rsidP="00EA71AC">
      <w:pPr>
        <w:pStyle w:val="Odstavecseseznamem"/>
        <w:numPr>
          <w:ilvl w:val="3"/>
          <w:numId w:val="19"/>
        </w:numPr>
        <w:spacing w:after="120" w:line="360" w:lineRule="auto"/>
        <w:ind w:left="709" w:hanging="283"/>
        <w:jc w:val="both"/>
        <w:rPr>
          <w:rFonts w:cs="Arial"/>
        </w:rPr>
      </w:pPr>
      <w:proofErr w:type="spellStart"/>
      <w:r w:rsidRPr="00970D30">
        <w:rPr>
          <w:rFonts w:cs="Arial"/>
        </w:rPr>
        <w:t>Regional</w:t>
      </w:r>
      <w:proofErr w:type="spellEnd"/>
      <w:r w:rsidRPr="00970D30">
        <w:rPr>
          <w:rFonts w:cs="Arial"/>
        </w:rPr>
        <w:t xml:space="preserve"> Innovation </w:t>
      </w:r>
      <w:proofErr w:type="spellStart"/>
      <w:r w:rsidRPr="00970D30">
        <w:rPr>
          <w:rFonts w:cs="Arial"/>
        </w:rPr>
        <w:t>Scoreboard</w:t>
      </w:r>
      <w:proofErr w:type="spellEnd"/>
      <w:r w:rsidRPr="00970D30">
        <w:rPr>
          <w:rFonts w:cs="Arial"/>
        </w:rPr>
        <w:t xml:space="preserve"> (RIS)</w:t>
      </w:r>
    </w:p>
    <w:p w14:paraId="1FC1D616" w14:textId="77777777" w:rsidR="00EA71AC" w:rsidRPr="00D248AB" w:rsidRDefault="00EA71AC" w:rsidP="00EA71AC">
      <w:pPr>
        <w:pStyle w:val="Odstavecseseznamem"/>
        <w:numPr>
          <w:ilvl w:val="3"/>
          <w:numId w:val="19"/>
        </w:numPr>
        <w:spacing w:after="120" w:line="360" w:lineRule="auto"/>
        <w:ind w:left="709" w:hanging="283"/>
        <w:jc w:val="both"/>
        <w:rPr>
          <w:rFonts w:cs="Arial"/>
        </w:rPr>
      </w:pPr>
      <w:proofErr w:type="spellStart"/>
      <w:r w:rsidRPr="00D248AB">
        <w:rPr>
          <w:rFonts w:cs="Arial"/>
        </w:rPr>
        <w:t>Eco</w:t>
      </w:r>
      <w:proofErr w:type="spellEnd"/>
      <w:r w:rsidRPr="00D248AB">
        <w:rPr>
          <w:rFonts w:cs="Arial"/>
        </w:rPr>
        <w:t>-Innovation Index</w:t>
      </w:r>
    </w:p>
    <w:p w14:paraId="6A3EBC31" w14:textId="77777777" w:rsidR="00EA71AC" w:rsidRPr="00A60B22" w:rsidRDefault="00EA71AC" w:rsidP="00EA71AC">
      <w:pPr>
        <w:pStyle w:val="Odstavecseseznamem"/>
        <w:numPr>
          <w:ilvl w:val="3"/>
          <w:numId w:val="19"/>
        </w:numPr>
        <w:spacing w:after="120" w:line="360" w:lineRule="auto"/>
        <w:ind w:left="709" w:hanging="283"/>
        <w:jc w:val="both"/>
        <w:rPr>
          <w:rFonts w:cs="Arial"/>
        </w:rPr>
      </w:pPr>
      <w:proofErr w:type="spellStart"/>
      <w:r w:rsidRPr="00A60B22">
        <w:rPr>
          <w:rFonts w:cs="Arial"/>
        </w:rPr>
        <w:t>Global</w:t>
      </w:r>
      <w:proofErr w:type="spellEnd"/>
      <w:r w:rsidRPr="00A60B22">
        <w:rPr>
          <w:rFonts w:cs="Arial"/>
        </w:rPr>
        <w:t xml:space="preserve"> Innovation Index (GII)</w:t>
      </w:r>
    </w:p>
    <w:p w14:paraId="03C69878" w14:textId="77777777" w:rsidR="00EA71AC" w:rsidRPr="003D5A30" w:rsidRDefault="00EA71AC" w:rsidP="00EA71AC">
      <w:pPr>
        <w:pStyle w:val="Odstavecseseznamem"/>
        <w:numPr>
          <w:ilvl w:val="3"/>
          <w:numId w:val="19"/>
        </w:numPr>
        <w:spacing w:after="120" w:line="360" w:lineRule="auto"/>
        <w:ind w:left="709" w:hanging="284"/>
        <w:contextualSpacing w:val="0"/>
        <w:jc w:val="both"/>
        <w:rPr>
          <w:rFonts w:cs="Arial"/>
        </w:rPr>
      </w:pPr>
      <w:r w:rsidRPr="003D5A30">
        <w:rPr>
          <w:rFonts w:cs="Arial"/>
        </w:rPr>
        <w:t xml:space="preserve">Innovation Output </w:t>
      </w:r>
      <w:proofErr w:type="spellStart"/>
      <w:r w:rsidRPr="003D5A30">
        <w:rPr>
          <w:rFonts w:cs="Arial"/>
        </w:rPr>
        <w:t>Indicator</w:t>
      </w:r>
      <w:proofErr w:type="spellEnd"/>
      <w:r w:rsidRPr="003D5A30">
        <w:rPr>
          <w:rFonts w:cs="Arial"/>
        </w:rPr>
        <w:t xml:space="preserve"> (IOI)</w:t>
      </w:r>
    </w:p>
    <w:p w14:paraId="07140A5C" w14:textId="70C2E09E" w:rsidR="00D06AE5" w:rsidRPr="00A87E1B" w:rsidRDefault="00D06AE5" w:rsidP="00D06AE5">
      <w:pPr>
        <w:keepNext/>
        <w:spacing w:before="120" w:after="120" w:line="360" w:lineRule="auto"/>
        <w:rPr>
          <w:rFonts w:eastAsia="Times New Roman" w:cs="Arial"/>
          <w:b/>
          <w:smallCaps/>
          <w:sz w:val="26"/>
          <w:szCs w:val="26"/>
          <w:lang w:eastAsia="cs-CZ"/>
        </w:rPr>
      </w:pPr>
      <w:r w:rsidRPr="00A87E1B">
        <w:rPr>
          <w:rFonts w:eastAsia="Times New Roman" w:cs="Arial"/>
          <w:b/>
          <w:smallCaps/>
          <w:sz w:val="26"/>
          <w:szCs w:val="26"/>
          <w:lang w:eastAsia="cs-CZ"/>
        </w:rPr>
        <w:lastRenderedPageBreak/>
        <w:t>EUROPEAN INNOVATION SCOREBOARD (EIS)</w:t>
      </w:r>
      <w:r w:rsidR="004A436F">
        <w:rPr>
          <w:rStyle w:val="Znakapoznpodarou"/>
          <w:rFonts w:eastAsia="Times New Roman" w:cs="Arial"/>
          <w:b/>
          <w:smallCaps/>
          <w:sz w:val="26"/>
          <w:szCs w:val="26"/>
          <w:lang w:eastAsia="cs-CZ"/>
        </w:rPr>
        <w:footnoteReference w:id="10"/>
      </w:r>
    </w:p>
    <w:p w14:paraId="68F83962" w14:textId="13021C4A" w:rsidR="00EA71AC" w:rsidRDefault="00EA71AC" w:rsidP="00EA71AC">
      <w:pPr>
        <w:spacing w:after="120" w:line="360" w:lineRule="auto"/>
        <w:ind w:firstLine="709"/>
        <w:jc w:val="both"/>
        <w:rPr>
          <w:rFonts w:cs="Arial"/>
        </w:rPr>
      </w:pPr>
      <w:proofErr w:type="spellStart"/>
      <w:r w:rsidRPr="00FE2DD3">
        <w:rPr>
          <w:rFonts w:cs="Arial"/>
        </w:rPr>
        <w:t>European</w:t>
      </w:r>
      <w:proofErr w:type="spellEnd"/>
      <w:r w:rsidRPr="00FE2DD3">
        <w:rPr>
          <w:rFonts w:cs="Arial"/>
        </w:rPr>
        <w:t xml:space="preserve"> Innovation </w:t>
      </w:r>
      <w:proofErr w:type="spellStart"/>
      <w:r w:rsidRPr="00FE2DD3">
        <w:rPr>
          <w:rFonts w:cs="Arial"/>
        </w:rPr>
        <w:t>Scoreboard</w:t>
      </w:r>
      <w:proofErr w:type="spellEnd"/>
      <w:r w:rsidRPr="00FE2DD3">
        <w:rPr>
          <w:rFonts w:cs="Arial"/>
        </w:rPr>
        <w:t xml:space="preserve"> (EIS, Evropský srovnávací přehled inovací) </w:t>
      </w:r>
      <w:r>
        <w:rPr>
          <w:rFonts w:cs="Arial"/>
        </w:rPr>
        <w:t xml:space="preserve">byl </w:t>
      </w:r>
      <w:r w:rsidRPr="0065201A">
        <w:rPr>
          <w:rFonts w:cs="Arial"/>
        </w:rPr>
        <w:t xml:space="preserve">poprvé zveřejněn v roce 2001. Inovační výkonnost v EIS je posuzována na základě složeného indikátoru </w:t>
      </w:r>
      <w:proofErr w:type="spellStart"/>
      <w:r w:rsidRPr="0065201A">
        <w:rPr>
          <w:rFonts w:cs="Arial"/>
        </w:rPr>
        <w:t>Summary</w:t>
      </w:r>
      <w:proofErr w:type="spellEnd"/>
      <w:r w:rsidRPr="0065201A">
        <w:rPr>
          <w:rFonts w:cs="Arial"/>
        </w:rPr>
        <w:t xml:space="preserve"> Innovation Index (SII, Souhrnný inovační index), který v sobě zahrnuje 32</w:t>
      </w:r>
      <w:r>
        <w:rPr>
          <w:rFonts w:cs="Arial"/>
        </w:rPr>
        <w:t> </w:t>
      </w:r>
      <w:r w:rsidRPr="0065201A">
        <w:rPr>
          <w:rFonts w:cs="Arial"/>
        </w:rPr>
        <w:t>ukazatelů souvisejících s inovacemi, které jsou rozděleny do 4 hlavních kategorií a</w:t>
      </w:r>
      <w:r>
        <w:rPr>
          <w:rFonts w:cs="Arial"/>
        </w:rPr>
        <w:t> </w:t>
      </w:r>
      <w:r w:rsidRPr="0065201A">
        <w:rPr>
          <w:rFonts w:cs="Arial"/>
        </w:rPr>
        <w:t>12</w:t>
      </w:r>
      <w:r>
        <w:rPr>
          <w:rFonts w:cs="Arial"/>
        </w:rPr>
        <w:t> </w:t>
      </w:r>
      <w:r w:rsidRPr="0065201A">
        <w:rPr>
          <w:rFonts w:cs="Arial"/>
        </w:rPr>
        <w:t>dimenzí.</w:t>
      </w:r>
      <w:r>
        <w:rPr>
          <w:rFonts w:cs="Arial"/>
        </w:rPr>
        <w:t xml:space="preserve"> Postupně se EIS stal nástrojem sledování inovační výkonnosti a představuje jeden z analytických vstupů pro tvorbu politik strategií založených na datech. EIS poskytuje analýzu a srovnání inovační výkonnosti zemí EU a dalších vybraných zemí, čímž dává přehled o oblastech, ve kterých je nutné zvýšit inovační výkonnost jednotlivých zemí a ve kterých naopak jednotlivé ekonomiky vynikají nad ostatními. V poslední dekádě se rámec ukazatelů EIS přizpůsoboval tak, aby víc korespondoval s faktory, které ovlivňují inovační výkonnost, odpovídal změnám na socioekonomickém a geopolitickém poli a politickým reakcím. Pro EIS 2025 se využívá revidovaný rámec ukazatelů, tzn. oproti období 2021–2024 bylo aktualizováno 5 ukazatelů, aby odpovídaly novým faktům a měnícím se prioritám politiky EU v oblasti výzkumu a inovací (dva ukazatele digitalizace, ukazatel závislosti na vnějších špičkových technologiích, produktivity CO</w:t>
      </w:r>
      <w:r w:rsidRPr="00C2228E">
        <w:rPr>
          <w:rFonts w:cs="Arial"/>
          <w:vertAlign w:val="subscript"/>
        </w:rPr>
        <w:t>2</w:t>
      </w:r>
      <w:r>
        <w:rPr>
          <w:rFonts w:cs="Arial"/>
        </w:rPr>
        <w:t xml:space="preserve"> a produktivity práce). Ekonomiky jsou dle dosažených výsledků rozděleny do</w:t>
      </w:r>
      <w:r w:rsidR="00E23936">
        <w:rPr>
          <w:rFonts w:cs="Arial"/>
        </w:rPr>
        <w:t> </w:t>
      </w:r>
      <w:r>
        <w:rPr>
          <w:rFonts w:cs="Arial"/>
        </w:rPr>
        <w:t>4</w:t>
      </w:r>
      <w:r w:rsidR="00E23936">
        <w:rPr>
          <w:rFonts w:cs="Arial"/>
        </w:rPr>
        <w:t> </w:t>
      </w:r>
      <w:r>
        <w:rPr>
          <w:rFonts w:cs="Arial"/>
        </w:rPr>
        <w:t>skupin – vynikající inovátoři, silní inovátoři, mírní inovátoři a začínající inovátoři.</w:t>
      </w:r>
    </w:p>
    <w:p w14:paraId="15BE41F7" w14:textId="77777777" w:rsidR="00EA71AC" w:rsidRDefault="00EA71AC" w:rsidP="00EA71AC">
      <w:pPr>
        <w:spacing w:after="120" w:line="360" w:lineRule="auto"/>
        <w:ind w:firstLine="709"/>
        <w:jc w:val="both"/>
        <w:rPr>
          <w:rFonts w:cs="Arial"/>
        </w:rPr>
      </w:pPr>
      <w:r>
        <w:rPr>
          <w:rFonts w:cs="Arial"/>
        </w:rPr>
        <w:t>Shrnutí Evropského srovnávacího přehledu inovací 2025:</w:t>
      </w:r>
    </w:p>
    <w:p w14:paraId="3EF560A5" w14:textId="77777777" w:rsidR="00EA71AC" w:rsidRDefault="00EA71AC" w:rsidP="00EA71AC">
      <w:pPr>
        <w:pStyle w:val="Odstavecseseznamem"/>
        <w:numPr>
          <w:ilvl w:val="0"/>
          <w:numId w:val="19"/>
        </w:numPr>
        <w:spacing w:after="120" w:line="360" w:lineRule="auto"/>
        <w:jc w:val="both"/>
        <w:rPr>
          <w:rFonts w:cs="Arial"/>
        </w:rPr>
      </w:pPr>
      <w:r>
        <w:rPr>
          <w:rFonts w:cs="Arial"/>
        </w:rPr>
        <w:t>Oproti výchozímu roku (2018) všechny země EU zvýšily svou inovační výkonnost,</w:t>
      </w:r>
    </w:p>
    <w:p w14:paraId="66897175" w14:textId="77777777" w:rsidR="00EA71AC" w:rsidRDefault="00EA71AC" w:rsidP="00EA71AC">
      <w:pPr>
        <w:pStyle w:val="Odstavecseseznamem"/>
        <w:numPr>
          <w:ilvl w:val="1"/>
          <w:numId w:val="19"/>
        </w:numPr>
        <w:spacing w:after="120" w:line="360" w:lineRule="auto"/>
        <w:jc w:val="both"/>
        <w:rPr>
          <w:rFonts w:cs="Arial"/>
        </w:rPr>
      </w:pPr>
      <w:r>
        <w:rPr>
          <w:rFonts w:cs="Arial"/>
        </w:rPr>
        <w:t xml:space="preserve">inovační výkonnost EU se oproti roku 2018 zvýšila </w:t>
      </w:r>
      <w:r w:rsidRPr="00B17E70">
        <w:rPr>
          <w:rFonts w:cs="Arial"/>
        </w:rPr>
        <w:t xml:space="preserve">o 12,6 </w:t>
      </w:r>
      <w:r>
        <w:rPr>
          <w:rFonts w:cs="Arial"/>
        </w:rPr>
        <w:t>p. b.</w:t>
      </w:r>
      <w:r w:rsidRPr="00B17E70">
        <w:rPr>
          <w:rFonts w:cs="Arial"/>
        </w:rPr>
        <w:t>,</w:t>
      </w:r>
    </w:p>
    <w:p w14:paraId="41D27556" w14:textId="5B8D47E4" w:rsidR="00EA71AC" w:rsidRDefault="00EA71AC" w:rsidP="00EA71AC">
      <w:pPr>
        <w:pStyle w:val="Odstavecseseznamem"/>
        <w:numPr>
          <w:ilvl w:val="1"/>
          <w:numId w:val="19"/>
        </w:numPr>
        <w:spacing w:after="120" w:line="360" w:lineRule="auto"/>
        <w:jc w:val="both"/>
        <w:rPr>
          <w:rFonts w:cs="Arial"/>
        </w:rPr>
      </w:pPr>
      <w:r>
        <w:rPr>
          <w:rFonts w:cs="Arial"/>
        </w:rPr>
        <w:t>míra růstu se v </w:t>
      </w:r>
      <w:r w:rsidRPr="00B17E70">
        <w:rPr>
          <w:rFonts w:cs="Arial"/>
        </w:rPr>
        <w:t>jednotlivých zemích značně liší (od Lucemburska +0,9 p. b. po</w:t>
      </w:r>
      <w:r w:rsidR="00E23936">
        <w:rPr>
          <w:rFonts w:cs="Arial"/>
        </w:rPr>
        <w:t> </w:t>
      </w:r>
      <w:r w:rsidRPr="00B17E70">
        <w:rPr>
          <w:rFonts w:cs="Arial"/>
        </w:rPr>
        <w:t>Estonsko +30,0 p. b.),</w:t>
      </w:r>
    </w:p>
    <w:p w14:paraId="41EC4A4B" w14:textId="77777777" w:rsidR="00EA71AC" w:rsidRDefault="00EA71AC" w:rsidP="00EA71AC">
      <w:pPr>
        <w:pStyle w:val="Odstavecseseznamem"/>
        <w:numPr>
          <w:ilvl w:val="1"/>
          <w:numId w:val="19"/>
        </w:numPr>
        <w:spacing w:after="120" w:line="360" w:lineRule="auto"/>
        <w:jc w:val="both"/>
        <w:rPr>
          <w:rFonts w:cs="Arial"/>
        </w:rPr>
      </w:pPr>
      <w:r>
        <w:rPr>
          <w:rFonts w:cs="Arial"/>
        </w:rPr>
        <w:t>inovační výkonnost se u 14 zemí v porovnání s EU zvýšila vyšším tempem,</w:t>
      </w:r>
    </w:p>
    <w:p w14:paraId="20EB0839" w14:textId="77777777" w:rsidR="00EA71AC" w:rsidRDefault="00EA71AC" w:rsidP="00EA71AC">
      <w:pPr>
        <w:pStyle w:val="Odstavecseseznamem"/>
        <w:numPr>
          <w:ilvl w:val="1"/>
          <w:numId w:val="19"/>
        </w:numPr>
        <w:spacing w:after="120" w:line="360" w:lineRule="auto"/>
        <w:jc w:val="both"/>
        <w:rPr>
          <w:rFonts w:cs="Arial"/>
        </w:rPr>
      </w:pPr>
      <w:r>
        <w:rPr>
          <w:rFonts w:cs="Arial"/>
        </w:rPr>
        <w:t>naopak u 13 zemí rostla inovační výkonnost pomalejším tempem než v EU.</w:t>
      </w:r>
    </w:p>
    <w:p w14:paraId="73A7388A" w14:textId="77777777" w:rsidR="00EA71AC" w:rsidRDefault="00EA71AC" w:rsidP="00EA71AC">
      <w:pPr>
        <w:pStyle w:val="Odstavecseseznamem"/>
        <w:numPr>
          <w:ilvl w:val="0"/>
          <w:numId w:val="19"/>
        </w:numPr>
        <w:spacing w:after="120" w:line="360" w:lineRule="auto"/>
        <w:jc w:val="both"/>
        <w:rPr>
          <w:rFonts w:cs="Arial"/>
        </w:rPr>
      </w:pPr>
      <w:r>
        <w:rPr>
          <w:rFonts w:cs="Arial"/>
        </w:rPr>
        <w:t>Oproti hodnocení roku 2024 nedošlo k žádné významné změně inovační výkonnosti,</w:t>
      </w:r>
    </w:p>
    <w:p w14:paraId="7130EB0F" w14:textId="77777777" w:rsidR="00EA71AC" w:rsidRDefault="00EA71AC" w:rsidP="00EA71AC">
      <w:pPr>
        <w:pStyle w:val="Odstavecseseznamem"/>
        <w:numPr>
          <w:ilvl w:val="1"/>
          <w:numId w:val="19"/>
        </w:numPr>
        <w:spacing w:after="120" w:line="360" w:lineRule="auto"/>
        <w:jc w:val="both"/>
        <w:rPr>
          <w:rFonts w:cs="Arial"/>
        </w:rPr>
      </w:pPr>
      <w:r>
        <w:rPr>
          <w:rFonts w:cs="Arial"/>
        </w:rPr>
        <w:t>meziroční změna inovační výkonnosti EU je -0</w:t>
      </w:r>
      <w:r w:rsidRPr="000C11A9">
        <w:rPr>
          <w:rFonts w:cs="Arial"/>
        </w:rPr>
        <w:t>,4 p. b., což</w:t>
      </w:r>
      <w:r>
        <w:rPr>
          <w:rFonts w:cs="Arial"/>
        </w:rPr>
        <w:t xml:space="preserve"> představuje pokračující trend relativní stability, který je patrný v posledních třech hodnoceních,</w:t>
      </w:r>
    </w:p>
    <w:p w14:paraId="7CB6920F" w14:textId="77777777" w:rsidR="00EA71AC" w:rsidRPr="000C11A9" w:rsidRDefault="00EA71AC" w:rsidP="00EA71AC">
      <w:pPr>
        <w:pStyle w:val="Odstavecseseznamem"/>
        <w:numPr>
          <w:ilvl w:val="1"/>
          <w:numId w:val="19"/>
        </w:numPr>
        <w:spacing w:after="120" w:line="360" w:lineRule="auto"/>
        <w:jc w:val="both"/>
        <w:rPr>
          <w:rFonts w:cs="Arial"/>
        </w:rPr>
      </w:pPr>
      <w:r>
        <w:rPr>
          <w:rFonts w:cs="Arial"/>
        </w:rPr>
        <w:t xml:space="preserve">u 13 států EU došlo ke zvýšení inovační </w:t>
      </w:r>
      <w:r w:rsidRPr="000C11A9">
        <w:rPr>
          <w:rFonts w:cs="Arial"/>
        </w:rPr>
        <w:t>výkonnosti (nejvíce Malta +7,6 p. b.),</w:t>
      </w:r>
    </w:p>
    <w:p w14:paraId="030E5425" w14:textId="77777777" w:rsidR="00EA71AC" w:rsidRDefault="00EA71AC" w:rsidP="00EA71AC">
      <w:pPr>
        <w:pStyle w:val="Odstavecseseznamem"/>
        <w:numPr>
          <w:ilvl w:val="1"/>
          <w:numId w:val="19"/>
        </w:numPr>
        <w:spacing w:after="120" w:line="360" w:lineRule="auto"/>
        <w:jc w:val="both"/>
        <w:rPr>
          <w:rFonts w:cs="Arial"/>
        </w:rPr>
      </w:pPr>
      <w:r w:rsidRPr="000C11A9">
        <w:rPr>
          <w:rFonts w:cs="Arial"/>
        </w:rPr>
        <w:t>u 14 států EU došlo ke snížení inovační výkonnosti více než v EU (největší pokles je zaznamenán u Kypru -14,6 p. b. a ČR -8,4 p. b.).</w:t>
      </w:r>
    </w:p>
    <w:p w14:paraId="0C3BEC8C" w14:textId="77777777" w:rsidR="00EA71AC" w:rsidRDefault="00EA71AC" w:rsidP="00EA71AC">
      <w:pPr>
        <w:spacing w:after="120" w:line="360" w:lineRule="auto"/>
        <w:jc w:val="both"/>
        <w:rPr>
          <w:rFonts w:cs="Arial"/>
        </w:rPr>
      </w:pPr>
    </w:p>
    <w:p w14:paraId="71161EA2" w14:textId="6AD74AAB" w:rsidR="00EA71AC" w:rsidRPr="001343E0" w:rsidRDefault="00EA71AC" w:rsidP="00EA71AC">
      <w:pPr>
        <w:pStyle w:val="Obrzek-nadpis"/>
        <w:spacing w:before="0" w:after="0"/>
        <w:rPr>
          <w:highlight w:val="yellow"/>
        </w:rPr>
      </w:pPr>
      <w:r w:rsidRPr="00D51384">
        <w:lastRenderedPageBreak/>
        <w:t xml:space="preserve">Graf </w:t>
      </w:r>
      <w:r w:rsidR="00395FCE">
        <w:t>E.2.2</w:t>
      </w:r>
      <w:r w:rsidRPr="00D51384">
        <w:t xml:space="preserve">: </w:t>
      </w:r>
      <w:r>
        <w:t>SII 2025 zemí EU27</w:t>
      </w:r>
    </w:p>
    <w:p w14:paraId="78A21260" w14:textId="77777777" w:rsidR="00EA71AC" w:rsidRDefault="00EA71AC" w:rsidP="00EA71AC">
      <w:pPr>
        <w:spacing w:after="120" w:line="360" w:lineRule="auto"/>
        <w:jc w:val="center"/>
        <w:rPr>
          <w:rFonts w:cs="Arial"/>
        </w:rPr>
      </w:pPr>
      <w:r>
        <w:rPr>
          <w:rFonts w:cs="Arial"/>
          <w:noProof/>
        </w:rPr>
        <w:drawing>
          <wp:inline distT="0" distB="0" distL="0" distR="0" wp14:anchorId="51F6E1BC" wp14:editId="0936D9A5">
            <wp:extent cx="4013200" cy="2921000"/>
            <wp:effectExtent l="0" t="0" r="6350" b="0"/>
            <wp:docPr id="1382387057" name="Obrázek 5" descr="Obsah obrázku text, snímek obrazovky, řada/pruh, diagram&#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387057" name="Obrázek 5" descr="Obsah obrázku text, snímek obrazovky, řada/pruh, diagram&#10;&#10;Obsah generovaný pomocí AI může být nesprávný."/>
                    <pic:cNvPicPr>
                      <a:picLocks noChangeAspect="1" noChangeArrowheads="1"/>
                    </pic:cNvPicPr>
                  </pic:nvPicPr>
                  <pic:blipFill rotWithShape="1">
                    <a:blip r:embed="rId86">
                      <a:extLst>
                        <a:ext uri="{28A0092B-C50C-407E-A947-70E740481C1C}">
                          <a14:useLocalDpi xmlns:a14="http://schemas.microsoft.com/office/drawing/2010/main" val="0"/>
                        </a:ext>
                      </a:extLst>
                    </a:blip>
                    <a:srcRect l="1238" t="1059" r="917" b="1462"/>
                    <a:stretch>
                      <a:fillRect/>
                    </a:stretch>
                  </pic:blipFill>
                  <pic:spPr bwMode="auto">
                    <a:xfrm>
                      <a:off x="0" y="0"/>
                      <a:ext cx="4023092" cy="2928200"/>
                    </a:xfrm>
                    <a:prstGeom prst="rect">
                      <a:avLst/>
                    </a:prstGeom>
                    <a:noFill/>
                    <a:ln>
                      <a:noFill/>
                    </a:ln>
                    <a:extLst>
                      <a:ext uri="{53640926-AAD7-44D8-BBD7-CCE9431645EC}">
                        <a14:shadowObscured xmlns:a14="http://schemas.microsoft.com/office/drawing/2010/main"/>
                      </a:ext>
                    </a:extLst>
                  </pic:spPr>
                </pic:pic>
              </a:graphicData>
            </a:graphic>
          </wp:inline>
        </w:drawing>
      </w:r>
    </w:p>
    <w:p w14:paraId="05177CA9" w14:textId="560BEA91" w:rsidR="00EA71AC" w:rsidRPr="00E23936" w:rsidRDefault="00EA71AC" w:rsidP="00E23936">
      <w:pPr>
        <w:pStyle w:val="Zdrojapoznmka"/>
        <w:spacing w:after="360"/>
      </w:pPr>
      <w:r w:rsidRPr="006D7ED2">
        <w:t>Zdroj: vlastní zpracování dle EIS 202</w:t>
      </w:r>
      <w:r>
        <w:t>5</w:t>
      </w:r>
    </w:p>
    <w:p w14:paraId="4FBC5963" w14:textId="77777777" w:rsidR="00EA71AC" w:rsidRDefault="00EA71AC" w:rsidP="00EA71AC">
      <w:pPr>
        <w:pStyle w:val="Odstavecseseznamem"/>
        <w:numPr>
          <w:ilvl w:val="0"/>
          <w:numId w:val="19"/>
        </w:numPr>
        <w:spacing w:after="120" w:line="360" w:lineRule="auto"/>
        <w:jc w:val="both"/>
        <w:rPr>
          <w:rFonts w:cs="Arial"/>
        </w:rPr>
      </w:pPr>
      <w:bookmarkStart w:id="38" w:name="_Hlk119498455"/>
      <w:r>
        <w:rPr>
          <w:rFonts w:cs="Arial"/>
        </w:rPr>
        <w:t>Ve srovnání let 2018 a 2025 dochází pouze k mírnému snižování nerovností inovační výkonnosti mezi jednotlivými zeměmi,</w:t>
      </w:r>
    </w:p>
    <w:p w14:paraId="07BE16F1" w14:textId="77777777" w:rsidR="00EA71AC" w:rsidRDefault="00EA71AC" w:rsidP="00EA71AC">
      <w:pPr>
        <w:pStyle w:val="Odstavecseseznamem"/>
        <w:numPr>
          <w:ilvl w:val="1"/>
          <w:numId w:val="19"/>
        </w:numPr>
        <w:spacing w:after="120" w:line="360" w:lineRule="auto"/>
        <w:jc w:val="both"/>
        <w:rPr>
          <w:rFonts w:cs="Arial"/>
        </w:rPr>
      </w:pPr>
      <w:r>
        <w:rPr>
          <w:rFonts w:cs="Arial"/>
        </w:rPr>
        <w:t>dochází k mírné konvergenci na úroveň EU, v rámci jednotlivých výkonnostních skupin jsou však rozdíly stále značné,</w:t>
      </w:r>
    </w:p>
    <w:p w14:paraId="2282C537" w14:textId="77777777" w:rsidR="00EA71AC" w:rsidRDefault="00EA71AC" w:rsidP="00EA71AC">
      <w:pPr>
        <w:pStyle w:val="Odstavecseseznamem"/>
        <w:numPr>
          <w:ilvl w:val="1"/>
          <w:numId w:val="19"/>
        </w:numPr>
        <w:spacing w:after="120" w:line="360" w:lineRule="auto"/>
        <w:jc w:val="both"/>
        <w:rPr>
          <w:rFonts w:cs="Arial"/>
        </w:rPr>
      </w:pPr>
      <w:r>
        <w:rPr>
          <w:rFonts w:cs="Arial"/>
        </w:rPr>
        <w:t>ve skupině vynikajících inovátorů jsou zvyšující se nerovnosti způsobené značným náskokem Dánska a Švédska nad dalšími zeměmi v této výkonnostní kategorii,</w:t>
      </w:r>
    </w:p>
    <w:p w14:paraId="0DD48229" w14:textId="77777777" w:rsidR="00EA71AC" w:rsidRDefault="00EA71AC" w:rsidP="00EA71AC">
      <w:pPr>
        <w:pStyle w:val="Odstavecseseznamem"/>
        <w:numPr>
          <w:ilvl w:val="1"/>
          <w:numId w:val="19"/>
        </w:numPr>
        <w:spacing w:after="120" w:line="360" w:lineRule="auto"/>
        <w:jc w:val="both"/>
        <w:rPr>
          <w:rFonts w:cs="Arial"/>
        </w:rPr>
      </w:pPr>
      <w:r>
        <w:rPr>
          <w:rFonts w:cs="Arial"/>
        </w:rPr>
        <w:t>u zemí ve skupině silných a mírných inovátorů dochází k rostoucí homogenitě, ale nerovnosti se stále zvětšují v souvislosti s vyšším růstem inovační výkonnosti některých zemí,</w:t>
      </w:r>
    </w:p>
    <w:p w14:paraId="2C9214B2" w14:textId="77777777" w:rsidR="00EA71AC" w:rsidRDefault="00EA71AC" w:rsidP="00EA71AC">
      <w:pPr>
        <w:pStyle w:val="Odstavecseseznamem"/>
        <w:numPr>
          <w:ilvl w:val="1"/>
          <w:numId w:val="19"/>
        </w:numPr>
        <w:spacing w:after="120" w:line="360" w:lineRule="auto"/>
        <w:jc w:val="both"/>
        <w:rPr>
          <w:rFonts w:cs="Arial"/>
        </w:rPr>
      </w:pPr>
      <w:r>
        <w:rPr>
          <w:rFonts w:cs="Arial"/>
        </w:rPr>
        <w:t>také u začínajících inovátorů zvyšují inovační výkonnost některé země rychleji než ostatní.</w:t>
      </w:r>
    </w:p>
    <w:p w14:paraId="7B30B42C" w14:textId="01F43BE7" w:rsidR="00EA71AC" w:rsidRPr="001343E0" w:rsidRDefault="00EA71AC" w:rsidP="00EA71AC">
      <w:pPr>
        <w:pStyle w:val="Obrzek-nadpis"/>
        <w:spacing w:before="0" w:after="0"/>
        <w:rPr>
          <w:highlight w:val="yellow"/>
        </w:rPr>
      </w:pPr>
      <w:r w:rsidRPr="00D51384">
        <w:lastRenderedPageBreak/>
        <w:t>Graf</w:t>
      </w:r>
      <w:r w:rsidR="00395FCE">
        <w:t xml:space="preserve"> E.2.3</w:t>
      </w:r>
      <w:r w:rsidRPr="00D51384">
        <w:t xml:space="preserve">: </w:t>
      </w:r>
      <w:r>
        <w:t>SII 2025 zemí EU 27</w:t>
      </w:r>
    </w:p>
    <w:p w14:paraId="167CEF14" w14:textId="77777777" w:rsidR="00EA71AC" w:rsidRDefault="00EA71AC" w:rsidP="00EA71AC">
      <w:pPr>
        <w:spacing w:after="120" w:line="360" w:lineRule="auto"/>
        <w:jc w:val="center"/>
        <w:rPr>
          <w:rFonts w:cs="Arial"/>
        </w:rPr>
      </w:pPr>
      <w:r w:rsidRPr="00E96FFD">
        <w:rPr>
          <w:noProof/>
        </w:rPr>
        <w:drawing>
          <wp:inline distT="0" distB="0" distL="0" distR="0" wp14:anchorId="1CA5AB21" wp14:editId="1AA2D759">
            <wp:extent cx="5296205" cy="3733800"/>
            <wp:effectExtent l="0" t="0" r="0" b="0"/>
            <wp:docPr id="82396014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87">
                      <a:extLst>
                        <a:ext uri="{28A0092B-C50C-407E-A947-70E740481C1C}">
                          <a14:useLocalDpi xmlns:a14="http://schemas.microsoft.com/office/drawing/2010/main" val="0"/>
                        </a:ext>
                      </a:extLst>
                    </a:blip>
                    <a:srcRect l="6723" t="3554" r="460" b="9866"/>
                    <a:stretch>
                      <a:fillRect/>
                    </a:stretch>
                  </pic:blipFill>
                  <pic:spPr bwMode="auto">
                    <a:xfrm>
                      <a:off x="0" y="0"/>
                      <a:ext cx="5296205" cy="3733800"/>
                    </a:xfrm>
                    <a:prstGeom prst="rect">
                      <a:avLst/>
                    </a:prstGeom>
                    <a:noFill/>
                    <a:ln>
                      <a:noFill/>
                    </a:ln>
                    <a:extLst>
                      <a:ext uri="{53640926-AAD7-44D8-BBD7-CCE9431645EC}">
                        <a14:shadowObscured xmlns:a14="http://schemas.microsoft.com/office/drawing/2010/main"/>
                      </a:ext>
                    </a:extLst>
                  </pic:spPr>
                </pic:pic>
              </a:graphicData>
            </a:graphic>
          </wp:inline>
        </w:drawing>
      </w:r>
    </w:p>
    <w:p w14:paraId="51EC85BE" w14:textId="77777777" w:rsidR="00EA71AC" w:rsidRPr="006D7ED2" w:rsidRDefault="00EA71AC" w:rsidP="00EA71AC">
      <w:pPr>
        <w:pStyle w:val="Zdrojapoznmka"/>
        <w:spacing w:after="360"/>
      </w:pPr>
      <w:r w:rsidRPr="006D7ED2">
        <w:t>Zdroj: vlastní zpracování dle EIS 202</w:t>
      </w:r>
      <w:r>
        <w:t>5</w:t>
      </w:r>
    </w:p>
    <w:p w14:paraId="79D39BB1" w14:textId="77777777" w:rsidR="00EA71AC" w:rsidRDefault="00EA71AC" w:rsidP="00EA71AC">
      <w:pPr>
        <w:pStyle w:val="Odstavecseseznamem"/>
        <w:numPr>
          <w:ilvl w:val="0"/>
          <w:numId w:val="19"/>
        </w:numPr>
        <w:spacing w:after="120" w:line="360" w:lineRule="auto"/>
        <w:jc w:val="both"/>
        <w:rPr>
          <w:rFonts w:cs="Arial"/>
        </w:rPr>
      </w:pPr>
      <w:r>
        <w:rPr>
          <w:rFonts w:cs="Arial"/>
        </w:rPr>
        <w:t>Tabulku inovačních lídrů v EU 27 vede Švédsko,</w:t>
      </w:r>
    </w:p>
    <w:p w14:paraId="4608D50E" w14:textId="77777777" w:rsidR="00EA71AC" w:rsidRDefault="00EA71AC" w:rsidP="00EA71AC">
      <w:pPr>
        <w:pStyle w:val="Odstavecseseznamem"/>
        <w:numPr>
          <w:ilvl w:val="1"/>
          <w:numId w:val="19"/>
        </w:numPr>
        <w:spacing w:after="120" w:line="360" w:lineRule="auto"/>
        <w:jc w:val="both"/>
        <w:rPr>
          <w:rFonts w:cs="Arial"/>
        </w:rPr>
      </w:pPr>
      <w:r>
        <w:rPr>
          <w:rFonts w:cs="Arial"/>
        </w:rPr>
        <w:t>v letech 2020–2024 bylo nejinovativnějším členským státem EU Dánsko, v roce 2025 se na vedoucí pozici opět vrací Švédsko,</w:t>
      </w:r>
    </w:p>
    <w:p w14:paraId="5BE24862" w14:textId="77777777" w:rsidR="00EA71AC" w:rsidRDefault="00EA71AC" w:rsidP="00EA71AC">
      <w:pPr>
        <w:pStyle w:val="Odstavecseseznamem"/>
        <w:numPr>
          <w:ilvl w:val="1"/>
          <w:numId w:val="19"/>
        </w:numPr>
        <w:spacing w:after="120" w:line="360" w:lineRule="auto"/>
        <w:jc w:val="both"/>
        <w:rPr>
          <w:rFonts w:cs="Arial"/>
        </w:rPr>
      </w:pPr>
      <w:r>
        <w:rPr>
          <w:rFonts w:cs="Arial"/>
        </w:rPr>
        <w:t>skóre Švédska se ve srovnání s rokem 2018 zvýšilo o 12,9 p. b. a meziročně o 2,0 p. b.,</w:t>
      </w:r>
    </w:p>
    <w:p w14:paraId="12FFD0B0" w14:textId="77777777" w:rsidR="00EA71AC" w:rsidRDefault="00EA71AC" w:rsidP="00EA71AC">
      <w:pPr>
        <w:pStyle w:val="Odstavecseseznamem"/>
        <w:numPr>
          <w:ilvl w:val="1"/>
          <w:numId w:val="19"/>
        </w:numPr>
        <w:spacing w:after="120" w:line="360" w:lineRule="auto"/>
        <w:jc w:val="both"/>
        <w:rPr>
          <w:rFonts w:cs="Arial"/>
        </w:rPr>
      </w:pPr>
      <w:r>
        <w:rPr>
          <w:rFonts w:cs="Arial"/>
        </w:rPr>
        <w:t xml:space="preserve">Švédsko v rámci EU 27 získalo první místo v 8 z 32 ukazatelů EIS (včetně výdajů na </w:t>
      </w:r>
      <w:proofErr w:type="spellStart"/>
      <w:r>
        <w:rPr>
          <w:rFonts w:cs="Arial"/>
        </w:rPr>
        <w:t>VaV</w:t>
      </w:r>
      <w:proofErr w:type="spellEnd"/>
      <w:r>
        <w:rPr>
          <w:rFonts w:cs="Arial"/>
        </w:rPr>
        <w:t xml:space="preserve"> v podnikatelském sektoru, cloud </w:t>
      </w:r>
      <w:proofErr w:type="spellStart"/>
      <w:r>
        <w:rPr>
          <w:rFonts w:cs="Arial"/>
        </w:rPr>
        <w:t>computingu</w:t>
      </w:r>
      <w:proofErr w:type="spellEnd"/>
      <w:r>
        <w:rPr>
          <w:rFonts w:cs="Arial"/>
        </w:rPr>
        <w:t xml:space="preserve"> v podnicích a produktivitě CO</w:t>
      </w:r>
      <w:r w:rsidRPr="00596273">
        <w:rPr>
          <w:rFonts w:cs="Arial"/>
          <w:vertAlign w:val="subscript"/>
        </w:rPr>
        <w:t>2</w:t>
      </w:r>
      <w:r>
        <w:rPr>
          <w:rFonts w:cs="Arial"/>
        </w:rPr>
        <w:t xml:space="preserve"> založené na výrobě).</w:t>
      </w:r>
    </w:p>
    <w:p w14:paraId="7AF5B7CA" w14:textId="77777777" w:rsidR="00EA71AC" w:rsidRDefault="00EA71AC" w:rsidP="00EA71AC">
      <w:pPr>
        <w:pStyle w:val="Odstavecseseznamem"/>
        <w:numPr>
          <w:ilvl w:val="0"/>
          <w:numId w:val="19"/>
        </w:numPr>
        <w:spacing w:after="120" w:line="360" w:lineRule="auto"/>
        <w:jc w:val="both"/>
        <w:rPr>
          <w:rFonts w:cs="Arial"/>
        </w:rPr>
      </w:pPr>
      <w:r>
        <w:rPr>
          <w:rFonts w:cs="Arial"/>
        </w:rPr>
        <w:t>Irsko ve skupině silných inovátorů předstihlo o 0,5 p. b. Belgii a vede tuto výkonnostní skupinu,</w:t>
      </w:r>
    </w:p>
    <w:p w14:paraId="3F98C801" w14:textId="77777777" w:rsidR="00EA71AC" w:rsidRDefault="00EA71AC" w:rsidP="00EA71AC">
      <w:pPr>
        <w:pStyle w:val="Odstavecseseznamem"/>
        <w:numPr>
          <w:ilvl w:val="1"/>
          <w:numId w:val="19"/>
        </w:numPr>
        <w:spacing w:after="120" w:line="360" w:lineRule="auto"/>
        <w:jc w:val="both"/>
        <w:rPr>
          <w:rFonts w:cs="Arial"/>
        </w:rPr>
      </w:pPr>
      <w:r>
        <w:rPr>
          <w:rFonts w:cs="Arial"/>
        </w:rPr>
        <w:t>Irsko vykazuje stabilní růst od roku 2020,</w:t>
      </w:r>
    </w:p>
    <w:p w14:paraId="633D9F82" w14:textId="6AFAE6BC" w:rsidR="00EA71AC" w:rsidRDefault="00EA71AC" w:rsidP="00EA71AC">
      <w:pPr>
        <w:pStyle w:val="Odstavecseseznamem"/>
        <w:numPr>
          <w:ilvl w:val="1"/>
          <w:numId w:val="19"/>
        </w:numPr>
        <w:spacing w:after="120" w:line="360" w:lineRule="auto"/>
        <w:jc w:val="both"/>
        <w:rPr>
          <w:rFonts w:cs="Arial"/>
        </w:rPr>
      </w:pPr>
      <w:r>
        <w:rPr>
          <w:rFonts w:cs="Arial"/>
        </w:rPr>
        <w:t>v porovnání roku 2018 se inovační výkonnost Irska zvýšila o 13,3 p. b. a</w:t>
      </w:r>
      <w:r w:rsidR="00395FCE">
        <w:rPr>
          <w:rFonts w:cs="Arial"/>
        </w:rPr>
        <w:t> </w:t>
      </w:r>
      <w:r>
        <w:rPr>
          <w:rFonts w:cs="Arial"/>
        </w:rPr>
        <w:t>za</w:t>
      </w:r>
      <w:r w:rsidR="00395FCE">
        <w:rPr>
          <w:rFonts w:cs="Arial"/>
        </w:rPr>
        <w:t> </w:t>
      </w:r>
      <w:r>
        <w:rPr>
          <w:rFonts w:cs="Arial"/>
        </w:rPr>
        <w:t xml:space="preserve">poslední rok </w:t>
      </w:r>
      <w:r w:rsidRPr="000C11A9">
        <w:rPr>
          <w:rFonts w:cs="Arial"/>
        </w:rPr>
        <w:t>o 4,1 p. b.</w:t>
      </w:r>
    </w:p>
    <w:p w14:paraId="4E1D3390" w14:textId="77777777" w:rsidR="00EA71AC" w:rsidRDefault="00EA71AC" w:rsidP="00EA71AC">
      <w:pPr>
        <w:pStyle w:val="Odstavecseseznamem"/>
        <w:numPr>
          <w:ilvl w:val="0"/>
          <w:numId w:val="19"/>
        </w:numPr>
        <w:spacing w:after="120" w:line="360" w:lineRule="auto"/>
        <w:jc w:val="both"/>
        <w:rPr>
          <w:rFonts w:cs="Arial"/>
        </w:rPr>
      </w:pPr>
      <w:r>
        <w:rPr>
          <w:rFonts w:cs="Arial"/>
        </w:rPr>
        <w:t>Chorvatsko zvyšuje svou výkonnost, zatímco u Kypru a Maďarska se snižuje,</w:t>
      </w:r>
    </w:p>
    <w:p w14:paraId="51500662" w14:textId="77777777" w:rsidR="00EA71AC" w:rsidRDefault="00EA71AC" w:rsidP="00EA71AC">
      <w:pPr>
        <w:pStyle w:val="Odstavecseseznamem"/>
        <w:numPr>
          <w:ilvl w:val="1"/>
          <w:numId w:val="19"/>
        </w:numPr>
        <w:spacing w:after="120" w:line="360" w:lineRule="auto"/>
        <w:jc w:val="both"/>
        <w:rPr>
          <w:rFonts w:cs="Arial"/>
        </w:rPr>
      </w:pPr>
      <w:r>
        <w:rPr>
          <w:rFonts w:cs="Arial"/>
        </w:rPr>
        <w:t xml:space="preserve">Chorvatsko pokročilo ze skupiny začínajících inovátorů do skupiny mírných inovátorů (hlavní tři ukazatele růstu – výdaje na inovace na zaměstnance, cloud </w:t>
      </w:r>
      <w:proofErr w:type="spellStart"/>
      <w:r>
        <w:rPr>
          <w:rFonts w:cs="Arial"/>
        </w:rPr>
        <w:t>computing</w:t>
      </w:r>
      <w:proofErr w:type="spellEnd"/>
      <w:r>
        <w:rPr>
          <w:rFonts w:cs="Arial"/>
        </w:rPr>
        <w:t xml:space="preserve"> v podnicích, noví absolventi doktorského studia),</w:t>
      </w:r>
    </w:p>
    <w:p w14:paraId="0611CD19" w14:textId="77777777" w:rsidR="00EA71AC" w:rsidRDefault="00EA71AC" w:rsidP="00EA71AC">
      <w:pPr>
        <w:pStyle w:val="Odstavecseseznamem"/>
        <w:numPr>
          <w:ilvl w:val="1"/>
          <w:numId w:val="19"/>
        </w:numPr>
        <w:spacing w:after="120" w:line="360" w:lineRule="auto"/>
        <w:jc w:val="both"/>
        <w:rPr>
          <w:rFonts w:cs="Arial"/>
        </w:rPr>
      </w:pPr>
      <w:r>
        <w:rPr>
          <w:rFonts w:cs="Arial"/>
        </w:rPr>
        <w:t xml:space="preserve">Kypr klesl ze skupiny silných inovátorů do skupiny mírných inovátorů (největší pokles v ukazatelích – inovativní malé a střední podniky spolupracující </w:t>
      </w:r>
      <w:r>
        <w:rPr>
          <w:rFonts w:cs="Arial"/>
        </w:rPr>
        <w:lastRenderedPageBreak/>
        <w:t>s ostatními, malé a střední podniky zavádějící inovace obchodních procesů, zaměstnanost v inovativních podnicích),</w:t>
      </w:r>
    </w:p>
    <w:p w14:paraId="73F5F658" w14:textId="66CBFBE3" w:rsidR="00EA71AC" w:rsidRDefault="00EA71AC" w:rsidP="00EA71AC">
      <w:pPr>
        <w:pStyle w:val="Odstavecseseznamem"/>
        <w:numPr>
          <w:ilvl w:val="1"/>
          <w:numId w:val="19"/>
        </w:numPr>
        <w:spacing w:after="120" w:line="360" w:lineRule="auto"/>
        <w:jc w:val="both"/>
        <w:rPr>
          <w:rFonts w:cs="Arial"/>
        </w:rPr>
      </w:pPr>
      <w:r>
        <w:rPr>
          <w:rFonts w:cs="Arial"/>
        </w:rPr>
        <w:t xml:space="preserve">Maďarsko kleslo ze skupiny mírných inovátorů do skupiny začínajících inovátorů (navzdory velmi dobrým výsledkům v oblasti cloud </w:t>
      </w:r>
      <w:proofErr w:type="spellStart"/>
      <w:r>
        <w:rPr>
          <w:rFonts w:cs="Arial"/>
        </w:rPr>
        <w:t>computing</w:t>
      </w:r>
      <w:proofErr w:type="spellEnd"/>
      <w:r>
        <w:rPr>
          <w:rFonts w:cs="Arial"/>
        </w:rPr>
        <w:t xml:space="preserve"> v podnicích, se</w:t>
      </w:r>
      <w:r w:rsidR="00395FCE">
        <w:rPr>
          <w:rFonts w:cs="Arial"/>
        </w:rPr>
        <w:t> </w:t>
      </w:r>
      <w:r>
        <w:rPr>
          <w:rFonts w:cs="Arial"/>
        </w:rPr>
        <w:t xml:space="preserve">snížily o přibližně 20 p. b. výdaje na inovace mimo </w:t>
      </w:r>
      <w:proofErr w:type="spellStart"/>
      <w:r>
        <w:rPr>
          <w:rFonts w:cs="Arial"/>
        </w:rPr>
        <w:t>VaV</w:t>
      </w:r>
      <w:proofErr w:type="spellEnd"/>
      <w:r>
        <w:rPr>
          <w:rFonts w:cs="Arial"/>
        </w:rPr>
        <w:t xml:space="preserve"> a výdaje na rizikový kapitál).</w:t>
      </w:r>
    </w:p>
    <w:p w14:paraId="3DF88C00" w14:textId="07E868B4" w:rsidR="00EA71AC" w:rsidRDefault="00EA71AC" w:rsidP="00EA71AC">
      <w:pPr>
        <w:pStyle w:val="Odstavecseseznamem"/>
        <w:numPr>
          <w:ilvl w:val="0"/>
          <w:numId w:val="19"/>
        </w:numPr>
        <w:spacing w:after="120" w:line="360" w:lineRule="auto"/>
        <w:jc w:val="both"/>
        <w:rPr>
          <w:rFonts w:cs="Arial"/>
        </w:rPr>
      </w:pPr>
      <w:r>
        <w:rPr>
          <w:rFonts w:cs="Arial"/>
        </w:rPr>
        <w:t xml:space="preserve">Z evropského pohledu je nejinovativnější zemí Švýcarsko, </w:t>
      </w:r>
      <w:r w:rsidRPr="00B30EB9">
        <w:rPr>
          <w:rFonts w:cs="Arial"/>
        </w:rPr>
        <w:t xml:space="preserve">Velká Británie se </w:t>
      </w:r>
      <w:r>
        <w:rPr>
          <w:rFonts w:cs="Arial"/>
        </w:rPr>
        <w:t>posunula o</w:t>
      </w:r>
      <w:r w:rsidR="00395FCE">
        <w:rPr>
          <w:rFonts w:cs="Arial"/>
        </w:rPr>
        <w:t> </w:t>
      </w:r>
      <w:r>
        <w:rPr>
          <w:rFonts w:cs="Arial"/>
        </w:rPr>
        <w:t>výkonnostní skupinu výše,</w:t>
      </w:r>
    </w:p>
    <w:p w14:paraId="031FA390" w14:textId="3F894D00" w:rsidR="00EA71AC" w:rsidRDefault="00EA71AC" w:rsidP="00EA71AC">
      <w:pPr>
        <w:pStyle w:val="Odstavecseseznamem"/>
        <w:numPr>
          <w:ilvl w:val="1"/>
          <w:numId w:val="19"/>
        </w:numPr>
        <w:spacing w:after="120" w:line="360" w:lineRule="auto"/>
        <w:jc w:val="both"/>
        <w:rPr>
          <w:rFonts w:cs="Arial"/>
        </w:rPr>
      </w:pPr>
      <w:r>
        <w:rPr>
          <w:rFonts w:cs="Arial"/>
        </w:rPr>
        <w:t>již 8 let po sobě je nejinovativnější evropskou zemí Švýcarsko (zlepšuje se především v oblastech – výdaje na rizikový kapitál, prodej inovací nových výrobků na trh a nových výrobků do podniků, počet obyvatel zapojených do</w:t>
      </w:r>
      <w:r w:rsidR="00395FCE">
        <w:rPr>
          <w:rFonts w:cs="Arial"/>
        </w:rPr>
        <w:t> </w:t>
      </w:r>
      <w:r>
        <w:rPr>
          <w:rFonts w:cs="Arial"/>
        </w:rPr>
        <w:t>celoživotního vzdělávání),</w:t>
      </w:r>
    </w:p>
    <w:p w14:paraId="6FD26A55" w14:textId="77777777" w:rsidR="00EA71AC" w:rsidRDefault="00EA71AC" w:rsidP="00EA71AC">
      <w:pPr>
        <w:pStyle w:val="Odstavecseseznamem"/>
        <w:numPr>
          <w:ilvl w:val="1"/>
          <w:numId w:val="19"/>
        </w:numPr>
        <w:spacing w:after="120" w:line="360" w:lineRule="auto"/>
        <w:jc w:val="both"/>
        <w:rPr>
          <w:rFonts w:cs="Arial"/>
        </w:rPr>
      </w:pPr>
      <w:r w:rsidRPr="00B30EB9">
        <w:rPr>
          <w:rFonts w:cs="Arial"/>
        </w:rPr>
        <w:t>Velká Británie</w:t>
      </w:r>
      <w:r w:rsidRPr="00140680">
        <w:rPr>
          <w:rFonts w:cs="Arial"/>
          <w:color w:val="EE0000"/>
        </w:rPr>
        <w:t xml:space="preserve"> </w:t>
      </w:r>
      <w:r>
        <w:rPr>
          <w:rFonts w:cs="Arial"/>
        </w:rPr>
        <w:t>poskočila o výkonnostní kategorii výše a stala se vynikajícím inovátorem (celkově 5. místo v hodnocení evropských zemí).</w:t>
      </w:r>
    </w:p>
    <w:p w14:paraId="7646205C" w14:textId="77777777" w:rsidR="00EA71AC" w:rsidRDefault="00EA71AC" w:rsidP="00EA71AC">
      <w:pPr>
        <w:pStyle w:val="Odstavecseseznamem"/>
        <w:numPr>
          <w:ilvl w:val="0"/>
          <w:numId w:val="19"/>
        </w:numPr>
        <w:spacing w:after="120" w:line="360" w:lineRule="auto"/>
        <w:jc w:val="both"/>
        <w:rPr>
          <w:rFonts w:cs="Arial"/>
        </w:rPr>
      </w:pPr>
      <w:r>
        <w:rPr>
          <w:rFonts w:cs="Arial"/>
        </w:rPr>
        <w:t>Většina zemí západního Balkánu zvyšuje svou inovační výkonnost,</w:t>
      </w:r>
    </w:p>
    <w:p w14:paraId="7B546653" w14:textId="77777777" w:rsidR="00EA71AC" w:rsidRDefault="00EA71AC" w:rsidP="00EA71AC">
      <w:pPr>
        <w:pStyle w:val="Odstavecseseznamem"/>
        <w:numPr>
          <w:ilvl w:val="1"/>
          <w:numId w:val="19"/>
        </w:numPr>
        <w:spacing w:after="120" w:line="360" w:lineRule="auto"/>
        <w:jc w:val="both"/>
        <w:rPr>
          <w:rFonts w:cs="Arial"/>
        </w:rPr>
      </w:pPr>
      <w:r>
        <w:rPr>
          <w:rFonts w:cs="Arial"/>
        </w:rPr>
        <w:t>meziroční zvýšení inovační výkonnosti bylo zaznamenáno u Albánie, Černé Hory, Bosny a Hercegoviny, Srbska.</w:t>
      </w:r>
    </w:p>
    <w:p w14:paraId="6FE6768F" w14:textId="77777777" w:rsidR="00EA71AC" w:rsidRDefault="00EA71AC" w:rsidP="00EA71AC">
      <w:pPr>
        <w:pStyle w:val="Odstavecseseznamem"/>
        <w:numPr>
          <w:ilvl w:val="0"/>
          <w:numId w:val="19"/>
        </w:numPr>
        <w:spacing w:after="120" w:line="360" w:lineRule="auto"/>
        <w:jc w:val="both"/>
        <w:rPr>
          <w:rFonts w:cs="Arial"/>
        </w:rPr>
      </w:pPr>
      <w:r>
        <w:rPr>
          <w:rFonts w:cs="Arial"/>
        </w:rPr>
        <w:t>Čína předstihla EU a USA a rychle dohání Jižní Koreu,</w:t>
      </w:r>
    </w:p>
    <w:p w14:paraId="775F4841" w14:textId="77777777" w:rsidR="00EA71AC" w:rsidRDefault="00EA71AC" w:rsidP="00EA71AC">
      <w:pPr>
        <w:pStyle w:val="Odstavecseseznamem"/>
        <w:numPr>
          <w:ilvl w:val="1"/>
          <w:numId w:val="19"/>
        </w:numPr>
        <w:spacing w:after="120" w:line="360" w:lineRule="auto"/>
        <w:jc w:val="both"/>
        <w:rPr>
          <w:rFonts w:cs="Arial"/>
        </w:rPr>
      </w:pPr>
      <w:r>
        <w:rPr>
          <w:rFonts w:cs="Arial"/>
        </w:rPr>
        <w:t>nejinovativnější zemí světa je Jižní Korea, která dosahuje vyšší inovační výkonnosti než EU 27 o 35,</w:t>
      </w:r>
      <w:r w:rsidRPr="000C11A9">
        <w:rPr>
          <w:rFonts w:cs="Arial"/>
        </w:rPr>
        <w:t>2 p. b.,</w:t>
      </w:r>
    </w:p>
    <w:p w14:paraId="1D63CCA4" w14:textId="77777777" w:rsidR="00EA71AC" w:rsidRDefault="00EA71AC" w:rsidP="00EA71AC">
      <w:pPr>
        <w:pStyle w:val="Odstavecseseznamem"/>
        <w:numPr>
          <w:ilvl w:val="1"/>
          <w:numId w:val="19"/>
        </w:numPr>
        <w:spacing w:after="120" w:line="360" w:lineRule="auto"/>
        <w:jc w:val="both"/>
        <w:rPr>
          <w:rFonts w:cs="Arial"/>
        </w:rPr>
      </w:pPr>
      <w:r>
        <w:rPr>
          <w:rFonts w:cs="Arial"/>
        </w:rPr>
        <w:t xml:space="preserve">také Kanada, </w:t>
      </w:r>
      <w:r w:rsidRPr="00EA627B">
        <w:rPr>
          <w:rFonts w:cs="Arial"/>
        </w:rPr>
        <w:t xml:space="preserve">USA a </w:t>
      </w:r>
      <w:r>
        <w:rPr>
          <w:rFonts w:cs="Arial"/>
        </w:rPr>
        <w:t>Austrálie jsou ve světovém žebříčku nad EU 27,</w:t>
      </w:r>
    </w:p>
    <w:p w14:paraId="18AE8021" w14:textId="77777777" w:rsidR="00EA71AC" w:rsidRDefault="00EA71AC" w:rsidP="00EA71AC">
      <w:pPr>
        <w:pStyle w:val="Odstavecseseznamem"/>
        <w:numPr>
          <w:ilvl w:val="1"/>
          <w:numId w:val="19"/>
        </w:numPr>
        <w:spacing w:after="120" w:line="360" w:lineRule="auto"/>
        <w:jc w:val="both"/>
        <w:rPr>
          <w:rFonts w:cs="Arial"/>
        </w:rPr>
      </w:pPr>
      <w:r>
        <w:rPr>
          <w:rFonts w:cs="Arial"/>
        </w:rPr>
        <w:t>oproti EIS 2024 se Čína posunula před EU 27 i USA (obsadila 2. místo),</w:t>
      </w:r>
    </w:p>
    <w:p w14:paraId="79762F93" w14:textId="77777777" w:rsidR="00EA71AC" w:rsidRDefault="00EA71AC" w:rsidP="00EA71AC">
      <w:pPr>
        <w:pStyle w:val="Odstavecseseznamem"/>
        <w:numPr>
          <w:ilvl w:val="1"/>
          <w:numId w:val="19"/>
        </w:numPr>
        <w:spacing w:after="120" w:line="360" w:lineRule="auto"/>
        <w:jc w:val="both"/>
        <w:rPr>
          <w:rFonts w:cs="Arial"/>
        </w:rPr>
      </w:pPr>
      <w:r>
        <w:rPr>
          <w:rFonts w:cs="Arial"/>
        </w:rPr>
        <w:t>ve srovnání s rokem 2018 zvýšila nejvíce inovační výkonnost Čína (+44,7 p. b.) a Jižní Korea (+25,8 p. b.),</w:t>
      </w:r>
    </w:p>
    <w:p w14:paraId="460C2671" w14:textId="0A4718B2" w:rsidR="00EA71AC" w:rsidRPr="00D529CF" w:rsidRDefault="00EA71AC" w:rsidP="00EA71AC">
      <w:pPr>
        <w:pStyle w:val="Odstavecseseznamem"/>
        <w:numPr>
          <w:ilvl w:val="1"/>
          <w:numId w:val="19"/>
        </w:numPr>
        <w:spacing w:after="120" w:line="360" w:lineRule="auto"/>
        <w:jc w:val="both"/>
        <w:rPr>
          <w:rFonts w:cs="Arial"/>
        </w:rPr>
      </w:pPr>
      <w:r>
        <w:rPr>
          <w:rFonts w:cs="Arial"/>
        </w:rPr>
        <w:t>velký posun v inovační výkonnosti u Číny lze částečně vysvětlit tím, že pro</w:t>
      </w:r>
      <w:r w:rsidR="00395FCE">
        <w:rPr>
          <w:rFonts w:cs="Arial"/>
        </w:rPr>
        <w:t> </w:t>
      </w:r>
      <w:r>
        <w:rPr>
          <w:rFonts w:cs="Arial"/>
        </w:rPr>
        <w:t xml:space="preserve">období 2017–2022 jsou dostupné nové údaje o přímé a nepřímé vládní podpoře </w:t>
      </w:r>
      <w:proofErr w:type="spellStart"/>
      <w:r>
        <w:rPr>
          <w:rFonts w:cs="Arial"/>
        </w:rPr>
        <w:t>VaV</w:t>
      </w:r>
      <w:proofErr w:type="spellEnd"/>
      <w:r>
        <w:rPr>
          <w:rFonts w:cs="Arial"/>
        </w:rPr>
        <w:t xml:space="preserve"> v podnicích.</w:t>
      </w:r>
    </w:p>
    <w:p w14:paraId="5B2BA99F" w14:textId="77777777" w:rsidR="00EA71AC" w:rsidRDefault="00EA71AC" w:rsidP="00EA71AC">
      <w:pPr>
        <w:spacing w:after="120" w:line="360" w:lineRule="auto"/>
        <w:ind w:firstLine="709"/>
        <w:jc w:val="both"/>
        <w:rPr>
          <w:rFonts w:cs="Arial"/>
        </w:rPr>
      </w:pPr>
      <w:r>
        <w:rPr>
          <w:rFonts w:cs="Arial"/>
        </w:rPr>
        <w:t>ČR dosahuje v SII 2025 výkonnosti 80,6 % z průměrné výkonnosti EU 27 (v předchozím hodnocení dosáhla ČR na 89,7 % průměrné výkonnosti vztažené k výkonnosti EU 27) a řadí se do skupiny mírných inovátorů. Výkonnost ČR od roku 2018 roste rychleji než výkonnost EU (ČR +16,3 p. b. versus EU 27 +12,6 p. b.). Z pohledu žebříčku EU 27 je ČR na 19. místě a v hodnocení EU 27 a sousedních zemí obsadila ČR 23. pozici.</w:t>
      </w:r>
    </w:p>
    <w:p w14:paraId="35171A2B" w14:textId="04281B9B" w:rsidR="00EA71AC" w:rsidRDefault="00EA71AC" w:rsidP="00EA71AC">
      <w:pPr>
        <w:spacing w:after="120" w:line="360" w:lineRule="auto"/>
        <w:ind w:firstLine="709"/>
        <w:jc w:val="both"/>
        <w:rPr>
          <w:rFonts w:cs="Arial"/>
        </w:rPr>
      </w:pPr>
      <w:r>
        <w:rPr>
          <w:rFonts w:cs="Arial"/>
        </w:rPr>
        <w:t xml:space="preserve">Zvyšování digitalizace je podpořeno pokrokem v digitálních dovednostech (vysoký podíl lidí s nadprůměrnými digitálními dovednostmi). Výzvy naopak přetrvávají v rozšiřování širokopásmového připojení. Zatímco zavádění 5G je nad průměrem EU 27, u obecného pokrytí širokopásmovým připojením (zejména vysokorychlostním internetem přímo do domácností a podniků) stále nedosahuje ČR uspokojivých výsledků. Atraktivita českého výzkumného </w:t>
      </w:r>
      <w:r>
        <w:rPr>
          <w:rFonts w:cs="Arial"/>
        </w:rPr>
        <w:lastRenderedPageBreak/>
        <w:t>prostředí roste (podíl zahraničních doktorandů na celkovém počtu doktorandů ve srovnání s rokem 2018 vzrostl o 71,4 p. b.), zvýšil se také počet mezinárodních publikací a podíl vědeckých publikací mezi 10 % nejcitovanějšími publikacemi se mírně zlepšil (i tak je stále na</w:t>
      </w:r>
      <w:r w:rsidR="00395FCE">
        <w:rPr>
          <w:rFonts w:cs="Arial"/>
        </w:rPr>
        <w:t> </w:t>
      </w:r>
      <w:r>
        <w:rPr>
          <w:rFonts w:cs="Arial"/>
        </w:rPr>
        <w:t>poloviční výkonnosti EU 27). Uvedený růst atraktivity českého výzkumného prostředí je</w:t>
      </w:r>
      <w:r w:rsidR="00395FCE">
        <w:rPr>
          <w:rFonts w:cs="Arial"/>
        </w:rPr>
        <w:t> </w:t>
      </w:r>
      <w:r>
        <w:rPr>
          <w:rFonts w:cs="Arial"/>
        </w:rPr>
        <w:t>v kontrastu s klesajícím podílem populace s terciárním vzděláním (pouze 40 % průměru EU 27).</w:t>
      </w:r>
    </w:p>
    <w:p w14:paraId="5253C28E" w14:textId="52B526F7" w:rsidR="00EA71AC" w:rsidRDefault="00EA71AC" w:rsidP="00EA71AC">
      <w:pPr>
        <w:spacing w:after="120" w:line="360" w:lineRule="auto"/>
        <w:ind w:firstLine="709"/>
        <w:jc w:val="both"/>
        <w:rPr>
          <w:rFonts w:cs="Arial"/>
        </w:rPr>
      </w:pPr>
      <w:r>
        <w:rPr>
          <w:rFonts w:cs="Arial"/>
        </w:rPr>
        <w:t xml:space="preserve">Hlavní přínos na zvyšujících se investicích do </w:t>
      </w:r>
      <w:proofErr w:type="spellStart"/>
      <w:r>
        <w:rPr>
          <w:rFonts w:cs="Arial"/>
        </w:rPr>
        <w:t>VaV</w:t>
      </w:r>
      <w:proofErr w:type="spellEnd"/>
      <w:r>
        <w:rPr>
          <w:rFonts w:cs="Arial"/>
        </w:rPr>
        <w:t xml:space="preserve"> oproti roku 2018 má soukromý sektor. Podniky zvyšují výdaje do inovačních aktivit, což se projevilo v několika ukazatelích. Oproti tomu inovace mimo </w:t>
      </w:r>
      <w:proofErr w:type="spellStart"/>
      <w:r>
        <w:rPr>
          <w:rFonts w:cs="Arial"/>
        </w:rPr>
        <w:t>VaV</w:t>
      </w:r>
      <w:proofErr w:type="spellEnd"/>
      <w:r>
        <w:rPr>
          <w:rFonts w:cs="Arial"/>
        </w:rPr>
        <w:t xml:space="preserve"> klesají. I přesto ČR v oblasti investic zůstává jedním z nejlepších států v EU 27 (7. pozice, 105,0 % průměru EU 27). I přes růst výkonnosti u ukazatele Venture </w:t>
      </w:r>
      <w:proofErr w:type="spellStart"/>
      <w:r>
        <w:rPr>
          <w:rFonts w:cs="Arial"/>
        </w:rPr>
        <w:t>capital</w:t>
      </w:r>
      <w:proofErr w:type="spellEnd"/>
      <w:r>
        <w:rPr>
          <w:rFonts w:cs="Arial"/>
        </w:rPr>
        <w:t xml:space="preserve"> výdaje zůstává výkonnost jen na 37,8 % průměru EU 27. Naopak prudký nárůst zaznamenala ČR v oblasti Cloud </w:t>
      </w:r>
      <w:proofErr w:type="spellStart"/>
      <w:r>
        <w:rPr>
          <w:rFonts w:cs="Arial"/>
        </w:rPr>
        <w:t>Computing</w:t>
      </w:r>
      <w:proofErr w:type="spellEnd"/>
      <w:r>
        <w:rPr>
          <w:rFonts w:cs="Arial"/>
        </w:rPr>
        <w:t xml:space="preserve">. Avšak stagnující ukazatel Zaměstnanosti specialistů v oblasti ICT může představovat překážku pro zavádění pokročilých digitálních technologií. Zatímco veřejné výdaje na </w:t>
      </w:r>
      <w:proofErr w:type="spellStart"/>
      <w:r>
        <w:rPr>
          <w:rFonts w:cs="Arial"/>
        </w:rPr>
        <w:t>VaV</w:t>
      </w:r>
      <w:proofErr w:type="spellEnd"/>
      <w:r>
        <w:rPr>
          <w:rFonts w:cs="Arial"/>
        </w:rPr>
        <w:t xml:space="preserve"> jen mírně klesly (-1,7 p. b.), tak přímá a</w:t>
      </w:r>
      <w:r w:rsidR="00395FCE">
        <w:rPr>
          <w:rFonts w:cs="Arial"/>
        </w:rPr>
        <w:t> </w:t>
      </w:r>
      <w:r>
        <w:rPr>
          <w:rFonts w:cs="Arial"/>
        </w:rPr>
        <w:t xml:space="preserve">nepřímá veřejná podpora podnikovému </w:t>
      </w:r>
      <w:proofErr w:type="spellStart"/>
      <w:r>
        <w:rPr>
          <w:rFonts w:cs="Arial"/>
        </w:rPr>
        <w:t>VaV</w:t>
      </w:r>
      <w:proofErr w:type="spellEnd"/>
      <w:r>
        <w:rPr>
          <w:rFonts w:cs="Arial"/>
        </w:rPr>
        <w:t xml:space="preserve"> se snížila výrazně (-17,7 p. b.). Tento rozdílný vývoje může naznačovat, že veřejná podpora dostatečně nestimuluje podnikatelský sektor k </w:t>
      </w:r>
      <w:proofErr w:type="spellStart"/>
      <w:r>
        <w:rPr>
          <w:rFonts w:cs="Arial"/>
        </w:rPr>
        <w:t>VaV</w:t>
      </w:r>
      <w:proofErr w:type="spellEnd"/>
      <w:r>
        <w:rPr>
          <w:rFonts w:cs="Arial"/>
        </w:rPr>
        <w:t xml:space="preserve"> činnosti.</w:t>
      </w:r>
    </w:p>
    <w:p w14:paraId="725BA0BE" w14:textId="6A009597" w:rsidR="00EA71AC" w:rsidRDefault="00EA71AC" w:rsidP="00EA71AC">
      <w:pPr>
        <w:spacing w:after="120" w:line="360" w:lineRule="auto"/>
        <w:ind w:firstLine="709"/>
        <w:jc w:val="both"/>
        <w:rPr>
          <w:rFonts w:cs="Arial"/>
        </w:rPr>
      </w:pPr>
      <w:r>
        <w:rPr>
          <w:rFonts w:cs="Arial"/>
        </w:rPr>
        <w:t>Inovační aktivity vykazují od roku 2018 v ČR rostoucí trend. Tento růst je způsoben primárně silnějšími vazbami mezi inovativními MSP a dalšími aktéry a je posílen vazbami mezi soukromým a veřejným sektorem (například v podobě většího počtu společných publikací). Podniky dále více investují do inovací (především do procesních, méně do produktových). Jako slabá stránka ČR je ovšem správa duševního vlastnictví, kde i přes mírné zvýšení přihlášek ochranných známek dochází ke snížení přihlášek patentů a průmyslových vzorů. Další vývoj by</w:t>
      </w:r>
      <w:r w:rsidR="00395FCE">
        <w:rPr>
          <w:rFonts w:cs="Arial"/>
        </w:rPr>
        <w:t> </w:t>
      </w:r>
      <w:r>
        <w:rPr>
          <w:rFonts w:cs="Arial"/>
        </w:rPr>
        <w:t xml:space="preserve">mohl být pozitivně ovlivněn reformou transferu znalostí z vědy do praxe (2024). </w:t>
      </w:r>
    </w:p>
    <w:p w14:paraId="40328D16" w14:textId="5AF24973" w:rsidR="00EA71AC" w:rsidRDefault="00EA71AC" w:rsidP="00EA71AC">
      <w:pPr>
        <w:spacing w:after="120" w:line="360" w:lineRule="auto"/>
        <w:ind w:firstLine="709"/>
        <w:jc w:val="both"/>
        <w:rPr>
          <w:rFonts w:cs="Arial"/>
        </w:rPr>
      </w:pPr>
      <w:r>
        <w:rPr>
          <w:rFonts w:cs="Arial"/>
        </w:rPr>
        <w:t>V oblasti Dopadů má ČR silnou oporu v průmyslové základně, která drží výkonnost v prodeji inovací nově na trhu a nových pro podniky na dobré pozici v EU 27 (109,9 % výkonnosti EU 27). Také v exportu medium a high-tech výrobků dosahuje ČR dobého umístění (3. pozice). Avšak i zde jsou oblasti, kde má ČR prostor pro zlepšování – zaměstnanost v inovativních podnicích (80,5 % průměru EU 27), export znalostně náročných služeb (55,8 % průměru EU 27). I přes některé rostoucí ukazatele vykazuje ČR stále nízkou produktivitu práce (41,9 % průměru EU 27) jen s velice mírným nárůstem oproti roku 2018. I přes výrazné zlepšení produktivity zdrojů a p</w:t>
      </w:r>
      <w:r w:rsidRPr="00835668">
        <w:rPr>
          <w:rFonts w:cs="Arial"/>
        </w:rPr>
        <w:t>rodukce CO</w:t>
      </w:r>
      <w:r w:rsidRPr="005168BB">
        <w:rPr>
          <w:rFonts w:cs="Arial"/>
          <w:vertAlign w:val="subscript"/>
        </w:rPr>
        <w:t>2</w:t>
      </w:r>
      <w:r w:rsidRPr="00835668">
        <w:rPr>
          <w:rFonts w:cs="Arial"/>
        </w:rPr>
        <w:t xml:space="preserve"> z</w:t>
      </w:r>
      <w:r>
        <w:rPr>
          <w:rFonts w:cs="Arial"/>
        </w:rPr>
        <w:t> </w:t>
      </w:r>
      <w:r w:rsidRPr="00835668">
        <w:rPr>
          <w:rFonts w:cs="Arial"/>
        </w:rPr>
        <w:t>výroby</w:t>
      </w:r>
      <w:r>
        <w:rPr>
          <w:rFonts w:cs="Arial"/>
        </w:rPr>
        <w:t xml:space="preserve"> jsou české podniky nadále neefektivní ve využívání zdrojů ke generování hodnoty s nízkými emisemi.</w:t>
      </w:r>
    </w:p>
    <w:p w14:paraId="6E5B6CC4" w14:textId="77777777" w:rsidR="00EA71AC" w:rsidRDefault="00EA71AC" w:rsidP="00EA71AC">
      <w:pPr>
        <w:spacing w:after="120" w:line="360" w:lineRule="auto"/>
        <w:ind w:firstLine="709"/>
        <w:jc w:val="both"/>
        <w:rPr>
          <w:rFonts w:cs="Arial"/>
        </w:rPr>
      </w:pPr>
      <w:r>
        <w:rPr>
          <w:rFonts w:cs="Arial"/>
        </w:rPr>
        <w:t xml:space="preserve">V rámci jednotlivých kategorií ukazatelů dosahuje ČR nejlepšího skóre v oblasti Investice do informačních technologií (96,3 % průměrné výkonnosti EU 27), Inovátoři (96,0 % průměrné výkonnosti EU 27), Dopady na prodej a zaměstnanost (94,4 % průměrné výkonnosti EU 27). Naopak nejhorších výsledků dosahuje ČR v oblastech Produktivita zdrojů a práce </w:t>
      </w:r>
      <w:r>
        <w:rPr>
          <w:rFonts w:cs="Arial"/>
        </w:rPr>
        <w:lastRenderedPageBreak/>
        <w:t>(59,7 % průměrné výkonnosti EU 27), Finance a podpora (63,7 % průměrné výkonnosti EU 27), Duševní aktiva (67,8 %).</w:t>
      </w:r>
    </w:p>
    <w:p w14:paraId="79A932C6" w14:textId="48F53BA9" w:rsidR="00EA71AC" w:rsidRPr="00395FCE" w:rsidRDefault="00EA71AC" w:rsidP="00395FCE">
      <w:pPr>
        <w:spacing w:after="120" w:line="360" w:lineRule="auto"/>
        <w:ind w:firstLine="709"/>
        <w:jc w:val="both"/>
        <w:rPr>
          <w:rFonts w:cs="Arial"/>
        </w:rPr>
      </w:pPr>
      <w:r>
        <w:rPr>
          <w:rFonts w:cs="Arial"/>
        </w:rPr>
        <w:t xml:space="preserve">Výsledky ČR dosažené v konkrétních ukazatelích (32) jsou rozepsány v obrázku </w:t>
      </w:r>
      <w:r w:rsidR="00395FCE">
        <w:rPr>
          <w:rFonts w:cs="Arial"/>
        </w:rPr>
        <w:t>E.2.4</w:t>
      </w:r>
      <w:r>
        <w:rPr>
          <w:rFonts w:cs="Arial"/>
        </w:rPr>
        <w:t xml:space="preserve">. Nejlepší pozice v žebříčku EU 27 hodnocení jednotlivých ukazatelů SII 2025 ČR obsadila u ukazatelů </w:t>
      </w:r>
      <w:r w:rsidRPr="008D0DA4">
        <w:rPr>
          <w:rFonts w:cs="Arial"/>
        </w:rPr>
        <w:t>Export medium a high-tech produktů (3</w:t>
      </w:r>
      <w:r>
        <w:rPr>
          <w:rFonts w:cs="Arial"/>
        </w:rPr>
        <w:t xml:space="preserve">), </w:t>
      </w:r>
      <w:r w:rsidRPr="008D0DA4">
        <w:rPr>
          <w:rFonts w:cs="Arial"/>
        </w:rPr>
        <w:t>Dovoz high-tech produktů ze zemí mimo EU</w:t>
      </w:r>
      <w:r>
        <w:rPr>
          <w:rFonts w:cs="Arial"/>
        </w:rPr>
        <w:t xml:space="preserve"> (6), </w:t>
      </w:r>
      <w:r w:rsidRPr="008D0DA4">
        <w:rPr>
          <w:rFonts w:cs="Arial"/>
        </w:rPr>
        <w:t xml:space="preserve">Výdaje na inovace mimo </w:t>
      </w:r>
      <w:proofErr w:type="spellStart"/>
      <w:r w:rsidRPr="008D0DA4">
        <w:rPr>
          <w:rFonts w:cs="Arial"/>
        </w:rPr>
        <w:t>VaV</w:t>
      </w:r>
      <w:proofErr w:type="spellEnd"/>
      <w:r>
        <w:rPr>
          <w:rFonts w:cs="Arial"/>
        </w:rPr>
        <w:t xml:space="preserve"> (7). Naopak nejhorších pozic ČR dosáhla u ukazatelů </w:t>
      </w:r>
      <w:r w:rsidRPr="008D0DA4">
        <w:rPr>
          <w:rFonts w:cs="Arial"/>
        </w:rPr>
        <w:t>Populace s terciárním vzděláním (24)</w:t>
      </w:r>
      <w:r>
        <w:rPr>
          <w:rFonts w:cs="Arial"/>
        </w:rPr>
        <w:t xml:space="preserve">, </w:t>
      </w:r>
      <w:r w:rsidRPr="008D0DA4">
        <w:rPr>
          <w:rFonts w:cs="Arial"/>
        </w:rPr>
        <w:t>Produkce CO2 z v</w:t>
      </w:r>
      <w:r>
        <w:rPr>
          <w:rFonts w:cs="Arial"/>
        </w:rPr>
        <w:t>ý</w:t>
      </w:r>
      <w:r w:rsidRPr="008D0DA4">
        <w:rPr>
          <w:rFonts w:cs="Arial"/>
        </w:rPr>
        <w:t>roby (25)</w:t>
      </w:r>
      <w:r>
        <w:rPr>
          <w:rFonts w:cs="Arial"/>
        </w:rPr>
        <w:t xml:space="preserve"> a </w:t>
      </w:r>
      <w:r w:rsidRPr="008D0DA4">
        <w:rPr>
          <w:rFonts w:cs="Arial"/>
        </w:rPr>
        <w:t>Přístup k</w:t>
      </w:r>
      <w:r>
        <w:rPr>
          <w:rFonts w:cs="Arial"/>
        </w:rPr>
        <w:t> </w:t>
      </w:r>
      <w:r w:rsidRPr="008D0DA4">
        <w:rPr>
          <w:rFonts w:cs="Arial"/>
        </w:rPr>
        <w:t>vysokorychlostnímu internetu (26)</w:t>
      </w:r>
      <w:r>
        <w:rPr>
          <w:rFonts w:cs="Arial"/>
        </w:rPr>
        <w:t>.</w:t>
      </w:r>
    </w:p>
    <w:p w14:paraId="6B0DC379" w14:textId="0168D4B5" w:rsidR="00EA71AC" w:rsidRPr="00196CA6" w:rsidRDefault="00EA71AC" w:rsidP="00EA71AC">
      <w:pPr>
        <w:pStyle w:val="Obrzek-nadpis"/>
        <w:spacing w:before="0" w:after="0"/>
      </w:pPr>
      <w:r>
        <w:t xml:space="preserve">Obrázek </w:t>
      </w:r>
      <w:r w:rsidR="00395FCE">
        <w:t>E.2.4</w:t>
      </w:r>
      <w:r>
        <w:t xml:space="preserve">: </w:t>
      </w:r>
      <w:r w:rsidRPr="00196CA6">
        <w:t>Výkonnost ČR v jednotlivých ukazatelích SII 2025</w:t>
      </w:r>
    </w:p>
    <w:p w14:paraId="0A10E861" w14:textId="7795BBAB" w:rsidR="00EA71AC" w:rsidRDefault="00EA71AC" w:rsidP="00EA71AC">
      <w:pPr>
        <w:spacing w:after="120" w:line="360" w:lineRule="auto"/>
        <w:jc w:val="both"/>
        <w:rPr>
          <w:rFonts w:cs="Arial"/>
          <w:highlight w:val="yellow"/>
        </w:rPr>
      </w:pPr>
      <w:r>
        <w:rPr>
          <w:rFonts w:cs="Arial"/>
          <w:noProof/>
          <w14:ligatures w14:val="standardContextual"/>
        </w:rPr>
        <w:drawing>
          <wp:inline distT="0" distB="0" distL="0" distR="0" wp14:anchorId="464D7420" wp14:editId="2FFE0844">
            <wp:extent cx="5939790" cy="4191654"/>
            <wp:effectExtent l="38100" t="0" r="41910" b="18415"/>
            <wp:docPr id="61994316" name="Diagram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8" r:lo="rId89" r:qs="rId90" r:cs="rId91"/>
              </a:graphicData>
            </a:graphic>
          </wp:inline>
        </w:drawing>
      </w:r>
    </w:p>
    <w:p w14:paraId="45AF889C" w14:textId="77777777" w:rsidR="00EA71AC" w:rsidRPr="00196CA6" w:rsidRDefault="00EA71AC" w:rsidP="00EA71AC">
      <w:pPr>
        <w:pStyle w:val="Zdrojapoznmka"/>
        <w:spacing w:after="360"/>
      </w:pPr>
      <w:r>
        <w:t xml:space="preserve">Pozn.: </w:t>
      </w:r>
      <w:r w:rsidRPr="00196CA6">
        <w:t>V závorce je uvedena relativní výkonnost ČR vztažená k průměrné výkonnosti EU</w:t>
      </w:r>
      <w:r>
        <w:t xml:space="preserve"> </w:t>
      </w:r>
      <w:r w:rsidRPr="00196CA6">
        <w:t>27 a pořadí v rámci hodnocení EU27.</w:t>
      </w:r>
      <w:r>
        <w:t xml:space="preserve"> </w:t>
      </w:r>
      <w:proofErr w:type="gramStart"/>
      <w:r>
        <w:t xml:space="preserve">HRST - </w:t>
      </w:r>
      <w:proofErr w:type="spellStart"/>
      <w:r>
        <w:t>Human</w:t>
      </w:r>
      <w:proofErr w:type="spellEnd"/>
      <w:proofErr w:type="gramEnd"/>
      <w:r>
        <w:t xml:space="preserve"> </w:t>
      </w:r>
      <w:proofErr w:type="spellStart"/>
      <w:r>
        <w:t>resources</w:t>
      </w:r>
      <w:proofErr w:type="spellEnd"/>
      <w:r>
        <w:t xml:space="preserve"> in Science &amp; Technology.</w:t>
      </w:r>
    </w:p>
    <w:p w14:paraId="7A18AB6D" w14:textId="77777777" w:rsidR="00EA71AC" w:rsidRPr="006D7ED2" w:rsidRDefault="00EA71AC" w:rsidP="00395FCE">
      <w:pPr>
        <w:pStyle w:val="Zdrojapoznmka"/>
      </w:pPr>
      <w:r w:rsidRPr="006D7ED2">
        <w:t>Zdroj: vlastní zpracování dle EIS 202</w:t>
      </w:r>
      <w:r>
        <w:t>5</w:t>
      </w:r>
    </w:p>
    <w:p w14:paraId="09139005" w14:textId="092A5CEB" w:rsidR="00EA71AC" w:rsidRPr="00395FCE" w:rsidRDefault="00EA71AC" w:rsidP="00395FCE">
      <w:pPr>
        <w:spacing w:after="120" w:line="360" w:lineRule="auto"/>
        <w:ind w:firstLine="709"/>
        <w:jc w:val="both"/>
        <w:rPr>
          <w:rFonts w:cs="Arial"/>
        </w:rPr>
      </w:pPr>
      <w:r>
        <w:rPr>
          <w:rFonts w:cs="Arial"/>
        </w:rPr>
        <w:t xml:space="preserve">Nejrychleji rostoucí výkonnost jednotlivých ukazatelů ve srovnání let 2018 a 2024 a naopak největší výkonnostní pokles jednotlivých ukazatelů je zachycen v tabulce </w:t>
      </w:r>
      <w:r w:rsidR="00395FCE">
        <w:rPr>
          <w:rFonts w:cs="Arial"/>
        </w:rPr>
        <w:t>E.2.5</w:t>
      </w:r>
      <w:r>
        <w:rPr>
          <w:rFonts w:cs="Arial"/>
        </w:rPr>
        <w:t>.</w:t>
      </w:r>
    </w:p>
    <w:p w14:paraId="749F15CA" w14:textId="5C892E17" w:rsidR="00EA71AC" w:rsidRPr="001343E0" w:rsidRDefault="00EA71AC" w:rsidP="00EA71AC">
      <w:pPr>
        <w:pStyle w:val="Obrzek-nadpis"/>
        <w:spacing w:before="0" w:after="0"/>
        <w:rPr>
          <w:highlight w:val="yellow"/>
        </w:rPr>
      </w:pPr>
      <w:r>
        <w:t>Tabulka</w:t>
      </w:r>
      <w:r w:rsidRPr="00D51384">
        <w:t xml:space="preserve"> </w:t>
      </w:r>
      <w:r w:rsidR="00395FCE">
        <w:t>E.2.5</w:t>
      </w:r>
      <w:r w:rsidRPr="00D51384">
        <w:t xml:space="preserve">: </w:t>
      </w:r>
      <w:r>
        <w:t>Ukazatele s největším růstem a poklesem u ČR v rámci SII (2025, 2024, 2018)</w:t>
      </w:r>
    </w:p>
    <w:tbl>
      <w:tblPr>
        <w:tblStyle w:val="Mkatabulky"/>
        <w:tblW w:w="0" w:type="auto"/>
        <w:tblLook w:val="04A0" w:firstRow="1" w:lastRow="0" w:firstColumn="1" w:lastColumn="0" w:noHBand="0" w:noVBand="1"/>
      </w:tblPr>
      <w:tblGrid>
        <w:gridCol w:w="4531"/>
        <w:gridCol w:w="4531"/>
      </w:tblGrid>
      <w:tr w:rsidR="00EA71AC" w:rsidRPr="00AA0F26" w14:paraId="60620659" w14:textId="77777777" w:rsidTr="00326A8C">
        <w:tc>
          <w:tcPr>
            <w:tcW w:w="4531" w:type="dxa"/>
            <w:shd w:val="clear" w:color="auto" w:fill="FABF8F" w:themeFill="accent6" w:themeFillTint="99"/>
          </w:tcPr>
          <w:p w14:paraId="1613E829" w14:textId="77777777" w:rsidR="00EA71AC" w:rsidRPr="00AA0F26" w:rsidRDefault="00EA71AC" w:rsidP="00326A8C">
            <w:pPr>
              <w:jc w:val="center"/>
              <w:rPr>
                <w:rFonts w:cs="Arial"/>
                <w:sz w:val="20"/>
                <w:szCs w:val="20"/>
              </w:rPr>
            </w:pPr>
            <w:r w:rsidRPr="00AA0F26">
              <w:rPr>
                <w:rFonts w:cs="Arial"/>
                <w:sz w:val="20"/>
                <w:szCs w:val="20"/>
              </w:rPr>
              <w:t>Silný růst ukazatele ČR</w:t>
            </w:r>
          </w:p>
        </w:tc>
        <w:tc>
          <w:tcPr>
            <w:tcW w:w="4531" w:type="dxa"/>
            <w:shd w:val="clear" w:color="auto" w:fill="D99594" w:themeFill="accent2" w:themeFillTint="99"/>
          </w:tcPr>
          <w:p w14:paraId="14BE3773" w14:textId="77777777" w:rsidR="00EA71AC" w:rsidRPr="00AA0F26" w:rsidRDefault="00EA71AC" w:rsidP="00326A8C">
            <w:pPr>
              <w:jc w:val="center"/>
              <w:rPr>
                <w:rFonts w:cs="Arial"/>
                <w:sz w:val="20"/>
                <w:szCs w:val="20"/>
              </w:rPr>
            </w:pPr>
            <w:r w:rsidRPr="00AA0F26">
              <w:rPr>
                <w:rFonts w:cs="Arial"/>
                <w:sz w:val="20"/>
                <w:szCs w:val="20"/>
              </w:rPr>
              <w:t>Silný pokles ukazatele ČR</w:t>
            </w:r>
          </w:p>
        </w:tc>
      </w:tr>
      <w:tr w:rsidR="00EA71AC" w:rsidRPr="00AA0F26" w14:paraId="2B7612E9" w14:textId="77777777" w:rsidTr="00326A8C">
        <w:tc>
          <w:tcPr>
            <w:tcW w:w="4531" w:type="dxa"/>
            <w:shd w:val="clear" w:color="auto" w:fill="FDE9D9" w:themeFill="accent6" w:themeFillTint="33"/>
          </w:tcPr>
          <w:p w14:paraId="2B9A80CA" w14:textId="77777777" w:rsidR="00EA71AC" w:rsidRPr="00AA0F26" w:rsidRDefault="00EA71AC" w:rsidP="00326A8C">
            <w:pPr>
              <w:jc w:val="center"/>
              <w:rPr>
                <w:rFonts w:cs="Arial"/>
                <w:sz w:val="20"/>
                <w:szCs w:val="20"/>
              </w:rPr>
            </w:pPr>
            <w:r w:rsidRPr="00AA0F26">
              <w:rPr>
                <w:rFonts w:cs="Arial"/>
                <w:sz w:val="20"/>
                <w:szCs w:val="20"/>
              </w:rPr>
              <w:t>Ve srovnání s rokem 2018</w:t>
            </w:r>
          </w:p>
        </w:tc>
        <w:tc>
          <w:tcPr>
            <w:tcW w:w="4531" w:type="dxa"/>
            <w:shd w:val="clear" w:color="auto" w:fill="F2DBDB" w:themeFill="accent2" w:themeFillTint="33"/>
          </w:tcPr>
          <w:p w14:paraId="614B93E8" w14:textId="77777777" w:rsidR="00EA71AC" w:rsidRPr="00AA0F26" w:rsidRDefault="00EA71AC" w:rsidP="00326A8C">
            <w:pPr>
              <w:jc w:val="center"/>
              <w:rPr>
                <w:rFonts w:cs="Arial"/>
                <w:sz w:val="20"/>
                <w:szCs w:val="20"/>
              </w:rPr>
            </w:pPr>
            <w:r w:rsidRPr="00AA0F26">
              <w:rPr>
                <w:rFonts w:cs="Arial"/>
                <w:sz w:val="20"/>
                <w:szCs w:val="20"/>
              </w:rPr>
              <w:t>Ve srovnání s rokem 2018</w:t>
            </w:r>
          </w:p>
        </w:tc>
      </w:tr>
      <w:tr w:rsidR="00EA71AC" w:rsidRPr="00AA0F26" w14:paraId="6EE23296" w14:textId="77777777" w:rsidTr="00326A8C">
        <w:tc>
          <w:tcPr>
            <w:tcW w:w="4531" w:type="dxa"/>
          </w:tcPr>
          <w:p w14:paraId="6BC03023" w14:textId="77777777" w:rsidR="00EA71AC" w:rsidRPr="00AA0F26" w:rsidRDefault="00EA71AC" w:rsidP="00326A8C">
            <w:pPr>
              <w:jc w:val="center"/>
              <w:rPr>
                <w:rFonts w:cs="Arial"/>
                <w:sz w:val="20"/>
                <w:szCs w:val="20"/>
              </w:rPr>
            </w:pPr>
            <w:r w:rsidRPr="00AA0F26">
              <w:rPr>
                <w:rFonts w:cs="Arial"/>
                <w:sz w:val="20"/>
                <w:szCs w:val="20"/>
              </w:rPr>
              <w:t xml:space="preserve">Cloud </w:t>
            </w:r>
            <w:proofErr w:type="spellStart"/>
            <w:r w:rsidRPr="00AA0F26">
              <w:rPr>
                <w:rFonts w:cs="Arial"/>
                <w:sz w:val="20"/>
                <w:szCs w:val="20"/>
              </w:rPr>
              <w:t>Computing</w:t>
            </w:r>
            <w:proofErr w:type="spellEnd"/>
          </w:p>
        </w:tc>
        <w:tc>
          <w:tcPr>
            <w:tcW w:w="4531" w:type="dxa"/>
          </w:tcPr>
          <w:p w14:paraId="47039118" w14:textId="77777777" w:rsidR="00EA71AC" w:rsidRPr="00AA0F26" w:rsidRDefault="00EA71AC" w:rsidP="00326A8C">
            <w:pPr>
              <w:jc w:val="center"/>
              <w:rPr>
                <w:rFonts w:cs="Arial"/>
                <w:sz w:val="20"/>
                <w:szCs w:val="20"/>
              </w:rPr>
            </w:pPr>
            <w:r w:rsidRPr="00AA0F26">
              <w:rPr>
                <w:rFonts w:cs="Arial"/>
                <w:sz w:val="20"/>
                <w:szCs w:val="20"/>
              </w:rPr>
              <w:t xml:space="preserve">Přímá a nepřímá vládní podpora podnik. </w:t>
            </w:r>
            <w:proofErr w:type="spellStart"/>
            <w:r w:rsidRPr="00AA0F26">
              <w:rPr>
                <w:rFonts w:cs="Arial"/>
                <w:sz w:val="20"/>
                <w:szCs w:val="20"/>
              </w:rPr>
              <w:t>VaV</w:t>
            </w:r>
            <w:proofErr w:type="spellEnd"/>
          </w:p>
        </w:tc>
      </w:tr>
      <w:tr w:rsidR="00EA71AC" w:rsidRPr="00AA0F26" w14:paraId="25D424F9" w14:textId="77777777" w:rsidTr="00326A8C">
        <w:tc>
          <w:tcPr>
            <w:tcW w:w="4531" w:type="dxa"/>
          </w:tcPr>
          <w:p w14:paraId="76BBA1C5" w14:textId="77777777" w:rsidR="00EA71AC" w:rsidRPr="00AA0F26" w:rsidRDefault="00EA71AC" w:rsidP="00326A8C">
            <w:pPr>
              <w:jc w:val="center"/>
              <w:rPr>
                <w:rFonts w:cs="Arial"/>
                <w:sz w:val="20"/>
                <w:szCs w:val="20"/>
              </w:rPr>
            </w:pPr>
            <w:r w:rsidRPr="00AA0F26">
              <w:rPr>
                <w:rFonts w:cs="Arial"/>
                <w:sz w:val="20"/>
                <w:szCs w:val="20"/>
              </w:rPr>
              <w:t>Zahraniční doktorandi jako % všech doktor.</w:t>
            </w:r>
          </w:p>
        </w:tc>
        <w:tc>
          <w:tcPr>
            <w:tcW w:w="4531" w:type="dxa"/>
          </w:tcPr>
          <w:p w14:paraId="1739F762" w14:textId="77777777" w:rsidR="00EA71AC" w:rsidRPr="00AA0F26" w:rsidRDefault="00EA71AC" w:rsidP="00326A8C">
            <w:pPr>
              <w:jc w:val="center"/>
              <w:rPr>
                <w:rFonts w:cs="Arial"/>
                <w:sz w:val="20"/>
                <w:szCs w:val="20"/>
              </w:rPr>
            </w:pPr>
            <w:r w:rsidRPr="00AA0F26">
              <w:rPr>
                <w:rFonts w:cs="Arial"/>
                <w:sz w:val="20"/>
                <w:szCs w:val="20"/>
              </w:rPr>
              <w:t>Designové aplikace</w:t>
            </w:r>
          </w:p>
        </w:tc>
      </w:tr>
      <w:tr w:rsidR="00EA71AC" w:rsidRPr="00AA0F26" w14:paraId="34BA44A5" w14:textId="77777777" w:rsidTr="00326A8C">
        <w:tc>
          <w:tcPr>
            <w:tcW w:w="4531" w:type="dxa"/>
          </w:tcPr>
          <w:p w14:paraId="569B2B0A" w14:textId="77777777" w:rsidR="00EA71AC" w:rsidRPr="00AA0F26" w:rsidRDefault="00EA71AC" w:rsidP="00326A8C">
            <w:pPr>
              <w:jc w:val="center"/>
              <w:rPr>
                <w:rFonts w:cs="Arial"/>
                <w:sz w:val="20"/>
                <w:szCs w:val="20"/>
              </w:rPr>
            </w:pPr>
            <w:r w:rsidRPr="00AA0F26">
              <w:rPr>
                <w:rFonts w:cs="Arial"/>
                <w:sz w:val="20"/>
                <w:szCs w:val="20"/>
              </w:rPr>
              <w:t>Přístup k vysokorychlostnímu internetu</w:t>
            </w:r>
          </w:p>
        </w:tc>
        <w:tc>
          <w:tcPr>
            <w:tcW w:w="4531" w:type="dxa"/>
          </w:tcPr>
          <w:p w14:paraId="19CEFC85" w14:textId="77777777" w:rsidR="00EA71AC" w:rsidRPr="00AA0F26" w:rsidRDefault="00EA71AC" w:rsidP="00326A8C">
            <w:pPr>
              <w:jc w:val="center"/>
              <w:rPr>
                <w:rFonts w:cs="Arial"/>
                <w:sz w:val="20"/>
                <w:szCs w:val="20"/>
              </w:rPr>
            </w:pPr>
            <w:r w:rsidRPr="00AA0F26">
              <w:rPr>
                <w:rFonts w:cs="Arial"/>
                <w:sz w:val="20"/>
                <w:szCs w:val="20"/>
              </w:rPr>
              <w:t>Populace s terciárním vzděláním</w:t>
            </w:r>
          </w:p>
        </w:tc>
      </w:tr>
      <w:tr w:rsidR="00EA71AC" w:rsidRPr="00AA0F26" w14:paraId="01D3466A" w14:textId="77777777" w:rsidTr="00326A8C">
        <w:tc>
          <w:tcPr>
            <w:tcW w:w="4531" w:type="dxa"/>
            <w:shd w:val="clear" w:color="auto" w:fill="FDE9D9" w:themeFill="accent6" w:themeFillTint="33"/>
          </w:tcPr>
          <w:p w14:paraId="68E84EF9" w14:textId="77777777" w:rsidR="00EA71AC" w:rsidRPr="00AA0F26" w:rsidRDefault="00EA71AC" w:rsidP="00326A8C">
            <w:pPr>
              <w:jc w:val="center"/>
              <w:rPr>
                <w:rFonts w:cs="Arial"/>
                <w:sz w:val="20"/>
                <w:szCs w:val="20"/>
              </w:rPr>
            </w:pPr>
            <w:r w:rsidRPr="00AA0F26">
              <w:rPr>
                <w:rFonts w:cs="Arial"/>
                <w:sz w:val="20"/>
                <w:szCs w:val="20"/>
              </w:rPr>
              <w:t>Ve srovnání s rokem 2024</w:t>
            </w:r>
          </w:p>
        </w:tc>
        <w:tc>
          <w:tcPr>
            <w:tcW w:w="4531" w:type="dxa"/>
            <w:shd w:val="clear" w:color="auto" w:fill="F2DBDB" w:themeFill="accent2" w:themeFillTint="33"/>
          </w:tcPr>
          <w:p w14:paraId="332A88EA" w14:textId="77777777" w:rsidR="00EA71AC" w:rsidRPr="00AA0F26" w:rsidRDefault="00EA71AC" w:rsidP="00326A8C">
            <w:pPr>
              <w:jc w:val="center"/>
              <w:rPr>
                <w:rFonts w:cs="Arial"/>
                <w:sz w:val="20"/>
                <w:szCs w:val="20"/>
              </w:rPr>
            </w:pPr>
            <w:r w:rsidRPr="00AA0F26">
              <w:rPr>
                <w:rFonts w:cs="Arial"/>
                <w:sz w:val="20"/>
                <w:szCs w:val="20"/>
              </w:rPr>
              <w:t>Ve srovnání s rokem 2024</w:t>
            </w:r>
          </w:p>
        </w:tc>
      </w:tr>
      <w:tr w:rsidR="00EA71AC" w:rsidRPr="00AA0F26" w14:paraId="4966772F" w14:textId="77777777" w:rsidTr="00326A8C">
        <w:tc>
          <w:tcPr>
            <w:tcW w:w="4531" w:type="dxa"/>
          </w:tcPr>
          <w:p w14:paraId="2140F5F9" w14:textId="77777777" w:rsidR="00EA71AC" w:rsidRPr="00AA0F26" w:rsidRDefault="00EA71AC" w:rsidP="00326A8C">
            <w:pPr>
              <w:jc w:val="center"/>
              <w:rPr>
                <w:rFonts w:cs="Arial"/>
                <w:sz w:val="20"/>
                <w:szCs w:val="20"/>
              </w:rPr>
            </w:pPr>
            <w:r w:rsidRPr="00AA0F26">
              <w:rPr>
                <w:rFonts w:cs="Arial"/>
                <w:sz w:val="20"/>
                <w:szCs w:val="20"/>
              </w:rPr>
              <w:t>Lidé s nadstandardními digitálními dovednostmi</w:t>
            </w:r>
          </w:p>
        </w:tc>
        <w:tc>
          <w:tcPr>
            <w:tcW w:w="4531" w:type="dxa"/>
          </w:tcPr>
          <w:p w14:paraId="54292467" w14:textId="77777777" w:rsidR="00EA71AC" w:rsidRPr="00AA0F26" w:rsidRDefault="00EA71AC" w:rsidP="00326A8C">
            <w:pPr>
              <w:jc w:val="center"/>
              <w:rPr>
                <w:rFonts w:cs="Arial"/>
                <w:sz w:val="20"/>
                <w:szCs w:val="20"/>
              </w:rPr>
            </w:pPr>
            <w:r w:rsidRPr="00AA0F26">
              <w:rPr>
                <w:rFonts w:cs="Arial"/>
                <w:sz w:val="20"/>
                <w:szCs w:val="20"/>
              </w:rPr>
              <w:t xml:space="preserve">Venture </w:t>
            </w:r>
            <w:proofErr w:type="spellStart"/>
            <w:r w:rsidRPr="00AA0F26">
              <w:rPr>
                <w:rFonts w:cs="Arial"/>
                <w:sz w:val="20"/>
                <w:szCs w:val="20"/>
              </w:rPr>
              <w:t>capital</w:t>
            </w:r>
            <w:proofErr w:type="spellEnd"/>
            <w:r w:rsidRPr="00AA0F26">
              <w:rPr>
                <w:rFonts w:cs="Arial"/>
                <w:sz w:val="20"/>
                <w:szCs w:val="20"/>
              </w:rPr>
              <w:t xml:space="preserve"> výdaje</w:t>
            </w:r>
          </w:p>
        </w:tc>
      </w:tr>
      <w:tr w:rsidR="00EA71AC" w:rsidRPr="00AA0F26" w14:paraId="28930420" w14:textId="77777777" w:rsidTr="00326A8C">
        <w:tc>
          <w:tcPr>
            <w:tcW w:w="4531" w:type="dxa"/>
          </w:tcPr>
          <w:p w14:paraId="7AF711E6" w14:textId="77777777" w:rsidR="00EA71AC" w:rsidRPr="00AA0F26" w:rsidRDefault="00EA71AC" w:rsidP="00326A8C">
            <w:pPr>
              <w:jc w:val="center"/>
              <w:rPr>
                <w:rFonts w:cs="Arial"/>
                <w:sz w:val="20"/>
                <w:szCs w:val="20"/>
              </w:rPr>
            </w:pPr>
            <w:r w:rsidRPr="00AA0F26">
              <w:rPr>
                <w:rFonts w:cs="Arial"/>
                <w:sz w:val="20"/>
                <w:szCs w:val="20"/>
              </w:rPr>
              <w:lastRenderedPageBreak/>
              <w:t xml:space="preserve">Cloud </w:t>
            </w:r>
            <w:proofErr w:type="spellStart"/>
            <w:r w:rsidRPr="00AA0F26">
              <w:rPr>
                <w:rFonts w:cs="Arial"/>
                <w:sz w:val="20"/>
                <w:szCs w:val="20"/>
              </w:rPr>
              <w:t>Computing</w:t>
            </w:r>
            <w:proofErr w:type="spellEnd"/>
          </w:p>
        </w:tc>
        <w:tc>
          <w:tcPr>
            <w:tcW w:w="4531" w:type="dxa"/>
          </w:tcPr>
          <w:p w14:paraId="73769DDC" w14:textId="77777777" w:rsidR="00EA71AC" w:rsidRPr="00AA0F26" w:rsidRDefault="00EA71AC" w:rsidP="00326A8C">
            <w:pPr>
              <w:jc w:val="center"/>
              <w:rPr>
                <w:rFonts w:cs="Arial"/>
                <w:sz w:val="20"/>
                <w:szCs w:val="20"/>
              </w:rPr>
            </w:pPr>
            <w:r w:rsidRPr="00AA0F26">
              <w:rPr>
                <w:rFonts w:cs="Arial"/>
                <w:sz w:val="20"/>
                <w:szCs w:val="20"/>
              </w:rPr>
              <w:t xml:space="preserve">Výdaje na inovace mimo </w:t>
            </w:r>
            <w:proofErr w:type="spellStart"/>
            <w:r w:rsidRPr="00AA0F26">
              <w:rPr>
                <w:rFonts w:cs="Arial"/>
                <w:sz w:val="20"/>
                <w:szCs w:val="20"/>
              </w:rPr>
              <w:t>VaV</w:t>
            </w:r>
            <w:proofErr w:type="spellEnd"/>
          </w:p>
        </w:tc>
      </w:tr>
      <w:tr w:rsidR="00EA71AC" w:rsidRPr="00AA0F26" w14:paraId="5980333A" w14:textId="77777777" w:rsidTr="00326A8C">
        <w:tc>
          <w:tcPr>
            <w:tcW w:w="4531" w:type="dxa"/>
          </w:tcPr>
          <w:p w14:paraId="2B11F533" w14:textId="77777777" w:rsidR="00EA71AC" w:rsidRPr="00AA0F26" w:rsidRDefault="00EA71AC" w:rsidP="00326A8C">
            <w:pPr>
              <w:jc w:val="center"/>
              <w:rPr>
                <w:rFonts w:cs="Arial"/>
                <w:sz w:val="20"/>
                <w:szCs w:val="20"/>
              </w:rPr>
            </w:pPr>
            <w:r w:rsidRPr="00AA0F26">
              <w:rPr>
                <w:rFonts w:cs="Arial"/>
                <w:sz w:val="20"/>
                <w:szCs w:val="20"/>
              </w:rPr>
              <w:t>Produkce CO2 z výroby</w:t>
            </w:r>
          </w:p>
        </w:tc>
        <w:tc>
          <w:tcPr>
            <w:tcW w:w="4531" w:type="dxa"/>
          </w:tcPr>
          <w:p w14:paraId="6AF87A7E" w14:textId="77777777" w:rsidR="00EA71AC" w:rsidRPr="00AA0F26" w:rsidRDefault="00EA71AC" w:rsidP="00326A8C">
            <w:pPr>
              <w:jc w:val="center"/>
              <w:rPr>
                <w:rFonts w:cs="Arial"/>
                <w:sz w:val="20"/>
                <w:szCs w:val="20"/>
              </w:rPr>
            </w:pPr>
            <w:r w:rsidRPr="00AA0F26">
              <w:rPr>
                <w:rFonts w:cs="Arial"/>
                <w:sz w:val="20"/>
                <w:szCs w:val="20"/>
              </w:rPr>
              <w:t>MSP zavádějící inovace v</w:t>
            </w:r>
            <w:r>
              <w:rPr>
                <w:rFonts w:cs="Arial"/>
                <w:sz w:val="20"/>
                <w:szCs w:val="20"/>
              </w:rPr>
              <w:t> </w:t>
            </w:r>
            <w:r w:rsidRPr="00AA0F26">
              <w:rPr>
                <w:rFonts w:cs="Arial"/>
                <w:sz w:val="20"/>
                <w:szCs w:val="20"/>
              </w:rPr>
              <w:t>obchod</w:t>
            </w:r>
            <w:r>
              <w:rPr>
                <w:rFonts w:cs="Arial"/>
                <w:sz w:val="20"/>
                <w:szCs w:val="20"/>
              </w:rPr>
              <w:t>.</w:t>
            </w:r>
            <w:r w:rsidRPr="00AA0F26">
              <w:rPr>
                <w:rFonts w:cs="Arial"/>
                <w:sz w:val="20"/>
                <w:szCs w:val="20"/>
              </w:rPr>
              <w:t xml:space="preserve"> procesech</w:t>
            </w:r>
          </w:p>
        </w:tc>
      </w:tr>
    </w:tbl>
    <w:p w14:paraId="263A10DD" w14:textId="77777777" w:rsidR="00EA71AC" w:rsidRPr="006D7ED2" w:rsidRDefault="00EA71AC" w:rsidP="00EA71AC">
      <w:pPr>
        <w:pStyle w:val="Zdrojapoznmka"/>
        <w:spacing w:after="360"/>
      </w:pPr>
      <w:r w:rsidRPr="006D7ED2">
        <w:t>Zdroj: vlastní zpracování dle EIS 202</w:t>
      </w:r>
      <w:r>
        <w:t>5</w:t>
      </w:r>
    </w:p>
    <w:p w14:paraId="7AE8702C" w14:textId="10F4A322" w:rsidR="00D06AE5" w:rsidRPr="00693991" w:rsidRDefault="00D06AE5" w:rsidP="00D06AE5">
      <w:pPr>
        <w:keepNext/>
        <w:spacing w:before="120" w:after="120" w:line="360" w:lineRule="auto"/>
        <w:rPr>
          <w:rFonts w:eastAsia="Times New Roman" w:cs="Arial"/>
          <w:b/>
          <w:smallCaps/>
          <w:sz w:val="26"/>
          <w:szCs w:val="26"/>
          <w:lang w:eastAsia="cs-CZ"/>
        </w:rPr>
      </w:pPr>
      <w:r w:rsidRPr="00693991">
        <w:rPr>
          <w:rFonts w:eastAsia="Times New Roman" w:cs="Arial"/>
          <w:b/>
          <w:smallCaps/>
          <w:sz w:val="26"/>
          <w:szCs w:val="26"/>
          <w:lang w:eastAsia="cs-CZ"/>
        </w:rPr>
        <w:t>R</w:t>
      </w:r>
      <w:r>
        <w:rPr>
          <w:rFonts w:eastAsia="Times New Roman" w:cs="Arial"/>
          <w:b/>
          <w:smallCaps/>
          <w:sz w:val="26"/>
          <w:szCs w:val="26"/>
          <w:lang w:eastAsia="cs-CZ"/>
        </w:rPr>
        <w:t>EGIONAL INNOVATION SCOREBOARD</w:t>
      </w:r>
      <w:r w:rsidRPr="00693991">
        <w:rPr>
          <w:rFonts w:eastAsia="Times New Roman" w:cs="Arial"/>
          <w:b/>
          <w:smallCaps/>
          <w:sz w:val="26"/>
          <w:szCs w:val="26"/>
          <w:lang w:eastAsia="cs-CZ"/>
        </w:rPr>
        <w:t xml:space="preserve"> (RIS)</w:t>
      </w:r>
      <w:r w:rsidR="0072313D">
        <w:rPr>
          <w:rStyle w:val="Znakapoznpodarou"/>
          <w:rFonts w:eastAsia="Times New Roman" w:cs="Arial"/>
          <w:b/>
          <w:smallCaps/>
          <w:sz w:val="26"/>
          <w:szCs w:val="26"/>
          <w:lang w:eastAsia="cs-CZ"/>
        </w:rPr>
        <w:footnoteReference w:id="11"/>
      </w:r>
    </w:p>
    <w:p w14:paraId="72122261" w14:textId="77777777" w:rsidR="00EA71AC" w:rsidRDefault="00EA71AC" w:rsidP="00EA71AC">
      <w:pPr>
        <w:spacing w:after="120" w:line="360" w:lineRule="auto"/>
        <w:ind w:firstLine="709"/>
        <w:jc w:val="both"/>
        <w:rPr>
          <w:rFonts w:cs="Arial"/>
        </w:rPr>
      </w:pPr>
      <w:proofErr w:type="spellStart"/>
      <w:r>
        <w:rPr>
          <w:rFonts w:cs="Arial"/>
        </w:rPr>
        <w:t>Regional</w:t>
      </w:r>
      <w:proofErr w:type="spellEnd"/>
      <w:r>
        <w:rPr>
          <w:rFonts w:cs="Arial"/>
        </w:rPr>
        <w:t xml:space="preserve"> Innovation </w:t>
      </w:r>
      <w:proofErr w:type="spellStart"/>
      <w:r>
        <w:rPr>
          <w:rFonts w:cs="Arial"/>
        </w:rPr>
        <w:t>Scoreboard</w:t>
      </w:r>
      <w:proofErr w:type="spellEnd"/>
      <w:r>
        <w:rPr>
          <w:rFonts w:cs="Arial"/>
        </w:rPr>
        <w:t xml:space="preserve"> (RIS, Regionální inovační žebříček) je hodnocením inovační výkonnosti evropských regionů (jedná se o regionální rozšíření výše uvedeného EIS). RIS se řídí metodikou EIS a hodnotí výkonnost regionů na základě 23 ukazatelů (z celkových 32 ukazatelů u EIS). RIS 2025 porovnává inovační výkonnost celkem 241 regionů v zemích EU, Norsku, Srbsku, Švýcarsku a Velké Británii (dále jsou na úrovni celých států zahrnuty Kypr, Estonsko, Lotyšsko, Lucembursko a Malta). Dle výkonnosti se regiony člení do čtyř inovačních skupin (vynikající inovátoři, silní inovátoři, mírní inovátoři a začínající inovátoři).</w:t>
      </w:r>
    </w:p>
    <w:p w14:paraId="3CBDE0E5" w14:textId="688B369E" w:rsidR="00EA71AC" w:rsidRPr="00911192" w:rsidRDefault="00EA71AC" w:rsidP="00EA71AC">
      <w:pPr>
        <w:spacing w:after="120" w:line="360" w:lineRule="auto"/>
        <w:ind w:firstLine="709"/>
        <w:jc w:val="both"/>
        <w:rPr>
          <w:rFonts w:cs="Arial"/>
        </w:rPr>
      </w:pPr>
      <w:r>
        <w:rPr>
          <w:rFonts w:cs="Arial"/>
        </w:rPr>
        <w:t xml:space="preserve">V průběhu let 2018–2025 se inovační výkonnost zvýšila u 233 regionů. Nejvíce inovativní regiony je možné obvykle nalézt v nejinovativnějších zemích (i přesto jsou některá „ohniska excelence“ soustředěna v zemích s relativně nižší inovační výkonností). V Evropě je nejinovativnějším regionem Stockholm (Švédsko), </w:t>
      </w:r>
      <w:proofErr w:type="spellStart"/>
      <w:r>
        <w:rPr>
          <w:rFonts w:cs="Arial"/>
        </w:rPr>
        <w:t>Hovedstaden</w:t>
      </w:r>
      <w:proofErr w:type="spellEnd"/>
      <w:r>
        <w:rPr>
          <w:rFonts w:cs="Arial"/>
        </w:rPr>
        <w:t xml:space="preserve"> (Dánsko), Londýn (Velká Británie), Curych (Švýcarsko) a Horní Bavorsko (Německo).</w:t>
      </w:r>
    </w:p>
    <w:p w14:paraId="5B697C31" w14:textId="0DFA1403" w:rsidR="00EA71AC" w:rsidRDefault="00EA71AC" w:rsidP="00EA71AC">
      <w:pPr>
        <w:spacing w:after="120" w:line="360" w:lineRule="auto"/>
        <w:ind w:firstLine="709"/>
        <w:jc w:val="both"/>
        <w:rPr>
          <w:rFonts w:cs="Arial"/>
        </w:rPr>
      </w:pPr>
      <w:r w:rsidRPr="00C87510">
        <w:rPr>
          <w:rFonts w:cs="Arial"/>
        </w:rPr>
        <w:t>ČR, která je hodnocena jako mírný inovátor</w:t>
      </w:r>
      <w:r>
        <w:rPr>
          <w:rFonts w:cs="Arial"/>
        </w:rPr>
        <w:t>,</w:t>
      </w:r>
      <w:r w:rsidRPr="00C87510">
        <w:rPr>
          <w:rFonts w:cs="Arial"/>
        </w:rPr>
        <w:t xml:space="preserve"> zahrnuje osm regionů s různou úrovní </w:t>
      </w:r>
      <w:r>
        <w:rPr>
          <w:rFonts w:cs="Arial"/>
        </w:rPr>
        <w:t xml:space="preserve">inovační </w:t>
      </w:r>
      <w:r w:rsidRPr="00C87510">
        <w:rPr>
          <w:rFonts w:cs="Arial"/>
        </w:rPr>
        <w:t>výkonnosti.</w:t>
      </w:r>
      <w:r>
        <w:rPr>
          <w:rFonts w:cs="Arial"/>
        </w:rPr>
        <w:t xml:space="preserve"> Všechny ostatní regiony ČR výrazně převyšuje v inovační výkonnosti Praha (silný inovátor), následuje region Jihovýchod (mírný inovátor plus), Střední Morava, Střední Čechy, </w:t>
      </w:r>
      <w:proofErr w:type="spellStart"/>
      <w:r>
        <w:rPr>
          <w:rFonts w:cs="Arial"/>
        </w:rPr>
        <w:t>Moravskoslezsko</w:t>
      </w:r>
      <w:proofErr w:type="spellEnd"/>
      <w:r>
        <w:rPr>
          <w:rFonts w:cs="Arial"/>
        </w:rPr>
        <w:t>, Jihozápad a Severovýchod (mírný inovátor minus), do poslední skupiny (začínající inovátoři plus) spadá region Severozápad. I pro všechny regiony ČR platí, že jejich inovační výkonnost se v porovnání s rokem 2018 zvýšila (nejvíce v Praze a Jihovýchodě). V období 2023–2025 se však výkonnost všech regionů snížila (nejvíce v Praze, Středních Čechách, Severovýchodě a Střední Moravě).</w:t>
      </w:r>
    </w:p>
    <w:p w14:paraId="78CE5D2E" w14:textId="4EA7D706" w:rsidR="00EA71AC" w:rsidRDefault="00EA71AC" w:rsidP="00EA71AC">
      <w:pPr>
        <w:spacing w:after="120" w:line="360" w:lineRule="auto"/>
        <w:ind w:firstLine="709"/>
        <w:jc w:val="both"/>
        <w:rPr>
          <w:rFonts w:cs="Arial"/>
        </w:rPr>
      </w:pPr>
      <w:r>
        <w:rPr>
          <w:rFonts w:cs="Arial"/>
        </w:rPr>
        <w:t xml:space="preserve">Intenzita </w:t>
      </w:r>
      <w:proofErr w:type="spellStart"/>
      <w:r>
        <w:rPr>
          <w:rFonts w:cs="Arial"/>
        </w:rPr>
        <w:t>VaV</w:t>
      </w:r>
      <w:proofErr w:type="spellEnd"/>
      <w:r>
        <w:rPr>
          <w:rFonts w:cs="Arial"/>
        </w:rPr>
        <w:t xml:space="preserve"> je v Praze výrazně vyšší než v jiných regionech (nejnižší Severozápad). Tyto rozdíly jsou poté patrné na zájmu vědců a atraktivitě regionů (v Praze je 12,7 % pracovníků zaměstnáno v high-tech odvětvích, v méně přitažlivých regionech není podíl ani</w:t>
      </w:r>
      <w:r w:rsidR="00E23936">
        <w:rPr>
          <w:rFonts w:cs="Arial"/>
        </w:rPr>
        <w:t> </w:t>
      </w:r>
      <w:r>
        <w:rPr>
          <w:rFonts w:cs="Arial"/>
        </w:rPr>
        <w:t xml:space="preserve">poloviční). </w:t>
      </w:r>
    </w:p>
    <w:p w14:paraId="61339C9A" w14:textId="77777777" w:rsidR="00EA71AC" w:rsidRPr="00240846" w:rsidRDefault="00EA71AC" w:rsidP="00EA71AC">
      <w:pPr>
        <w:keepNext/>
        <w:spacing w:before="120" w:after="120" w:line="360" w:lineRule="auto"/>
        <w:rPr>
          <w:rFonts w:eastAsia="Times New Roman" w:cs="Arial"/>
          <w:b/>
          <w:smallCaps/>
          <w:sz w:val="26"/>
          <w:szCs w:val="26"/>
          <w:lang w:eastAsia="cs-CZ"/>
        </w:rPr>
      </w:pPr>
      <w:r w:rsidRPr="00240846">
        <w:rPr>
          <w:rFonts w:eastAsia="Times New Roman" w:cs="Arial"/>
          <w:b/>
          <w:smallCaps/>
          <w:sz w:val="26"/>
          <w:szCs w:val="26"/>
          <w:lang w:eastAsia="cs-CZ"/>
        </w:rPr>
        <w:lastRenderedPageBreak/>
        <w:t>E</w:t>
      </w:r>
      <w:r>
        <w:rPr>
          <w:rFonts w:eastAsia="Times New Roman" w:cs="Arial"/>
          <w:b/>
          <w:smallCaps/>
          <w:sz w:val="26"/>
          <w:szCs w:val="26"/>
          <w:lang w:eastAsia="cs-CZ"/>
        </w:rPr>
        <w:t>CO-INNOVATION INDEX</w:t>
      </w:r>
      <w:r w:rsidRPr="00240846">
        <w:rPr>
          <w:rStyle w:val="Znakapoznpodarou"/>
          <w:rFonts w:eastAsia="Times New Roman" w:cs="Arial"/>
          <w:b/>
          <w:smallCaps/>
          <w:sz w:val="26"/>
          <w:szCs w:val="26"/>
          <w:lang w:eastAsia="cs-CZ"/>
        </w:rPr>
        <w:footnoteReference w:id="12"/>
      </w:r>
    </w:p>
    <w:p w14:paraId="140BBBF4" w14:textId="77777777" w:rsidR="00EA71AC" w:rsidRDefault="00EA71AC" w:rsidP="00EA71AC">
      <w:pPr>
        <w:spacing w:after="120" w:line="360" w:lineRule="auto"/>
        <w:ind w:firstLine="709"/>
        <w:jc w:val="both"/>
        <w:rPr>
          <w:rFonts w:eastAsia="Times New Roman" w:cs="Arial"/>
          <w:lang w:eastAsia="cs-CZ"/>
        </w:rPr>
      </w:pPr>
      <w:proofErr w:type="spellStart"/>
      <w:r w:rsidRPr="00240846">
        <w:rPr>
          <w:rFonts w:eastAsia="Times New Roman" w:cs="Arial"/>
          <w:lang w:eastAsia="cs-CZ"/>
        </w:rPr>
        <w:t>Eco</w:t>
      </w:r>
      <w:proofErr w:type="spellEnd"/>
      <w:r w:rsidRPr="00240846">
        <w:rPr>
          <w:rFonts w:eastAsia="Times New Roman" w:cs="Arial"/>
          <w:lang w:eastAsia="cs-CZ"/>
        </w:rPr>
        <w:t xml:space="preserve">-Innovation Index </w:t>
      </w:r>
      <w:r>
        <w:rPr>
          <w:rFonts w:eastAsia="Times New Roman" w:cs="Arial"/>
          <w:lang w:eastAsia="cs-CZ"/>
        </w:rPr>
        <w:t xml:space="preserve">hodnotí státy EU dle jejich výkonnosti v oblasti ekologických inovací (poslední dostupný </w:t>
      </w:r>
      <w:proofErr w:type="spellStart"/>
      <w:r>
        <w:rPr>
          <w:rFonts w:eastAsia="Times New Roman" w:cs="Arial"/>
          <w:lang w:eastAsia="cs-CZ"/>
        </w:rPr>
        <w:t>Eco</w:t>
      </w:r>
      <w:proofErr w:type="spellEnd"/>
      <w:r>
        <w:rPr>
          <w:rFonts w:eastAsia="Times New Roman" w:cs="Arial"/>
          <w:lang w:eastAsia="cs-CZ"/>
        </w:rPr>
        <w:t>-Innovation Index je zaměřen na období 2014–2024). Hodnoceno je 12 ukazatelů v celkem 5 oblastech (vstupy ekologických inovací, aktivity ekologických inovací, výstupy ekologických inovací, výsledky v oblasti efektivního využívání zdrojů, socioekonomické výsledky).</w:t>
      </w:r>
    </w:p>
    <w:p w14:paraId="21364AB9" w14:textId="77777777" w:rsidR="00EA71AC" w:rsidRDefault="00EA71AC" w:rsidP="00EA71AC">
      <w:pPr>
        <w:spacing w:after="120" w:line="360" w:lineRule="auto"/>
        <w:ind w:firstLine="709"/>
        <w:jc w:val="both"/>
        <w:rPr>
          <w:rFonts w:eastAsia="Times New Roman" w:cs="Arial"/>
          <w:lang w:eastAsia="cs-CZ"/>
        </w:rPr>
      </w:pPr>
      <w:r>
        <w:rPr>
          <w:rFonts w:eastAsia="Times New Roman" w:cs="Arial"/>
          <w:lang w:eastAsia="cs-CZ"/>
        </w:rPr>
        <w:t>Hodnocené státy jsou rozděleny do 3 kategorií – lídři v oblasti ekologických inovací (Finsko, Dánsko, Rakousko, Lucembursko, Švédsko, Itálie, Francie, Německo a Nizozemsko), průměrní ekologičtí inovátoři (Španělsko, ČR, Slovinsko, Irsko, Estonsko, Litva, Lotyšsko, Portugalsko a Belgie) a státy zaostávající v ekologických inovacích, tzv. „</w:t>
      </w:r>
      <w:proofErr w:type="spellStart"/>
      <w:r>
        <w:rPr>
          <w:rFonts w:eastAsia="Times New Roman" w:cs="Arial"/>
          <w:lang w:eastAsia="cs-CZ"/>
        </w:rPr>
        <w:t>Catching</w:t>
      </w:r>
      <w:proofErr w:type="spellEnd"/>
      <w:r>
        <w:rPr>
          <w:rFonts w:eastAsia="Times New Roman" w:cs="Arial"/>
          <w:lang w:eastAsia="cs-CZ"/>
        </w:rPr>
        <w:t xml:space="preserve"> Up“ (Malta, Slovensko, Kypr, Chorvatsko, Řecko, Rumunsko, Polsko, Maďarsko a Bulharsko). ČR se řadí do skupiny průměrných ekologických inovátorů, dosahuje téměř průměrné výkonnosti EU a v rámci žebříčku EU 27 dosáhla 11. pozice.</w:t>
      </w:r>
    </w:p>
    <w:p w14:paraId="3ADD4ED5" w14:textId="77777777" w:rsidR="00EA71AC" w:rsidRPr="00A76347" w:rsidRDefault="00EA71AC" w:rsidP="00EA71AC">
      <w:pPr>
        <w:spacing w:after="120" w:line="360" w:lineRule="auto"/>
        <w:ind w:firstLine="708"/>
        <w:jc w:val="both"/>
        <w:rPr>
          <w:rFonts w:eastAsia="Times New Roman" w:cs="Arial"/>
          <w:lang w:eastAsia="cs-CZ"/>
        </w:rPr>
      </w:pPr>
      <w:r w:rsidRPr="00A76347">
        <w:rPr>
          <w:rFonts w:eastAsia="Times New Roman" w:cs="Arial"/>
          <w:lang w:eastAsia="cs-CZ"/>
        </w:rPr>
        <w:t>V průběhu let se výkon ČR zvyšuje rychleji než průměrný výkon EU</w:t>
      </w:r>
      <w:r>
        <w:rPr>
          <w:rFonts w:eastAsia="Times New Roman" w:cs="Arial"/>
          <w:lang w:eastAsia="cs-CZ"/>
        </w:rPr>
        <w:t xml:space="preserve"> </w:t>
      </w:r>
      <w:r w:rsidRPr="00A76347">
        <w:rPr>
          <w:rFonts w:eastAsia="Times New Roman" w:cs="Arial"/>
          <w:lang w:eastAsia="cs-CZ"/>
        </w:rPr>
        <w:t>27. ČR dosáhla v roce 2024 na 98,5 % průměrné výkonnosti EU.</w:t>
      </w:r>
    </w:p>
    <w:p w14:paraId="78048A1E" w14:textId="6D1F44B6" w:rsidR="00EA71AC" w:rsidRPr="00EA71AC" w:rsidRDefault="00EA71AC" w:rsidP="00EA71AC">
      <w:pPr>
        <w:spacing w:after="120" w:line="360" w:lineRule="auto"/>
        <w:ind w:firstLine="709"/>
        <w:jc w:val="both"/>
        <w:rPr>
          <w:rFonts w:eastAsia="Times New Roman" w:cs="Arial"/>
          <w:lang w:eastAsia="cs-CZ"/>
        </w:rPr>
      </w:pPr>
      <w:r w:rsidRPr="00A76347">
        <w:rPr>
          <w:rFonts w:eastAsia="Times New Roman" w:cs="Arial"/>
          <w:lang w:eastAsia="cs-CZ"/>
        </w:rPr>
        <w:t>V rámci hodnocených skupin indikátorů je ČR nejlépe hodnocena v oblasti eko-inovačních aktivit</w:t>
      </w:r>
      <w:r>
        <w:rPr>
          <w:rFonts w:eastAsia="Times New Roman" w:cs="Arial"/>
          <w:lang w:eastAsia="cs-CZ"/>
        </w:rPr>
        <w:t xml:space="preserve"> (tj. například počet ISO 14001 certifikací) a také v ukazateli produktivita vody. Naopak nejhůře je ČR hodnocena ve skupině ukazatelů eko-inovačních výstupů (například ukazatel eko-inovační patenty) nebo dále v ukazateli energetické produktivity.</w:t>
      </w:r>
    </w:p>
    <w:p w14:paraId="0F03F506" w14:textId="3C4476AA" w:rsidR="00D06AE5" w:rsidRDefault="00D06AE5" w:rsidP="00C6034B">
      <w:pPr>
        <w:spacing w:after="120" w:line="360" w:lineRule="auto"/>
        <w:jc w:val="both"/>
      </w:pPr>
      <w:r w:rsidRPr="00AD3112">
        <w:rPr>
          <w:rFonts w:eastAsia="Times New Roman" w:cs="Arial"/>
          <w:b/>
          <w:smallCaps/>
          <w:sz w:val="26"/>
          <w:szCs w:val="26"/>
          <w:lang w:eastAsia="cs-CZ"/>
        </w:rPr>
        <w:t>GLOBAL INNOVATION INDEX (GII)</w:t>
      </w:r>
      <w:r w:rsidR="004023F7">
        <w:rPr>
          <w:rStyle w:val="Znakapoznpodarou"/>
          <w:rFonts w:eastAsia="Times New Roman" w:cs="Arial"/>
          <w:b/>
          <w:smallCaps/>
          <w:sz w:val="26"/>
          <w:szCs w:val="26"/>
          <w:lang w:eastAsia="cs-CZ"/>
        </w:rPr>
        <w:footnoteReference w:id="13"/>
      </w:r>
      <w:r w:rsidRPr="00AD3112">
        <w:rPr>
          <w:rFonts w:eastAsia="Times New Roman" w:cs="Arial"/>
          <w:b/>
          <w:smallCaps/>
          <w:sz w:val="26"/>
          <w:szCs w:val="26"/>
          <w:lang w:eastAsia="cs-CZ"/>
        </w:rPr>
        <w:t xml:space="preserve"> </w:t>
      </w:r>
    </w:p>
    <w:p w14:paraId="74CF1C4A" w14:textId="77777777" w:rsidR="00EA71AC" w:rsidRPr="00476405" w:rsidRDefault="00EA71AC" w:rsidP="00EA71AC">
      <w:pPr>
        <w:spacing w:after="120" w:line="360" w:lineRule="auto"/>
        <w:ind w:firstLine="709"/>
        <w:jc w:val="both"/>
        <w:rPr>
          <w:rFonts w:cs="Arial"/>
        </w:rPr>
      </w:pPr>
      <w:r>
        <w:rPr>
          <w:rFonts w:cs="Arial"/>
        </w:rPr>
        <w:t xml:space="preserve">GII 2025 poskytuje analýzu inovačních ekosystémů u 139 ekonomik a sleduje trendy globálních inovací prostřednictvím investičních vzorců, technologického pokroku, míry jejich zavádění do praxe a socioekonomických dopadů. </w:t>
      </w:r>
      <w:r w:rsidRPr="00476405">
        <w:rPr>
          <w:rFonts w:cs="Arial"/>
        </w:rPr>
        <w:t>GII se skládá ze dvou sub-indexů: Innovation Input Sub-Index (je tvořen pilíři – Instituce, Lidské zdroje a výzkum, Infrastruktura, Sofistikovanost trhu, Sofistikovanost podnikání) a Innovation Output Sub-Index (je tvořen pilíři – Znalostní a technologické výstupy, Kreativní výstupy).</w:t>
      </w:r>
    </w:p>
    <w:p w14:paraId="487D3719" w14:textId="77777777" w:rsidR="00EA71AC" w:rsidRPr="000D27AA" w:rsidRDefault="00EA71AC" w:rsidP="00EA71AC">
      <w:pPr>
        <w:spacing w:after="120" w:line="360" w:lineRule="auto"/>
        <w:ind w:firstLine="709"/>
        <w:jc w:val="both"/>
        <w:rPr>
          <w:rFonts w:cs="Arial"/>
        </w:rPr>
      </w:pPr>
      <w:r w:rsidRPr="000D27AA">
        <w:rPr>
          <w:rFonts w:cs="Arial"/>
          <w:bCs/>
        </w:rPr>
        <w:t>Hlavními zjištěními GII 2025 jsou:</w:t>
      </w:r>
    </w:p>
    <w:p w14:paraId="06B7896F" w14:textId="1A8CF127" w:rsidR="00EA71AC" w:rsidRPr="000D27AA" w:rsidRDefault="00EA71AC" w:rsidP="00EA71AC">
      <w:pPr>
        <w:spacing w:after="120" w:line="360" w:lineRule="auto"/>
        <w:ind w:left="993" w:hanging="285"/>
        <w:jc w:val="both"/>
        <w:rPr>
          <w:rFonts w:eastAsia="Times New Roman" w:cs="Arial"/>
          <w:lang w:eastAsia="cs-CZ"/>
        </w:rPr>
      </w:pPr>
      <w:r w:rsidRPr="000D27AA">
        <w:rPr>
          <w:rFonts w:eastAsia="Times New Roman" w:cs="Arial"/>
          <w:lang w:eastAsia="cs-CZ"/>
        </w:rPr>
        <w:t xml:space="preserve">→ i přesto, že investice do inovací vykazují v roce 2024 převážně pozitivní trend (výjimkou je rizikový kapitál), je růst investic do inovací na </w:t>
      </w:r>
      <w:r>
        <w:rPr>
          <w:rFonts w:eastAsia="Times New Roman" w:cs="Arial"/>
          <w:lang w:eastAsia="cs-CZ"/>
        </w:rPr>
        <w:t xml:space="preserve">velice nízké úrovni; </w:t>
      </w:r>
      <w:r>
        <w:rPr>
          <w:rFonts w:eastAsia="Times New Roman" w:cs="Arial"/>
          <w:lang w:eastAsia="cs-CZ"/>
        </w:rPr>
        <w:lastRenderedPageBreak/>
        <w:t>po</w:t>
      </w:r>
      <w:r w:rsidR="00E23936">
        <w:rPr>
          <w:rFonts w:eastAsia="Times New Roman" w:cs="Arial"/>
          <w:lang w:eastAsia="cs-CZ"/>
        </w:rPr>
        <w:t> </w:t>
      </w:r>
      <w:r>
        <w:rPr>
          <w:rFonts w:eastAsia="Times New Roman" w:cs="Arial"/>
          <w:lang w:eastAsia="cs-CZ"/>
        </w:rPr>
        <w:t>poklesu v roce 2023 vykazují investice do inovací oživení, ale obecně jsou pod</w:t>
      </w:r>
      <w:r w:rsidR="00E23936">
        <w:rPr>
          <w:rFonts w:eastAsia="Times New Roman" w:cs="Arial"/>
          <w:lang w:eastAsia="cs-CZ"/>
        </w:rPr>
        <w:t> </w:t>
      </w:r>
      <w:r>
        <w:rPr>
          <w:rFonts w:eastAsia="Times New Roman" w:cs="Arial"/>
          <w:lang w:eastAsia="cs-CZ"/>
        </w:rPr>
        <w:t>dlouhodobým růstovým trendem;</w:t>
      </w:r>
      <w:r w:rsidRPr="000D27AA">
        <w:rPr>
          <w:rFonts w:eastAsia="Times New Roman" w:cs="Arial"/>
          <w:lang w:eastAsia="cs-CZ"/>
        </w:rPr>
        <w:t xml:space="preserve"> </w:t>
      </w:r>
    </w:p>
    <w:p w14:paraId="4A202883" w14:textId="683F766B" w:rsidR="00EA71AC" w:rsidRPr="00071371" w:rsidRDefault="00EA71AC" w:rsidP="00EA71AC">
      <w:pPr>
        <w:spacing w:after="120" w:line="360" w:lineRule="auto"/>
        <w:ind w:left="993" w:hanging="285"/>
        <w:jc w:val="both"/>
        <w:rPr>
          <w:rFonts w:eastAsia="Times New Roman" w:cs="Arial"/>
          <w:lang w:eastAsia="cs-CZ"/>
        </w:rPr>
      </w:pPr>
      <w:r w:rsidRPr="00071371">
        <w:rPr>
          <w:rFonts w:eastAsia="Times New Roman" w:cs="Arial"/>
          <w:lang w:eastAsia="cs-CZ"/>
        </w:rPr>
        <w:t xml:space="preserve">→ </w:t>
      </w:r>
      <w:r>
        <w:rPr>
          <w:rFonts w:eastAsia="Times New Roman" w:cs="Arial"/>
          <w:lang w:eastAsia="cs-CZ"/>
        </w:rPr>
        <w:t>zatímco technologický pokrok se vyvíjí vysokým tempem, zavádění do praxe zpomalilo; k technologickému pokroku docházelo v roce 2024 ve všech oblastech (pouze vývoj nových léků zaznamenal meziroční pokles, což ukazuje na složitost farmaceutických inovací); ačkoliv stále dochází k zavádění technologií do praxe, je</w:t>
      </w:r>
      <w:r w:rsidR="00E23936">
        <w:rPr>
          <w:rFonts w:eastAsia="Times New Roman" w:cs="Arial"/>
          <w:lang w:eastAsia="cs-CZ"/>
        </w:rPr>
        <w:t> </w:t>
      </w:r>
      <w:r>
        <w:rPr>
          <w:rFonts w:eastAsia="Times New Roman" w:cs="Arial"/>
          <w:lang w:eastAsia="cs-CZ"/>
        </w:rPr>
        <w:t>patrné v této oblasti zpomalování dynamiky; za faktory tohoto zpomalení lze označit vysoké náklady, regionální rozdíly a vývoj trhu;</w:t>
      </w:r>
    </w:p>
    <w:p w14:paraId="4EBF047A" w14:textId="77777777" w:rsidR="00EA71AC" w:rsidRDefault="00EA71AC" w:rsidP="00EA71AC">
      <w:pPr>
        <w:spacing w:after="120" w:line="360" w:lineRule="auto"/>
        <w:ind w:left="993" w:hanging="285"/>
        <w:jc w:val="both"/>
        <w:rPr>
          <w:rFonts w:eastAsia="Times New Roman" w:cs="Arial"/>
          <w:lang w:eastAsia="cs-CZ"/>
        </w:rPr>
      </w:pPr>
      <w:r w:rsidRPr="00071371">
        <w:rPr>
          <w:rFonts w:eastAsia="Times New Roman" w:cs="Arial"/>
          <w:lang w:eastAsia="cs-CZ"/>
        </w:rPr>
        <w:t xml:space="preserve">→ </w:t>
      </w:r>
      <w:r>
        <w:rPr>
          <w:rFonts w:eastAsia="Times New Roman" w:cs="Arial"/>
          <w:lang w:eastAsia="cs-CZ"/>
        </w:rPr>
        <w:t>socioekonomický dopad inovací je opět převážně pozitivní, inovace přinášejí hmatatelné zlepšení v oblasti lidského blahobytu a ekonomické výkonnosti a dochází ke stabilizaci ekonomik po pandemii COVID-19;</w:t>
      </w:r>
    </w:p>
    <w:p w14:paraId="111BA2D3" w14:textId="048C9A39" w:rsidR="00EA71AC" w:rsidRPr="00236097" w:rsidRDefault="00EA71AC" w:rsidP="00EA71AC">
      <w:pPr>
        <w:spacing w:after="120" w:line="360" w:lineRule="auto"/>
        <w:ind w:left="993" w:hanging="285"/>
        <w:jc w:val="both"/>
        <w:rPr>
          <w:rFonts w:eastAsia="Times New Roman" w:cs="Arial"/>
          <w:lang w:eastAsia="cs-CZ"/>
        </w:rPr>
      </w:pPr>
      <w:r w:rsidRPr="00236097">
        <w:rPr>
          <w:rFonts w:eastAsia="Times New Roman" w:cs="Arial"/>
          <w:lang w:eastAsia="cs-CZ"/>
        </w:rPr>
        <w:t>→ Švýcarsko, Švédsko, USA, Jižní Korea a Singapur vedou hodnocení GII 2025</w:t>
      </w:r>
      <w:r>
        <w:rPr>
          <w:rFonts w:eastAsia="Times New Roman" w:cs="Arial"/>
          <w:lang w:eastAsia="cs-CZ"/>
        </w:rPr>
        <w:t>; Čína se připojuje k první desítce nejinovativnějších ekonomik, překonala Švýcarsko ve</w:t>
      </w:r>
      <w:r w:rsidR="00E23936">
        <w:rPr>
          <w:rFonts w:eastAsia="Times New Roman" w:cs="Arial"/>
          <w:lang w:eastAsia="cs-CZ"/>
        </w:rPr>
        <w:t> </w:t>
      </w:r>
      <w:r>
        <w:rPr>
          <w:rFonts w:eastAsia="Times New Roman" w:cs="Arial"/>
          <w:lang w:eastAsia="cs-CZ"/>
        </w:rPr>
        <w:t xml:space="preserve">znalostech a technologických výstupech, zaujala 2. místo ve výdajích na </w:t>
      </w:r>
      <w:proofErr w:type="spellStart"/>
      <w:r>
        <w:rPr>
          <w:rFonts w:eastAsia="Times New Roman" w:cs="Arial"/>
          <w:lang w:eastAsia="cs-CZ"/>
        </w:rPr>
        <w:t>VaV</w:t>
      </w:r>
      <w:proofErr w:type="spellEnd"/>
      <w:r>
        <w:rPr>
          <w:rFonts w:eastAsia="Times New Roman" w:cs="Arial"/>
          <w:lang w:eastAsia="cs-CZ"/>
        </w:rPr>
        <w:t xml:space="preserve"> a</w:t>
      </w:r>
      <w:r w:rsidR="00E23936">
        <w:rPr>
          <w:rFonts w:eastAsia="Times New Roman" w:cs="Arial"/>
          <w:lang w:eastAsia="cs-CZ"/>
        </w:rPr>
        <w:t> </w:t>
      </w:r>
      <w:r>
        <w:rPr>
          <w:rFonts w:eastAsia="Times New Roman" w:cs="Arial"/>
          <w:lang w:eastAsia="cs-CZ"/>
        </w:rPr>
        <w:t xml:space="preserve">vede v počtu podaných patentů; společnými silnými stránkami nejúspěšnějších ekonomik jsou – vysoká intenzita </w:t>
      </w:r>
      <w:proofErr w:type="spellStart"/>
      <w:r>
        <w:rPr>
          <w:rFonts w:eastAsia="Times New Roman" w:cs="Arial"/>
          <w:lang w:eastAsia="cs-CZ"/>
        </w:rPr>
        <w:t>VaV</w:t>
      </w:r>
      <w:proofErr w:type="spellEnd"/>
      <w:r>
        <w:rPr>
          <w:rFonts w:eastAsia="Times New Roman" w:cs="Arial"/>
          <w:lang w:eastAsia="cs-CZ"/>
        </w:rPr>
        <w:t>, instituce světové úrovně, silný vzdělávací systém a vysoce inovativní soukromý sektor; Čína se poprvé dostala do první desítky;</w:t>
      </w:r>
    </w:p>
    <w:p w14:paraId="6C423EB5" w14:textId="77777777" w:rsidR="00EA71AC" w:rsidRDefault="00EA71AC" w:rsidP="00EA71AC">
      <w:pPr>
        <w:spacing w:after="120" w:line="360" w:lineRule="auto"/>
        <w:ind w:left="993" w:hanging="285"/>
        <w:jc w:val="both"/>
        <w:rPr>
          <w:rFonts w:eastAsia="Times New Roman" w:cs="Arial"/>
          <w:lang w:eastAsia="cs-CZ"/>
        </w:rPr>
      </w:pPr>
      <w:r w:rsidRPr="00236097">
        <w:rPr>
          <w:rFonts w:eastAsia="Times New Roman" w:cs="Arial"/>
          <w:lang w:eastAsia="cs-CZ"/>
        </w:rPr>
        <w:t xml:space="preserve">→ </w:t>
      </w:r>
      <w:r>
        <w:rPr>
          <w:rFonts w:eastAsia="Times New Roman" w:cs="Arial"/>
          <w:lang w:eastAsia="cs-CZ"/>
        </w:rPr>
        <w:t>dále pokračuje pozitivní trend výkonnosti dle GII u ekonomik se středními příjmy (především Indie, Turecko, Vietnam, Filipíny, Indonésie, Maroko, Albánie, Írán);</w:t>
      </w:r>
    </w:p>
    <w:p w14:paraId="446C9F96" w14:textId="77777777" w:rsidR="00EA71AC" w:rsidRDefault="00EA71AC" w:rsidP="00EA71AC">
      <w:pPr>
        <w:spacing w:after="120" w:line="360" w:lineRule="auto"/>
        <w:ind w:left="993" w:hanging="285"/>
        <w:jc w:val="both"/>
        <w:rPr>
          <w:rFonts w:eastAsia="Times New Roman" w:cs="Arial"/>
          <w:highlight w:val="yellow"/>
          <w:lang w:eastAsia="cs-CZ"/>
        </w:rPr>
      </w:pPr>
      <w:r w:rsidRPr="00236097">
        <w:rPr>
          <w:rFonts w:eastAsia="Times New Roman" w:cs="Arial"/>
          <w:lang w:eastAsia="cs-CZ"/>
        </w:rPr>
        <w:t xml:space="preserve">→ </w:t>
      </w:r>
      <w:r>
        <w:rPr>
          <w:rFonts w:eastAsia="Times New Roman" w:cs="Arial"/>
          <w:lang w:eastAsia="cs-CZ"/>
        </w:rPr>
        <w:t xml:space="preserve">nejvíce prvních míst v jednotlivých ukazatelích získal Singapur, USA, Izrael a Hongkong; Singapur vede v 10 z 78 ukazatelích (high-tech výroba, ocenění </w:t>
      </w:r>
      <w:proofErr w:type="spellStart"/>
      <w:r>
        <w:rPr>
          <w:rFonts w:eastAsia="Times New Roman" w:cs="Arial"/>
          <w:lang w:eastAsia="cs-CZ"/>
        </w:rPr>
        <w:t>Unicorn</w:t>
      </w:r>
      <w:proofErr w:type="spellEnd"/>
      <w:r>
        <w:rPr>
          <w:rFonts w:eastAsia="Times New Roman" w:cs="Arial"/>
          <w:lang w:eastAsia="cs-CZ"/>
        </w:rPr>
        <w:t xml:space="preserve">, závazky GitHub); USA vede v 9 ukazatelích (obchod s rizikovým kapitálem v pozdní fázi, výdaje na software a nehmotný kapitál); </w:t>
      </w:r>
    </w:p>
    <w:p w14:paraId="163324D2" w14:textId="67E34C2F" w:rsidR="00EA71AC" w:rsidRDefault="00EA71AC" w:rsidP="00EA71AC">
      <w:pPr>
        <w:spacing w:after="120" w:line="360" w:lineRule="auto"/>
        <w:ind w:left="993" w:hanging="285"/>
        <w:jc w:val="both"/>
        <w:rPr>
          <w:rFonts w:eastAsia="Times New Roman" w:cs="Arial"/>
          <w:lang w:eastAsia="cs-CZ"/>
        </w:rPr>
      </w:pPr>
      <w:r w:rsidRPr="0021548F">
        <w:rPr>
          <w:rFonts w:eastAsia="Times New Roman" w:cs="Arial"/>
          <w:lang w:eastAsia="cs-CZ"/>
        </w:rPr>
        <w:t xml:space="preserve">→ </w:t>
      </w:r>
      <w:r>
        <w:rPr>
          <w:rFonts w:eastAsia="Times New Roman" w:cs="Arial"/>
          <w:lang w:eastAsia="cs-CZ"/>
        </w:rPr>
        <w:t>17 středně a nízko-příjmových ekonomik dosahuje v oblasti inovací nadprůměrných výsledků; Indie a Vietnam jsou státy trvale vykazující nadprůměrné výsledky (15. rokem dosahují výsledků nad úrovní svého rozvoje), těsně za nimi je Rwanda a</w:t>
      </w:r>
      <w:r w:rsidR="00E23936">
        <w:rPr>
          <w:rFonts w:eastAsia="Times New Roman" w:cs="Arial"/>
          <w:lang w:eastAsia="cs-CZ"/>
        </w:rPr>
        <w:t> </w:t>
      </w:r>
      <w:r>
        <w:rPr>
          <w:rFonts w:eastAsia="Times New Roman" w:cs="Arial"/>
          <w:lang w:eastAsia="cs-CZ"/>
        </w:rPr>
        <w:t>Ukrajina; Brazílie, Indonésie, Maroko, Jihoafrická republika, Uzbekistán a Senegal jsou zeměmi s nadprůměrnými výsledky (vzhledem k jejich rozvoji), k nim se</w:t>
      </w:r>
      <w:r w:rsidR="00E23936">
        <w:rPr>
          <w:rFonts w:eastAsia="Times New Roman" w:cs="Arial"/>
          <w:lang w:eastAsia="cs-CZ"/>
        </w:rPr>
        <w:t> </w:t>
      </w:r>
      <w:r>
        <w:rPr>
          <w:rFonts w:eastAsia="Times New Roman" w:cs="Arial"/>
          <w:lang w:eastAsia="cs-CZ"/>
        </w:rPr>
        <w:t>v hodnocení GII 2025 připojilo Tunisko a Malawi;</w:t>
      </w:r>
    </w:p>
    <w:p w14:paraId="43185246" w14:textId="77777777" w:rsidR="00EA71AC" w:rsidRPr="0021548F" w:rsidRDefault="00EA71AC" w:rsidP="00EA71AC">
      <w:pPr>
        <w:spacing w:after="120" w:line="360" w:lineRule="auto"/>
        <w:ind w:left="993" w:hanging="285"/>
        <w:jc w:val="both"/>
        <w:rPr>
          <w:rFonts w:cs="Arial"/>
        </w:rPr>
      </w:pPr>
      <w:r w:rsidRPr="0021548F">
        <w:rPr>
          <w:rFonts w:eastAsia="Times New Roman" w:cs="Arial"/>
          <w:lang w:eastAsia="cs-CZ"/>
        </w:rPr>
        <w:t xml:space="preserve">→ </w:t>
      </w:r>
      <w:r>
        <w:rPr>
          <w:rFonts w:eastAsia="Times New Roman" w:cs="Arial"/>
          <w:lang w:eastAsia="cs-CZ"/>
        </w:rPr>
        <w:t xml:space="preserve">největší světové inovační klastry se rozkládají na šesti ze sedmi kontinentů (globálně vede </w:t>
      </w:r>
      <w:proofErr w:type="spellStart"/>
      <w:r w:rsidRPr="009913BD">
        <w:rPr>
          <w:rFonts w:eastAsia="Times New Roman" w:cs="Arial"/>
          <w:lang w:eastAsia="cs-CZ"/>
        </w:rPr>
        <w:t>Shenzhen</w:t>
      </w:r>
      <w:proofErr w:type="spellEnd"/>
      <w:r w:rsidRPr="009913BD">
        <w:rPr>
          <w:rFonts w:eastAsia="Times New Roman" w:cs="Arial"/>
          <w:lang w:eastAsia="cs-CZ"/>
        </w:rPr>
        <w:t>–Hong Kong–</w:t>
      </w:r>
      <w:proofErr w:type="spellStart"/>
      <w:r w:rsidRPr="009913BD">
        <w:rPr>
          <w:rFonts w:eastAsia="Times New Roman" w:cs="Arial"/>
          <w:lang w:eastAsia="cs-CZ"/>
        </w:rPr>
        <w:t>Guangzhou</w:t>
      </w:r>
      <w:proofErr w:type="spellEnd"/>
      <w:r>
        <w:rPr>
          <w:rFonts w:eastAsia="Times New Roman" w:cs="Arial"/>
          <w:lang w:eastAsia="cs-CZ"/>
        </w:rPr>
        <w:t>);</w:t>
      </w:r>
    </w:p>
    <w:p w14:paraId="381E7CC2" w14:textId="71658894" w:rsidR="00EA71AC" w:rsidRDefault="00EA71AC" w:rsidP="00EA71AC">
      <w:pPr>
        <w:spacing w:after="120" w:line="360" w:lineRule="auto"/>
        <w:ind w:left="993" w:hanging="284"/>
        <w:jc w:val="both"/>
        <w:rPr>
          <w:rFonts w:eastAsia="Times New Roman" w:cs="Arial"/>
          <w:lang w:eastAsia="cs-CZ"/>
        </w:rPr>
      </w:pPr>
      <w:r w:rsidRPr="00E01262">
        <w:rPr>
          <w:rFonts w:eastAsia="Times New Roman" w:cs="Arial"/>
          <w:lang w:eastAsia="cs-CZ"/>
        </w:rPr>
        <w:t xml:space="preserve">→ </w:t>
      </w:r>
      <w:r>
        <w:rPr>
          <w:rFonts w:eastAsia="Times New Roman" w:cs="Arial"/>
          <w:lang w:eastAsia="cs-CZ"/>
        </w:rPr>
        <w:t>San Jose-San Francisco (USA) a Cambridge (Velká Británie) jsou klastry s nejvyšší intenzitou inovací v poměru k hustotě obyvatelstva.</w:t>
      </w:r>
    </w:p>
    <w:p w14:paraId="706CADCD" w14:textId="77777777" w:rsidR="00395FCE" w:rsidRPr="00EA71AC" w:rsidRDefault="00395FCE" w:rsidP="00EA71AC">
      <w:pPr>
        <w:spacing w:after="120" w:line="360" w:lineRule="auto"/>
        <w:ind w:left="993" w:hanging="284"/>
        <w:jc w:val="both"/>
        <w:rPr>
          <w:rFonts w:eastAsia="Times New Roman" w:cs="Arial"/>
          <w:lang w:eastAsia="cs-CZ"/>
        </w:rPr>
      </w:pPr>
    </w:p>
    <w:p w14:paraId="04A4FC84" w14:textId="07340AD1" w:rsidR="00EA71AC" w:rsidRPr="00B87994" w:rsidRDefault="00EA71AC" w:rsidP="00EA71AC">
      <w:pPr>
        <w:pStyle w:val="Obrzek-nadpis"/>
      </w:pPr>
      <w:r w:rsidRPr="00B87994">
        <w:lastRenderedPageBreak/>
        <w:t xml:space="preserve">Tabulka </w:t>
      </w:r>
      <w:r w:rsidR="00395FCE">
        <w:t>E.2.6</w:t>
      </w:r>
      <w:r w:rsidRPr="00B87994">
        <w:t>: Nejlépe hodnocené země z jednotlivých regionů dle GII 202</w:t>
      </w:r>
      <w:r>
        <w:t>5</w:t>
      </w:r>
    </w:p>
    <w:tbl>
      <w:tblPr>
        <w:tblStyle w:val="Mkatabulky"/>
        <w:tblW w:w="9464" w:type="dxa"/>
        <w:tblLook w:val="04A0" w:firstRow="1" w:lastRow="0" w:firstColumn="1" w:lastColumn="0" w:noHBand="0" w:noVBand="1"/>
      </w:tblPr>
      <w:tblGrid>
        <w:gridCol w:w="1396"/>
        <w:gridCol w:w="1151"/>
        <w:gridCol w:w="1276"/>
        <w:gridCol w:w="1559"/>
        <w:gridCol w:w="1276"/>
        <w:gridCol w:w="1417"/>
        <w:gridCol w:w="1389"/>
      </w:tblGrid>
      <w:tr w:rsidR="00EA71AC" w:rsidRPr="00B87994" w14:paraId="061C9BFE" w14:textId="77777777" w:rsidTr="00326A8C">
        <w:trPr>
          <w:trHeight w:val="20"/>
        </w:trPr>
        <w:tc>
          <w:tcPr>
            <w:tcW w:w="1396" w:type="dxa"/>
            <w:shd w:val="clear" w:color="auto" w:fill="B8CCE4" w:themeFill="accent1" w:themeFillTint="66"/>
            <w:vAlign w:val="center"/>
          </w:tcPr>
          <w:p w14:paraId="487805DB" w14:textId="77777777" w:rsidR="00EA71AC" w:rsidRPr="00B87994" w:rsidRDefault="00EA71AC" w:rsidP="00326A8C">
            <w:pPr>
              <w:jc w:val="center"/>
              <w:rPr>
                <w:rFonts w:cs="Arial"/>
                <w:b/>
                <w:sz w:val="16"/>
                <w:szCs w:val="20"/>
              </w:rPr>
            </w:pPr>
            <w:r w:rsidRPr="00B87994">
              <w:rPr>
                <w:rFonts w:cs="Arial"/>
                <w:b/>
                <w:sz w:val="16"/>
                <w:szCs w:val="20"/>
              </w:rPr>
              <w:t>Latinská Amerika a Karibik</w:t>
            </w:r>
          </w:p>
        </w:tc>
        <w:tc>
          <w:tcPr>
            <w:tcW w:w="1151" w:type="dxa"/>
            <w:shd w:val="clear" w:color="auto" w:fill="B8CCE4" w:themeFill="accent1" w:themeFillTint="66"/>
            <w:vAlign w:val="center"/>
          </w:tcPr>
          <w:p w14:paraId="3F857B59" w14:textId="77777777" w:rsidR="00EA71AC" w:rsidRPr="00B87994" w:rsidRDefault="00EA71AC" w:rsidP="00326A8C">
            <w:pPr>
              <w:jc w:val="center"/>
              <w:rPr>
                <w:rFonts w:cs="Arial"/>
                <w:b/>
                <w:sz w:val="16"/>
                <w:szCs w:val="20"/>
              </w:rPr>
            </w:pPr>
            <w:r w:rsidRPr="00B87994">
              <w:rPr>
                <w:rFonts w:cs="Arial"/>
                <w:b/>
                <w:sz w:val="16"/>
                <w:szCs w:val="20"/>
              </w:rPr>
              <w:t>Severní Amerika</w:t>
            </w:r>
          </w:p>
        </w:tc>
        <w:tc>
          <w:tcPr>
            <w:tcW w:w="1276" w:type="dxa"/>
            <w:shd w:val="clear" w:color="auto" w:fill="B8CCE4" w:themeFill="accent1" w:themeFillTint="66"/>
            <w:vAlign w:val="center"/>
          </w:tcPr>
          <w:p w14:paraId="7ED9E889" w14:textId="77777777" w:rsidR="00EA71AC" w:rsidRPr="00B87994" w:rsidRDefault="00EA71AC" w:rsidP="00326A8C">
            <w:pPr>
              <w:jc w:val="center"/>
              <w:rPr>
                <w:rFonts w:cs="Arial"/>
                <w:b/>
                <w:sz w:val="16"/>
                <w:szCs w:val="20"/>
              </w:rPr>
            </w:pPr>
            <w:r w:rsidRPr="00B87994">
              <w:rPr>
                <w:rFonts w:cs="Arial"/>
                <w:b/>
                <w:sz w:val="16"/>
                <w:szCs w:val="20"/>
              </w:rPr>
              <w:t>Subsaharská Afrika</w:t>
            </w:r>
          </w:p>
        </w:tc>
        <w:tc>
          <w:tcPr>
            <w:tcW w:w="1559" w:type="dxa"/>
            <w:shd w:val="clear" w:color="auto" w:fill="B8CCE4" w:themeFill="accent1" w:themeFillTint="66"/>
            <w:vAlign w:val="center"/>
          </w:tcPr>
          <w:p w14:paraId="08BABC7F" w14:textId="77777777" w:rsidR="00EA71AC" w:rsidRPr="00B87994" w:rsidRDefault="00EA71AC" w:rsidP="00326A8C">
            <w:pPr>
              <w:jc w:val="center"/>
              <w:rPr>
                <w:rFonts w:cs="Arial"/>
                <w:b/>
                <w:sz w:val="16"/>
                <w:szCs w:val="20"/>
              </w:rPr>
            </w:pPr>
            <w:r w:rsidRPr="00B87994">
              <w:rPr>
                <w:rFonts w:cs="Arial"/>
                <w:b/>
                <w:sz w:val="16"/>
                <w:szCs w:val="20"/>
              </w:rPr>
              <w:t>Severní Afrika a západní Asie</w:t>
            </w:r>
          </w:p>
        </w:tc>
        <w:tc>
          <w:tcPr>
            <w:tcW w:w="1276" w:type="dxa"/>
            <w:shd w:val="clear" w:color="auto" w:fill="B8CCE4" w:themeFill="accent1" w:themeFillTint="66"/>
            <w:vAlign w:val="center"/>
          </w:tcPr>
          <w:p w14:paraId="7EDDF6D3" w14:textId="77777777" w:rsidR="00EA71AC" w:rsidRPr="00B87994" w:rsidRDefault="00EA71AC" w:rsidP="00326A8C">
            <w:pPr>
              <w:jc w:val="center"/>
              <w:rPr>
                <w:rFonts w:cs="Arial"/>
                <w:b/>
                <w:sz w:val="16"/>
                <w:szCs w:val="20"/>
              </w:rPr>
            </w:pPr>
            <w:r w:rsidRPr="00B87994">
              <w:rPr>
                <w:rFonts w:cs="Arial"/>
                <w:b/>
                <w:sz w:val="16"/>
                <w:szCs w:val="20"/>
              </w:rPr>
              <w:t>Střední a východní Asie</w:t>
            </w:r>
          </w:p>
        </w:tc>
        <w:tc>
          <w:tcPr>
            <w:tcW w:w="1417" w:type="dxa"/>
            <w:shd w:val="clear" w:color="auto" w:fill="B8CCE4" w:themeFill="accent1" w:themeFillTint="66"/>
            <w:vAlign w:val="center"/>
          </w:tcPr>
          <w:p w14:paraId="245300AE" w14:textId="77777777" w:rsidR="00EA71AC" w:rsidRPr="00B87994" w:rsidRDefault="00EA71AC" w:rsidP="00326A8C">
            <w:pPr>
              <w:jc w:val="center"/>
              <w:rPr>
                <w:rFonts w:cs="Arial"/>
                <w:b/>
                <w:sz w:val="16"/>
                <w:szCs w:val="20"/>
              </w:rPr>
            </w:pPr>
            <w:r w:rsidRPr="00B87994">
              <w:rPr>
                <w:rFonts w:cs="Arial"/>
                <w:b/>
                <w:sz w:val="16"/>
                <w:szCs w:val="20"/>
              </w:rPr>
              <w:t>Jihovýchodní a východní Asie a Oceánie</w:t>
            </w:r>
          </w:p>
        </w:tc>
        <w:tc>
          <w:tcPr>
            <w:tcW w:w="1389" w:type="dxa"/>
            <w:shd w:val="clear" w:color="auto" w:fill="B8CCE4" w:themeFill="accent1" w:themeFillTint="66"/>
            <w:vAlign w:val="center"/>
          </w:tcPr>
          <w:p w14:paraId="1F4DC8C9" w14:textId="77777777" w:rsidR="00EA71AC" w:rsidRPr="00B87994" w:rsidRDefault="00EA71AC" w:rsidP="00326A8C">
            <w:pPr>
              <w:jc w:val="center"/>
              <w:rPr>
                <w:rFonts w:cs="Arial"/>
                <w:b/>
                <w:sz w:val="16"/>
                <w:szCs w:val="20"/>
              </w:rPr>
            </w:pPr>
            <w:r w:rsidRPr="00B87994">
              <w:rPr>
                <w:rFonts w:cs="Arial"/>
                <w:b/>
                <w:sz w:val="16"/>
                <w:szCs w:val="20"/>
              </w:rPr>
              <w:t>Evropa</w:t>
            </w:r>
          </w:p>
        </w:tc>
      </w:tr>
      <w:tr w:rsidR="00EA71AC" w:rsidRPr="00B87994" w14:paraId="4EAB35ED" w14:textId="77777777" w:rsidTr="00326A8C">
        <w:trPr>
          <w:trHeight w:val="20"/>
        </w:trPr>
        <w:tc>
          <w:tcPr>
            <w:tcW w:w="1396" w:type="dxa"/>
            <w:vAlign w:val="center"/>
          </w:tcPr>
          <w:p w14:paraId="12991201" w14:textId="77777777" w:rsidR="00EA71AC" w:rsidRPr="00B87994" w:rsidRDefault="00EA71AC" w:rsidP="00326A8C">
            <w:pPr>
              <w:jc w:val="center"/>
              <w:rPr>
                <w:rFonts w:cs="Arial"/>
                <w:sz w:val="16"/>
              </w:rPr>
            </w:pPr>
            <w:r w:rsidRPr="00B87994">
              <w:rPr>
                <w:rFonts w:cs="Arial"/>
                <w:sz w:val="16"/>
              </w:rPr>
              <w:t>Chile ↑</w:t>
            </w:r>
          </w:p>
        </w:tc>
        <w:tc>
          <w:tcPr>
            <w:tcW w:w="1151" w:type="dxa"/>
            <w:vAlign w:val="center"/>
          </w:tcPr>
          <w:p w14:paraId="155462B8" w14:textId="77777777" w:rsidR="00EA71AC" w:rsidRPr="00B87994" w:rsidRDefault="00EA71AC" w:rsidP="00326A8C">
            <w:pPr>
              <w:jc w:val="center"/>
              <w:rPr>
                <w:rFonts w:cs="Arial"/>
                <w:sz w:val="16"/>
              </w:rPr>
            </w:pPr>
            <w:r w:rsidRPr="00B87994">
              <w:rPr>
                <w:rFonts w:cs="Arial"/>
                <w:sz w:val="16"/>
              </w:rPr>
              <w:t>USA</w:t>
            </w:r>
          </w:p>
        </w:tc>
        <w:tc>
          <w:tcPr>
            <w:tcW w:w="1276" w:type="dxa"/>
            <w:vAlign w:val="center"/>
          </w:tcPr>
          <w:p w14:paraId="615BE2B7" w14:textId="77777777" w:rsidR="00EA71AC" w:rsidRPr="00B87994" w:rsidRDefault="00EA71AC" w:rsidP="00326A8C">
            <w:pPr>
              <w:jc w:val="center"/>
              <w:rPr>
                <w:rFonts w:cs="Arial"/>
                <w:sz w:val="16"/>
              </w:rPr>
            </w:pPr>
            <w:r w:rsidRPr="00B87994">
              <w:rPr>
                <w:rFonts w:cs="Arial"/>
                <w:sz w:val="16"/>
              </w:rPr>
              <w:t>Jižní Afrika</w:t>
            </w:r>
          </w:p>
        </w:tc>
        <w:tc>
          <w:tcPr>
            <w:tcW w:w="1559" w:type="dxa"/>
            <w:vAlign w:val="center"/>
          </w:tcPr>
          <w:p w14:paraId="1D157753" w14:textId="77777777" w:rsidR="00EA71AC" w:rsidRPr="00B87994" w:rsidRDefault="00EA71AC" w:rsidP="00326A8C">
            <w:pPr>
              <w:jc w:val="center"/>
              <w:rPr>
                <w:rFonts w:cs="Arial"/>
                <w:sz w:val="16"/>
              </w:rPr>
            </w:pPr>
            <w:r w:rsidRPr="00B87994">
              <w:rPr>
                <w:rFonts w:cs="Arial"/>
                <w:sz w:val="16"/>
              </w:rPr>
              <w:t>Izrael</w:t>
            </w:r>
          </w:p>
        </w:tc>
        <w:tc>
          <w:tcPr>
            <w:tcW w:w="1276" w:type="dxa"/>
            <w:vAlign w:val="center"/>
          </w:tcPr>
          <w:p w14:paraId="5B8F73C2" w14:textId="77777777" w:rsidR="00EA71AC" w:rsidRPr="00B87994" w:rsidRDefault="00EA71AC" w:rsidP="00326A8C">
            <w:pPr>
              <w:jc w:val="center"/>
              <w:rPr>
                <w:rFonts w:cs="Arial"/>
                <w:sz w:val="16"/>
              </w:rPr>
            </w:pPr>
            <w:r w:rsidRPr="00B87994">
              <w:rPr>
                <w:rFonts w:cs="Arial"/>
                <w:sz w:val="16"/>
              </w:rPr>
              <w:t>Indie</w:t>
            </w:r>
          </w:p>
        </w:tc>
        <w:tc>
          <w:tcPr>
            <w:tcW w:w="1417" w:type="dxa"/>
            <w:vAlign w:val="center"/>
          </w:tcPr>
          <w:p w14:paraId="2958B3B1" w14:textId="77777777" w:rsidR="00EA71AC" w:rsidRPr="00B87994" w:rsidRDefault="00EA71AC" w:rsidP="00326A8C">
            <w:pPr>
              <w:jc w:val="center"/>
              <w:rPr>
                <w:rFonts w:cs="Arial"/>
                <w:sz w:val="16"/>
              </w:rPr>
            </w:pPr>
            <w:r w:rsidRPr="00B87994">
              <w:rPr>
                <w:rFonts w:cs="Arial"/>
                <w:sz w:val="16"/>
              </w:rPr>
              <w:t>Jižní Korea ↑</w:t>
            </w:r>
          </w:p>
        </w:tc>
        <w:tc>
          <w:tcPr>
            <w:tcW w:w="1389" w:type="dxa"/>
            <w:vAlign w:val="center"/>
          </w:tcPr>
          <w:p w14:paraId="4AF25B73" w14:textId="77777777" w:rsidR="00EA71AC" w:rsidRPr="00B87994" w:rsidRDefault="00EA71AC" w:rsidP="00326A8C">
            <w:pPr>
              <w:jc w:val="center"/>
              <w:rPr>
                <w:rFonts w:cs="Arial"/>
                <w:sz w:val="16"/>
              </w:rPr>
            </w:pPr>
            <w:r w:rsidRPr="00B87994">
              <w:rPr>
                <w:rFonts w:cs="Arial"/>
                <w:sz w:val="16"/>
              </w:rPr>
              <w:t>Švýcarsko</w:t>
            </w:r>
          </w:p>
        </w:tc>
      </w:tr>
      <w:tr w:rsidR="00EA71AC" w:rsidRPr="00B87994" w14:paraId="27537717" w14:textId="77777777" w:rsidTr="00326A8C">
        <w:trPr>
          <w:trHeight w:val="20"/>
        </w:trPr>
        <w:tc>
          <w:tcPr>
            <w:tcW w:w="1396" w:type="dxa"/>
            <w:vAlign w:val="center"/>
          </w:tcPr>
          <w:p w14:paraId="19409533" w14:textId="77777777" w:rsidR="00EA71AC" w:rsidRPr="00B87994" w:rsidRDefault="00EA71AC" w:rsidP="00326A8C">
            <w:pPr>
              <w:jc w:val="center"/>
              <w:rPr>
                <w:rFonts w:cs="Arial"/>
                <w:sz w:val="16"/>
              </w:rPr>
            </w:pPr>
            <w:r w:rsidRPr="00B87994">
              <w:rPr>
                <w:rFonts w:cs="Arial"/>
                <w:sz w:val="16"/>
              </w:rPr>
              <w:t>Brazílie ↓</w:t>
            </w:r>
          </w:p>
        </w:tc>
        <w:tc>
          <w:tcPr>
            <w:tcW w:w="1151" w:type="dxa"/>
            <w:vAlign w:val="center"/>
          </w:tcPr>
          <w:p w14:paraId="5DA87FAC" w14:textId="77777777" w:rsidR="00EA71AC" w:rsidRPr="00B87994" w:rsidRDefault="00EA71AC" w:rsidP="00326A8C">
            <w:pPr>
              <w:jc w:val="center"/>
              <w:rPr>
                <w:rFonts w:cs="Arial"/>
                <w:sz w:val="16"/>
              </w:rPr>
            </w:pPr>
            <w:r w:rsidRPr="00B87994">
              <w:rPr>
                <w:rFonts w:cs="Arial"/>
                <w:sz w:val="16"/>
              </w:rPr>
              <w:t>Kanada</w:t>
            </w:r>
          </w:p>
        </w:tc>
        <w:tc>
          <w:tcPr>
            <w:tcW w:w="1276" w:type="dxa"/>
            <w:vAlign w:val="center"/>
          </w:tcPr>
          <w:p w14:paraId="2436C187" w14:textId="77777777" w:rsidR="00EA71AC" w:rsidRPr="00B87994" w:rsidRDefault="00EA71AC" w:rsidP="00326A8C">
            <w:pPr>
              <w:jc w:val="center"/>
              <w:rPr>
                <w:rFonts w:cs="Arial"/>
                <w:sz w:val="16"/>
              </w:rPr>
            </w:pPr>
            <w:r w:rsidRPr="00B87994">
              <w:rPr>
                <w:rFonts w:cs="Arial"/>
                <w:sz w:val="16"/>
              </w:rPr>
              <w:t>Botswana</w:t>
            </w:r>
          </w:p>
        </w:tc>
        <w:tc>
          <w:tcPr>
            <w:tcW w:w="1559" w:type="dxa"/>
            <w:vAlign w:val="center"/>
          </w:tcPr>
          <w:p w14:paraId="63AB1BED" w14:textId="77777777" w:rsidR="00EA71AC" w:rsidRPr="00B87994" w:rsidRDefault="00EA71AC" w:rsidP="00326A8C">
            <w:pPr>
              <w:jc w:val="center"/>
              <w:rPr>
                <w:rFonts w:cs="Arial"/>
                <w:sz w:val="16"/>
              </w:rPr>
            </w:pPr>
            <w:r w:rsidRPr="00B87994">
              <w:rPr>
                <w:rFonts w:cs="Arial"/>
                <w:sz w:val="16"/>
              </w:rPr>
              <w:t>Spojené arabské emiráty</w:t>
            </w:r>
          </w:p>
        </w:tc>
        <w:tc>
          <w:tcPr>
            <w:tcW w:w="1276" w:type="dxa"/>
            <w:vAlign w:val="center"/>
          </w:tcPr>
          <w:p w14:paraId="365B42AB" w14:textId="77777777" w:rsidR="00EA71AC" w:rsidRPr="00B87994" w:rsidRDefault="00EA71AC" w:rsidP="00326A8C">
            <w:pPr>
              <w:jc w:val="center"/>
              <w:rPr>
                <w:rFonts w:cs="Arial"/>
                <w:sz w:val="16"/>
              </w:rPr>
            </w:pPr>
            <w:r w:rsidRPr="00B87994">
              <w:rPr>
                <w:rFonts w:cs="Arial"/>
                <w:sz w:val="16"/>
              </w:rPr>
              <w:t>Írán</w:t>
            </w:r>
          </w:p>
        </w:tc>
        <w:tc>
          <w:tcPr>
            <w:tcW w:w="1417" w:type="dxa"/>
            <w:vAlign w:val="center"/>
          </w:tcPr>
          <w:p w14:paraId="66195F5A" w14:textId="77777777" w:rsidR="00EA71AC" w:rsidRPr="00B87994" w:rsidRDefault="00EA71AC" w:rsidP="00326A8C">
            <w:pPr>
              <w:jc w:val="center"/>
              <w:rPr>
                <w:rFonts w:cs="Arial"/>
                <w:sz w:val="16"/>
              </w:rPr>
            </w:pPr>
            <w:r w:rsidRPr="00B87994">
              <w:rPr>
                <w:rFonts w:cs="Arial"/>
                <w:sz w:val="16"/>
              </w:rPr>
              <w:t>Singapur</w:t>
            </w:r>
            <w:r>
              <w:rPr>
                <w:rFonts w:cs="Arial"/>
                <w:sz w:val="16"/>
              </w:rPr>
              <w:t xml:space="preserve"> </w:t>
            </w:r>
            <w:r w:rsidRPr="00B87994">
              <w:rPr>
                <w:rFonts w:cs="Arial"/>
                <w:sz w:val="16"/>
              </w:rPr>
              <w:t>↓</w:t>
            </w:r>
          </w:p>
        </w:tc>
        <w:tc>
          <w:tcPr>
            <w:tcW w:w="1389" w:type="dxa"/>
            <w:vAlign w:val="center"/>
          </w:tcPr>
          <w:p w14:paraId="766BF99A" w14:textId="77777777" w:rsidR="00EA71AC" w:rsidRPr="00B87994" w:rsidRDefault="00EA71AC" w:rsidP="00326A8C">
            <w:pPr>
              <w:jc w:val="center"/>
              <w:rPr>
                <w:rFonts w:cs="Arial"/>
                <w:sz w:val="16"/>
              </w:rPr>
            </w:pPr>
            <w:r w:rsidRPr="00B87994">
              <w:rPr>
                <w:rFonts w:cs="Arial"/>
                <w:sz w:val="16"/>
              </w:rPr>
              <w:t>Švédsko</w:t>
            </w:r>
          </w:p>
        </w:tc>
      </w:tr>
      <w:tr w:rsidR="00EA71AC" w:rsidRPr="001343E0" w14:paraId="142D19E5" w14:textId="77777777" w:rsidTr="00326A8C">
        <w:trPr>
          <w:trHeight w:val="20"/>
        </w:trPr>
        <w:tc>
          <w:tcPr>
            <w:tcW w:w="1396" w:type="dxa"/>
            <w:vAlign w:val="center"/>
          </w:tcPr>
          <w:p w14:paraId="480C87CB" w14:textId="77777777" w:rsidR="00EA71AC" w:rsidRPr="00B87994" w:rsidRDefault="00EA71AC" w:rsidP="00326A8C">
            <w:pPr>
              <w:jc w:val="center"/>
              <w:rPr>
                <w:rFonts w:cs="Arial"/>
                <w:sz w:val="16"/>
              </w:rPr>
            </w:pPr>
            <w:r w:rsidRPr="00B87994">
              <w:rPr>
                <w:rFonts w:cs="Arial"/>
                <w:sz w:val="16"/>
              </w:rPr>
              <w:t>Mexiko</w:t>
            </w:r>
          </w:p>
        </w:tc>
        <w:tc>
          <w:tcPr>
            <w:tcW w:w="1151" w:type="dxa"/>
            <w:vAlign w:val="center"/>
          </w:tcPr>
          <w:p w14:paraId="23C259CE" w14:textId="77777777" w:rsidR="00EA71AC" w:rsidRPr="00B87994" w:rsidRDefault="00EA71AC" w:rsidP="00326A8C">
            <w:pPr>
              <w:jc w:val="center"/>
              <w:rPr>
                <w:rFonts w:cs="Arial"/>
                <w:sz w:val="16"/>
              </w:rPr>
            </w:pPr>
          </w:p>
        </w:tc>
        <w:tc>
          <w:tcPr>
            <w:tcW w:w="1276" w:type="dxa"/>
            <w:vAlign w:val="center"/>
          </w:tcPr>
          <w:p w14:paraId="71FBEC41" w14:textId="77777777" w:rsidR="00EA71AC" w:rsidRPr="00B87994" w:rsidRDefault="00EA71AC" w:rsidP="00326A8C">
            <w:pPr>
              <w:jc w:val="center"/>
              <w:rPr>
                <w:rFonts w:cs="Arial"/>
                <w:sz w:val="16"/>
              </w:rPr>
            </w:pPr>
            <w:r w:rsidRPr="00B87994">
              <w:rPr>
                <w:rFonts w:cs="Arial"/>
                <w:sz w:val="16"/>
              </w:rPr>
              <w:t>Senegal</w:t>
            </w:r>
          </w:p>
        </w:tc>
        <w:tc>
          <w:tcPr>
            <w:tcW w:w="1559" w:type="dxa"/>
            <w:vAlign w:val="center"/>
          </w:tcPr>
          <w:p w14:paraId="68A37132" w14:textId="77777777" w:rsidR="00EA71AC" w:rsidRPr="00B87994" w:rsidRDefault="00EA71AC" w:rsidP="00326A8C">
            <w:pPr>
              <w:jc w:val="center"/>
              <w:rPr>
                <w:rFonts w:cs="Arial"/>
                <w:sz w:val="16"/>
              </w:rPr>
            </w:pPr>
            <w:r w:rsidRPr="00B87994">
              <w:rPr>
                <w:rFonts w:cs="Arial"/>
                <w:sz w:val="16"/>
              </w:rPr>
              <w:t>Turecko</w:t>
            </w:r>
          </w:p>
        </w:tc>
        <w:tc>
          <w:tcPr>
            <w:tcW w:w="1276" w:type="dxa"/>
            <w:vAlign w:val="center"/>
          </w:tcPr>
          <w:p w14:paraId="613A8778" w14:textId="77777777" w:rsidR="00EA71AC" w:rsidRPr="00B87994" w:rsidRDefault="00EA71AC" w:rsidP="00326A8C">
            <w:pPr>
              <w:jc w:val="center"/>
              <w:rPr>
                <w:rFonts w:cs="Arial"/>
                <w:sz w:val="16"/>
              </w:rPr>
            </w:pPr>
            <w:r>
              <w:rPr>
                <w:rFonts w:cs="Arial"/>
                <w:sz w:val="16"/>
              </w:rPr>
              <w:t>Uzbekistán</w:t>
            </w:r>
          </w:p>
        </w:tc>
        <w:tc>
          <w:tcPr>
            <w:tcW w:w="1417" w:type="dxa"/>
            <w:vAlign w:val="center"/>
          </w:tcPr>
          <w:p w14:paraId="1D6BED8C" w14:textId="77777777" w:rsidR="00EA71AC" w:rsidRPr="00B87994" w:rsidRDefault="00EA71AC" w:rsidP="00326A8C">
            <w:pPr>
              <w:jc w:val="center"/>
              <w:rPr>
                <w:rFonts w:cs="Arial"/>
                <w:sz w:val="16"/>
              </w:rPr>
            </w:pPr>
            <w:r w:rsidRPr="00B87994">
              <w:rPr>
                <w:rFonts w:cs="Arial"/>
                <w:sz w:val="16"/>
              </w:rPr>
              <w:t>Čína</w:t>
            </w:r>
          </w:p>
        </w:tc>
        <w:tc>
          <w:tcPr>
            <w:tcW w:w="1389" w:type="dxa"/>
            <w:vAlign w:val="center"/>
          </w:tcPr>
          <w:p w14:paraId="5084DD5D" w14:textId="77777777" w:rsidR="00EA71AC" w:rsidRPr="00B87994" w:rsidRDefault="00EA71AC" w:rsidP="00326A8C">
            <w:pPr>
              <w:jc w:val="center"/>
              <w:rPr>
                <w:rFonts w:cs="Arial"/>
                <w:sz w:val="16"/>
              </w:rPr>
            </w:pPr>
            <w:r w:rsidRPr="00B87994">
              <w:rPr>
                <w:rFonts w:cs="Arial"/>
                <w:sz w:val="16"/>
              </w:rPr>
              <w:t>Velká Británie</w:t>
            </w:r>
          </w:p>
        </w:tc>
      </w:tr>
    </w:tbl>
    <w:p w14:paraId="21472941" w14:textId="77777777" w:rsidR="00EA71AC" w:rsidRPr="00562224" w:rsidRDefault="00EA71AC" w:rsidP="00EA71AC">
      <w:pPr>
        <w:pStyle w:val="Zdrojapoznmka"/>
      </w:pPr>
      <w:r w:rsidRPr="00562224">
        <w:t>Zdroj: vlastní zpracování dle GII report 2025</w:t>
      </w:r>
    </w:p>
    <w:p w14:paraId="42066BE5" w14:textId="3D8BDD18" w:rsidR="00EA71AC" w:rsidRDefault="00EA71AC" w:rsidP="00EA71AC">
      <w:pPr>
        <w:spacing w:after="120" w:line="360" w:lineRule="auto"/>
        <w:ind w:firstLine="709"/>
        <w:jc w:val="both"/>
        <w:rPr>
          <w:rFonts w:cs="Arial"/>
        </w:rPr>
      </w:pPr>
      <w:r>
        <w:rPr>
          <w:rFonts w:cs="Arial"/>
        </w:rPr>
        <w:t xml:space="preserve">Zatímco v předchozím hodnocení se ČR umístila na 30. pozici (hodnoceno 133 ekonomik), v hodnocení GII 2025 obsadila ČR 32. pozici (hodnoceno 139 ekonomik). V rámci souhrnného ukazatele </w:t>
      </w:r>
      <w:r w:rsidRPr="00476405">
        <w:rPr>
          <w:rFonts w:cs="Arial"/>
        </w:rPr>
        <w:t>Innovation Input Sub-Index</w:t>
      </w:r>
      <w:r>
        <w:rPr>
          <w:rFonts w:cs="Arial"/>
        </w:rPr>
        <w:t xml:space="preserve"> dosahuje ČR na 33. pozici (v předchozím hodnocení 32. pozice). Lepší umístění má ČR v ukazateli </w:t>
      </w:r>
      <w:r w:rsidRPr="00476405">
        <w:rPr>
          <w:rFonts w:cs="Arial"/>
        </w:rPr>
        <w:t>Innovation Output Sub-Index</w:t>
      </w:r>
      <w:r>
        <w:rPr>
          <w:rFonts w:cs="Arial"/>
        </w:rPr>
        <w:t>, kde se umístila na 30. místě, avšak oproti pře</w:t>
      </w:r>
      <w:r w:rsidR="001C5623">
        <w:rPr>
          <w:rFonts w:cs="Arial"/>
        </w:rPr>
        <w:t>d</w:t>
      </w:r>
      <w:r>
        <w:rPr>
          <w:rFonts w:cs="Arial"/>
        </w:rPr>
        <w:t>chozímu hodnocení se jedná o horší umístění o 6 příček. V rámci 54 hodnocených vysoko-příjmových ekonomik je ČR na 31. místě a v hodnocení 39 evropských ekonomik obsadila 20. pozici.</w:t>
      </w:r>
    </w:p>
    <w:p w14:paraId="62907E1D" w14:textId="22EA6576" w:rsidR="00EA71AC" w:rsidRDefault="00EA71AC" w:rsidP="00EA71AC">
      <w:pPr>
        <w:spacing w:after="120" w:line="360" w:lineRule="auto"/>
        <w:ind w:firstLine="709"/>
        <w:jc w:val="both"/>
        <w:rPr>
          <w:rFonts w:cs="Arial"/>
        </w:rPr>
      </w:pPr>
      <w:r>
        <w:rPr>
          <w:rFonts w:cs="Arial"/>
        </w:rPr>
        <w:t xml:space="preserve">Z hodnocených pilířů je ČR nejlépe hodnocena v Znalostních a technologických výstupech (20. místo) a Sofistikovanosti podnikání (29. místo). Naopak nejhoršího umístění ČR dosáhla v pilíři Sofistikovanost trhu (73. pozice) a Kreativní výstupy (43. pozice). Silné a slabé stránky ČR z pohledu jednotlivých ukazatelů jsou shrnuty v tabulce </w:t>
      </w:r>
      <w:r w:rsidR="00395FCE">
        <w:rPr>
          <w:rFonts w:cs="Arial"/>
        </w:rPr>
        <w:t>E.2.7</w:t>
      </w:r>
      <w:r>
        <w:rPr>
          <w:rFonts w:cs="Arial"/>
        </w:rPr>
        <w:t xml:space="preserve">. Za vyzdvižení stojí první místo v ukazateli </w:t>
      </w:r>
      <w:r w:rsidRPr="00760DC4">
        <w:rPr>
          <w:rFonts w:cs="Arial"/>
        </w:rPr>
        <w:t>Vývoz kreativního zboží</w:t>
      </w:r>
      <w:r>
        <w:rPr>
          <w:rFonts w:cs="Arial"/>
        </w:rPr>
        <w:t>, který poměřuje celkovou hodnotu vývozu kreativního zboží k celkovému obchodu (o první místo se ČR dělí s dalšími čtyřmi státy – Čína, Hongkong, Malajsie, Vietnam). Naopak nejhoršího umístění (135) dosáhla ČR u Ochranných známek dle původu.</w:t>
      </w:r>
    </w:p>
    <w:p w14:paraId="5C430D0E" w14:textId="6A5779FC" w:rsidR="00EA71AC" w:rsidRPr="001343E0" w:rsidRDefault="00EA71AC" w:rsidP="00EA71AC">
      <w:pPr>
        <w:pStyle w:val="Obrzek-nadpis"/>
        <w:rPr>
          <w:highlight w:val="yellow"/>
        </w:rPr>
      </w:pPr>
      <w:r w:rsidRPr="004015D2">
        <w:t xml:space="preserve">Tabulka </w:t>
      </w:r>
      <w:r w:rsidR="00395FCE">
        <w:t>E.2.7</w:t>
      </w:r>
      <w:r w:rsidRPr="004015D2">
        <w:t>: Silné a slabé stránky ČR dle GII 202</w:t>
      </w:r>
      <w:r>
        <w:t>5</w:t>
      </w:r>
    </w:p>
    <w:tbl>
      <w:tblPr>
        <w:tblStyle w:val="Mkatabulky"/>
        <w:tblW w:w="5000" w:type="pct"/>
        <w:tblLook w:val="04A0" w:firstRow="1" w:lastRow="0" w:firstColumn="1" w:lastColumn="0" w:noHBand="0" w:noVBand="1"/>
      </w:tblPr>
      <w:tblGrid>
        <w:gridCol w:w="4636"/>
        <w:gridCol w:w="4934"/>
      </w:tblGrid>
      <w:tr w:rsidR="00EA71AC" w:rsidRPr="001343E0" w14:paraId="4B529A12" w14:textId="77777777" w:rsidTr="00326A8C">
        <w:trPr>
          <w:trHeight w:val="283"/>
          <w:tblHeader/>
        </w:trPr>
        <w:tc>
          <w:tcPr>
            <w:tcW w:w="5000" w:type="pct"/>
            <w:gridSpan w:val="2"/>
            <w:shd w:val="clear" w:color="auto" w:fill="B8CCE4" w:themeFill="accent1" w:themeFillTint="66"/>
            <w:vAlign w:val="center"/>
          </w:tcPr>
          <w:p w14:paraId="1358A8DB" w14:textId="77777777" w:rsidR="00EA71AC" w:rsidRPr="001343E0" w:rsidRDefault="00EA71AC" w:rsidP="00326A8C">
            <w:pPr>
              <w:jc w:val="center"/>
              <w:rPr>
                <w:rFonts w:cs="Arial"/>
                <w:b/>
                <w:sz w:val="20"/>
                <w:szCs w:val="20"/>
                <w:highlight w:val="yellow"/>
              </w:rPr>
            </w:pPr>
            <w:bookmarkStart w:id="39" w:name="_Hlk181287466"/>
            <w:proofErr w:type="spellStart"/>
            <w:r w:rsidRPr="004015D2">
              <w:rPr>
                <w:rFonts w:cs="Arial"/>
                <w:b/>
                <w:sz w:val="20"/>
                <w:szCs w:val="20"/>
              </w:rPr>
              <w:t>Global</w:t>
            </w:r>
            <w:proofErr w:type="spellEnd"/>
            <w:r w:rsidRPr="004015D2">
              <w:rPr>
                <w:rFonts w:cs="Arial"/>
                <w:b/>
                <w:sz w:val="20"/>
                <w:szCs w:val="20"/>
              </w:rPr>
              <w:t xml:space="preserve"> Innovation Index 2025*</w:t>
            </w:r>
          </w:p>
        </w:tc>
      </w:tr>
      <w:tr w:rsidR="00EA71AC" w:rsidRPr="001343E0" w14:paraId="3542880F" w14:textId="77777777" w:rsidTr="00326A8C">
        <w:trPr>
          <w:trHeight w:val="283"/>
          <w:tblHeader/>
        </w:trPr>
        <w:tc>
          <w:tcPr>
            <w:tcW w:w="2422" w:type="pct"/>
            <w:vAlign w:val="center"/>
          </w:tcPr>
          <w:p w14:paraId="3AED8D70" w14:textId="77777777" w:rsidR="00EA71AC" w:rsidRPr="004015D2" w:rsidRDefault="00EA71AC" w:rsidP="00326A8C">
            <w:pPr>
              <w:jc w:val="center"/>
              <w:rPr>
                <w:rFonts w:cs="Arial"/>
                <w:b/>
                <w:sz w:val="20"/>
                <w:szCs w:val="20"/>
              </w:rPr>
            </w:pPr>
            <w:r w:rsidRPr="004015D2">
              <w:rPr>
                <w:rFonts w:cs="Arial"/>
                <w:b/>
                <w:sz w:val="20"/>
                <w:szCs w:val="20"/>
              </w:rPr>
              <w:t>silné stránky ČR</w:t>
            </w:r>
          </w:p>
        </w:tc>
        <w:tc>
          <w:tcPr>
            <w:tcW w:w="2578" w:type="pct"/>
            <w:vAlign w:val="center"/>
          </w:tcPr>
          <w:p w14:paraId="4657E6EA" w14:textId="77777777" w:rsidR="00EA71AC" w:rsidRPr="004015D2" w:rsidRDefault="00EA71AC" w:rsidP="00326A8C">
            <w:pPr>
              <w:jc w:val="center"/>
              <w:rPr>
                <w:rFonts w:cs="Arial"/>
                <w:b/>
                <w:sz w:val="20"/>
                <w:szCs w:val="20"/>
              </w:rPr>
            </w:pPr>
            <w:r w:rsidRPr="004015D2">
              <w:rPr>
                <w:rFonts w:cs="Arial"/>
                <w:b/>
                <w:sz w:val="20"/>
                <w:szCs w:val="20"/>
              </w:rPr>
              <w:t>slabé stránky ČR</w:t>
            </w:r>
          </w:p>
        </w:tc>
      </w:tr>
      <w:tr w:rsidR="00EA71AC" w:rsidRPr="001343E0" w14:paraId="3341B900" w14:textId="77777777" w:rsidTr="00326A8C">
        <w:trPr>
          <w:trHeight w:val="283"/>
        </w:trPr>
        <w:tc>
          <w:tcPr>
            <w:tcW w:w="2422" w:type="pct"/>
            <w:vAlign w:val="center"/>
          </w:tcPr>
          <w:p w14:paraId="546A7440" w14:textId="77777777" w:rsidR="00EA71AC" w:rsidRPr="001343E0" w:rsidRDefault="00EA71AC" w:rsidP="00326A8C">
            <w:pPr>
              <w:jc w:val="center"/>
              <w:rPr>
                <w:rFonts w:cs="Arial"/>
                <w:sz w:val="20"/>
                <w:szCs w:val="20"/>
                <w:highlight w:val="yellow"/>
              </w:rPr>
            </w:pPr>
            <w:r w:rsidRPr="003500BC">
              <w:rPr>
                <w:rFonts w:cs="Arial"/>
                <w:sz w:val="20"/>
                <w:szCs w:val="20"/>
              </w:rPr>
              <w:t>Vývoz kreativního zboží (1)</w:t>
            </w:r>
          </w:p>
        </w:tc>
        <w:tc>
          <w:tcPr>
            <w:tcW w:w="2578" w:type="pct"/>
            <w:vAlign w:val="center"/>
          </w:tcPr>
          <w:p w14:paraId="12FA9C0F" w14:textId="77777777" w:rsidR="00EA71AC" w:rsidRPr="001343E0" w:rsidRDefault="00EA71AC" w:rsidP="00326A8C">
            <w:pPr>
              <w:jc w:val="center"/>
              <w:rPr>
                <w:rFonts w:cs="Arial"/>
                <w:sz w:val="20"/>
                <w:szCs w:val="20"/>
                <w:highlight w:val="yellow"/>
              </w:rPr>
            </w:pPr>
            <w:r w:rsidRPr="00AD223E">
              <w:rPr>
                <w:rFonts w:cs="Arial"/>
                <w:sz w:val="20"/>
                <w:szCs w:val="20"/>
              </w:rPr>
              <w:t>Ochranné známky dle původu (135)</w:t>
            </w:r>
          </w:p>
        </w:tc>
      </w:tr>
      <w:tr w:rsidR="00EA71AC" w:rsidRPr="001343E0" w14:paraId="2FB284DE" w14:textId="77777777" w:rsidTr="00326A8C">
        <w:trPr>
          <w:trHeight w:val="283"/>
        </w:trPr>
        <w:tc>
          <w:tcPr>
            <w:tcW w:w="2422" w:type="pct"/>
            <w:vAlign w:val="center"/>
          </w:tcPr>
          <w:p w14:paraId="7B630EC3" w14:textId="77777777" w:rsidR="00EA71AC" w:rsidRPr="003500BC" w:rsidRDefault="00EA71AC" w:rsidP="00326A8C">
            <w:pPr>
              <w:jc w:val="center"/>
              <w:rPr>
                <w:rFonts w:cs="Arial"/>
                <w:sz w:val="20"/>
                <w:szCs w:val="20"/>
              </w:rPr>
            </w:pPr>
            <w:r w:rsidRPr="00A50B19">
              <w:rPr>
                <w:rFonts w:cs="Arial"/>
                <w:sz w:val="20"/>
                <w:szCs w:val="20"/>
              </w:rPr>
              <w:t>Užitné vzory podle původu (6)</w:t>
            </w:r>
          </w:p>
        </w:tc>
        <w:tc>
          <w:tcPr>
            <w:tcW w:w="2578" w:type="pct"/>
            <w:vAlign w:val="center"/>
          </w:tcPr>
          <w:p w14:paraId="223A3FE9" w14:textId="77777777" w:rsidR="00EA71AC" w:rsidRPr="00AD223E" w:rsidRDefault="00EA71AC" w:rsidP="00326A8C">
            <w:pPr>
              <w:jc w:val="center"/>
              <w:rPr>
                <w:rFonts w:cs="Arial"/>
                <w:sz w:val="20"/>
                <w:szCs w:val="20"/>
              </w:rPr>
            </w:pPr>
            <w:r w:rsidRPr="00AD223E">
              <w:rPr>
                <w:rFonts w:cs="Arial"/>
                <w:sz w:val="20"/>
                <w:szCs w:val="20"/>
              </w:rPr>
              <w:t>Demografická dividenda mládeže (115)</w:t>
            </w:r>
          </w:p>
        </w:tc>
      </w:tr>
      <w:tr w:rsidR="00EA71AC" w:rsidRPr="001343E0" w14:paraId="3EFEA36B" w14:textId="77777777" w:rsidTr="00326A8C">
        <w:trPr>
          <w:trHeight w:val="283"/>
        </w:trPr>
        <w:tc>
          <w:tcPr>
            <w:tcW w:w="2422" w:type="pct"/>
            <w:vAlign w:val="center"/>
          </w:tcPr>
          <w:p w14:paraId="6EA00D77" w14:textId="77777777" w:rsidR="00EA71AC" w:rsidRPr="003500BC" w:rsidRDefault="00EA71AC" w:rsidP="00326A8C">
            <w:pPr>
              <w:jc w:val="center"/>
              <w:rPr>
                <w:rFonts w:cs="Arial"/>
                <w:sz w:val="20"/>
                <w:szCs w:val="20"/>
              </w:rPr>
            </w:pPr>
            <w:r w:rsidRPr="00A50B19">
              <w:rPr>
                <w:rFonts w:cs="Arial"/>
                <w:sz w:val="20"/>
                <w:szCs w:val="20"/>
              </w:rPr>
              <w:t>High-tech výroba (</w:t>
            </w:r>
            <w:r>
              <w:rPr>
                <w:rFonts w:cs="Arial"/>
                <w:sz w:val="20"/>
                <w:szCs w:val="20"/>
              </w:rPr>
              <w:t>6</w:t>
            </w:r>
            <w:r w:rsidRPr="00A50B19">
              <w:rPr>
                <w:rFonts w:cs="Arial"/>
                <w:sz w:val="20"/>
                <w:szCs w:val="20"/>
              </w:rPr>
              <w:t>)</w:t>
            </w:r>
          </w:p>
        </w:tc>
        <w:tc>
          <w:tcPr>
            <w:tcW w:w="2578" w:type="pct"/>
            <w:vAlign w:val="center"/>
          </w:tcPr>
          <w:p w14:paraId="0D317FC0" w14:textId="77777777" w:rsidR="00EA71AC" w:rsidRPr="00AD223E" w:rsidRDefault="00EA71AC" w:rsidP="00326A8C">
            <w:pPr>
              <w:jc w:val="center"/>
              <w:rPr>
                <w:rFonts w:cs="Arial"/>
                <w:sz w:val="20"/>
                <w:szCs w:val="20"/>
              </w:rPr>
            </w:pPr>
            <w:r w:rsidRPr="00AD223E">
              <w:rPr>
                <w:rFonts w:cs="Arial"/>
                <w:sz w:val="20"/>
                <w:szCs w:val="20"/>
              </w:rPr>
              <w:t>Růst produktivity práce (91)</w:t>
            </w:r>
          </w:p>
        </w:tc>
      </w:tr>
      <w:tr w:rsidR="00EA71AC" w:rsidRPr="001343E0" w14:paraId="339FAC33" w14:textId="77777777" w:rsidTr="00326A8C">
        <w:trPr>
          <w:trHeight w:val="283"/>
        </w:trPr>
        <w:tc>
          <w:tcPr>
            <w:tcW w:w="2422" w:type="pct"/>
            <w:vAlign w:val="center"/>
          </w:tcPr>
          <w:p w14:paraId="49D02254" w14:textId="77777777" w:rsidR="00EA71AC" w:rsidRPr="003500BC" w:rsidRDefault="00EA71AC" w:rsidP="00326A8C">
            <w:pPr>
              <w:jc w:val="center"/>
              <w:rPr>
                <w:rFonts w:cs="Arial"/>
                <w:sz w:val="20"/>
                <w:szCs w:val="20"/>
              </w:rPr>
            </w:pPr>
            <w:r w:rsidRPr="00A50B19">
              <w:rPr>
                <w:rFonts w:cs="Arial"/>
                <w:sz w:val="20"/>
                <w:szCs w:val="20"/>
              </w:rPr>
              <w:t>Složitost výroby a exportu (6)</w:t>
            </w:r>
          </w:p>
        </w:tc>
        <w:tc>
          <w:tcPr>
            <w:tcW w:w="2578" w:type="pct"/>
            <w:vAlign w:val="center"/>
          </w:tcPr>
          <w:p w14:paraId="50C1BDEA" w14:textId="77777777" w:rsidR="00EA71AC" w:rsidRPr="00AD223E" w:rsidRDefault="00EA71AC" w:rsidP="00326A8C">
            <w:pPr>
              <w:jc w:val="center"/>
              <w:rPr>
                <w:rFonts w:cs="Arial"/>
                <w:sz w:val="20"/>
                <w:szCs w:val="20"/>
              </w:rPr>
            </w:pPr>
            <w:r w:rsidRPr="00AD223E">
              <w:rPr>
                <w:rFonts w:cs="Arial"/>
                <w:sz w:val="20"/>
                <w:szCs w:val="20"/>
              </w:rPr>
              <w:t>Vládní online služby (76)</w:t>
            </w:r>
          </w:p>
        </w:tc>
      </w:tr>
      <w:tr w:rsidR="00EA71AC" w:rsidRPr="001343E0" w14:paraId="3B8978BD" w14:textId="77777777" w:rsidTr="00326A8C">
        <w:trPr>
          <w:trHeight w:val="283"/>
        </w:trPr>
        <w:tc>
          <w:tcPr>
            <w:tcW w:w="2422" w:type="pct"/>
            <w:vAlign w:val="center"/>
          </w:tcPr>
          <w:p w14:paraId="0F9DF37A" w14:textId="77777777" w:rsidR="00EA71AC" w:rsidRPr="003500BC" w:rsidRDefault="00EA71AC" w:rsidP="00326A8C">
            <w:pPr>
              <w:jc w:val="center"/>
              <w:rPr>
                <w:rFonts w:cs="Arial"/>
                <w:sz w:val="20"/>
                <w:szCs w:val="20"/>
              </w:rPr>
            </w:pPr>
            <w:r w:rsidRPr="00A50B19">
              <w:rPr>
                <w:rFonts w:cs="Arial"/>
                <w:sz w:val="20"/>
                <w:szCs w:val="20"/>
              </w:rPr>
              <w:t>High-tech export (6)</w:t>
            </w:r>
          </w:p>
        </w:tc>
        <w:tc>
          <w:tcPr>
            <w:tcW w:w="2578" w:type="pct"/>
            <w:vAlign w:val="center"/>
          </w:tcPr>
          <w:p w14:paraId="399245B8" w14:textId="77777777" w:rsidR="00EA71AC" w:rsidRPr="00AD223E" w:rsidRDefault="00EA71AC" w:rsidP="00326A8C">
            <w:pPr>
              <w:jc w:val="center"/>
              <w:rPr>
                <w:rFonts w:cs="Arial"/>
                <w:sz w:val="20"/>
                <w:szCs w:val="20"/>
              </w:rPr>
            </w:pPr>
            <w:r w:rsidRPr="00AD0EB6">
              <w:rPr>
                <w:rFonts w:cs="Arial"/>
                <w:sz w:val="20"/>
                <w:szCs w:val="20"/>
              </w:rPr>
              <w:t>Tržní kapitalizace (73)</w:t>
            </w:r>
          </w:p>
        </w:tc>
      </w:tr>
      <w:tr w:rsidR="00EA71AC" w:rsidRPr="001343E0" w14:paraId="5B9DBAA2" w14:textId="77777777" w:rsidTr="00326A8C">
        <w:trPr>
          <w:trHeight w:val="283"/>
        </w:trPr>
        <w:tc>
          <w:tcPr>
            <w:tcW w:w="2422" w:type="pct"/>
            <w:vAlign w:val="center"/>
          </w:tcPr>
          <w:p w14:paraId="23E9BCC9" w14:textId="77777777" w:rsidR="00EA71AC" w:rsidRPr="003500BC" w:rsidRDefault="00EA71AC" w:rsidP="00326A8C">
            <w:pPr>
              <w:jc w:val="center"/>
              <w:rPr>
                <w:rFonts w:cs="Arial"/>
                <w:sz w:val="20"/>
                <w:szCs w:val="20"/>
              </w:rPr>
            </w:pPr>
            <w:r w:rsidRPr="00A50B19">
              <w:rPr>
                <w:rFonts w:cs="Arial"/>
                <w:sz w:val="20"/>
                <w:szCs w:val="20"/>
              </w:rPr>
              <w:t>High-tech import (7)</w:t>
            </w:r>
          </w:p>
        </w:tc>
        <w:tc>
          <w:tcPr>
            <w:tcW w:w="2578" w:type="pct"/>
            <w:vAlign w:val="center"/>
          </w:tcPr>
          <w:p w14:paraId="58FC217E" w14:textId="77777777" w:rsidR="00EA71AC" w:rsidRPr="001343E0" w:rsidRDefault="00EA71AC" w:rsidP="00326A8C">
            <w:pPr>
              <w:jc w:val="center"/>
              <w:rPr>
                <w:rFonts w:cs="Arial"/>
                <w:sz w:val="20"/>
                <w:szCs w:val="20"/>
                <w:highlight w:val="yellow"/>
              </w:rPr>
            </w:pPr>
            <w:r w:rsidRPr="00AD0EB6">
              <w:rPr>
                <w:rFonts w:cs="Arial"/>
                <w:sz w:val="20"/>
                <w:szCs w:val="20"/>
              </w:rPr>
              <w:t>Domácí úvěry soukromému sektoru (70)</w:t>
            </w:r>
          </w:p>
        </w:tc>
      </w:tr>
      <w:tr w:rsidR="00EA71AC" w:rsidRPr="001343E0" w14:paraId="36EFF424" w14:textId="77777777" w:rsidTr="00326A8C">
        <w:trPr>
          <w:trHeight w:val="283"/>
        </w:trPr>
        <w:tc>
          <w:tcPr>
            <w:tcW w:w="2422" w:type="pct"/>
            <w:vAlign w:val="center"/>
          </w:tcPr>
          <w:p w14:paraId="4D0DCD37" w14:textId="77777777" w:rsidR="00EA71AC" w:rsidRPr="001343E0" w:rsidRDefault="00EA71AC" w:rsidP="00326A8C">
            <w:pPr>
              <w:jc w:val="center"/>
              <w:rPr>
                <w:rFonts w:cs="Arial"/>
                <w:sz w:val="20"/>
                <w:szCs w:val="20"/>
                <w:highlight w:val="yellow"/>
              </w:rPr>
            </w:pPr>
            <w:r w:rsidRPr="00A50B19">
              <w:rPr>
                <w:rFonts w:cs="Arial"/>
                <w:sz w:val="20"/>
                <w:szCs w:val="20"/>
              </w:rPr>
              <w:t>Certifikáty kvality ISO 9001 (7)</w:t>
            </w:r>
          </w:p>
        </w:tc>
        <w:tc>
          <w:tcPr>
            <w:tcW w:w="2578" w:type="pct"/>
            <w:vAlign w:val="center"/>
          </w:tcPr>
          <w:p w14:paraId="25869431" w14:textId="77777777" w:rsidR="00EA71AC" w:rsidRPr="001343E0" w:rsidRDefault="00EA71AC" w:rsidP="00326A8C">
            <w:pPr>
              <w:jc w:val="center"/>
              <w:rPr>
                <w:rFonts w:cs="Arial"/>
                <w:sz w:val="20"/>
                <w:szCs w:val="20"/>
                <w:highlight w:val="yellow"/>
              </w:rPr>
            </w:pPr>
            <w:r w:rsidRPr="00AD0EB6">
              <w:rPr>
                <w:rFonts w:cs="Arial"/>
                <w:sz w:val="20"/>
                <w:szCs w:val="20"/>
              </w:rPr>
              <w:t>HDP / jednotka spotřeby energie (70)</w:t>
            </w:r>
          </w:p>
        </w:tc>
      </w:tr>
      <w:tr w:rsidR="00EA71AC" w:rsidRPr="001343E0" w14:paraId="44FAE3BF" w14:textId="77777777" w:rsidTr="00326A8C">
        <w:trPr>
          <w:trHeight w:val="283"/>
        </w:trPr>
        <w:tc>
          <w:tcPr>
            <w:tcW w:w="2422" w:type="pct"/>
            <w:vAlign w:val="center"/>
          </w:tcPr>
          <w:p w14:paraId="2E75E8D6" w14:textId="77777777" w:rsidR="00EA71AC" w:rsidRPr="001343E0" w:rsidRDefault="00EA71AC" w:rsidP="00326A8C">
            <w:pPr>
              <w:jc w:val="center"/>
              <w:rPr>
                <w:rFonts w:cs="Arial"/>
                <w:sz w:val="20"/>
                <w:szCs w:val="20"/>
                <w:highlight w:val="yellow"/>
              </w:rPr>
            </w:pPr>
            <w:r w:rsidRPr="00A50B19">
              <w:rPr>
                <w:rFonts w:cs="Arial"/>
                <w:sz w:val="20"/>
                <w:szCs w:val="20"/>
              </w:rPr>
              <w:t>Ekologické certifikáty ISO 14001 (13)</w:t>
            </w:r>
          </w:p>
        </w:tc>
        <w:tc>
          <w:tcPr>
            <w:tcW w:w="2578" w:type="pct"/>
            <w:vAlign w:val="center"/>
          </w:tcPr>
          <w:p w14:paraId="7C7238D3" w14:textId="77777777" w:rsidR="00EA71AC" w:rsidRPr="001343E0" w:rsidRDefault="00EA71AC" w:rsidP="00326A8C">
            <w:pPr>
              <w:jc w:val="center"/>
              <w:rPr>
                <w:rFonts w:cs="Arial"/>
                <w:sz w:val="20"/>
                <w:szCs w:val="20"/>
                <w:highlight w:val="yellow"/>
              </w:rPr>
            </w:pPr>
            <w:r w:rsidRPr="00AD0EB6">
              <w:rPr>
                <w:rFonts w:cs="Arial"/>
                <w:sz w:val="20"/>
                <w:szCs w:val="20"/>
              </w:rPr>
              <w:t>Stabilita pravidel pro podnikání (68)</w:t>
            </w:r>
          </w:p>
        </w:tc>
      </w:tr>
      <w:tr w:rsidR="00EA71AC" w:rsidRPr="001343E0" w14:paraId="316C422C" w14:textId="77777777" w:rsidTr="00326A8C">
        <w:trPr>
          <w:trHeight w:val="283"/>
        </w:trPr>
        <w:tc>
          <w:tcPr>
            <w:tcW w:w="2422" w:type="pct"/>
            <w:vAlign w:val="center"/>
          </w:tcPr>
          <w:p w14:paraId="68000235" w14:textId="77777777" w:rsidR="00EA71AC" w:rsidRPr="001343E0" w:rsidRDefault="00EA71AC" w:rsidP="00326A8C">
            <w:pPr>
              <w:jc w:val="center"/>
              <w:rPr>
                <w:rFonts w:cs="Arial"/>
                <w:sz w:val="20"/>
                <w:szCs w:val="20"/>
                <w:highlight w:val="yellow"/>
              </w:rPr>
            </w:pPr>
            <w:r w:rsidRPr="00A50B19">
              <w:rPr>
                <w:rFonts w:cs="Arial"/>
                <w:sz w:val="20"/>
                <w:szCs w:val="20"/>
              </w:rPr>
              <w:t>Terciární incoming mobilita (13)</w:t>
            </w:r>
          </w:p>
        </w:tc>
        <w:tc>
          <w:tcPr>
            <w:tcW w:w="2578" w:type="pct"/>
            <w:vAlign w:val="center"/>
          </w:tcPr>
          <w:p w14:paraId="636193B4" w14:textId="77777777" w:rsidR="00EA71AC" w:rsidRPr="001343E0" w:rsidRDefault="00EA71AC" w:rsidP="00326A8C">
            <w:pPr>
              <w:jc w:val="center"/>
              <w:rPr>
                <w:rFonts w:cs="Arial"/>
                <w:sz w:val="20"/>
                <w:szCs w:val="20"/>
                <w:highlight w:val="yellow"/>
              </w:rPr>
            </w:pPr>
            <w:r w:rsidRPr="00AD0EB6">
              <w:rPr>
                <w:rFonts w:cs="Arial"/>
                <w:sz w:val="20"/>
                <w:szCs w:val="20"/>
              </w:rPr>
              <w:t>Čistý příliv přímých zahraničních investic (54)</w:t>
            </w:r>
          </w:p>
        </w:tc>
      </w:tr>
      <w:tr w:rsidR="00EA71AC" w:rsidRPr="001343E0" w14:paraId="7B02AC3E" w14:textId="77777777" w:rsidTr="00326A8C">
        <w:trPr>
          <w:trHeight w:val="283"/>
        </w:trPr>
        <w:tc>
          <w:tcPr>
            <w:tcW w:w="2422" w:type="pct"/>
            <w:vAlign w:val="center"/>
          </w:tcPr>
          <w:p w14:paraId="21336D66" w14:textId="77777777" w:rsidR="00EA71AC" w:rsidRPr="001343E0" w:rsidRDefault="00EA71AC" w:rsidP="00326A8C">
            <w:pPr>
              <w:jc w:val="center"/>
              <w:rPr>
                <w:rFonts w:cs="Arial"/>
                <w:sz w:val="20"/>
                <w:szCs w:val="20"/>
                <w:highlight w:val="yellow"/>
              </w:rPr>
            </w:pPr>
            <w:r w:rsidRPr="00A50B19">
              <w:rPr>
                <w:rFonts w:cs="Arial"/>
                <w:sz w:val="20"/>
                <w:szCs w:val="20"/>
              </w:rPr>
              <w:t>Veřejné financování středních škol (13)</w:t>
            </w:r>
          </w:p>
        </w:tc>
        <w:tc>
          <w:tcPr>
            <w:tcW w:w="2578" w:type="pct"/>
            <w:vAlign w:val="center"/>
          </w:tcPr>
          <w:p w14:paraId="4CF8AC9C" w14:textId="77777777" w:rsidR="00EA71AC" w:rsidRPr="001343E0" w:rsidRDefault="00EA71AC" w:rsidP="00326A8C">
            <w:pPr>
              <w:jc w:val="center"/>
              <w:rPr>
                <w:rFonts w:cs="Arial"/>
                <w:sz w:val="20"/>
                <w:szCs w:val="20"/>
                <w:highlight w:val="yellow"/>
              </w:rPr>
            </w:pPr>
            <w:r w:rsidRPr="00AD0EB6">
              <w:rPr>
                <w:rFonts w:cs="Arial"/>
                <w:sz w:val="20"/>
                <w:szCs w:val="20"/>
              </w:rPr>
              <w:t>Zaměstnané ženy s vyšším vzděláním (53)</w:t>
            </w:r>
          </w:p>
        </w:tc>
      </w:tr>
    </w:tbl>
    <w:bookmarkEnd w:id="39"/>
    <w:p w14:paraId="3096C2FB" w14:textId="77777777" w:rsidR="00EA71AC" w:rsidRPr="004015D2" w:rsidRDefault="00EA71AC" w:rsidP="00EA71AC">
      <w:pPr>
        <w:pStyle w:val="Zdrojapoznmka"/>
        <w:spacing w:before="0" w:after="0"/>
        <w:contextualSpacing w:val="0"/>
      </w:pPr>
      <w:r w:rsidRPr="004015D2">
        <w:t xml:space="preserve">Zdroj: vlastní zpracování dle GII report 2025 </w:t>
      </w:r>
    </w:p>
    <w:p w14:paraId="22C2E5C9" w14:textId="77777777" w:rsidR="00EA71AC" w:rsidRPr="004015D2" w:rsidRDefault="00EA71AC" w:rsidP="00EA71AC">
      <w:pPr>
        <w:pStyle w:val="Zdrojapoznmka"/>
        <w:spacing w:before="0"/>
        <w:contextualSpacing w:val="0"/>
      </w:pPr>
      <w:r w:rsidRPr="004015D2">
        <w:t xml:space="preserve">Pozn.: </w:t>
      </w:r>
      <w:r w:rsidRPr="004015D2">
        <w:rPr>
          <w:rFonts w:cs="Arial"/>
          <w:b/>
          <w:sz w:val="20"/>
          <w:szCs w:val="20"/>
        </w:rPr>
        <w:t xml:space="preserve">* </w:t>
      </w:r>
      <w:r w:rsidRPr="004015D2">
        <w:t>v závorce je uvedena pozice ČR v rámci hodnocení GII 2025 (celkem 139 zemí)</w:t>
      </w:r>
    </w:p>
    <w:p w14:paraId="6079D8D2" w14:textId="77777777" w:rsidR="00DE3A4B" w:rsidRPr="00B76DCE" w:rsidRDefault="00DE3A4B" w:rsidP="00DE3A4B">
      <w:pPr>
        <w:keepNext/>
        <w:spacing w:before="120" w:after="120" w:line="360" w:lineRule="auto"/>
        <w:rPr>
          <w:rFonts w:eastAsia="Times New Roman" w:cs="Arial"/>
          <w:b/>
          <w:smallCaps/>
          <w:sz w:val="26"/>
          <w:szCs w:val="26"/>
          <w:lang w:eastAsia="cs-CZ"/>
        </w:rPr>
      </w:pPr>
      <w:r w:rsidRPr="00B76DCE">
        <w:rPr>
          <w:rFonts w:eastAsia="Times New Roman" w:cs="Arial"/>
          <w:b/>
          <w:smallCaps/>
          <w:sz w:val="26"/>
          <w:szCs w:val="26"/>
          <w:lang w:eastAsia="cs-CZ"/>
        </w:rPr>
        <w:lastRenderedPageBreak/>
        <w:t>INNOVATION OUTPUT INDICATOR (IOI)</w:t>
      </w:r>
      <w:r>
        <w:rPr>
          <w:rStyle w:val="Znakapoznpodarou"/>
          <w:rFonts w:eastAsia="Times New Roman" w:cs="Arial"/>
          <w:b/>
          <w:smallCaps/>
          <w:sz w:val="26"/>
          <w:szCs w:val="26"/>
          <w:lang w:eastAsia="cs-CZ"/>
        </w:rPr>
        <w:footnoteReference w:id="14"/>
      </w:r>
    </w:p>
    <w:p w14:paraId="5EB9E511" w14:textId="7D8EB7BD" w:rsidR="00EA71AC" w:rsidRDefault="00EA71AC" w:rsidP="00EA71AC">
      <w:pPr>
        <w:spacing w:after="120" w:line="360" w:lineRule="auto"/>
        <w:ind w:firstLine="709"/>
        <w:jc w:val="both"/>
        <w:rPr>
          <w:rFonts w:cs="Arial"/>
        </w:rPr>
      </w:pPr>
      <w:r w:rsidRPr="000309B9">
        <w:rPr>
          <w:rFonts w:cs="Arial"/>
        </w:rPr>
        <w:t xml:space="preserve">Ukazatel inovačních výsledků, tzv. Innovation Output </w:t>
      </w:r>
      <w:proofErr w:type="spellStart"/>
      <w:r w:rsidRPr="000309B9">
        <w:rPr>
          <w:rFonts w:cs="Arial"/>
        </w:rPr>
        <w:t>Indicator</w:t>
      </w:r>
      <w:proofErr w:type="spellEnd"/>
      <w:r w:rsidRPr="000309B9">
        <w:rPr>
          <w:rFonts w:cs="Arial"/>
        </w:rPr>
        <w:t xml:space="preserve"> (IOI) </w:t>
      </w:r>
      <w:r>
        <w:rPr>
          <w:rFonts w:cs="Arial"/>
        </w:rPr>
        <w:t>měří schopnost jednotlivých zemí dosahovat ekonomických výhod z inovací a to tím, že měří rozsah, v jakém se</w:t>
      </w:r>
      <w:r w:rsidR="00E23936">
        <w:rPr>
          <w:rFonts w:cs="Arial"/>
        </w:rPr>
        <w:t> </w:t>
      </w:r>
      <w:r>
        <w:rPr>
          <w:rFonts w:cs="Arial"/>
        </w:rPr>
        <w:t xml:space="preserve">inovativní nápady dostávají na trh, vytvářejí pracovní místa náročná na znalosti a zvyšují technologické kapacity (tzn. ukazatel se zaměřuje výhradně na inovační výstupy a monitoruje pouze omezený soubor dimenzí). Evropská komise využívá tento ukazatel k posouzení pokroku v plnění základních cílů evropských rámcových programů </w:t>
      </w:r>
      <w:proofErr w:type="spellStart"/>
      <w:r>
        <w:rPr>
          <w:rFonts w:cs="Arial"/>
        </w:rPr>
        <w:t>VaV</w:t>
      </w:r>
      <w:proofErr w:type="spellEnd"/>
      <w:r>
        <w:rPr>
          <w:rFonts w:cs="Arial"/>
        </w:rPr>
        <w:t>. Naopak tvůrci politik jednotlivých zemí tento ukazatel využívají při zavádění nových nebo posílených opatření k odstranění překážek, které brání inovátorům v přeměně nápadů na produkty a služby, které mohou být na trzích úspěšné.</w:t>
      </w:r>
    </w:p>
    <w:p w14:paraId="1C95B823" w14:textId="577B843A" w:rsidR="00EA71AC" w:rsidRDefault="00EA71AC" w:rsidP="00EA71AC">
      <w:pPr>
        <w:spacing w:after="120" w:line="360" w:lineRule="auto"/>
        <w:ind w:firstLine="709"/>
        <w:jc w:val="both"/>
        <w:rPr>
          <w:rFonts w:cs="Arial"/>
        </w:rPr>
      </w:pPr>
      <w:r>
        <w:rPr>
          <w:rFonts w:cs="Arial"/>
        </w:rPr>
        <w:t>Nejlepších výsledků dle IOI 2024 dosahuje v rámci EU 27 Švédsko, následuje Irsko, Německo a Finsko, na opačné straně žebříčku je Rumunsko, Lotyšsko, Bulharsko a Slovensko. ČR se ve skupině EU 27 umístila na 16. pozici, průměr EU 27 je na pomyslné 10. pozici. U celkem 11 států z EU 27 rostlo skóre IOI 2024 rychleji než průměr EU 27. Trendy ve srovnání let 2013 a 2023 ukazují, že u většiny (23) členských států EU se výkonnost v oblasti inovačních výstupů zlepšila (především Litva, Estonsko, Švédsko, Kypr, Chorvatsko), naopak k poklesu došlo u Lucemburska, Rumunska, Německa a Španělska.</w:t>
      </w:r>
    </w:p>
    <w:p w14:paraId="36C5E3F8" w14:textId="77777777" w:rsidR="00EA71AC" w:rsidRDefault="00EA71AC" w:rsidP="00EA71AC">
      <w:pPr>
        <w:spacing w:after="120" w:line="360" w:lineRule="auto"/>
        <w:ind w:firstLine="709"/>
        <w:jc w:val="both"/>
        <w:rPr>
          <w:rFonts w:cs="Arial"/>
        </w:rPr>
      </w:pPr>
      <w:r>
        <w:rPr>
          <w:rFonts w:cs="Arial"/>
        </w:rPr>
        <w:t>Ve srovnání let 2013 a 2023 vzrostla v ČR nejvíce hodnota u skupiny Patenty, naopak pokles je zaznamenán ve skupinách Ochranné známky a obecně Duševní vlastnictví.</w:t>
      </w:r>
    </w:p>
    <w:p w14:paraId="60C75EFC" w14:textId="04F29406" w:rsidR="00EA71AC" w:rsidRPr="000309B9" w:rsidRDefault="00EA71AC" w:rsidP="00EA71AC">
      <w:pPr>
        <w:spacing w:after="120" w:line="360" w:lineRule="auto"/>
        <w:ind w:firstLine="709"/>
        <w:jc w:val="both"/>
        <w:rPr>
          <w:rFonts w:cs="Arial"/>
        </w:rPr>
      </w:pPr>
      <w:r>
        <w:rPr>
          <w:rFonts w:cs="Arial"/>
        </w:rPr>
        <w:t>Ukazatel IOI je nově vypočítáván také na regionální úrovni jednotlivých států. U zemí jižní a východní Evropy můžeme hovořit o tzv. centralizaci regionální inovační výkonnosti do regionu hlavního města. Například Praha je na 4. místě (z 241 hodnocených regionů), zatímco Střední Čechy jsou na 95. pozici.</w:t>
      </w:r>
    </w:p>
    <w:p w14:paraId="4EEF3C4F" w14:textId="068D0539" w:rsidR="00EA71AC" w:rsidRPr="00196CA6" w:rsidRDefault="00EA71AC" w:rsidP="00EA71AC">
      <w:pPr>
        <w:pStyle w:val="Obrzek-nadpis"/>
        <w:spacing w:before="0" w:after="0"/>
      </w:pPr>
      <w:r>
        <w:lastRenderedPageBreak/>
        <w:t xml:space="preserve">Obrázek </w:t>
      </w:r>
      <w:r w:rsidR="00395FCE">
        <w:t>E.2.8</w:t>
      </w:r>
      <w:r>
        <w:t xml:space="preserve">: </w:t>
      </w:r>
      <w:r w:rsidRPr="00196CA6">
        <w:t xml:space="preserve">Výkonnost ČR </w:t>
      </w:r>
      <w:r>
        <w:t>a dalších vybraných zemí dle IOI 2024</w:t>
      </w:r>
    </w:p>
    <w:p w14:paraId="4AE97EA3" w14:textId="77777777" w:rsidR="00EA71AC" w:rsidRDefault="00EA71AC" w:rsidP="00EA71AC">
      <w:pPr>
        <w:spacing w:after="120" w:line="360" w:lineRule="auto"/>
        <w:jc w:val="both"/>
        <w:rPr>
          <w:rFonts w:cs="Arial"/>
          <w:highlight w:val="yellow"/>
        </w:rPr>
      </w:pPr>
      <w:r w:rsidRPr="00EA63A7">
        <w:rPr>
          <w:noProof/>
        </w:rPr>
        <w:drawing>
          <wp:inline distT="0" distB="0" distL="0" distR="0" wp14:anchorId="301F400D" wp14:editId="39E8EF91">
            <wp:extent cx="5760720" cy="6242685"/>
            <wp:effectExtent l="0" t="0" r="0" b="0"/>
            <wp:docPr id="182077950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760720" cy="6242685"/>
                    </a:xfrm>
                    <a:prstGeom prst="rect">
                      <a:avLst/>
                    </a:prstGeom>
                    <a:noFill/>
                    <a:ln>
                      <a:noFill/>
                    </a:ln>
                  </pic:spPr>
                </pic:pic>
              </a:graphicData>
            </a:graphic>
          </wp:inline>
        </w:drawing>
      </w:r>
    </w:p>
    <w:p w14:paraId="7AAC082E" w14:textId="77777777" w:rsidR="00EA71AC" w:rsidRPr="00EA63A7" w:rsidRDefault="00EA71AC" w:rsidP="00EA71AC">
      <w:pPr>
        <w:pStyle w:val="Zdrojapoznmka"/>
        <w:spacing w:before="0" w:after="0"/>
        <w:contextualSpacing w:val="0"/>
      </w:pPr>
      <w:r w:rsidRPr="00EA63A7">
        <w:t xml:space="preserve">Zdroj: vlastní zpracování dle </w:t>
      </w:r>
      <w:proofErr w:type="spellStart"/>
      <w:r>
        <w:t>T</w:t>
      </w:r>
      <w:r w:rsidRPr="00EA63A7">
        <w:t>racking</w:t>
      </w:r>
      <w:proofErr w:type="spellEnd"/>
      <w:r w:rsidRPr="00EA63A7">
        <w:t xml:space="preserve"> country Innovation Performance: </w:t>
      </w:r>
      <w:proofErr w:type="spellStart"/>
      <w:r w:rsidRPr="00EA63A7">
        <w:t>The</w:t>
      </w:r>
      <w:proofErr w:type="spellEnd"/>
      <w:r w:rsidRPr="00EA63A7">
        <w:t xml:space="preserve"> Innovation Output </w:t>
      </w:r>
      <w:proofErr w:type="spellStart"/>
      <w:r w:rsidRPr="00EA63A7">
        <w:t>Indicator</w:t>
      </w:r>
      <w:proofErr w:type="spellEnd"/>
      <w:r w:rsidRPr="00EA63A7">
        <w:t xml:space="preserve"> 2024</w:t>
      </w:r>
    </w:p>
    <w:p w14:paraId="34C2CC2A" w14:textId="77777777" w:rsidR="00EA71AC" w:rsidRDefault="00EA71AC" w:rsidP="00EA71AC"/>
    <w:p w14:paraId="7779FBB1" w14:textId="157EC776" w:rsidR="00B21E09" w:rsidRDefault="00B21E09" w:rsidP="008C1F5C">
      <w:pPr>
        <w:spacing w:after="120" w:line="360" w:lineRule="auto"/>
        <w:ind w:firstLine="709"/>
        <w:jc w:val="both"/>
        <w:rPr>
          <w:rFonts w:eastAsia="Times New Roman" w:cs="Arial"/>
          <w:lang w:eastAsia="cs-CZ"/>
        </w:rPr>
      </w:pPr>
    </w:p>
    <w:p w14:paraId="3BB6B80F" w14:textId="77777777" w:rsidR="00B21E09" w:rsidRDefault="00B21E09">
      <w:pPr>
        <w:rPr>
          <w:rFonts w:eastAsia="Times New Roman" w:cs="Arial"/>
          <w:lang w:eastAsia="cs-CZ"/>
        </w:rPr>
      </w:pPr>
      <w:r>
        <w:rPr>
          <w:rFonts w:eastAsia="Times New Roman" w:cs="Arial"/>
          <w:lang w:eastAsia="cs-CZ"/>
        </w:rPr>
        <w:br w:type="page"/>
      </w:r>
    </w:p>
    <w:p w14:paraId="5DE378C5" w14:textId="269B14F8" w:rsidR="00B37B27" w:rsidRPr="0019303E" w:rsidRDefault="008E7508" w:rsidP="00966F51">
      <w:pPr>
        <w:pStyle w:val="Nadpis2"/>
        <w:ind w:left="578" w:hanging="578"/>
        <w:rPr>
          <w:rFonts w:eastAsia="Times New Roman"/>
        </w:rPr>
      </w:pPr>
      <w:bookmarkStart w:id="40" w:name="_Toc215589313"/>
      <w:bookmarkEnd w:id="38"/>
      <w:r w:rsidRPr="008E7508">
        <w:rPr>
          <w:rFonts w:eastAsia="Times New Roman"/>
        </w:rPr>
        <w:lastRenderedPageBreak/>
        <w:t>Spolupráce: Kolaborativní a smluvní výzkum</w:t>
      </w:r>
      <w:bookmarkEnd w:id="40"/>
    </w:p>
    <w:p w14:paraId="3A7A42F8" w14:textId="1346E211" w:rsidR="007A09EA" w:rsidRPr="00EA71AC" w:rsidRDefault="00EA71AC" w:rsidP="00EA71AC">
      <w:pPr>
        <w:spacing w:after="120" w:line="360" w:lineRule="auto"/>
        <w:rPr>
          <w:rFonts w:cs="Arial"/>
          <w:b/>
          <w:sz w:val="24"/>
          <w:szCs w:val="24"/>
        </w:rPr>
      </w:pPr>
      <w:r w:rsidRPr="00EA71AC">
        <w:rPr>
          <w:rFonts w:eastAsia="Times New Roman" w:cs="Arial"/>
          <w:highlight w:val="yellow"/>
          <w:lang w:eastAsia="cs-CZ"/>
        </w:rPr>
        <w:t>Bude dopracováno.</w:t>
      </w:r>
    </w:p>
    <w:p w14:paraId="3B659E57" w14:textId="77777777" w:rsidR="00EA71AC" w:rsidRDefault="00EA71AC" w:rsidP="00350BDC">
      <w:pPr>
        <w:pStyle w:val="Obrzek-nadpis"/>
        <w:spacing w:before="0" w:after="0"/>
      </w:pPr>
    </w:p>
    <w:p w14:paraId="10A770CA" w14:textId="44A9A5DB" w:rsidR="008E7508" w:rsidRDefault="008E7508" w:rsidP="00F032BC">
      <w:pPr>
        <w:pStyle w:val="Nadpis2"/>
        <w:pageBreakBefore/>
        <w:ind w:left="578" w:hanging="578"/>
        <w:rPr>
          <w:rFonts w:eastAsia="Times New Roman"/>
        </w:rPr>
      </w:pPr>
      <w:bookmarkStart w:id="41" w:name="_Toc215589314"/>
      <w:r w:rsidRPr="008E7508">
        <w:rPr>
          <w:rFonts w:eastAsia="Times New Roman"/>
        </w:rPr>
        <w:lastRenderedPageBreak/>
        <w:t>Transfer technologií a znalostí</w:t>
      </w:r>
      <w:bookmarkEnd w:id="41"/>
    </w:p>
    <w:p w14:paraId="429A6E4A" w14:textId="293C3882" w:rsidR="00CB1B89" w:rsidRDefault="00C008C8" w:rsidP="00C008C8">
      <w:pPr>
        <w:spacing w:after="240" w:line="360" w:lineRule="auto"/>
        <w:jc w:val="both"/>
      </w:pPr>
      <w:r w:rsidRPr="00C008C8">
        <w:rPr>
          <w:highlight w:val="yellow"/>
        </w:rPr>
        <w:t>Bude dopracováno.</w:t>
      </w:r>
    </w:p>
    <w:p w14:paraId="5D6CD2F5" w14:textId="764E672E" w:rsidR="006338C7" w:rsidRDefault="008E7508" w:rsidP="002739B9">
      <w:pPr>
        <w:pStyle w:val="Nadpis1"/>
        <w:pageBreakBefore/>
      </w:pPr>
      <w:bookmarkStart w:id="42" w:name="_Hlk189219267"/>
      <w:bookmarkStart w:id="43" w:name="_Toc215589315"/>
      <w:r>
        <w:lastRenderedPageBreak/>
        <w:t>Mezinárodní spolupráce</w:t>
      </w:r>
      <w:bookmarkEnd w:id="43"/>
    </w:p>
    <w:p w14:paraId="1036CBB5" w14:textId="16E50925" w:rsidR="00504068" w:rsidRPr="00987A35" w:rsidRDefault="00504068" w:rsidP="0023301A">
      <w:pPr>
        <w:spacing w:before="360" w:after="120"/>
        <w:ind w:firstLine="1559"/>
        <w:jc w:val="both"/>
        <w:rPr>
          <w:rFonts w:cs="Arial"/>
          <w:b/>
          <w:bCs/>
        </w:rPr>
      </w:pPr>
      <w:r w:rsidRPr="00987A35">
        <w:rPr>
          <w:rFonts w:cs="Arial"/>
          <w:b/>
          <w:bCs/>
        </w:rPr>
        <w:t>MEZINÁRODNÍ SPOLUPRÁCE</w:t>
      </w:r>
    </w:p>
    <w:p w14:paraId="21319814" w14:textId="6B9C893C" w:rsidR="00504068" w:rsidRPr="00987A35" w:rsidRDefault="001C6AC9" w:rsidP="00235652">
      <w:pPr>
        <w:pStyle w:val="Odstavecseseznamem"/>
        <w:numPr>
          <w:ilvl w:val="3"/>
          <w:numId w:val="19"/>
        </w:numPr>
        <w:spacing w:after="60" w:line="240" w:lineRule="auto"/>
        <w:ind w:left="2268"/>
        <w:contextualSpacing w:val="0"/>
        <w:jc w:val="both"/>
        <w:rPr>
          <w:rFonts w:cs="Arial"/>
        </w:rPr>
      </w:pPr>
      <w:r w:rsidRPr="00426979">
        <w:rPr>
          <w:rFonts w:cs="Arial"/>
          <w:b/>
          <w:bCs/>
          <w:noProof/>
          <w:color w:val="1F2046"/>
        </w:rPr>
        <w:drawing>
          <wp:anchor distT="0" distB="0" distL="114300" distR="114300" simplePos="0" relativeHeight="251658752" behindDoc="0" locked="0" layoutInCell="1" allowOverlap="1" wp14:anchorId="36F2B7F0" wp14:editId="37F32E10">
            <wp:simplePos x="0" y="0"/>
            <wp:positionH relativeFrom="margin">
              <wp:posOffset>180975</wp:posOffset>
            </wp:positionH>
            <wp:positionV relativeFrom="margin">
              <wp:posOffset>803275</wp:posOffset>
            </wp:positionV>
            <wp:extent cx="685800" cy="685800"/>
            <wp:effectExtent l="0" t="0" r="0" b="0"/>
            <wp:wrapNone/>
            <wp:docPr id="1867394572" name="Grafický objekt 6" descr="Glóbus: Afrika a Evropa se souvislou výpln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3145257" name="Grafický objekt 993145257" descr="Glóbus: Afrika a Evropa se souvislou výplní"/>
                    <pic:cNvPicPr/>
                  </pic:nvPicPr>
                  <pic:blipFill>
                    <a:blip r:embed="rId33">
                      <a:extLst>
                        <a:ext uri="{96DAC541-7B7A-43D3-8B79-37D633B846F1}">
                          <asvg:svgBlip xmlns:asvg="http://schemas.microsoft.com/office/drawing/2016/SVG/main" r:embed="rId34"/>
                        </a:ext>
                      </a:extLst>
                    </a:blip>
                    <a:stretch>
                      <a:fillRect/>
                    </a:stretch>
                  </pic:blipFill>
                  <pic:spPr>
                    <a:xfrm>
                      <a:off x="0" y="0"/>
                      <a:ext cx="685800" cy="685800"/>
                    </a:xfrm>
                    <a:prstGeom prst="rect">
                      <a:avLst/>
                    </a:prstGeom>
                  </pic:spPr>
                </pic:pic>
              </a:graphicData>
            </a:graphic>
            <wp14:sizeRelH relativeFrom="margin">
              <wp14:pctWidth>0</wp14:pctWidth>
            </wp14:sizeRelH>
            <wp14:sizeRelV relativeFrom="margin">
              <wp14:pctHeight>0</wp14:pctHeight>
            </wp14:sizeRelV>
          </wp:anchor>
        </w:drawing>
      </w:r>
      <w:r w:rsidR="00796B45" w:rsidRPr="00796B45">
        <w:rPr>
          <w:rFonts w:cs="Arial"/>
        </w:rPr>
        <w:t xml:space="preserve">Účast v rámcových programech </w:t>
      </w:r>
    </w:p>
    <w:p w14:paraId="06A3E906" w14:textId="77777777" w:rsidR="00504068" w:rsidRPr="00987A35" w:rsidRDefault="00504068" w:rsidP="00235652">
      <w:pPr>
        <w:pStyle w:val="Odstavecseseznamem"/>
        <w:numPr>
          <w:ilvl w:val="3"/>
          <w:numId w:val="19"/>
        </w:numPr>
        <w:spacing w:after="60" w:line="240" w:lineRule="auto"/>
        <w:ind w:left="2268"/>
        <w:contextualSpacing w:val="0"/>
        <w:jc w:val="both"/>
        <w:rPr>
          <w:rFonts w:cs="Arial"/>
        </w:rPr>
      </w:pPr>
      <w:r w:rsidRPr="00987A35">
        <w:rPr>
          <w:rFonts w:cs="Arial"/>
        </w:rPr>
        <w:t xml:space="preserve">Mezinárodní mobility </w:t>
      </w:r>
    </w:p>
    <w:p w14:paraId="592F2FAB" w14:textId="77777777" w:rsidR="00504068" w:rsidRPr="00987A35" w:rsidRDefault="00504068" w:rsidP="00235652">
      <w:pPr>
        <w:pStyle w:val="Odstavecseseznamem"/>
        <w:numPr>
          <w:ilvl w:val="3"/>
          <w:numId w:val="19"/>
        </w:numPr>
        <w:spacing w:after="60" w:line="240" w:lineRule="auto"/>
        <w:ind w:left="2268"/>
        <w:contextualSpacing w:val="0"/>
        <w:jc w:val="both"/>
        <w:rPr>
          <w:rFonts w:cs="Arial"/>
        </w:rPr>
      </w:pPr>
      <w:r w:rsidRPr="00987A35">
        <w:rPr>
          <w:rFonts w:cs="Arial"/>
        </w:rPr>
        <w:t>Účast v mezinárodních organizacích a konsorciích ERIC</w:t>
      </w:r>
    </w:p>
    <w:p w14:paraId="02449E93" w14:textId="227BC76E" w:rsidR="00504068" w:rsidRPr="00D40270" w:rsidRDefault="00B00862" w:rsidP="00235652">
      <w:pPr>
        <w:pStyle w:val="Odstavecseseznamem"/>
        <w:numPr>
          <w:ilvl w:val="3"/>
          <w:numId w:val="19"/>
        </w:numPr>
        <w:spacing w:after="60" w:line="240" w:lineRule="auto"/>
        <w:ind w:left="2268"/>
        <w:contextualSpacing w:val="0"/>
        <w:jc w:val="both"/>
        <w:rPr>
          <w:rFonts w:cs="Arial"/>
        </w:rPr>
      </w:pPr>
      <w:r>
        <w:rPr>
          <w:rFonts w:cs="Arial"/>
        </w:rPr>
        <w:t>Vybrané programy pro rozvoj mezinárodní spolupráce</w:t>
      </w:r>
    </w:p>
    <w:p w14:paraId="5FD29DF0" w14:textId="292728F9" w:rsidR="0046047C" w:rsidRDefault="00AB0BFD" w:rsidP="00710D4A">
      <w:pPr>
        <w:spacing w:before="360" w:after="120" w:line="360" w:lineRule="auto"/>
        <w:ind w:firstLine="709"/>
        <w:jc w:val="both"/>
        <w:rPr>
          <w:rFonts w:eastAsia="Times New Roman" w:cs="Arial"/>
          <w:bCs/>
          <w:lang w:eastAsia="cs-CZ"/>
        </w:rPr>
      </w:pPr>
      <w:r w:rsidRPr="00C15F2F">
        <w:rPr>
          <w:rFonts w:eastAsia="Times New Roman" w:cs="Arial"/>
          <w:bCs/>
          <w:lang w:eastAsia="cs-CZ"/>
        </w:rPr>
        <w:t xml:space="preserve">Ústředním orgánem zodpovědným za mezinárodní spolupráci ve </w:t>
      </w:r>
      <w:proofErr w:type="spellStart"/>
      <w:r w:rsidRPr="00C15F2F">
        <w:rPr>
          <w:rFonts w:eastAsia="Times New Roman" w:cs="Arial"/>
          <w:bCs/>
          <w:lang w:eastAsia="cs-CZ"/>
        </w:rPr>
        <w:t>VaVaI</w:t>
      </w:r>
      <w:proofErr w:type="spellEnd"/>
      <w:r w:rsidRPr="00C15F2F">
        <w:rPr>
          <w:rFonts w:eastAsia="Times New Roman" w:cs="Arial"/>
          <w:bCs/>
          <w:lang w:eastAsia="cs-CZ"/>
        </w:rPr>
        <w:t xml:space="preserve"> je dle zákona</w:t>
      </w:r>
      <w:r w:rsidR="00442E16">
        <w:rPr>
          <w:rFonts w:eastAsia="Times New Roman" w:cs="Arial"/>
          <w:bCs/>
          <w:lang w:eastAsia="cs-CZ"/>
        </w:rPr>
        <w:t xml:space="preserve"> č. 2/1969 </w:t>
      </w:r>
      <w:r w:rsidR="00B514B7">
        <w:rPr>
          <w:rFonts w:eastAsia="Times New Roman" w:cs="Arial"/>
          <w:bCs/>
          <w:lang w:eastAsia="cs-CZ"/>
        </w:rPr>
        <w:t>Sb.</w:t>
      </w:r>
      <w:r w:rsidR="00442E16">
        <w:rPr>
          <w:rFonts w:eastAsia="Times New Roman" w:cs="Arial"/>
          <w:bCs/>
          <w:lang w:eastAsia="cs-CZ"/>
        </w:rPr>
        <w:t xml:space="preserve"> a dle zákona</w:t>
      </w:r>
      <w:r w:rsidRPr="00C15F2F">
        <w:rPr>
          <w:rFonts w:eastAsia="Times New Roman" w:cs="Arial"/>
          <w:bCs/>
          <w:lang w:eastAsia="cs-CZ"/>
        </w:rPr>
        <w:t xml:space="preserve"> č. 130/2002 Sb.</w:t>
      </w:r>
      <w:r w:rsidR="00442E16">
        <w:rPr>
          <w:rFonts w:eastAsia="Times New Roman" w:cs="Arial"/>
          <w:bCs/>
          <w:lang w:eastAsia="cs-CZ"/>
        </w:rPr>
        <w:t xml:space="preserve"> </w:t>
      </w:r>
      <w:r w:rsidR="001C5623">
        <w:rPr>
          <w:rFonts w:eastAsia="Times New Roman" w:cs="Arial"/>
          <w:bCs/>
          <w:lang w:eastAsia="cs-CZ"/>
        </w:rPr>
        <w:t xml:space="preserve">(nově dle zákona č. 328/2025 Sb.) </w:t>
      </w:r>
      <w:r w:rsidRPr="00C15F2F">
        <w:rPr>
          <w:rFonts w:eastAsia="Times New Roman" w:cs="Arial"/>
          <w:bCs/>
          <w:lang w:eastAsia="cs-CZ"/>
        </w:rPr>
        <w:t>MŠMT, které mj.</w:t>
      </w:r>
      <w:r w:rsidR="0062219B">
        <w:rPr>
          <w:rFonts w:eastAsia="Times New Roman" w:cs="Arial"/>
          <w:bCs/>
          <w:lang w:eastAsia="cs-CZ"/>
        </w:rPr>
        <w:t> </w:t>
      </w:r>
      <w:r w:rsidRPr="00C15F2F">
        <w:rPr>
          <w:rFonts w:eastAsia="Times New Roman" w:cs="Arial"/>
          <w:bCs/>
          <w:lang w:eastAsia="cs-CZ"/>
        </w:rPr>
        <w:t>vyjednává s orgány a institucemi EU a dále také sjednává bilaterální smlouvy o</w:t>
      </w:r>
      <w:r w:rsidR="0062219B">
        <w:rPr>
          <w:rFonts w:eastAsia="Times New Roman" w:cs="Arial"/>
          <w:bCs/>
          <w:lang w:eastAsia="cs-CZ"/>
        </w:rPr>
        <w:t> </w:t>
      </w:r>
      <w:r w:rsidRPr="00C15F2F">
        <w:rPr>
          <w:rFonts w:eastAsia="Times New Roman" w:cs="Arial"/>
          <w:bCs/>
          <w:lang w:eastAsia="cs-CZ"/>
        </w:rPr>
        <w:t>vědeckotechnické spolupráci.</w:t>
      </w:r>
      <w:r w:rsidR="00C15F2F">
        <w:rPr>
          <w:rFonts w:eastAsia="Times New Roman" w:cs="Arial"/>
          <w:bCs/>
          <w:lang w:eastAsia="cs-CZ"/>
        </w:rPr>
        <w:t xml:space="preserve"> </w:t>
      </w:r>
      <w:r w:rsidRPr="00C15F2F">
        <w:rPr>
          <w:rFonts w:eastAsia="Times New Roman" w:cs="Arial"/>
          <w:bCs/>
          <w:lang w:eastAsia="cs-CZ"/>
        </w:rPr>
        <w:t xml:space="preserve">Mezi klíčové poskytovatele podpory </w:t>
      </w:r>
      <w:r w:rsidR="001D263E" w:rsidRPr="00C15F2F">
        <w:rPr>
          <w:rFonts w:eastAsia="Times New Roman" w:cs="Arial"/>
          <w:bCs/>
          <w:lang w:eastAsia="cs-CZ"/>
        </w:rPr>
        <w:t xml:space="preserve">patří </w:t>
      </w:r>
      <w:r w:rsidRPr="00C15F2F">
        <w:rPr>
          <w:rFonts w:eastAsia="Times New Roman" w:cs="Arial"/>
          <w:bCs/>
          <w:lang w:eastAsia="cs-CZ"/>
        </w:rPr>
        <w:t xml:space="preserve">vedle MŠMT agentury GA ČR a TA ČR, které poskytují účelovou podporu </w:t>
      </w:r>
      <w:r w:rsidR="00315A24">
        <w:rPr>
          <w:rFonts w:eastAsia="Times New Roman" w:cs="Arial"/>
          <w:bCs/>
          <w:lang w:eastAsia="cs-CZ"/>
        </w:rPr>
        <w:t>na řešení projektů</w:t>
      </w:r>
      <w:r w:rsidRPr="00C15F2F">
        <w:rPr>
          <w:rFonts w:eastAsia="Times New Roman" w:cs="Arial"/>
          <w:bCs/>
          <w:lang w:eastAsia="cs-CZ"/>
        </w:rPr>
        <w:t xml:space="preserve"> mezinárodní spolupráce. Mezinárodní spolupráci ve </w:t>
      </w:r>
      <w:proofErr w:type="spellStart"/>
      <w:r w:rsidRPr="00C15F2F">
        <w:rPr>
          <w:rFonts w:eastAsia="Times New Roman" w:cs="Arial"/>
          <w:bCs/>
          <w:lang w:eastAsia="cs-CZ"/>
        </w:rPr>
        <w:t>VaVaI</w:t>
      </w:r>
      <w:proofErr w:type="spellEnd"/>
      <w:r w:rsidRPr="00C15F2F">
        <w:rPr>
          <w:rFonts w:eastAsia="Times New Roman" w:cs="Arial"/>
          <w:bCs/>
          <w:lang w:eastAsia="cs-CZ"/>
        </w:rPr>
        <w:t xml:space="preserve"> na</w:t>
      </w:r>
      <w:r w:rsidR="00315A24">
        <w:rPr>
          <w:rFonts w:eastAsia="Times New Roman" w:cs="Arial"/>
          <w:bCs/>
          <w:lang w:eastAsia="cs-CZ"/>
        </w:rPr>
        <w:t> </w:t>
      </w:r>
      <w:r w:rsidRPr="00C15F2F">
        <w:rPr>
          <w:rFonts w:eastAsia="Times New Roman" w:cs="Arial"/>
          <w:bCs/>
          <w:lang w:eastAsia="cs-CZ"/>
        </w:rPr>
        <w:t xml:space="preserve">národní úrovni rozvíjí i další aktéři jako např. </w:t>
      </w:r>
      <w:r w:rsidR="00442E16">
        <w:rPr>
          <w:rFonts w:eastAsia="Times New Roman" w:cs="Arial"/>
          <w:bCs/>
          <w:lang w:eastAsia="cs-CZ"/>
        </w:rPr>
        <w:t>Ú</w:t>
      </w:r>
      <w:r w:rsidRPr="00C15F2F">
        <w:rPr>
          <w:rFonts w:eastAsia="Times New Roman" w:cs="Arial"/>
          <w:bCs/>
          <w:lang w:eastAsia="cs-CZ"/>
        </w:rPr>
        <w:t xml:space="preserve">V ČR, MZV, MV nebo MO. </w:t>
      </w:r>
      <w:r w:rsidR="00442E16">
        <w:rPr>
          <w:rFonts w:eastAsia="Times New Roman" w:cs="Arial"/>
          <w:bCs/>
          <w:lang w:eastAsia="cs-CZ"/>
        </w:rPr>
        <w:t xml:space="preserve">ÚV ČR / </w:t>
      </w:r>
      <w:r w:rsidRPr="00C15F2F">
        <w:rPr>
          <w:rFonts w:eastAsia="Times New Roman" w:cs="Arial"/>
          <w:bCs/>
          <w:lang w:eastAsia="cs-CZ"/>
        </w:rPr>
        <w:t>RVVI zmíněné aktéry koordinuje a </w:t>
      </w:r>
      <w:r w:rsidR="00442E16">
        <w:rPr>
          <w:rFonts w:eastAsia="Times New Roman" w:cs="Arial"/>
          <w:bCs/>
          <w:lang w:eastAsia="cs-CZ"/>
        </w:rPr>
        <w:t xml:space="preserve">společně s MZV provozuje </w:t>
      </w:r>
      <w:r w:rsidRPr="00C15F2F">
        <w:rPr>
          <w:rFonts w:eastAsia="Times New Roman" w:cs="Arial"/>
          <w:bCs/>
          <w:lang w:eastAsia="cs-CZ"/>
        </w:rPr>
        <w:t>síť specializovaných vědeckých diplomatů</w:t>
      </w:r>
      <w:r w:rsidR="00B0385E">
        <w:rPr>
          <w:rFonts w:eastAsia="Times New Roman" w:cs="Arial"/>
          <w:bCs/>
          <w:lang w:eastAsia="cs-CZ"/>
        </w:rPr>
        <w:t xml:space="preserve">. </w:t>
      </w:r>
      <w:r w:rsidRPr="00C15F2F">
        <w:rPr>
          <w:rFonts w:eastAsia="Times New Roman" w:cs="Arial"/>
          <w:bCs/>
          <w:lang w:eastAsia="cs-CZ"/>
        </w:rPr>
        <w:t>V roce 202</w:t>
      </w:r>
      <w:r w:rsidR="00315A24">
        <w:rPr>
          <w:rFonts w:eastAsia="Times New Roman" w:cs="Arial"/>
          <w:bCs/>
          <w:lang w:eastAsia="cs-CZ"/>
        </w:rPr>
        <w:t>3</w:t>
      </w:r>
      <w:r w:rsidRPr="00C15F2F">
        <w:rPr>
          <w:rFonts w:eastAsia="Times New Roman" w:cs="Arial"/>
          <w:bCs/>
          <w:lang w:eastAsia="cs-CZ"/>
        </w:rPr>
        <w:t xml:space="preserve"> Úřad ministr</w:t>
      </w:r>
      <w:r w:rsidR="00315A24">
        <w:rPr>
          <w:rFonts w:eastAsia="Times New Roman" w:cs="Arial"/>
          <w:bCs/>
          <w:lang w:eastAsia="cs-CZ"/>
        </w:rPr>
        <w:t>a</w:t>
      </w:r>
      <w:r w:rsidRPr="00C15F2F">
        <w:rPr>
          <w:rFonts w:eastAsia="Times New Roman" w:cs="Arial"/>
          <w:bCs/>
          <w:lang w:eastAsia="cs-CZ"/>
        </w:rPr>
        <w:t xml:space="preserve"> pro vědu, výzkum a inovace realizoval řadu aktivit na</w:t>
      </w:r>
      <w:r w:rsidR="00315A24">
        <w:rPr>
          <w:rFonts w:eastAsia="Times New Roman" w:cs="Arial"/>
          <w:bCs/>
          <w:lang w:eastAsia="cs-CZ"/>
        </w:rPr>
        <w:t> </w:t>
      </w:r>
      <w:r w:rsidRPr="00C15F2F">
        <w:rPr>
          <w:rFonts w:eastAsia="Times New Roman" w:cs="Arial"/>
          <w:bCs/>
          <w:lang w:eastAsia="cs-CZ"/>
        </w:rPr>
        <w:t xml:space="preserve">posílení mezinárodní </w:t>
      </w:r>
      <w:r w:rsidR="00C360F3">
        <w:rPr>
          <w:rFonts w:eastAsia="Times New Roman" w:cs="Arial"/>
          <w:bCs/>
          <w:lang w:eastAsia="cs-CZ"/>
        </w:rPr>
        <w:t>vědecké spolupráce, j</w:t>
      </w:r>
      <w:r w:rsidRPr="00C15F2F">
        <w:rPr>
          <w:rFonts w:eastAsia="Times New Roman" w:cs="Arial"/>
          <w:bCs/>
          <w:lang w:eastAsia="cs-CZ"/>
        </w:rPr>
        <w:t xml:space="preserve">ako příklad lze zmínit rozvoj spolupráce </w:t>
      </w:r>
      <w:r w:rsidR="00C360F3">
        <w:rPr>
          <w:rFonts w:eastAsia="Times New Roman" w:cs="Arial"/>
          <w:bCs/>
          <w:lang w:eastAsia="cs-CZ"/>
        </w:rPr>
        <w:t xml:space="preserve">v oblasti kvantových technologií </w:t>
      </w:r>
      <w:r w:rsidRPr="00C15F2F">
        <w:rPr>
          <w:rFonts w:eastAsia="Times New Roman" w:cs="Arial"/>
          <w:bCs/>
          <w:lang w:eastAsia="cs-CZ"/>
        </w:rPr>
        <w:t>s</w:t>
      </w:r>
      <w:r w:rsidR="00C360F3">
        <w:rPr>
          <w:rFonts w:eastAsia="Times New Roman" w:cs="Arial"/>
          <w:bCs/>
          <w:lang w:eastAsia="cs-CZ"/>
        </w:rPr>
        <w:t xml:space="preserve"> USA. </w:t>
      </w:r>
    </w:p>
    <w:p w14:paraId="70BED74E" w14:textId="1F1DC886" w:rsidR="0046047C" w:rsidRDefault="00C15F2F" w:rsidP="0046047C">
      <w:pPr>
        <w:spacing w:after="120" w:line="360" w:lineRule="auto"/>
        <w:ind w:firstLine="709"/>
        <w:jc w:val="both"/>
        <w:rPr>
          <w:rFonts w:eastAsia="Times New Roman" w:cs="Arial"/>
          <w:bCs/>
          <w:lang w:eastAsia="cs-CZ"/>
        </w:rPr>
      </w:pPr>
      <w:r w:rsidRPr="00C4397A">
        <w:rPr>
          <w:rFonts w:eastAsia="Times New Roman" w:cs="Arial"/>
          <w:bCs/>
          <w:lang w:eastAsia="cs-CZ"/>
        </w:rPr>
        <w:t xml:space="preserve">Do mezinárodní spolupráce ve </w:t>
      </w:r>
      <w:proofErr w:type="spellStart"/>
      <w:r w:rsidRPr="00C4397A">
        <w:rPr>
          <w:rFonts w:eastAsia="Times New Roman" w:cs="Arial"/>
          <w:bCs/>
          <w:lang w:eastAsia="cs-CZ"/>
        </w:rPr>
        <w:t>VaVaI</w:t>
      </w:r>
      <w:proofErr w:type="spellEnd"/>
      <w:r w:rsidRPr="00C4397A">
        <w:rPr>
          <w:rFonts w:eastAsia="Times New Roman" w:cs="Arial"/>
          <w:bCs/>
          <w:lang w:eastAsia="cs-CZ"/>
        </w:rPr>
        <w:t xml:space="preserve"> se ČR zapojuje skrze řadu nástrojů, jako j</w:t>
      </w:r>
      <w:r w:rsidR="006113DE">
        <w:rPr>
          <w:rFonts w:eastAsia="Times New Roman" w:cs="Arial"/>
          <w:bCs/>
          <w:lang w:eastAsia="cs-CZ"/>
        </w:rPr>
        <w:t>sou</w:t>
      </w:r>
      <w:r w:rsidR="0046047C">
        <w:rPr>
          <w:rFonts w:eastAsia="Times New Roman" w:cs="Arial"/>
          <w:bCs/>
          <w:lang w:eastAsia="cs-CZ"/>
        </w:rPr>
        <w:t> </w:t>
      </w:r>
      <w:r w:rsidRPr="00C4397A">
        <w:rPr>
          <w:rFonts w:eastAsia="Times New Roman" w:cs="Arial"/>
          <w:bCs/>
          <w:lang w:eastAsia="cs-CZ"/>
        </w:rPr>
        <w:t>Horizont Evropa, zahraniční mobility vědecko-výzkumných pracovníků, účast v</w:t>
      </w:r>
      <w:r w:rsidR="00482E16">
        <w:rPr>
          <w:rFonts w:eastAsia="Times New Roman" w:cs="Arial"/>
          <w:bCs/>
          <w:lang w:eastAsia="cs-CZ"/>
        </w:rPr>
        <w:t> </w:t>
      </w:r>
      <w:r w:rsidRPr="00C4397A">
        <w:rPr>
          <w:rFonts w:eastAsia="Times New Roman" w:cs="Arial"/>
          <w:bCs/>
          <w:lang w:eastAsia="cs-CZ"/>
        </w:rPr>
        <w:t xml:space="preserve">mezinárodních </w:t>
      </w:r>
      <w:r w:rsidR="001F5013">
        <w:rPr>
          <w:rFonts w:eastAsia="Times New Roman" w:cs="Arial"/>
          <w:bCs/>
          <w:lang w:eastAsia="cs-CZ"/>
        </w:rPr>
        <w:t>VO</w:t>
      </w:r>
      <w:r w:rsidRPr="00C4397A">
        <w:rPr>
          <w:rFonts w:eastAsia="Times New Roman" w:cs="Arial"/>
          <w:bCs/>
          <w:lang w:eastAsia="cs-CZ"/>
        </w:rPr>
        <w:t xml:space="preserve"> a konsorciích ERIC</w:t>
      </w:r>
      <w:r w:rsidR="001D263E">
        <w:rPr>
          <w:rFonts w:eastAsia="Times New Roman" w:cs="Arial"/>
          <w:bCs/>
          <w:lang w:eastAsia="cs-CZ"/>
        </w:rPr>
        <w:t>,</w:t>
      </w:r>
      <w:r w:rsidRPr="00C4397A">
        <w:rPr>
          <w:rFonts w:eastAsia="Times New Roman" w:cs="Arial"/>
          <w:bCs/>
          <w:lang w:eastAsia="cs-CZ"/>
        </w:rPr>
        <w:t xml:space="preserve"> nebo prostřednictvím řady bilaterálních</w:t>
      </w:r>
      <w:r w:rsidR="001247B6">
        <w:rPr>
          <w:rFonts w:eastAsia="Times New Roman" w:cs="Arial"/>
          <w:bCs/>
          <w:lang w:eastAsia="cs-CZ"/>
        </w:rPr>
        <w:t xml:space="preserve">, </w:t>
      </w:r>
      <w:r w:rsidRPr="00C4397A">
        <w:rPr>
          <w:rFonts w:eastAsia="Times New Roman" w:cs="Arial"/>
          <w:bCs/>
          <w:lang w:eastAsia="cs-CZ"/>
        </w:rPr>
        <w:t>multilaterálních programů poskytovatelů podpory</w:t>
      </w:r>
      <w:r w:rsidR="00B0385E">
        <w:rPr>
          <w:rFonts w:eastAsia="Times New Roman" w:cs="Arial"/>
          <w:bCs/>
          <w:lang w:eastAsia="cs-CZ"/>
        </w:rPr>
        <w:t xml:space="preserve"> </w:t>
      </w:r>
      <w:r w:rsidR="001247B6">
        <w:rPr>
          <w:rFonts w:eastAsia="Times New Roman" w:cs="Arial"/>
          <w:bCs/>
          <w:lang w:eastAsia="cs-CZ"/>
        </w:rPr>
        <w:t>a</w:t>
      </w:r>
      <w:r w:rsidR="00B0385E">
        <w:rPr>
          <w:rFonts w:eastAsia="Times New Roman" w:cs="Arial"/>
          <w:bCs/>
          <w:lang w:eastAsia="cs-CZ"/>
        </w:rPr>
        <w:t xml:space="preserve"> již zmíněné vědecké diplomacie.</w:t>
      </w:r>
    </w:p>
    <w:p w14:paraId="125A83F9" w14:textId="1D400A4C" w:rsidR="0030254D" w:rsidRDefault="00FE17AB" w:rsidP="0030254D">
      <w:pPr>
        <w:keepNext/>
        <w:spacing w:before="120" w:after="240" w:line="240" w:lineRule="auto"/>
        <w:jc w:val="both"/>
        <w:rPr>
          <w:rFonts w:eastAsia="Times New Roman" w:cs="Times New Roman"/>
          <w:b/>
          <w:szCs w:val="24"/>
          <w:lang w:eastAsia="cs-CZ"/>
        </w:rPr>
      </w:pPr>
      <w:r>
        <w:rPr>
          <w:noProof/>
          <w:lang w:eastAsia="cs-CZ"/>
        </w:rPr>
        <mc:AlternateContent>
          <mc:Choice Requires="wps">
            <w:drawing>
              <wp:anchor distT="0" distB="0" distL="114300" distR="114300" simplePos="0" relativeHeight="251623936" behindDoc="0" locked="0" layoutInCell="1" allowOverlap="1" wp14:anchorId="4B45AF38" wp14:editId="6E46490F">
                <wp:simplePos x="0" y="0"/>
                <wp:positionH relativeFrom="column">
                  <wp:posOffset>108585</wp:posOffset>
                </wp:positionH>
                <wp:positionV relativeFrom="paragraph">
                  <wp:posOffset>284480</wp:posOffset>
                </wp:positionV>
                <wp:extent cx="5829300" cy="3028950"/>
                <wp:effectExtent l="0" t="0" r="0" b="0"/>
                <wp:wrapNone/>
                <wp:docPr id="74" name="Kosočtverec 74"/>
                <wp:cNvGraphicFramePr/>
                <a:graphic xmlns:a="http://schemas.openxmlformats.org/drawingml/2006/main">
                  <a:graphicData uri="http://schemas.microsoft.com/office/word/2010/wordprocessingShape">
                    <wps:wsp>
                      <wps:cNvSpPr/>
                      <wps:spPr>
                        <a:xfrm>
                          <a:off x="0" y="0"/>
                          <a:ext cx="5829300" cy="3028950"/>
                        </a:xfrm>
                        <a:prstGeom prst="diamond">
                          <a:avLst/>
                        </a:prstGeom>
                      </wps:spPr>
                      <wps:style>
                        <a:lnRef idx="0">
                          <a:schemeClr val="accent1">
                            <a:hueOff val="0"/>
                            <a:satOff val="0"/>
                            <a:lumOff val="0"/>
                            <a:alphaOff val="0"/>
                          </a:schemeClr>
                        </a:lnRef>
                        <a:fillRef idx="1">
                          <a:schemeClr val="accent1">
                            <a:tint val="40000"/>
                            <a:hueOff val="0"/>
                            <a:satOff val="0"/>
                            <a:lumOff val="0"/>
                            <a:alphaOff val="0"/>
                          </a:schemeClr>
                        </a:fillRef>
                        <a:effectRef idx="0">
                          <a:schemeClr val="accent1">
                            <a:tint val="40000"/>
                            <a:hueOff val="0"/>
                            <a:satOff val="0"/>
                            <a:lumOff val="0"/>
                            <a:alphaOff val="0"/>
                          </a:schemeClr>
                        </a:effectRef>
                        <a:fontRef idx="minor">
                          <a:schemeClr val="dk1">
                            <a:hueOff val="0"/>
                            <a:satOff val="0"/>
                            <a:lumOff val="0"/>
                            <a:alphaOff val="0"/>
                          </a:schemeClr>
                        </a:fontRef>
                      </wps:style>
                      <wps:bodyPr/>
                    </wps:wsp>
                  </a:graphicData>
                </a:graphic>
                <wp14:sizeRelH relativeFrom="margin">
                  <wp14:pctWidth>0</wp14:pctWidth>
                </wp14:sizeRelH>
                <wp14:sizeRelV relativeFrom="margin">
                  <wp14:pctHeight>0</wp14:pctHeight>
                </wp14:sizeRelV>
              </wp:anchor>
            </w:drawing>
          </mc:Choice>
          <mc:Fallback>
            <w:pict>
              <v:shape w14:anchorId="4FA98065" id="Kosočtverec 74" o:spid="_x0000_s1026" type="#_x0000_t4" style="position:absolute;margin-left:8.55pt;margin-top:22.4pt;width:459pt;height:238.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" fillcolor="#b8cce4 [1300]" stroked="f"/>
            </w:pict>
          </mc:Fallback>
        </mc:AlternateContent>
      </w:r>
      <w:r w:rsidR="00BE5EC9">
        <w:rPr>
          <w:rFonts w:eastAsia="Times New Roman" w:cs="Arial"/>
          <w:b/>
          <w:noProof/>
          <w:lang w:eastAsia="cs-CZ"/>
        </w:rPr>
        <w:t xml:space="preserve">Schéma F.1: </w:t>
      </w:r>
      <w:r w:rsidR="0030254D" w:rsidRPr="0030254D">
        <w:rPr>
          <w:rFonts w:eastAsia="Times New Roman" w:cs="Arial"/>
          <w:b/>
          <w:noProof/>
          <w:lang w:eastAsia="cs-CZ"/>
        </w:rPr>
        <w:t>Klíčoví aktéři v oblasti podpory mezinárodní spolupráce ve V</w:t>
      </w:r>
      <w:r w:rsidR="003E5EA8">
        <w:rPr>
          <w:rFonts w:eastAsia="Times New Roman" w:cs="Arial"/>
          <w:b/>
          <w:noProof/>
          <w:lang w:eastAsia="cs-CZ"/>
        </w:rPr>
        <w:t>a</w:t>
      </w:r>
      <w:r w:rsidR="0030254D" w:rsidRPr="0030254D">
        <w:rPr>
          <w:rFonts w:eastAsia="Times New Roman" w:cs="Arial"/>
          <w:b/>
          <w:noProof/>
          <w:lang w:eastAsia="cs-CZ"/>
        </w:rPr>
        <w:t>V</w:t>
      </w:r>
      <w:r w:rsidR="003E5EA8">
        <w:rPr>
          <w:rFonts w:eastAsia="Times New Roman" w:cs="Arial"/>
          <w:b/>
          <w:noProof/>
          <w:lang w:eastAsia="cs-CZ"/>
        </w:rPr>
        <w:t>a</w:t>
      </w:r>
      <w:r w:rsidR="0030254D" w:rsidRPr="0030254D">
        <w:rPr>
          <w:rFonts w:eastAsia="Times New Roman" w:cs="Arial"/>
          <w:b/>
          <w:noProof/>
          <w:lang w:eastAsia="cs-CZ"/>
        </w:rPr>
        <w:t>I na</w:t>
      </w:r>
      <w:r w:rsidR="00BE5EC9">
        <w:rPr>
          <w:rFonts w:eastAsia="Times New Roman" w:cs="Arial"/>
          <w:b/>
          <w:noProof/>
          <w:lang w:eastAsia="cs-CZ"/>
        </w:rPr>
        <w:t> </w:t>
      </w:r>
      <w:r w:rsidR="0030254D" w:rsidRPr="0030254D">
        <w:rPr>
          <w:rFonts w:eastAsia="Times New Roman" w:cs="Arial"/>
          <w:b/>
          <w:noProof/>
          <w:lang w:eastAsia="cs-CZ"/>
        </w:rPr>
        <w:t>národní úrovni</w:t>
      </w:r>
    </w:p>
    <w:p w14:paraId="3585A1AD" w14:textId="25BD0022" w:rsidR="0030254D" w:rsidRDefault="0015246E" w:rsidP="0030254D">
      <w:pPr>
        <w:keepNext/>
        <w:spacing w:before="120" w:after="240" w:line="240" w:lineRule="auto"/>
        <w:jc w:val="both"/>
        <w:rPr>
          <w:rFonts w:eastAsia="Times New Roman" w:cs="Times New Roman"/>
          <w:b/>
          <w:szCs w:val="24"/>
          <w:lang w:eastAsia="cs-CZ"/>
        </w:rPr>
      </w:pPr>
      <w:r>
        <w:rPr>
          <w:rFonts w:eastAsia="Times New Roman" w:cs="Arial"/>
          <w:b/>
          <w:noProof/>
          <w:lang w:eastAsia="cs-CZ"/>
        </w:rPr>
        <mc:AlternateContent>
          <mc:Choice Requires="wps">
            <w:drawing>
              <wp:anchor distT="0" distB="0" distL="114300" distR="114300" simplePos="0" relativeHeight="251628032" behindDoc="0" locked="0" layoutInCell="1" allowOverlap="1" wp14:anchorId="7D9319E3" wp14:editId="21100402">
                <wp:simplePos x="0" y="0"/>
                <wp:positionH relativeFrom="column">
                  <wp:posOffset>3099435</wp:posOffset>
                </wp:positionH>
                <wp:positionV relativeFrom="paragraph">
                  <wp:posOffset>66675</wp:posOffset>
                </wp:positionV>
                <wp:extent cx="2699385" cy="1352550"/>
                <wp:effectExtent l="0" t="0" r="24765" b="19050"/>
                <wp:wrapNone/>
                <wp:docPr id="73" name="Obdélník: se zakulacenými rohy 73"/>
                <wp:cNvGraphicFramePr/>
                <a:graphic xmlns:a="http://schemas.openxmlformats.org/drawingml/2006/main">
                  <a:graphicData uri="http://schemas.microsoft.com/office/word/2010/wordprocessingShape">
                    <wps:wsp>
                      <wps:cNvSpPr/>
                      <wps:spPr>
                        <a:xfrm>
                          <a:off x="0" y="0"/>
                          <a:ext cx="2699385" cy="1352550"/>
                        </a:xfrm>
                        <a:prstGeom prst="roundRect">
                          <a:avLst/>
                        </a:prstGeom>
                        <a:solidFill>
                          <a:schemeClr val="bg1"/>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95CE8A4" w14:textId="7DB3E48E" w:rsidR="00992CDB" w:rsidRPr="002B0E22" w:rsidRDefault="00992CDB" w:rsidP="0030254D">
                            <w:pPr>
                              <w:spacing w:after="0" w:line="240" w:lineRule="auto"/>
                              <w:jc w:val="center"/>
                              <w:rPr>
                                <w:b/>
                                <w:bCs/>
                                <w:color w:val="000000" w:themeColor="text1"/>
                              </w:rPr>
                            </w:pPr>
                            <w:r>
                              <w:rPr>
                                <w:b/>
                                <w:bCs/>
                                <w:color w:val="000000" w:themeColor="text1"/>
                              </w:rPr>
                              <w:t>MŠMT</w:t>
                            </w:r>
                          </w:p>
                          <w:p w14:paraId="7C55DE79" w14:textId="118E3594" w:rsidR="00992CDB" w:rsidRDefault="00992CDB" w:rsidP="0030254D">
                            <w:pPr>
                              <w:spacing w:after="0" w:line="240" w:lineRule="auto"/>
                              <w:jc w:val="center"/>
                              <w:rPr>
                                <w:b/>
                                <w:bCs/>
                                <w:color w:val="000000" w:themeColor="text1"/>
                                <w:sz w:val="12"/>
                                <w:szCs w:val="12"/>
                              </w:rPr>
                            </w:pPr>
                          </w:p>
                          <w:p w14:paraId="535ECE48" w14:textId="6AD266E1" w:rsidR="00992CDB" w:rsidRPr="00FE17AB" w:rsidRDefault="00992CDB" w:rsidP="0030254D">
                            <w:pPr>
                              <w:spacing w:after="0" w:line="240" w:lineRule="auto"/>
                              <w:jc w:val="center"/>
                              <w:rPr>
                                <w:i/>
                                <w:iCs/>
                                <w:color w:val="000000" w:themeColor="text1"/>
                                <w:sz w:val="18"/>
                                <w:szCs w:val="18"/>
                              </w:rPr>
                            </w:pPr>
                            <w:r>
                              <w:rPr>
                                <w:i/>
                                <w:iCs/>
                                <w:color w:val="000000" w:themeColor="text1"/>
                                <w:sz w:val="18"/>
                                <w:szCs w:val="18"/>
                              </w:rPr>
                              <w:t xml:space="preserve">Ústřední orgán pro </w:t>
                            </w:r>
                            <w:proofErr w:type="spellStart"/>
                            <w:r>
                              <w:rPr>
                                <w:i/>
                                <w:iCs/>
                                <w:color w:val="000000" w:themeColor="text1"/>
                                <w:sz w:val="18"/>
                                <w:szCs w:val="18"/>
                              </w:rPr>
                              <w:t>VaVaI</w:t>
                            </w:r>
                            <w:proofErr w:type="spellEnd"/>
                            <w:r>
                              <w:rPr>
                                <w:i/>
                                <w:iCs/>
                                <w:color w:val="000000" w:themeColor="text1"/>
                                <w:sz w:val="18"/>
                                <w:szCs w:val="18"/>
                              </w:rPr>
                              <w:t xml:space="preserve">, gestor mezinárodní spolupráce ve </w:t>
                            </w:r>
                            <w:proofErr w:type="spellStart"/>
                            <w:r>
                              <w:rPr>
                                <w:i/>
                                <w:iCs/>
                                <w:color w:val="000000" w:themeColor="text1"/>
                                <w:sz w:val="18"/>
                                <w:szCs w:val="18"/>
                              </w:rPr>
                              <w:t>VaVaI</w:t>
                            </w:r>
                            <w:proofErr w:type="spellEnd"/>
                            <w:r>
                              <w:rPr>
                                <w:i/>
                                <w:iCs/>
                                <w:color w:val="000000" w:themeColor="text1"/>
                                <w:sz w:val="18"/>
                                <w:szCs w:val="18"/>
                              </w:rPr>
                              <w:t xml:space="preserve">, jednání s orgány EU, čerpání prostředků na </w:t>
                            </w:r>
                            <w:proofErr w:type="spellStart"/>
                            <w:r>
                              <w:rPr>
                                <w:i/>
                                <w:iCs/>
                                <w:color w:val="000000" w:themeColor="text1"/>
                                <w:sz w:val="18"/>
                                <w:szCs w:val="18"/>
                              </w:rPr>
                              <w:t>VaVaI</w:t>
                            </w:r>
                            <w:proofErr w:type="spellEnd"/>
                            <w:r>
                              <w:rPr>
                                <w:i/>
                                <w:iCs/>
                                <w:color w:val="000000" w:themeColor="text1"/>
                                <w:sz w:val="18"/>
                                <w:szCs w:val="18"/>
                              </w:rPr>
                              <w:t xml:space="preserve"> z EU fondů, dohody o vědecko-technické spolupráci, projekty VVI, členství ČR v mezinárodních organizacích </w:t>
                            </w:r>
                            <w:proofErr w:type="spellStart"/>
                            <w:r>
                              <w:rPr>
                                <w:i/>
                                <w:iCs/>
                                <w:color w:val="000000" w:themeColor="text1"/>
                                <w:sz w:val="18"/>
                                <w:szCs w:val="18"/>
                              </w:rPr>
                              <w:t>VaVaI</w:t>
                            </w:r>
                            <w:proofErr w:type="spellEnd"/>
                            <w:r>
                              <w:rPr>
                                <w:i/>
                                <w:iCs/>
                                <w:color w:val="000000" w:themeColor="text1"/>
                                <w:sz w:val="18"/>
                                <w:szCs w:val="18"/>
                              </w:rPr>
                              <w:t xml:space="preserve"> a ERIC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D9319E3" id="Obdélník: se zakulacenými rohy 73" o:spid="_x0000_s1038" style="position:absolute;left:0;text-align:left;margin-left:244.05pt;margin-top:5.25pt;width:212.55pt;height:106.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" fillcolor="white [3212]" strokecolor="#4f81bd [3204]" strokeweight="2pt">
                <v:textbox>
                  <w:txbxContent>
                    <w:p w14:paraId="795CE8A4" w14:textId="7DB3E48E" w:rsidR="00992CDB" w:rsidRPr="002B0E22" w:rsidRDefault="00992CDB" w:rsidP="0030254D">
                      <w:pPr>
                        <w:spacing w:after="0" w:line="240" w:lineRule="auto"/>
                        <w:jc w:val="center"/>
                        <w:rPr>
                          <w:b/>
                          <w:bCs/>
                          <w:color w:val="000000" w:themeColor="text1"/>
                        </w:rPr>
                      </w:pPr>
                      <w:r>
                        <w:rPr>
                          <w:b/>
                          <w:bCs/>
                          <w:color w:val="000000" w:themeColor="text1"/>
                        </w:rPr>
                        <w:t>MŠMT</w:t>
                      </w:r>
                    </w:p>
                    <w:p w14:paraId="7C55DE79" w14:textId="118E3594" w:rsidR="00992CDB" w:rsidRDefault="00992CDB" w:rsidP="0030254D">
                      <w:pPr>
                        <w:spacing w:after="0" w:line="240" w:lineRule="auto"/>
                        <w:jc w:val="center"/>
                        <w:rPr>
                          <w:b/>
                          <w:bCs/>
                          <w:color w:val="000000" w:themeColor="text1"/>
                          <w:sz w:val="12"/>
                          <w:szCs w:val="12"/>
                        </w:rPr>
                      </w:pPr>
                    </w:p>
                    <w:p w14:paraId="535ECE48" w14:textId="6AD266E1" w:rsidR="00992CDB" w:rsidRPr="00FE17AB" w:rsidRDefault="00992CDB" w:rsidP="0030254D">
                      <w:pPr>
                        <w:spacing w:after="0" w:line="240" w:lineRule="auto"/>
                        <w:jc w:val="center"/>
                        <w:rPr>
                          <w:i/>
                          <w:iCs/>
                          <w:color w:val="000000" w:themeColor="text1"/>
                          <w:sz w:val="18"/>
                          <w:szCs w:val="18"/>
                        </w:rPr>
                      </w:pPr>
                      <w:r>
                        <w:rPr>
                          <w:i/>
                          <w:iCs/>
                          <w:color w:val="000000" w:themeColor="text1"/>
                          <w:sz w:val="18"/>
                          <w:szCs w:val="18"/>
                        </w:rPr>
                        <w:t xml:space="preserve">Ústřední orgán pro </w:t>
                      </w:r>
                      <w:proofErr w:type="spellStart"/>
                      <w:r>
                        <w:rPr>
                          <w:i/>
                          <w:iCs/>
                          <w:color w:val="000000" w:themeColor="text1"/>
                          <w:sz w:val="18"/>
                          <w:szCs w:val="18"/>
                        </w:rPr>
                        <w:t>VaVaI</w:t>
                      </w:r>
                      <w:proofErr w:type="spellEnd"/>
                      <w:r>
                        <w:rPr>
                          <w:i/>
                          <w:iCs/>
                          <w:color w:val="000000" w:themeColor="text1"/>
                          <w:sz w:val="18"/>
                          <w:szCs w:val="18"/>
                        </w:rPr>
                        <w:t xml:space="preserve">, gestor mezinárodní spolupráce ve </w:t>
                      </w:r>
                      <w:proofErr w:type="spellStart"/>
                      <w:r>
                        <w:rPr>
                          <w:i/>
                          <w:iCs/>
                          <w:color w:val="000000" w:themeColor="text1"/>
                          <w:sz w:val="18"/>
                          <w:szCs w:val="18"/>
                        </w:rPr>
                        <w:t>VaVaI</w:t>
                      </w:r>
                      <w:proofErr w:type="spellEnd"/>
                      <w:r>
                        <w:rPr>
                          <w:i/>
                          <w:iCs/>
                          <w:color w:val="000000" w:themeColor="text1"/>
                          <w:sz w:val="18"/>
                          <w:szCs w:val="18"/>
                        </w:rPr>
                        <w:t xml:space="preserve">, jednání s orgány EU, čerpání prostředků na </w:t>
                      </w:r>
                      <w:proofErr w:type="spellStart"/>
                      <w:r>
                        <w:rPr>
                          <w:i/>
                          <w:iCs/>
                          <w:color w:val="000000" w:themeColor="text1"/>
                          <w:sz w:val="18"/>
                          <w:szCs w:val="18"/>
                        </w:rPr>
                        <w:t>VaVaI</w:t>
                      </w:r>
                      <w:proofErr w:type="spellEnd"/>
                      <w:r>
                        <w:rPr>
                          <w:i/>
                          <w:iCs/>
                          <w:color w:val="000000" w:themeColor="text1"/>
                          <w:sz w:val="18"/>
                          <w:szCs w:val="18"/>
                        </w:rPr>
                        <w:t xml:space="preserve"> z EU fondů, dohody o vědecko-technické spolupráci, projekty VVI, členství ČR v mezinárodních organizacích </w:t>
                      </w:r>
                      <w:proofErr w:type="spellStart"/>
                      <w:r>
                        <w:rPr>
                          <w:i/>
                          <w:iCs/>
                          <w:color w:val="000000" w:themeColor="text1"/>
                          <w:sz w:val="18"/>
                          <w:szCs w:val="18"/>
                        </w:rPr>
                        <w:t>VaVaI</w:t>
                      </w:r>
                      <w:proofErr w:type="spellEnd"/>
                      <w:r>
                        <w:rPr>
                          <w:i/>
                          <w:iCs/>
                          <w:color w:val="000000" w:themeColor="text1"/>
                          <w:sz w:val="18"/>
                          <w:szCs w:val="18"/>
                        </w:rPr>
                        <w:t xml:space="preserve"> a ERIC</w:t>
                      </w:r>
                    </w:p>
                  </w:txbxContent>
                </v:textbox>
              </v:roundrect>
            </w:pict>
          </mc:Fallback>
        </mc:AlternateContent>
      </w:r>
      <w:r>
        <w:rPr>
          <w:rFonts w:eastAsia="Times New Roman" w:cs="Arial"/>
          <w:b/>
          <w:noProof/>
          <w:lang w:eastAsia="cs-CZ"/>
        </w:rPr>
        <mc:AlternateContent>
          <mc:Choice Requires="wps">
            <w:drawing>
              <wp:anchor distT="0" distB="0" distL="114300" distR="114300" simplePos="0" relativeHeight="251632128" behindDoc="0" locked="0" layoutInCell="1" allowOverlap="1" wp14:anchorId="6859968C" wp14:editId="250C35C2">
                <wp:simplePos x="0" y="0"/>
                <wp:positionH relativeFrom="column">
                  <wp:posOffset>270510</wp:posOffset>
                </wp:positionH>
                <wp:positionV relativeFrom="paragraph">
                  <wp:posOffset>76200</wp:posOffset>
                </wp:positionV>
                <wp:extent cx="2699385" cy="1323975"/>
                <wp:effectExtent l="0" t="0" r="24765" b="28575"/>
                <wp:wrapNone/>
                <wp:docPr id="72" name="Obdélník: se zakulacenými rohy 72"/>
                <wp:cNvGraphicFramePr/>
                <a:graphic xmlns:a="http://schemas.openxmlformats.org/drawingml/2006/main">
                  <a:graphicData uri="http://schemas.microsoft.com/office/word/2010/wordprocessingShape">
                    <wps:wsp>
                      <wps:cNvSpPr/>
                      <wps:spPr>
                        <a:xfrm>
                          <a:off x="0" y="0"/>
                          <a:ext cx="2699385" cy="1323975"/>
                        </a:xfrm>
                        <a:prstGeom prst="roundRect">
                          <a:avLst/>
                        </a:prstGeom>
                        <a:solidFill>
                          <a:schemeClr val="bg1"/>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0683FD5" w14:textId="793540C3" w:rsidR="00992CDB" w:rsidRDefault="00992CDB" w:rsidP="0030254D">
                            <w:pPr>
                              <w:spacing w:after="0" w:line="240" w:lineRule="auto"/>
                              <w:jc w:val="center"/>
                              <w:rPr>
                                <w:b/>
                                <w:bCs/>
                                <w:color w:val="000000" w:themeColor="text1"/>
                              </w:rPr>
                            </w:pPr>
                            <w:r>
                              <w:rPr>
                                <w:b/>
                                <w:bCs/>
                                <w:color w:val="000000" w:themeColor="text1"/>
                              </w:rPr>
                              <w:t>Úřad ministr</w:t>
                            </w:r>
                            <w:r w:rsidR="005C6776">
                              <w:rPr>
                                <w:b/>
                                <w:bCs/>
                                <w:color w:val="000000" w:themeColor="text1"/>
                              </w:rPr>
                              <w:t>a</w:t>
                            </w:r>
                            <w:r>
                              <w:rPr>
                                <w:b/>
                                <w:bCs/>
                                <w:color w:val="000000" w:themeColor="text1"/>
                              </w:rPr>
                              <w:t xml:space="preserve"> pro vědu, výzkum a</w:t>
                            </w:r>
                            <w:r w:rsidR="005C6776">
                              <w:rPr>
                                <w:b/>
                                <w:bCs/>
                                <w:color w:val="000000" w:themeColor="text1"/>
                              </w:rPr>
                              <w:t> </w:t>
                            </w:r>
                            <w:r>
                              <w:rPr>
                                <w:b/>
                                <w:bCs/>
                                <w:color w:val="000000" w:themeColor="text1"/>
                              </w:rPr>
                              <w:t>inovace a RVVI</w:t>
                            </w:r>
                          </w:p>
                          <w:p w14:paraId="0A657EB6" w14:textId="77777777" w:rsidR="00992CDB" w:rsidRPr="00A4717E" w:rsidRDefault="00992CDB" w:rsidP="0030254D">
                            <w:pPr>
                              <w:spacing w:after="0" w:line="240" w:lineRule="auto"/>
                              <w:jc w:val="center"/>
                              <w:rPr>
                                <w:b/>
                                <w:bCs/>
                                <w:color w:val="000000" w:themeColor="text1"/>
                                <w:sz w:val="12"/>
                                <w:szCs w:val="12"/>
                              </w:rPr>
                            </w:pPr>
                          </w:p>
                          <w:p w14:paraId="740B8792" w14:textId="7BAB0457" w:rsidR="00992CDB" w:rsidRDefault="00992CDB" w:rsidP="0030254D">
                            <w:pPr>
                              <w:spacing w:after="0" w:line="240" w:lineRule="auto"/>
                              <w:jc w:val="center"/>
                              <w:rPr>
                                <w:color w:val="000000" w:themeColor="text1"/>
                                <w:sz w:val="18"/>
                                <w:szCs w:val="18"/>
                              </w:rPr>
                            </w:pPr>
                            <w:r>
                              <w:rPr>
                                <w:i/>
                                <w:iCs/>
                                <w:color w:val="000000" w:themeColor="text1"/>
                                <w:sz w:val="18"/>
                                <w:szCs w:val="18"/>
                              </w:rPr>
                              <w:t xml:space="preserve">Příprava strategických materiálů (NP </w:t>
                            </w:r>
                            <w:proofErr w:type="spellStart"/>
                            <w:r>
                              <w:rPr>
                                <w:i/>
                                <w:iCs/>
                                <w:color w:val="000000" w:themeColor="text1"/>
                                <w:sz w:val="18"/>
                                <w:szCs w:val="18"/>
                              </w:rPr>
                              <w:t>VaVaI</w:t>
                            </w:r>
                            <w:proofErr w:type="spellEnd"/>
                            <w:r>
                              <w:rPr>
                                <w:i/>
                                <w:iCs/>
                                <w:color w:val="000000" w:themeColor="text1"/>
                                <w:sz w:val="18"/>
                                <w:szCs w:val="18"/>
                              </w:rPr>
                              <w:t xml:space="preserve">), jednání s poradními orgány pro </w:t>
                            </w:r>
                            <w:proofErr w:type="spellStart"/>
                            <w:r>
                              <w:rPr>
                                <w:i/>
                                <w:iCs/>
                                <w:color w:val="000000" w:themeColor="text1"/>
                                <w:sz w:val="18"/>
                                <w:szCs w:val="18"/>
                              </w:rPr>
                              <w:t>VaVaI</w:t>
                            </w:r>
                            <w:proofErr w:type="spellEnd"/>
                            <w:r>
                              <w:rPr>
                                <w:i/>
                                <w:iCs/>
                                <w:color w:val="000000" w:themeColor="text1"/>
                                <w:sz w:val="18"/>
                                <w:szCs w:val="18"/>
                              </w:rPr>
                              <w:t xml:space="preserve"> v zahraničí, realizace vědecké diplomacie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859968C" id="Obdélník: se zakulacenými rohy 72" o:spid="_x0000_s1039" style="position:absolute;left:0;text-align:left;margin-left:21.3pt;margin-top:6pt;width:212.55pt;height:104.2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" fillcolor="white [3212]" strokecolor="#4f81bd [3204]" strokeweight="2pt">
                <v:textbox>
                  <w:txbxContent>
                    <w:p w14:paraId="10683FD5" w14:textId="793540C3" w:rsidR="00992CDB" w:rsidRDefault="00992CDB" w:rsidP="0030254D">
                      <w:pPr>
                        <w:spacing w:after="0" w:line="240" w:lineRule="auto"/>
                        <w:jc w:val="center"/>
                        <w:rPr>
                          <w:b/>
                          <w:bCs/>
                          <w:color w:val="000000" w:themeColor="text1"/>
                        </w:rPr>
                      </w:pPr>
                      <w:r>
                        <w:rPr>
                          <w:b/>
                          <w:bCs/>
                          <w:color w:val="000000" w:themeColor="text1"/>
                        </w:rPr>
                        <w:t>Úřad ministr</w:t>
                      </w:r>
                      <w:r w:rsidR="005C6776">
                        <w:rPr>
                          <w:b/>
                          <w:bCs/>
                          <w:color w:val="000000" w:themeColor="text1"/>
                        </w:rPr>
                        <w:t>a</w:t>
                      </w:r>
                      <w:r>
                        <w:rPr>
                          <w:b/>
                          <w:bCs/>
                          <w:color w:val="000000" w:themeColor="text1"/>
                        </w:rPr>
                        <w:t xml:space="preserve"> pro vědu, výzkum a</w:t>
                      </w:r>
                      <w:r w:rsidR="005C6776">
                        <w:rPr>
                          <w:b/>
                          <w:bCs/>
                          <w:color w:val="000000" w:themeColor="text1"/>
                        </w:rPr>
                        <w:t> </w:t>
                      </w:r>
                      <w:r>
                        <w:rPr>
                          <w:b/>
                          <w:bCs/>
                          <w:color w:val="000000" w:themeColor="text1"/>
                        </w:rPr>
                        <w:t>inovace a RVVI</w:t>
                      </w:r>
                    </w:p>
                    <w:p w14:paraId="0A657EB6" w14:textId="77777777" w:rsidR="00992CDB" w:rsidRPr="00A4717E" w:rsidRDefault="00992CDB" w:rsidP="0030254D">
                      <w:pPr>
                        <w:spacing w:after="0" w:line="240" w:lineRule="auto"/>
                        <w:jc w:val="center"/>
                        <w:rPr>
                          <w:b/>
                          <w:bCs/>
                          <w:color w:val="000000" w:themeColor="text1"/>
                          <w:sz w:val="12"/>
                          <w:szCs w:val="12"/>
                        </w:rPr>
                      </w:pPr>
                    </w:p>
                    <w:p w14:paraId="740B8792" w14:textId="7BAB0457" w:rsidR="00992CDB" w:rsidRDefault="00992CDB" w:rsidP="0030254D">
                      <w:pPr>
                        <w:spacing w:after="0" w:line="240" w:lineRule="auto"/>
                        <w:jc w:val="center"/>
                        <w:rPr>
                          <w:color w:val="000000" w:themeColor="text1"/>
                          <w:sz w:val="18"/>
                          <w:szCs w:val="18"/>
                        </w:rPr>
                      </w:pPr>
                      <w:r>
                        <w:rPr>
                          <w:i/>
                          <w:iCs/>
                          <w:color w:val="000000" w:themeColor="text1"/>
                          <w:sz w:val="18"/>
                          <w:szCs w:val="18"/>
                        </w:rPr>
                        <w:t xml:space="preserve">Příprava strategických materiálů (NP </w:t>
                      </w:r>
                      <w:proofErr w:type="spellStart"/>
                      <w:r>
                        <w:rPr>
                          <w:i/>
                          <w:iCs/>
                          <w:color w:val="000000" w:themeColor="text1"/>
                          <w:sz w:val="18"/>
                          <w:szCs w:val="18"/>
                        </w:rPr>
                        <w:t>VaVaI</w:t>
                      </w:r>
                      <w:proofErr w:type="spellEnd"/>
                      <w:r>
                        <w:rPr>
                          <w:i/>
                          <w:iCs/>
                          <w:color w:val="000000" w:themeColor="text1"/>
                          <w:sz w:val="18"/>
                          <w:szCs w:val="18"/>
                        </w:rPr>
                        <w:t xml:space="preserve">), jednání s poradními orgány pro </w:t>
                      </w:r>
                      <w:proofErr w:type="spellStart"/>
                      <w:r>
                        <w:rPr>
                          <w:i/>
                          <w:iCs/>
                          <w:color w:val="000000" w:themeColor="text1"/>
                          <w:sz w:val="18"/>
                          <w:szCs w:val="18"/>
                        </w:rPr>
                        <w:t>VaVaI</w:t>
                      </w:r>
                      <w:proofErr w:type="spellEnd"/>
                      <w:r>
                        <w:rPr>
                          <w:i/>
                          <w:iCs/>
                          <w:color w:val="000000" w:themeColor="text1"/>
                          <w:sz w:val="18"/>
                          <w:szCs w:val="18"/>
                        </w:rPr>
                        <w:t xml:space="preserve"> v zahraničí, realizace vědecké diplomacie</w:t>
                      </w:r>
                    </w:p>
                  </w:txbxContent>
                </v:textbox>
              </v:roundrect>
            </w:pict>
          </mc:Fallback>
        </mc:AlternateContent>
      </w:r>
    </w:p>
    <w:p w14:paraId="629848DB" w14:textId="4B597024" w:rsidR="0030254D" w:rsidRDefault="0030254D" w:rsidP="0030254D">
      <w:pPr>
        <w:keepNext/>
        <w:spacing w:before="120" w:after="240" w:line="240" w:lineRule="auto"/>
        <w:jc w:val="both"/>
        <w:rPr>
          <w:rFonts w:eastAsia="Times New Roman" w:cs="Times New Roman"/>
          <w:b/>
          <w:szCs w:val="24"/>
          <w:lang w:eastAsia="cs-CZ"/>
        </w:rPr>
      </w:pPr>
    </w:p>
    <w:p w14:paraId="072FDFB1" w14:textId="5E811F81" w:rsidR="0030254D" w:rsidRDefault="0030254D" w:rsidP="0030254D">
      <w:pPr>
        <w:keepNext/>
        <w:spacing w:before="120" w:after="240" w:line="240" w:lineRule="auto"/>
        <w:jc w:val="both"/>
        <w:rPr>
          <w:rFonts w:eastAsia="Times New Roman" w:cs="Times New Roman"/>
          <w:b/>
          <w:szCs w:val="24"/>
          <w:lang w:eastAsia="cs-CZ"/>
        </w:rPr>
      </w:pPr>
    </w:p>
    <w:p w14:paraId="52A52C84" w14:textId="6AB9E37D" w:rsidR="0030254D" w:rsidRPr="00487F95" w:rsidRDefault="0030254D" w:rsidP="0030254D">
      <w:pPr>
        <w:keepNext/>
        <w:spacing w:before="120" w:after="240" w:line="240" w:lineRule="auto"/>
        <w:jc w:val="both"/>
        <w:rPr>
          <w:rFonts w:eastAsia="Times New Roman" w:cs="Times New Roman"/>
          <w:b/>
          <w:szCs w:val="24"/>
          <w:lang w:eastAsia="cs-CZ"/>
        </w:rPr>
      </w:pPr>
    </w:p>
    <w:p w14:paraId="25A9AC08" w14:textId="0B2DC26F" w:rsidR="0030254D" w:rsidRDefault="0030254D" w:rsidP="0030254D">
      <w:pPr>
        <w:spacing w:after="0" w:line="360" w:lineRule="auto"/>
        <w:jc w:val="both"/>
        <w:rPr>
          <w:rFonts w:eastAsia="Times New Roman" w:cs="Arial"/>
          <w:b/>
          <w:lang w:eastAsia="cs-CZ"/>
        </w:rPr>
      </w:pPr>
    </w:p>
    <w:p w14:paraId="79396DD8" w14:textId="6770BF00" w:rsidR="0030254D" w:rsidRDefault="0015246E" w:rsidP="0030254D">
      <w:pPr>
        <w:spacing w:after="0" w:line="360" w:lineRule="auto"/>
        <w:jc w:val="both"/>
        <w:rPr>
          <w:rFonts w:eastAsia="Times New Roman" w:cs="Arial"/>
          <w:b/>
          <w:lang w:eastAsia="cs-CZ"/>
        </w:rPr>
      </w:pPr>
      <w:r>
        <w:rPr>
          <w:rFonts w:eastAsia="Times New Roman" w:cs="Arial"/>
          <w:b/>
          <w:noProof/>
          <w:lang w:eastAsia="cs-CZ"/>
        </w:rPr>
        <mc:AlternateContent>
          <mc:Choice Requires="wps">
            <w:drawing>
              <wp:anchor distT="0" distB="0" distL="114300" distR="114300" simplePos="0" relativeHeight="251675136" behindDoc="0" locked="0" layoutInCell="1" allowOverlap="1" wp14:anchorId="6A90CB21" wp14:editId="6C0584ED">
                <wp:simplePos x="0" y="0"/>
                <wp:positionH relativeFrom="column">
                  <wp:posOffset>4385310</wp:posOffset>
                </wp:positionH>
                <wp:positionV relativeFrom="paragraph">
                  <wp:posOffset>50165</wp:posOffset>
                </wp:positionV>
                <wp:extent cx="1428750" cy="1285875"/>
                <wp:effectExtent l="0" t="0" r="19050" b="28575"/>
                <wp:wrapNone/>
                <wp:docPr id="77" name="Obdélník: se zakulacenými rohy 77"/>
                <wp:cNvGraphicFramePr/>
                <a:graphic xmlns:a="http://schemas.openxmlformats.org/drawingml/2006/main">
                  <a:graphicData uri="http://schemas.microsoft.com/office/word/2010/wordprocessingShape">
                    <wps:wsp>
                      <wps:cNvSpPr/>
                      <wps:spPr>
                        <a:xfrm>
                          <a:off x="0" y="0"/>
                          <a:ext cx="1428750" cy="1285875"/>
                        </a:xfrm>
                        <a:prstGeom prst="roundRect">
                          <a:avLst/>
                        </a:prstGeom>
                        <a:solidFill>
                          <a:schemeClr val="bg1"/>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95B3D8A" w14:textId="77777777" w:rsidR="00992CDB" w:rsidRPr="002B0E22" w:rsidRDefault="00992CDB" w:rsidP="00FE17AB">
                            <w:pPr>
                              <w:spacing w:after="0" w:line="240" w:lineRule="auto"/>
                              <w:jc w:val="center"/>
                              <w:rPr>
                                <w:b/>
                                <w:bCs/>
                                <w:color w:val="000000" w:themeColor="text1"/>
                              </w:rPr>
                            </w:pPr>
                            <w:r>
                              <w:rPr>
                                <w:b/>
                                <w:bCs/>
                                <w:color w:val="000000" w:themeColor="text1"/>
                              </w:rPr>
                              <w:t>AV ČR</w:t>
                            </w:r>
                          </w:p>
                          <w:p w14:paraId="4D502552" w14:textId="77777777" w:rsidR="00992CDB" w:rsidRDefault="00992CDB" w:rsidP="00FE17AB">
                            <w:pPr>
                              <w:spacing w:after="0" w:line="240" w:lineRule="auto"/>
                              <w:jc w:val="center"/>
                              <w:rPr>
                                <w:b/>
                                <w:bCs/>
                                <w:color w:val="000000" w:themeColor="text1"/>
                                <w:sz w:val="12"/>
                                <w:szCs w:val="12"/>
                              </w:rPr>
                            </w:pPr>
                          </w:p>
                          <w:p w14:paraId="65BC96BB" w14:textId="61D62A7F" w:rsidR="00992CDB" w:rsidRPr="00FE17AB" w:rsidRDefault="00992CDB" w:rsidP="007C77F7">
                            <w:pPr>
                              <w:spacing w:after="0" w:line="240" w:lineRule="auto"/>
                              <w:jc w:val="center"/>
                              <w:rPr>
                                <w:i/>
                                <w:iCs/>
                                <w:color w:val="000000" w:themeColor="text1"/>
                                <w:sz w:val="18"/>
                                <w:szCs w:val="18"/>
                                <w:highlight w:val="yellow"/>
                              </w:rPr>
                            </w:pPr>
                            <w:r>
                              <w:rPr>
                                <w:i/>
                                <w:iCs/>
                                <w:color w:val="000000" w:themeColor="text1"/>
                                <w:sz w:val="18"/>
                                <w:szCs w:val="18"/>
                              </w:rPr>
                              <w:t>M</w:t>
                            </w:r>
                            <w:r w:rsidRPr="00FD7ADA">
                              <w:rPr>
                                <w:i/>
                                <w:iCs/>
                                <w:color w:val="000000" w:themeColor="text1"/>
                                <w:sz w:val="18"/>
                                <w:szCs w:val="18"/>
                              </w:rPr>
                              <w:t>obility</w:t>
                            </w:r>
                            <w:r>
                              <w:rPr>
                                <w:i/>
                                <w:iCs/>
                                <w:color w:val="000000" w:themeColor="text1"/>
                                <w:sz w:val="18"/>
                                <w:szCs w:val="18"/>
                              </w:rPr>
                              <w:t xml:space="preserve">, bilaterální </w:t>
                            </w:r>
                            <w:r>
                              <w:rPr>
                                <w:i/>
                                <w:iCs/>
                                <w:color w:val="000000" w:themeColor="text1"/>
                                <w:sz w:val="18"/>
                                <w:szCs w:val="18"/>
                              </w:rPr>
                              <w:br/>
                              <w:t>a multilaterální spolupráce, členství v mezinárodních organizacích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A90CB21" id="Obdélník: se zakulacenými rohy 77" o:spid="_x0000_s1040" style="position:absolute;left:0;text-align:left;margin-left:345.3pt;margin-top:3.95pt;width:112.5pt;height:101.2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" fillcolor="white [3212]" strokecolor="#4f81bd [3204]" strokeweight="2pt">
                <v:textbox>
                  <w:txbxContent>
                    <w:p w14:paraId="295B3D8A" w14:textId="77777777" w:rsidR="00992CDB" w:rsidRPr="002B0E22" w:rsidRDefault="00992CDB" w:rsidP="00FE17AB">
                      <w:pPr>
                        <w:spacing w:after="0" w:line="240" w:lineRule="auto"/>
                        <w:jc w:val="center"/>
                        <w:rPr>
                          <w:b/>
                          <w:bCs/>
                          <w:color w:val="000000" w:themeColor="text1"/>
                        </w:rPr>
                      </w:pPr>
                      <w:r>
                        <w:rPr>
                          <w:b/>
                          <w:bCs/>
                          <w:color w:val="000000" w:themeColor="text1"/>
                        </w:rPr>
                        <w:t>AV ČR</w:t>
                      </w:r>
                    </w:p>
                    <w:p w14:paraId="4D502552" w14:textId="77777777" w:rsidR="00992CDB" w:rsidRDefault="00992CDB" w:rsidP="00FE17AB">
                      <w:pPr>
                        <w:spacing w:after="0" w:line="240" w:lineRule="auto"/>
                        <w:jc w:val="center"/>
                        <w:rPr>
                          <w:b/>
                          <w:bCs/>
                          <w:color w:val="000000" w:themeColor="text1"/>
                          <w:sz w:val="12"/>
                          <w:szCs w:val="12"/>
                        </w:rPr>
                      </w:pPr>
                    </w:p>
                    <w:p w14:paraId="65BC96BB" w14:textId="61D62A7F" w:rsidR="00992CDB" w:rsidRPr="00FE17AB" w:rsidRDefault="00992CDB" w:rsidP="007C77F7">
                      <w:pPr>
                        <w:spacing w:after="0" w:line="240" w:lineRule="auto"/>
                        <w:jc w:val="center"/>
                        <w:rPr>
                          <w:i/>
                          <w:iCs/>
                          <w:color w:val="000000" w:themeColor="text1"/>
                          <w:sz w:val="18"/>
                          <w:szCs w:val="18"/>
                          <w:highlight w:val="yellow"/>
                        </w:rPr>
                      </w:pPr>
                      <w:r>
                        <w:rPr>
                          <w:i/>
                          <w:iCs/>
                          <w:color w:val="000000" w:themeColor="text1"/>
                          <w:sz w:val="18"/>
                          <w:szCs w:val="18"/>
                        </w:rPr>
                        <w:t>M</w:t>
                      </w:r>
                      <w:r w:rsidRPr="00FD7ADA">
                        <w:rPr>
                          <w:i/>
                          <w:iCs/>
                          <w:color w:val="000000" w:themeColor="text1"/>
                          <w:sz w:val="18"/>
                          <w:szCs w:val="18"/>
                        </w:rPr>
                        <w:t>obility</w:t>
                      </w:r>
                      <w:r>
                        <w:rPr>
                          <w:i/>
                          <w:iCs/>
                          <w:color w:val="000000" w:themeColor="text1"/>
                          <w:sz w:val="18"/>
                          <w:szCs w:val="18"/>
                        </w:rPr>
                        <w:t xml:space="preserve">, bilaterální </w:t>
                      </w:r>
                      <w:r>
                        <w:rPr>
                          <w:i/>
                          <w:iCs/>
                          <w:color w:val="000000" w:themeColor="text1"/>
                          <w:sz w:val="18"/>
                          <w:szCs w:val="18"/>
                        </w:rPr>
                        <w:br/>
                        <w:t>a multilaterální spolupráce, členství v mezinárodních organizacích</w:t>
                      </w:r>
                    </w:p>
                  </w:txbxContent>
                </v:textbox>
              </v:roundrect>
            </w:pict>
          </mc:Fallback>
        </mc:AlternateContent>
      </w:r>
      <w:r>
        <w:rPr>
          <w:rFonts w:eastAsia="Times New Roman" w:cs="Arial"/>
          <w:b/>
          <w:noProof/>
          <w:lang w:eastAsia="cs-CZ"/>
        </w:rPr>
        <mc:AlternateContent>
          <mc:Choice Requires="wps">
            <w:drawing>
              <wp:anchor distT="0" distB="0" distL="114300" distR="114300" simplePos="0" relativeHeight="251642368" behindDoc="0" locked="0" layoutInCell="1" allowOverlap="1" wp14:anchorId="353798E0" wp14:editId="3D47EBD2">
                <wp:simplePos x="0" y="0"/>
                <wp:positionH relativeFrom="column">
                  <wp:posOffset>1823085</wp:posOffset>
                </wp:positionH>
                <wp:positionV relativeFrom="paragraph">
                  <wp:posOffset>50165</wp:posOffset>
                </wp:positionV>
                <wp:extent cx="2453640" cy="1295400"/>
                <wp:effectExtent l="0" t="0" r="22860" b="19050"/>
                <wp:wrapNone/>
                <wp:docPr id="76" name="Obdélník: se zakulacenými rohy 76"/>
                <wp:cNvGraphicFramePr/>
                <a:graphic xmlns:a="http://schemas.openxmlformats.org/drawingml/2006/main">
                  <a:graphicData uri="http://schemas.microsoft.com/office/word/2010/wordprocessingShape">
                    <wps:wsp>
                      <wps:cNvSpPr/>
                      <wps:spPr>
                        <a:xfrm>
                          <a:off x="0" y="0"/>
                          <a:ext cx="2453640" cy="1295400"/>
                        </a:xfrm>
                        <a:prstGeom prst="roundRect">
                          <a:avLst/>
                        </a:prstGeom>
                        <a:solidFill>
                          <a:schemeClr val="bg1"/>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FC7283A" w14:textId="5F20F29D" w:rsidR="00992CDB" w:rsidRPr="002B0E22" w:rsidRDefault="00992CDB" w:rsidP="0030254D">
                            <w:pPr>
                              <w:spacing w:after="0" w:line="240" w:lineRule="auto"/>
                              <w:jc w:val="center"/>
                              <w:rPr>
                                <w:b/>
                                <w:bCs/>
                                <w:color w:val="000000" w:themeColor="text1"/>
                              </w:rPr>
                            </w:pPr>
                            <w:r>
                              <w:rPr>
                                <w:b/>
                                <w:bCs/>
                                <w:color w:val="000000" w:themeColor="text1"/>
                              </w:rPr>
                              <w:t>MZV, MO, MV</w:t>
                            </w:r>
                          </w:p>
                          <w:p w14:paraId="465F1AB4" w14:textId="14B17D88" w:rsidR="00992CDB" w:rsidRDefault="00992CDB" w:rsidP="0030254D">
                            <w:pPr>
                              <w:spacing w:after="0" w:line="240" w:lineRule="auto"/>
                              <w:jc w:val="center"/>
                              <w:rPr>
                                <w:b/>
                                <w:bCs/>
                                <w:color w:val="000000" w:themeColor="text1"/>
                                <w:sz w:val="12"/>
                                <w:szCs w:val="12"/>
                              </w:rPr>
                            </w:pPr>
                          </w:p>
                          <w:p w14:paraId="18B5BB58" w14:textId="77777777" w:rsidR="00992CDB" w:rsidRDefault="00992CDB" w:rsidP="0077651A">
                            <w:pPr>
                              <w:spacing w:after="0" w:line="240" w:lineRule="auto"/>
                              <w:jc w:val="center"/>
                              <w:rPr>
                                <w:i/>
                                <w:iCs/>
                                <w:color w:val="000000" w:themeColor="text1"/>
                                <w:sz w:val="18"/>
                                <w:szCs w:val="18"/>
                              </w:rPr>
                            </w:pPr>
                            <w:r w:rsidRPr="00A9037E">
                              <w:rPr>
                                <w:i/>
                                <w:iCs/>
                                <w:color w:val="000000" w:themeColor="text1"/>
                                <w:sz w:val="18"/>
                                <w:szCs w:val="18"/>
                              </w:rPr>
                              <w:t xml:space="preserve">MZV: </w:t>
                            </w:r>
                            <w:r>
                              <w:rPr>
                                <w:i/>
                                <w:iCs/>
                                <w:color w:val="000000" w:themeColor="text1"/>
                                <w:sz w:val="18"/>
                                <w:szCs w:val="18"/>
                              </w:rPr>
                              <w:t>ekonomická a vědecká diplomacie</w:t>
                            </w:r>
                          </w:p>
                          <w:p w14:paraId="0EE0F105" w14:textId="77777777" w:rsidR="00992CDB" w:rsidRDefault="00992CDB" w:rsidP="0077651A">
                            <w:pPr>
                              <w:spacing w:after="0" w:line="240" w:lineRule="auto"/>
                              <w:jc w:val="center"/>
                              <w:rPr>
                                <w:i/>
                                <w:iCs/>
                                <w:color w:val="000000" w:themeColor="text1"/>
                                <w:sz w:val="18"/>
                                <w:szCs w:val="18"/>
                              </w:rPr>
                            </w:pPr>
                            <w:r>
                              <w:rPr>
                                <w:i/>
                                <w:iCs/>
                                <w:color w:val="000000" w:themeColor="text1"/>
                                <w:sz w:val="18"/>
                                <w:szCs w:val="18"/>
                              </w:rPr>
                              <w:t>MO: Evropská obranná agentura</w:t>
                            </w:r>
                          </w:p>
                          <w:p w14:paraId="668AFC52" w14:textId="212AA28F" w:rsidR="00992CDB" w:rsidRPr="00A9037E" w:rsidRDefault="00992CDB" w:rsidP="0077651A">
                            <w:pPr>
                              <w:spacing w:after="0" w:line="240" w:lineRule="auto"/>
                              <w:jc w:val="center"/>
                              <w:rPr>
                                <w:i/>
                                <w:iCs/>
                                <w:color w:val="000000" w:themeColor="text1"/>
                                <w:sz w:val="18"/>
                                <w:szCs w:val="18"/>
                              </w:rPr>
                            </w:pPr>
                            <w:r>
                              <w:rPr>
                                <w:i/>
                                <w:iCs/>
                                <w:color w:val="000000" w:themeColor="text1"/>
                                <w:sz w:val="18"/>
                                <w:szCs w:val="18"/>
                              </w:rPr>
                              <w:t xml:space="preserve">MV: mezinárodní spolupráce </w:t>
                            </w:r>
                            <w:r>
                              <w:rPr>
                                <w:i/>
                                <w:iCs/>
                                <w:color w:val="000000" w:themeColor="text1"/>
                                <w:sz w:val="18"/>
                                <w:szCs w:val="18"/>
                              </w:rPr>
                              <w:br/>
                              <w:t>v bezpečnostním výzkumu</w:t>
                            </w:r>
                          </w:p>
                          <w:p w14:paraId="45280ACA" w14:textId="7C2B0041" w:rsidR="00992CDB" w:rsidRPr="00FE17AB" w:rsidRDefault="00992CDB" w:rsidP="0077651A">
                            <w:pPr>
                              <w:spacing w:after="0" w:line="240" w:lineRule="auto"/>
                              <w:jc w:val="center"/>
                              <w:rPr>
                                <w:i/>
                                <w:iCs/>
                                <w:color w:val="000000" w:themeColor="text1"/>
                                <w:sz w:val="18"/>
                                <w:szCs w:val="18"/>
                                <w:highlight w:val="yellow"/>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53798E0" id="Obdélník: se zakulacenými rohy 76" o:spid="_x0000_s1041" style="position:absolute;left:0;text-align:left;margin-left:143.55pt;margin-top:3.95pt;width:193.2pt;height:102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" fillcolor="white [3212]" strokecolor="#4f81bd [3204]" strokeweight="2pt">
                <v:textbox>
                  <w:txbxContent>
                    <w:p w14:paraId="6FC7283A" w14:textId="5F20F29D" w:rsidR="00992CDB" w:rsidRPr="002B0E22" w:rsidRDefault="00992CDB" w:rsidP="0030254D">
                      <w:pPr>
                        <w:spacing w:after="0" w:line="240" w:lineRule="auto"/>
                        <w:jc w:val="center"/>
                        <w:rPr>
                          <w:b/>
                          <w:bCs/>
                          <w:color w:val="000000" w:themeColor="text1"/>
                        </w:rPr>
                      </w:pPr>
                      <w:r>
                        <w:rPr>
                          <w:b/>
                          <w:bCs/>
                          <w:color w:val="000000" w:themeColor="text1"/>
                        </w:rPr>
                        <w:t>MZV, MO, MV</w:t>
                      </w:r>
                    </w:p>
                    <w:p w14:paraId="465F1AB4" w14:textId="14B17D88" w:rsidR="00992CDB" w:rsidRDefault="00992CDB" w:rsidP="0030254D">
                      <w:pPr>
                        <w:spacing w:after="0" w:line="240" w:lineRule="auto"/>
                        <w:jc w:val="center"/>
                        <w:rPr>
                          <w:b/>
                          <w:bCs/>
                          <w:color w:val="000000" w:themeColor="text1"/>
                          <w:sz w:val="12"/>
                          <w:szCs w:val="12"/>
                        </w:rPr>
                      </w:pPr>
                    </w:p>
                    <w:p w14:paraId="18B5BB58" w14:textId="77777777" w:rsidR="00992CDB" w:rsidRDefault="00992CDB" w:rsidP="0077651A">
                      <w:pPr>
                        <w:spacing w:after="0" w:line="240" w:lineRule="auto"/>
                        <w:jc w:val="center"/>
                        <w:rPr>
                          <w:i/>
                          <w:iCs/>
                          <w:color w:val="000000" w:themeColor="text1"/>
                          <w:sz w:val="18"/>
                          <w:szCs w:val="18"/>
                        </w:rPr>
                      </w:pPr>
                      <w:r w:rsidRPr="00A9037E">
                        <w:rPr>
                          <w:i/>
                          <w:iCs/>
                          <w:color w:val="000000" w:themeColor="text1"/>
                          <w:sz w:val="18"/>
                          <w:szCs w:val="18"/>
                        </w:rPr>
                        <w:t xml:space="preserve">MZV: </w:t>
                      </w:r>
                      <w:r>
                        <w:rPr>
                          <w:i/>
                          <w:iCs/>
                          <w:color w:val="000000" w:themeColor="text1"/>
                          <w:sz w:val="18"/>
                          <w:szCs w:val="18"/>
                        </w:rPr>
                        <w:t>ekonomická a vědecká diplomacie</w:t>
                      </w:r>
                    </w:p>
                    <w:p w14:paraId="0EE0F105" w14:textId="77777777" w:rsidR="00992CDB" w:rsidRDefault="00992CDB" w:rsidP="0077651A">
                      <w:pPr>
                        <w:spacing w:after="0" w:line="240" w:lineRule="auto"/>
                        <w:jc w:val="center"/>
                        <w:rPr>
                          <w:i/>
                          <w:iCs/>
                          <w:color w:val="000000" w:themeColor="text1"/>
                          <w:sz w:val="18"/>
                          <w:szCs w:val="18"/>
                        </w:rPr>
                      </w:pPr>
                      <w:r>
                        <w:rPr>
                          <w:i/>
                          <w:iCs/>
                          <w:color w:val="000000" w:themeColor="text1"/>
                          <w:sz w:val="18"/>
                          <w:szCs w:val="18"/>
                        </w:rPr>
                        <w:t>MO: Evropská obranná agentura</w:t>
                      </w:r>
                    </w:p>
                    <w:p w14:paraId="668AFC52" w14:textId="212AA28F" w:rsidR="00992CDB" w:rsidRPr="00A9037E" w:rsidRDefault="00992CDB" w:rsidP="0077651A">
                      <w:pPr>
                        <w:spacing w:after="0" w:line="240" w:lineRule="auto"/>
                        <w:jc w:val="center"/>
                        <w:rPr>
                          <w:i/>
                          <w:iCs/>
                          <w:color w:val="000000" w:themeColor="text1"/>
                          <w:sz w:val="18"/>
                          <w:szCs w:val="18"/>
                        </w:rPr>
                      </w:pPr>
                      <w:r>
                        <w:rPr>
                          <w:i/>
                          <w:iCs/>
                          <w:color w:val="000000" w:themeColor="text1"/>
                          <w:sz w:val="18"/>
                          <w:szCs w:val="18"/>
                        </w:rPr>
                        <w:t xml:space="preserve">MV: mezinárodní spolupráce </w:t>
                      </w:r>
                      <w:r>
                        <w:rPr>
                          <w:i/>
                          <w:iCs/>
                          <w:color w:val="000000" w:themeColor="text1"/>
                          <w:sz w:val="18"/>
                          <w:szCs w:val="18"/>
                        </w:rPr>
                        <w:br/>
                        <w:t>v bezpečnostním výzkumu</w:t>
                      </w:r>
                    </w:p>
                    <w:p w14:paraId="45280ACA" w14:textId="7C2B0041" w:rsidR="00992CDB" w:rsidRPr="00FE17AB" w:rsidRDefault="00992CDB" w:rsidP="0077651A">
                      <w:pPr>
                        <w:spacing w:after="0" w:line="240" w:lineRule="auto"/>
                        <w:jc w:val="center"/>
                        <w:rPr>
                          <w:i/>
                          <w:iCs/>
                          <w:color w:val="000000" w:themeColor="text1"/>
                          <w:sz w:val="18"/>
                          <w:szCs w:val="18"/>
                          <w:highlight w:val="yellow"/>
                        </w:rPr>
                      </w:pPr>
                    </w:p>
                  </w:txbxContent>
                </v:textbox>
              </v:roundrect>
            </w:pict>
          </mc:Fallback>
        </mc:AlternateContent>
      </w:r>
      <w:r>
        <w:rPr>
          <w:rFonts w:eastAsia="Times New Roman" w:cs="Arial"/>
          <w:b/>
          <w:noProof/>
          <w:lang w:eastAsia="cs-CZ"/>
        </w:rPr>
        <mc:AlternateContent>
          <mc:Choice Requires="wps">
            <w:drawing>
              <wp:anchor distT="0" distB="0" distL="114300" distR="114300" simplePos="0" relativeHeight="251671040" behindDoc="0" locked="0" layoutInCell="1" allowOverlap="1" wp14:anchorId="3419FE92" wp14:editId="27834F78">
                <wp:simplePos x="0" y="0"/>
                <wp:positionH relativeFrom="column">
                  <wp:posOffset>270510</wp:posOffset>
                </wp:positionH>
                <wp:positionV relativeFrom="paragraph">
                  <wp:posOffset>13970</wp:posOffset>
                </wp:positionV>
                <wp:extent cx="1454785" cy="1333500"/>
                <wp:effectExtent l="0" t="0" r="12065" b="19050"/>
                <wp:wrapNone/>
                <wp:docPr id="75" name="Obdélník: se zakulacenými rohy 75"/>
                <wp:cNvGraphicFramePr/>
                <a:graphic xmlns:a="http://schemas.openxmlformats.org/drawingml/2006/main">
                  <a:graphicData uri="http://schemas.microsoft.com/office/word/2010/wordprocessingShape">
                    <wps:wsp>
                      <wps:cNvSpPr/>
                      <wps:spPr>
                        <a:xfrm>
                          <a:off x="0" y="0"/>
                          <a:ext cx="1454785" cy="1333500"/>
                        </a:xfrm>
                        <a:prstGeom prst="roundRect">
                          <a:avLst/>
                        </a:prstGeom>
                        <a:solidFill>
                          <a:schemeClr val="bg1"/>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FA21E9D" w14:textId="189AA15B" w:rsidR="00992CDB" w:rsidRPr="002B0E22" w:rsidRDefault="00992CDB" w:rsidP="0030254D">
                            <w:pPr>
                              <w:spacing w:after="0" w:line="240" w:lineRule="auto"/>
                              <w:jc w:val="center"/>
                              <w:rPr>
                                <w:b/>
                                <w:bCs/>
                                <w:color w:val="000000" w:themeColor="text1"/>
                              </w:rPr>
                            </w:pPr>
                            <w:r>
                              <w:rPr>
                                <w:b/>
                                <w:bCs/>
                                <w:color w:val="000000" w:themeColor="text1"/>
                              </w:rPr>
                              <w:t>GA ČR a TA ČR</w:t>
                            </w:r>
                          </w:p>
                          <w:p w14:paraId="497D411B" w14:textId="45932852" w:rsidR="00992CDB" w:rsidRDefault="00992CDB" w:rsidP="0030254D">
                            <w:pPr>
                              <w:spacing w:after="0" w:line="240" w:lineRule="auto"/>
                              <w:jc w:val="center"/>
                              <w:rPr>
                                <w:b/>
                                <w:bCs/>
                                <w:color w:val="000000" w:themeColor="text1"/>
                                <w:sz w:val="12"/>
                                <w:szCs w:val="12"/>
                              </w:rPr>
                            </w:pPr>
                          </w:p>
                          <w:p w14:paraId="397E9CA5" w14:textId="24C1A786" w:rsidR="00992CDB" w:rsidRPr="00FE17AB" w:rsidRDefault="00992CDB" w:rsidP="0030254D">
                            <w:pPr>
                              <w:spacing w:after="0" w:line="240" w:lineRule="auto"/>
                              <w:jc w:val="center"/>
                              <w:rPr>
                                <w:i/>
                                <w:iCs/>
                                <w:color w:val="000000" w:themeColor="text1"/>
                                <w:sz w:val="18"/>
                                <w:szCs w:val="18"/>
                                <w:highlight w:val="yellow"/>
                              </w:rPr>
                            </w:pPr>
                            <w:r w:rsidRPr="00A9037E">
                              <w:rPr>
                                <w:i/>
                                <w:iCs/>
                                <w:color w:val="000000" w:themeColor="text1"/>
                                <w:sz w:val="18"/>
                                <w:szCs w:val="18"/>
                              </w:rPr>
                              <w:t>Spolupráce s partnerskými organizacemi, účelová podpora mezinárodní spolupráce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419FE92" id="Obdélník: se zakulacenými rohy 75" o:spid="_x0000_s1042" style="position:absolute;left:0;text-align:left;margin-left:21.3pt;margin-top:1.1pt;width:114.55pt;height:10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" fillcolor="white [3212]" strokecolor="#4f81bd [3204]" strokeweight="2pt">
                <v:textbox>
                  <w:txbxContent>
                    <w:p w14:paraId="3FA21E9D" w14:textId="189AA15B" w:rsidR="00992CDB" w:rsidRPr="002B0E22" w:rsidRDefault="00992CDB" w:rsidP="0030254D">
                      <w:pPr>
                        <w:spacing w:after="0" w:line="240" w:lineRule="auto"/>
                        <w:jc w:val="center"/>
                        <w:rPr>
                          <w:b/>
                          <w:bCs/>
                          <w:color w:val="000000" w:themeColor="text1"/>
                        </w:rPr>
                      </w:pPr>
                      <w:r>
                        <w:rPr>
                          <w:b/>
                          <w:bCs/>
                          <w:color w:val="000000" w:themeColor="text1"/>
                        </w:rPr>
                        <w:t>GA ČR a TA ČR</w:t>
                      </w:r>
                    </w:p>
                    <w:p w14:paraId="497D411B" w14:textId="45932852" w:rsidR="00992CDB" w:rsidRDefault="00992CDB" w:rsidP="0030254D">
                      <w:pPr>
                        <w:spacing w:after="0" w:line="240" w:lineRule="auto"/>
                        <w:jc w:val="center"/>
                        <w:rPr>
                          <w:b/>
                          <w:bCs/>
                          <w:color w:val="000000" w:themeColor="text1"/>
                          <w:sz w:val="12"/>
                          <w:szCs w:val="12"/>
                        </w:rPr>
                      </w:pPr>
                    </w:p>
                    <w:p w14:paraId="397E9CA5" w14:textId="24C1A786" w:rsidR="00992CDB" w:rsidRPr="00FE17AB" w:rsidRDefault="00992CDB" w:rsidP="0030254D">
                      <w:pPr>
                        <w:spacing w:after="0" w:line="240" w:lineRule="auto"/>
                        <w:jc w:val="center"/>
                        <w:rPr>
                          <w:i/>
                          <w:iCs/>
                          <w:color w:val="000000" w:themeColor="text1"/>
                          <w:sz w:val="18"/>
                          <w:szCs w:val="18"/>
                          <w:highlight w:val="yellow"/>
                        </w:rPr>
                      </w:pPr>
                      <w:r w:rsidRPr="00A9037E">
                        <w:rPr>
                          <w:i/>
                          <w:iCs/>
                          <w:color w:val="000000" w:themeColor="text1"/>
                          <w:sz w:val="18"/>
                          <w:szCs w:val="18"/>
                        </w:rPr>
                        <w:t>Spolupráce s partnerskými organizacemi, účelová podpora mezinárodní spolupráce</w:t>
                      </w:r>
                    </w:p>
                  </w:txbxContent>
                </v:textbox>
              </v:roundrect>
            </w:pict>
          </mc:Fallback>
        </mc:AlternateContent>
      </w:r>
    </w:p>
    <w:p w14:paraId="2B37E77D" w14:textId="28ABDEF7" w:rsidR="0030254D" w:rsidRDefault="0030254D" w:rsidP="0030254D">
      <w:pPr>
        <w:spacing w:after="0" w:line="360" w:lineRule="auto"/>
        <w:jc w:val="both"/>
        <w:rPr>
          <w:rFonts w:eastAsia="Times New Roman" w:cs="Arial"/>
          <w:b/>
          <w:lang w:eastAsia="cs-CZ"/>
        </w:rPr>
      </w:pPr>
    </w:p>
    <w:p w14:paraId="1AB86F2B" w14:textId="369FC862" w:rsidR="0030254D" w:rsidRDefault="0030254D" w:rsidP="0030254D">
      <w:pPr>
        <w:spacing w:after="0" w:line="360" w:lineRule="auto"/>
        <w:jc w:val="both"/>
        <w:rPr>
          <w:rFonts w:eastAsia="Times New Roman" w:cs="Arial"/>
          <w:b/>
          <w:lang w:eastAsia="cs-CZ"/>
        </w:rPr>
      </w:pPr>
    </w:p>
    <w:p w14:paraId="308D8669" w14:textId="77777777" w:rsidR="0030254D" w:rsidRDefault="0030254D" w:rsidP="0030254D">
      <w:pPr>
        <w:spacing w:after="0" w:line="360" w:lineRule="auto"/>
        <w:jc w:val="both"/>
        <w:rPr>
          <w:rFonts w:eastAsia="Times New Roman" w:cs="Arial"/>
          <w:b/>
          <w:lang w:eastAsia="cs-CZ"/>
        </w:rPr>
      </w:pPr>
    </w:p>
    <w:p w14:paraId="406A300E" w14:textId="77777777" w:rsidR="0030254D" w:rsidRDefault="0030254D" w:rsidP="0030254D">
      <w:pPr>
        <w:spacing w:after="0" w:line="360" w:lineRule="auto"/>
        <w:jc w:val="both"/>
        <w:rPr>
          <w:rFonts w:eastAsia="Times New Roman" w:cs="Arial"/>
          <w:b/>
          <w:lang w:eastAsia="cs-CZ"/>
        </w:rPr>
      </w:pPr>
    </w:p>
    <w:p w14:paraId="722CC6E9" w14:textId="77777777" w:rsidR="0062115B" w:rsidRDefault="0062115B" w:rsidP="0030254D">
      <w:pPr>
        <w:spacing w:after="0" w:line="360" w:lineRule="auto"/>
        <w:jc w:val="both"/>
        <w:rPr>
          <w:rFonts w:eastAsia="Times New Roman" w:cs="Arial"/>
          <w:b/>
          <w:highlight w:val="yellow"/>
          <w:lang w:eastAsia="cs-CZ"/>
        </w:rPr>
      </w:pPr>
    </w:p>
    <w:p w14:paraId="72F01AE1" w14:textId="057C8489" w:rsidR="0062115B" w:rsidRPr="00674F5F" w:rsidRDefault="00C15F2F" w:rsidP="00C56EC7">
      <w:pPr>
        <w:spacing w:after="0" w:line="360" w:lineRule="auto"/>
        <w:rPr>
          <w:rFonts w:eastAsia="Times New Roman" w:cs="Arial"/>
          <w:i/>
          <w:sz w:val="18"/>
          <w:szCs w:val="18"/>
          <w:lang w:eastAsia="cs-CZ"/>
        </w:rPr>
      </w:pPr>
      <w:r w:rsidRPr="00674F5F">
        <w:rPr>
          <w:rFonts w:eastAsia="Times New Roman" w:cs="Arial"/>
          <w:i/>
          <w:sz w:val="18"/>
          <w:szCs w:val="18"/>
          <w:lang w:eastAsia="cs-CZ"/>
        </w:rPr>
        <w:t xml:space="preserve">Zdroj: vlastní zpracování </w:t>
      </w:r>
    </w:p>
    <w:p w14:paraId="2DA752CF" w14:textId="3EB4634A" w:rsidR="008E7508" w:rsidRPr="0019303E" w:rsidRDefault="008E7508" w:rsidP="0062115B">
      <w:pPr>
        <w:pStyle w:val="Nadpis2"/>
        <w:pageBreakBefore/>
        <w:ind w:left="578" w:hanging="578"/>
        <w:rPr>
          <w:rFonts w:eastAsia="Times New Roman"/>
        </w:rPr>
      </w:pPr>
      <w:bookmarkStart w:id="44" w:name="_Toc215589316"/>
      <w:r>
        <w:rPr>
          <w:rFonts w:eastAsia="Times New Roman"/>
        </w:rPr>
        <w:lastRenderedPageBreak/>
        <w:t>Účast v rámcových programech</w:t>
      </w:r>
      <w:bookmarkEnd w:id="44"/>
      <w:r>
        <w:rPr>
          <w:rFonts w:eastAsia="Times New Roman"/>
        </w:rPr>
        <w:t xml:space="preserve"> </w:t>
      </w:r>
    </w:p>
    <w:p w14:paraId="1DB279E1" w14:textId="5835B548" w:rsidR="00142F03" w:rsidRPr="00E23936" w:rsidRDefault="00E23936" w:rsidP="00E23936">
      <w:pPr>
        <w:spacing w:after="120" w:line="360" w:lineRule="auto"/>
        <w:jc w:val="both"/>
        <w:rPr>
          <w:rFonts w:cstheme="minorHAnsi"/>
          <w:color w:val="111111"/>
        </w:rPr>
      </w:pPr>
      <w:r w:rsidRPr="00E23936">
        <w:rPr>
          <w:rStyle w:val="Siln"/>
          <w:rFonts w:cstheme="minorHAnsi"/>
          <w:b w:val="0"/>
          <w:bCs w:val="0"/>
          <w:color w:val="111111"/>
          <w:highlight w:val="yellow"/>
        </w:rPr>
        <w:t>Bude dopracováno.</w:t>
      </w:r>
    </w:p>
    <w:p w14:paraId="6F3728CC" w14:textId="565E386B" w:rsidR="002457E9" w:rsidRPr="004C0D36" w:rsidRDefault="002457E9" w:rsidP="00235652">
      <w:pPr>
        <w:pStyle w:val="Zdrojapoznmka"/>
        <w:rPr>
          <w:i w:val="0"/>
          <w:iCs/>
          <w:highlight w:val="yellow"/>
        </w:rPr>
        <w:sectPr w:rsidR="002457E9" w:rsidRPr="004C0D36" w:rsidSect="00B659E0">
          <w:pgSz w:w="11906" w:h="16838"/>
          <w:pgMar w:top="1134" w:right="1418" w:bottom="1134" w:left="1134" w:header="709" w:footer="709" w:gutter="0"/>
          <w:cols w:space="708"/>
          <w:docGrid w:linePitch="360"/>
        </w:sectPr>
      </w:pPr>
    </w:p>
    <w:p w14:paraId="0891F25F" w14:textId="60D53E6F" w:rsidR="008E7508" w:rsidRPr="0019303E" w:rsidRDefault="008E7508" w:rsidP="008174A8">
      <w:pPr>
        <w:pStyle w:val="Nadpis2"/>
        <w:pageBreakBefore/>
        <w:ind w:left="578" w:hanging="578"/>
        <w:rPr>
          <w:rFonts w:eastAsia="Times New Roman"/>
        </w:rPr>
      </w:pPr>
      <w:bookmarkStart w:id="45" w:name="_Toc215589317"/>
      <w:r>
        <w:rPr>
          <w:rFonts w:eastAsia="Times New Roman"/>
        </w:rPr>
        <w:lastRenderedPageBreak/>
        <w:t>Mezinárodní mobility</w:t>
      </w:r>
      <w:bookmarkEnd w:id="45"/>
    </w:p>
    <w:p w14:paraId="5F00AE61" w14:textId="0545316B" w:rsidR="00913D26" w:rsidRDefault="00201C1B" w:rsidP="00201C1B">
      <w:pPr>
        <w:pStyle w:val="Default"/>
        <w:spacing w:after="120"/>
        <w:ind w:firstLine="0"/>
      </w:pPr>
      <w:r w:rsidRPr="00201C1B">
        <w:rPr>
          <w:highlight w:val="yellow"/>
        </w:rPr>
        <w:t>Bude dopracováno.</w:t>
      </w:r>
    </w:p>
    <w:p w14:paraId="64FE1102" w14:textId="77777777" w:rsidR="00913D26" w:rsidRDefault="00913D26" w:rsidP="00913D26">
      <w:pPr>
        <w:pStyle w:val="Default"/>
        <w:spacing w:after="120"/>
      </w:pPr>
    </w:p>
    <w:p w14:paraId="2A970FCB" w14:textId="77777777" w:rsidR="008E6EE2" w:rsidRPr="00FC107F" w:rsidRDefault="008E6EE2" w:rsidP="00341925">
      <w:pPr>
        <w:pStyle w:val="Default"/>
        <w:spacing w:after="120"/>
        <w:ind w:firstLine="0"/>
        <w:rPr>
          <w:shd w:val="clear" w:color="auto" w:fill="FFFFFF"/>
        </w:rPr>
      </w:pPr>
    </w:p>
    <w:p w14:paraId="0DEAC6CB" w14:textId="5A42EE63" w:rsidR="008E7508" w:rsidRPr="0019303E" w:rsidRDefault="008E7508" w:rsidP="008174A8">
      <w:pPr>
        <w:pStyle w:val="Nadpis2"/>
        <w:pageBreakBefore/>
        <w:ind w:left="578" w:hanging="578"/>
        <w:rPr>
          <w:rFonts w:eastAsia="Times New Roman"/>
        </w:rPr>
      </w:pPr>
      <w:bookmarkStart w:id="46" w:name="_Toc215589318"/>
      <w:r>
        <w:rPr>
          <w:rFonts w:eastAsia="Times New Roman"/>
        </w:rPr>
        <w:lastRenderedPageBreak/>
        <w:t>Účast v mezinárodních organizacích a konsorciích ERIC</w:t>
      </w:r>
      <w:bookmarkEnd w:id="46"/>
    </w:p>
    <w:p w14:paraId="79BF013E" w14:textId="3F8CCE26" w:rsidR="0028130F" w:rsidRPr="0028130F" w:rsidRDefault="0028130F" w:rsidP="0028130F">
      <w:pPr>
        <w:spacing w:after="120" w:line="360" w:lineRule="auto"/>
        <w:jc w:val="both"/>
        <w:rPr>
          <w:rFonts w:eastAsia="Times New Roman" w:cs="Arial"/>
          <w:bCs/>
          <w:lang w:eastAsia="cs-CZ"/>
        </w:rPr>
      </w:pPr>
      <w:r w:rsidRPr="0028130F">
        <w:rPr>
          <w:rFonts w:eastAsia="Times New Roman" w:cs="Arial"/>
          <w:bCs/>
          <w:highlight w:val="yellow"/>
          <w:lang w:eastAsia="cs-CZ"/>
        </w:rPr>
        <w:t>Bude dopracováno.</w:t>
      </w:r>
    </w:p>
    <w:p w14:paraId="6E159E92" w14:textId="50AB0794" w:rsidR="00BC797F" w:rsidRPr="00BC797F" w:rsidRDefault="00BC797F" w:rsidP="00BC797F">
      <w:pPr>
        <w:pStyle w:val="Nadpis2"/>
        <w:pageBreakBefore/>
        <w:ind w:left="578" w:hanging="578"/>
        <w:rPr>
          <w:rFonts w:eastAsia="Times New Roman"/>
        </w:rPr>
      </w:pPr>
      <w:bookmarkStart w:id="47" w:name="_Toc215589319"/>
      <w:r w:rsidRPr="00BC797F">
        <w:rPr>
          <w:rFonts w:eastAsia="Times New Roman"/>
        </w:rPr>
        <w:lastRenderedPageBreak/>
        <w:t>Vybrané programy pro rozvoj mezinárodní spolupráce</w:t>
      </w:r>
      <w:bookmarkEnd w:id="47"/>
    </w:p>
    <w:p w14:paraId="31769773" w14:textId="77777777" w:rsidR="00E23936" w:rsidRPr="00487F91" w:rsidRDefault="00E23936" w:rsidP="00E23936">
      <w:pPr>
        <w:spacing w:after="120" w:line="360" w:lineRule="auto"/>
        <w:jc w:val="both"/>
        <w:rPr>
          <w:rFonts w:eastAsia="Times New Roman" w:cs="Arial"/>
          <w:b/>
          <w:lang w:eastAsia="cs-CZ"/>
        </w:rPr>
      </w:pPr>
      <w:r w:rsidRPr="00487F91">
        <w:rPr>
          <w:rFonts w:eastAsia="Times New Roman" w:cs="Arial"/>
          <w:b/>
          <w:lang w:eastAsia="cs-CZ"/>
        </w:rPr>
        <w:t xml:space="preserve">Multilaterální spolupráce ve </w:t>
      </w:r>
      <w:proofErr w:type="spellStart"/>
      <w:r w:rsidRPr="00487F91">
        <w:rPr>
          <w:rFonts w:eastAsia="Times New Roman" w:cs="Arial"/>
          <w:b/>
          <w:lang w:eastAsia="cs-CZ"/>
        </w:rPr>
        <w:t>VaVaI</w:t>
      </w:r>
      <w:proofErr w:type="spellEnd"/>
    </w:p>
    <w:p w14:paraId="2D9CE288" w14:textId="2C316BDF" w:rsidR="00E23936" w:rsidRDefault="00E23936" w:rsidP="00E23936">
      <w:pPr>
        <w:spacing w:after="120" w:line="360" w:lineRule="auto"/>
        <w:ind w:firstLine="709"/>
        <w:jc w:val="both"/>
        <w:rPr>
          <w:rFonts w:eastAsia="Times New Roman" w:cs="Arial"/>
          <w:bCs/>
          <w:lang w:eastAsia="cs-CZ"/>
        </w:rPr>
      </w:pPr>
      <w:r>
        <w:rPr>
          <w:rFonts w:eastAsia="Times New Roman" w:cs="Arial"/>
          <w:bCs/>
          <w:lang w:eastAsia="cs-CZ"/>
        </w:rPr>
        <w:t xml:space="preserve">Jedním ze stěžejních programů na </w:t>
      </w:r>
      <w:r w:rsidRPr="002D2A66">
        <w:rPr>
          <w:rFonts w:eastAsia="Times New Roman" w:cs="Arial"/>
          <w:lang w:eastAsia="cs-CZ"/>
        </w:rPr>
        <w:t>podporu multilaterální spolupráce</w:t>
      </w:r>
      <w:r>
        <w:rPr>
          <w:rFonts w:eastAsia="Times New Roman" w:cs="Arial"/>
          <w:bCs/>
          <w:lang w:eastAsia="cs-CZ"/>
        </w:rPr>
        <w:t xml:space="preserve"> ve </w:t>
      </w:r>
      <w:proofErr w:type="spellStart"/>
      <w:r>
        <w:rPr>
          <w:rFonts w:eastAsia="Times New Roman" w:cs="Arial"/>
          <w:bCs/>
          <w:lang w:eastAsia="cs-CZ"/>
        </w:rPr>
        <w:t>VaVaI</w:t>
      </w:r>
      <w:proofErr w:type="spellEnd"/>
      <w:r>
        <w:rPr>
          <w:rFonts w:eastAsia="Times New Roman" w:cs="Arial"/>
          <w:bCs/>
          <w:lang w:eastAsia="cs-CZ"/>
        </w:rPr>
        <w:t xml:space="preserve"> je program </w:t>
      </w:r>
      <w:r w:rsidRPr="002D2A66">
        <w:rPr>
          <w:rFonts w:eastAsia="Times New Roman" w:cs="Arial"/>
          <w:b/>
          <w:bCs/>
          <w:lang w:eastAsia="cs-CZ"/>
        </w:rPr>
        <w:t>INTER-EXCELLENCE I</w:t>
      </w:r>
      <w:r>
        <w:rPr>
          <w:rFonts w:eastAsia="Times New Roman" w:cs="Arial"/>
          <w:b/>
          <w:bCs/>
          <w:lang w:eastAsia="cs-CZ"/>
        </w:rPr>
        <w:t>I</w:t>
      </w:r>
      <w:r w:rsidRPr="00260DC3">
        <w:rPr>
          <w:rFonts w:eastAsia="Times New Roman" w:cs="Arial"/>
          <w:lang w:eastAsia="cs-CZ"/>
        </w:rPr>
        <w:t>,</w:t>
      </w:r>
      <w:r>
        <w:rPr>
          <w:rFonts w:eastAsia="Times New Roman" w:cs="Arial"/>
          <w:b/>
          <w:bCs/>
          <w:lang w:eastAsia="cs-CZ"/>
        </w:rPr>
        <w:t xml:space="preserve"> </w:t>
      </w:r>
      <w:r>
        <w:rPr>
          <w:rFonts w:eastAsia="Times New Roman" w:cs="Arial"/>
          <w:bCs/>
          <w:lang w:eastAsia="cs-CZ"/>
        </w:rPr>
        <w:t xml:space="preserve">který je poskytován MŠMT a </w:t>
      </w:r>
      <w:r>
        <w:t>cílí</w:t>
      </w:r>
      <w:r w:rsidRPr="008D2D27">
        <w:t xml:space="preserve"> na podporu mezinárodní spolupráce českých výzkumných organizací a podniků v oblasti </w:t>
      </w:r>
      <w:proofErr w:type="spellStart"/>
      <w:r>
        <w:t>VaVaI</w:t>
      </w:r>
      <w:proofErr w:type="spellEnd"/>
      <w:r w:rsidRPr="008D2D27">
        <w:t>. Program INTER-EXCELLENCE zahrnuje několik podprogramů, z nichž každý cílí na různé formy bilaterální i</w:t>
      </w:r>
      <w:r>
        <w:t> </w:t>
      </w:r>
      <w:r w:rsidRPr="008D2D27">
        <w:t>multilaterální spolupráce</w:t>
      </w:r>
      <w:r>
        <w:rPr>
          <w:rFonts w:eastAsia="Times New Roman" w:cs="Arial"/>
          <w:bCs/>
          <w:lang w:eastAsia="cs-CZ"/>
        </w:rPr>
        <w:t xml:space="preserve">. V rámci podprogramu </w:t>
      </w:r>
      <w:r w:rsidRPr="00081A1F">
        <w:rPr>
          <w:rFonts w:eastAsia="Times New Roman" w:cs="Arial"/>
          <w:b/>
          <w:lang w:eastAsia="cs-CZ"/>
        </w:rPr>
        <w:t>INTER-EUREKA II</w:t>
      </w:r>
      <w:r>
        <w:rPr>
          <w:rFonts w:eastAsia="Times New Roman" w:cs="Arial"/>
          <w:bCs/>
          <w:lang w:eastAsia="cs-CZ"/>
        </w:rPr>
        <w:t>, který propojuje české subjekty do sítě EUREKA II,</w:t>
      </w:r>
      <w:r>
        <w:rPr>
          <w:rStyle w:val="Znakapoznpodarou"/>
          <w:rFonts w:eastAsia="Times New Roman" w:cs="Arial"/>
          <w:bCs/>
        </w:rPr>
        <w:footnoteReference w:id="15"/>
      </w:r>
      <w:r>
        <w:rPr>
          <w:rFonts w:eastAsia="Times New Roman" w:cs="Arial"/>
          <w:bCs/>
          <w:lang w:eastAsia="cs-CZ"/>
        </w:rPr>
        <w:t xml:space="preserve"> bylo v roce 2024 podpořeno celkem 17 projektů v celkové výši </w:t>
      </w:r>
      <w:r w:rsidRPr="00081A1F">
        <w:rPr>
          <w:rFonts w:eastAsia="Times New Roman" w:cs="Arial"/>
          <w:bCs/>
          <w:lang w:eastAsia="cs-CZ"/>
        </w:rPr>
        <w:t>45</w:t>
      </w:r>
      <w:r>
        <w:rPr>
          <w:rFonts w:eastAsia="Times New Roman" w:cs="Arial"/>
          <w:bCs/>
          <w:lang w:eastAsia="cs-CZ"/>
        </w:rPr>
        <w:t>,3 mil. Kč. V rámci podprogramu</w:t>
      </w:r>
      <w:r w:rsidRPr="00341925">
        <w:rPr>
          <w:rFonts w:eastAsia="Times New Roman" w:cs="Arial"/>
          <w:bCs/>
          <w:lang w:eastAsia="cs-CZ"/>
        </w:rPr>
        <w:t xml:space="preserve"> </w:t>
      </w:r>
      <w:r w:rsidRPr="00D6367A">
        <w:rPr>
          <w:rFonts w:eastAsia="Times New Roman" w:cs="Arial"/>
          <w:b/>
          <w:lang w:eastAsia="cs-CZ"/>
        </w:rPr>
        <w:t>INTER-</w:t>
      </w:r>
      <w:r w:rsidRPr="00081A1F">
        <w:rPr>
          <w:rFonts w:eastAsia="Times New Roman" w:cs="Arial"/>
          <w:b/>
          <w:lang w:eastAsia="cs-CZ"/>
        </w:rPr>
        <w:t>COST I</w:t>
      </w:r>
      <w:r w:rsidRPr="00D6367A">
        <w:rPr>
          <w:rFonts w:eastAsia="Times New Roman" w:cs="Arial"/>
          <w:b/>
          <w:lang w:eastAsia="cs-CZ"/>
        </w:rPr>
        <w:t>I</w:t>
      </w:r>
      <w:r>
        <w:rPr>
          <w:rFonts w:eastAsia="Times New Roman" w:cs="Arial"/>
          <w:bCs/>
          <w:lang w:eastAsia="cs-CZ"/>
        </w:rPr>
        <w:t>, který zapojuje české vědce do programu COST,</w:t>
      </w:r>
      <w:r w:rsidRPr="00341925">
        <w:rPr>
          <w:rFonts w:eastAsia="Times New Roman" w:cs="Arial"/>
          <w:bCs/>
          <w:lang w:eastAsia="cs-CZ"/>
        </w:rPr>
        <w:t xml:space="preserve"> </w:t>
      </w:r>
      <w:r>
        <w:rPr>
          <w:rFonts w:eastAsia="Times New Roman" w:cs="Arial"/>
          <w:bCs/>
          <w:lang w:eastAsia="cs-CZ"/>
        </w:rPr>
        <w:t>bylo v témže roce podpořeno celkem 58 projektů ve výši 88,5 mil. Kč. V rámci podprogramu</w:t>
      </w:r>
      <w:r w:rsidRPr="00341925">
        <w:rPr>
          <w:rFonts w:eastAsia="Times New Roman" w:cs="Arial"/>
          <w:bCs/>
          <w:lang w:eastAsia="cs-CZ"/>
        </w:rPr>
        <w:t xml:space="preserve"> </w:t>
      </w:r>
      <w:r w:rsidRPr="00D6367A">
        <w:rPr>
          <w:rFonts w:eastAsia="Times New Roman" w:cs="Arial"/>
          <w:b/>
          <w:lang w:eastAsia="cs-CZ"/>
        </w:rPr>
        <w:t>INTER-TRANSFER</w:t>
      </w:r>
      <w:r w:rsidRPr="00081A1F">
        <w:rPr>
          <w:rFonts w:eastAsia="Times New Roman" w:cs="Arial"/>
          <w:bCs/>
          <w:lang w:eastAsia="cs-CZ"/>
        </w:rPr>
        <w:t>,</w:t>
      </w:r>
      <w:r>
        <w:rPr>
          <w:rFonts w:eastAsia="Times New Roman" w:cs="Arial"/>
          <w:bCs/>
          <w:lang w:eastAsia="cs-CZ"/>
        </w:rPr>
        <w:t xml:space="preserve"> </w:t>
      </w:r>
      <w:r w:rsidRPr="00081A1F">
        <w:rPr>
          <w:rFonts w:eastAsia="Times New Roman" w:cs="Arial"/>
          <w:bCs/>
          <w:lang w:eastAsia="cs-CZ"/>
        </w:rPr>
        <w:t>který byl součástí původního programu INTER-EXCELLENCE I,</w:t>
      </w:r>
      <w:r>
        <w:rPr>
          <w:rFonts w:eastAsia="Times New Roman" w:cs="Arial"/>
          <w:bCs/>
          <w:lang w:eastAsia="cs-CZ"/>
        </w:rPr>
        <w:t xml:space="preserve"> bylo v roce 2024 podpořeno 8 projektů v hodnotě 18,8 mil. Kč. Tento podprogram podporuje zapojení českých vědců do mezinárodních výzkumných týmů, v rámci programu INTER-EXCELLENCE II již nebude realizován.</w:t>
      </w:r>
    </w:p>
    <w:p w14:paraId="76AB4761" w14:textId="7F04026E" w:rsidR="00E23936" w:rsidRDefault="00E23936" w:rsidP="00E23936">
      <w:pPr>
        <w:spacing w:after="120" w:line="360" w:lineRule="auto"/>
        <w:ind w:firstLine="709"/>
        <w:jc w:val="both"/>
        <w:rPr>
          <w:rFonts w:eastAsia="Times New Roman" w:cs="Arial"/>
          <w:bCs/>
          <w:lang w:eastAsia="cs-CZ"/>
        </w:rPr>
      </w:pPr>
      <w:r w:rsidRPr="00C944C4">
        <w:rPr>
          <w:rFonts w:eastAsia="Times New Roman" w:cs="Arial"/>
          <w:bCs/>
          <w:lang w:eastAsia="cs-CZ"/>
        </w:rPr>
        <w:t>D</w:t>
      </w:r>
      <w:r>
        <w:rPr>
          <w:rFonts w:eastAsia="Times New Roman" w:cs="Arial"/>
          <w:bCs/>
          <w:lang w:eastAsia="cs-CZ"/>
        </w:rPr>
        <w:t>alším</w:t>
      </w:r>
      <w:r w:rsidRPr="00C944C4">
        <w:rPr>
          <w:rFonts w:eastAsia="Times New Roman" w:cs="Arial"/>
          <w:bCs/>
          <w:lang w:eastAsia="cs-CZ"/>
        </w:rPr>
        <w:t xml:space="preserve"> významným dotačním titulem MŠMT je program </w:t>
      </w:r>
      <w:r>
        <w:rPr>
          <w:rFonts w:eastAsia="Times New Roman" w:cs="Arial"/>
          <w:b/>
          <w:bCs/>
          <w:lang w:eastAsia="cs-CZ"/>
        </w:rPr>
        <w:t xml:space="preserve">Eurostars-2, </w:t>
      </w:r>
      <w:r w:rsidRPr="00E30A9F">
        <w:rPr>
          <w:rFonts w:eastAsia="Times New Roman" w:cs="Arial"/>
          <w:bCs/>
          <w:lang w:eastAsia="cs-CZ"/>
        </w:rPr>
        <w:t xml:space="preserve">který podporuje výzkumné aktivity </w:t>
      </w:r>
      <w:r>
        <w:rPr>
          <w:rFonts w:eastAsia="Times New Roman" w:cs="Arial"/>
          <w:bCs/>
          <w:lang w:eastAsia="cs-CZ"/>
        </w:rPr>
        <w:t>MSP</w:t>
      </w:r>
      <w:r w:rsidRPr="00E30A9F">
        <w:rPr>
          <w:rFonts w:eastAsia="Times New Roman" w:cs="Arial"/>
          <w:bCs/>
          <w:lang w:eastAsia="cs-CZ"/>
        </w:rPr>
        <w:t>.</w:t>
      </w:r>
      <w:r w:rsidRPr="00C944C4">
        <w:rPr>
          <w:rFonts w:eastAsia="Times New Roman" w:cs="Arial"/>
          <w:bCs/>
          <w:lang w:eastAsia="cs-CZ"/>
        </w:rPr>
        <w:t xml:space="preserve"> V roce 202</w:t>
      </w:r>
      <w:r>
        <w:rPr>
          <w:rFonts w:eastAsia="Times New Roman" w:cs="Arial"/>
          <w:bCs/>
          <w:lang w:eastAsia="cs-CZ"/>
        </w:rPr>
        <w:t>4</w:t>
      </w:r>
      <w:r w:rsidRPr="00C944C4">
        <w:rPr>
          <w:rFonts w:eastAsia="Times New Roman" w:cs="Arial"/>
          <w:bCs/>
          <w:lang w:eastAsia="cs-CZ"/>
        </w:rPr>
        <w:t xml:space="preserve"> bylo podpořeno </w:t>
      </w:r>
      <w:r w:rsidRPr="005333CF">
        <w:rPr>
          <w:rFonts w:eastAsia="Times New Roman" w:cs="Arial"/>
          <w:bCs/>
          <w:lang w:eastAsia="cs-CZ"/>
        </w:rPr>
        <w:t xml:space="preserve">celkem </w:t>
      </w:r>
      <w:r>
        <w:rPr>
          <w:rFonts w:eastAsia="Times New Roman" w:cs="Arial"/>
          <w:bCs/>
          <w:lang w:eastAsia="cs-CZ"/>
        </w:rPr>
        <w:t>6</w:t>
      </w:r>
      <w:r w:rsidRPr="005333CF">
        <w:rPr>
          <w:rFonts w:eastAsia="Times New Roman" w:cs="Arial"/>
          <w:bCs/>
          <w:lang w:eastAsia="cs-CZ"/>
        </w:rPr>
        <w:t xml:space="preserve"> projektů v hodnotě </w:t>
      </w:r>
      <w:r w:rsidRPr="003661EC">
        <w:rPr>
          <w:rFonts w:eastAsia="Times New Roman" w:cs="Arial"/>
          <w:bCs/>
          <w:lang w:eastAsia="cs-CZ"/>
        </w:rPr>
        <w:t>12,2</w:t>
      </w:r>
      <w:r w:rsidRPr="005333CF">
        <w:rPr>
          <w:rFonts w:eastAsia="Times New Roman" w:cs="Arial"/>
          <w:bCs/>
          <w:lang w:eastAsia="cs-CZ"/>
        </w:rPr>
        <w:t xml:space="preserve"> mil.</w:t>
      </w:r>
      <w:r>
        <w:rPr>
          <w:rFonts w:eastAsia="Times New Roman" w:cs="Arial"/>
          <w:bCs/>
          <w:lang w:eastAsia="cs-CZ"/>
        </w:rPr>
        <w:t> </w:t>
      </w:r>
      <w:r w:rsidRPr="005333CF">
        <w:rPr>
          <w:rFonts w:eastAsia="Times New Roman" w:cs="Arial"/>
          <w:bCs/>
          <w:lang w:eastAsia="cs-CZ"/>
        </w:rPr>
        <w:t>Kč.</w:t>
      </w:r>
    </w:p>
    <w:p w14:paraId="568F042B" w14:textId="77777777" w:rsidR="00E23936" w:rsidRPr="004B7A03" w:rsidRDefault="00E23936" w:rsidP="00E23936">
      <w:pPr>
        <w:keepNext/>
        <w:spacing w:before="120" w:after="240" w:line="240" w:lineRule="auto"/>
        <w:jc w:val="both"/>
        <w:rPr>
          <w:rFonts w:eastAsia="Times New Roman" w:cs="Times New Roman"/>
          <w:b/>
          <w:bCs/>
          <w:szCs w:val="24"/>
          <w:lang w:eastAsia="cs-CZ"/>
        </w:rPr>
      </w:pPr>
      <w:r w:rsidRPr="00FB4956">
        <w:rPr>
          <w:b/>
          <w:bCs/>
          <w:noProof/>
          <w:lang w:eastAsia="cs-CZ"/>
        </w:rPr>
        <mc:AlternateContent>
          <mc:Choice Requires="wps">
            <w:drawing>
              <wp:anchor distT="0" distB="0" distL="114300" distR="114300" simplePos="0" relativeHeight="251636224" behindDoc="0" locked="0" layoutInCell="1" allowOverlap="1" wp14:anchorId="60BE838D" wp14:editId="53D0B39A">
                <wp:simplePos x="0" y="0"/>
                <wp:positionH relativeFrom="column">
                  <wp:posOffset>127635</wp:posOffset>
                </wp:positionH>
                <wp:positionV relativeFrom="paragraph">
                  <wp:posOffset>278131</wp:posOffset>
                </wp:positionV>
                <wp:extent cx="5800725" cy="3486150"/>
                <wp:effectExtent l="0" t="0" r="9525" b="0"/>
                <wp:wrapNone/>
                <wp:docPr id="83" name="Kosočtverec 83"/>
                <wp:cNvGraphicFramePr/>
                <a:graphic xmlns:a="http://schemas.openxmlformats.org/drawingml/2006/main">
                  <a:graphicData uri="http://schemas.microsoft.com/office/word/2010/wordprocessingShape">
                    <wps:wsp>
                      <wps:cNvSpPr/>
                      <wps:spPr>
                        <a:xfrm>
                          <a:off x="0" y="0"/>
                          <a:ext cx="5800725" cy="3486150"/>
                        </a:xfrm>
                        <a:prstGeom prst="diamond">
                          <a:avLst/>
                        </a:prstGeom>
                      </wps:spPr>
                      <wps:style>
                        <a:lnRef idx="0">
                          <a:schemeClr val="accent1">
                            <a:hueOff val="0"/>
                            <a:satOff val="0"/>
                            <a:lumOff val="0"/>
                            <a:alphaOff val="0"/>
                          </a:schemeClr>
                        </a:lnRef>
                        <a:fillRef idx="1">
                          <a:schemeClr val="accent1">
                            <a:tint val="40000"/>
                            <a:hueOff val="0"/>
                            <a:satOff val="0"/>
                            <a:lumOff val="0"/>
                            <a:alphaOff val="0"/>
                          </a:schemeClr>
                        </a:fillRef>
                        <a:effectRef idx="0">
                          <a:schemeClr val="accent1">
                            <a:tint val="40000"/>
                            <a:hueOff val="0"/>
                            <a:satOff val="0"/>
                            <a:lumOff val="0"/>
                            <a:alphaOff val="0"/>
                          </a:schemeClr>
                        </a:effectRef>
                        <a:fontRef idx="minor">
                          <a:schemeClr val="dk1">
                            <a:hueOff val="0"/>
                            <a:satOff val="0"/>
                            <a:lumOff val="0"/>
                            <a:alphaOff val="0"/>
                          </a:schemeClr>
                        </a:fontRef>
                      </wps:style>
                      <wps:bodyPr/>
                    </wps:wsp>
                  </a:graphicData>
                </a:graphic>
                <wp14:sizeRelH relativeFrom="margin">
                  <wp14:pctWidth>0</wp14:pctWidth>
                </wp14:sizeRelH>
                <wp14:sizeRelV relativeFrom="margin">
                  <wp14:pctHeight>0</wp14:pctHeight>
                </wp14:sizeRelV>
              </wp:anchor>
            </w:drawing>
          </mc:Choice>
          <mc:Fallback>
            <w:pict>
              <v:shape w14:anchorId="56CC40B4" id="Kosočtverec 83" o:spid="_x0000_s1026" type="#_x0000_t4" style="position:absolute;margin-left:10.05pt;margin-top:21.9pt;width:456.75pt;height:274.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" fillcolor="#b8cce4 [1300]" stroked="f"/>
            </w:pict>
          </mc:Fallback>
        </mc:AlternateContent>
      </w:r>
      <w:r w:rsidRPr="00FB4956">
        <w:rPr>
          <w:b/>
          <w:bCs/>
        </w:rPr>
        <w:t>Schéma F.4.1:</w:t>
      </w:r>
      <w:r w:rsidRPr="004B7A03">
        <w:rPr>
          <w:b/>
          <w:bCs/>
        </w:rPr>
        <w:t xml:space="preserve"> Vybrané programy multilaterální</w:t>
      </w:r>
      <w:r w:rsidRPr="004B7A03">
        <w:rPr>
          <w:rFonts w:eastAsia="Times New Roman" w:cs="Arial"/>
          <w:b/>
          <w:bCs/>
          <w:noProof/>
          <w:lang w:eastAsia="cs-CZ"/>
        </w:rPr>
        <w:t xml:space="preserve"> spolupráce </w:t>
      </w:r>
      <w:r>
        <w:rPr>
          <w:rFonts w:eastAsia="Times New Roman" w:cs="Arial"/>
          <w:b/>
          <w:bCs/>
          <w:noProof/>
          <w:lang w:eastAsia="cs-CZ"/>
        </w:rPr>
        <w:t>v roce 2024</w:t>
      </w:r>
    </w:p>
    <w:p w14:paraId="479FBAE4" w14:textId="1C4954F4" w:rsidR="00E23936" w:rsidRPr="00C41515" w:rsidRDefault="00E23936" w:rsidP="00E23936">
      <w:pPr>
        <w:keepNext/>
        <w:spacing w:before="120" w:after="240" w:line="240" w:lineRule="auto"/>
        <w:jc w:val="both"/>
        <w:rPr>
          <w:rFonts w:eastAsia="Times New Roman" w:cs="Times New Roman"/>
          <w:b/>
          <w:szCs w:val="24"/>
          <w:highlight w:val="yellow"/>
          <w:lang w:eastAsia="cs-CZ"/>
        </w:rPr>
      </w:pPr>
      <w:r w:rsidRPr="00C41515">
        <w:rPr>
          <w:b/>
          <w:bCs/>
          <w:noProof/>
          <w:lang w:eastAsia="cs-CZ"/>
        </w:rPr>
        <mc:AlternateContent>
          <mc:Choice Requires="wps">
            <w:drawing>
              <wp:anchor distT="0" distB="0" distL="114300" distR="114300" simplePos="0" relativeHeight="251638272" behindDoc="0" locked="0" layoutInCell="1" allowOverlap="1" wp14:anchorId="5C6530EE" wp14:editId="0886FA2F">
                <wp:simplePos x="0" y="0"/>
                <wp:positionH relativeFrom="column">
                  <wp:posOffset>3080385</wp:posOffset>
                </wp:positionH>
                <wp:positionV relativeFrom="paragraph">
                  <wp:posOffset>79375</wp:posOffset>
                </wp:positionV>
                <wp:extent cx="2711450" cy="1466850"/>
                <wp:effectExtent l="0" t="0" r="12700" b="19050"/>
                <wp:wrapNone/>
                <wp:docPr id="82" name="Obdélník: se zakulacenými rohy 82"/>
                <wp:cNvGraphicFramePr/>
                <a:graphic xmlns:a="http://schemas.openxmlformats.org/drawingml/2006/main">
                  <a:graphicData uri="http://schemas.microsoft.com/office/word/2010/wordprocessingShape">
                    <wps:wsp>
                      <wps:cNvSpPr/>
                      <wps:spPr>
                        <a:xfrm>
                          <a:off x="0" y="0"/>
                          <a:ext cx="2711450" cy="1466850"/>
                        </a:xfrm>
                        <a:prstGeom prst="roundRect">
                          <a:avLst/>
                        </a:prstGeom>
                        <a:solidFill>
                          <a:schemeClr val="bg1"/>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D8FA67F" w14:textId="77777777" w:rsidR="00E23936" w:rsidRDefault="00E23936" w:rsidP="00E23936">
                            <w:pPr>
                              <w:spacing w:after="0" w:line="240" w:lineRule="auto"/>
                              <w:jc w:val="center"/>
                              <w:rPr>
                                <w:color w:val="000000" w:themeColor="text1"/>
                                <w:sz w:val="12"/>
                                <w:szCs w:val="12"/>
                              </w:rPr>
                            </w:pPr>
                            <w:r>
                              <w:rPr>
                                <w:b/>
                                <w:bCs/>
                                <w:color w:val="000000" w:themeColor="text1"/>
                              </w:rPr>
                              <w:t>INTER-COST II (2021</w:t>
                            </w:r>
                            <w:r w:rsidRPr="00485E79">
                              <w:rPr>
                                <w:b/>
                                <w:bCs/>
                                <w:color w:val="000000" w:themeColor="text1"/>
                              </w:rPr>
                              <w:t>–2029)</w:t>
                            </w:r>
                          </w:p>
                          <w:p w14:paraId="1AF343E9" w14:textId="77777777" w:rsidR="00E23936" w:rsidRPr="00B2595A" w:rsidRDefault="00E23936" w:rsidP="00E23936">
                            <w:pPr>
                              <w:spacing w:after="0" w:line="240" w:lineRule="auto"/>
                              <w:jc w:val="center"/>
                              <w:rPr>
                                <w:color w:val="000000" w:themeColor="text1"/>
                                <w:sz w:val="12"/>
                                <w:szCs w:val="12"/>
                              </w:rPr>
                            </w:pPr>
                            <w:r>
                              <w:rPr>
                                <w:color w:val="000000" w:themeColor="text1"/>
                                <w:sz w:val="18"/>
                                <w:szCs w:val="18"/>
                              </w:rPr>
                              <w:t>Schválená podpora: 88,7 mil. Kč</w:t>
                            </w:r>
                          </w:p>
                          <w:p w14:paraId="0180F918" w14:textId="77777777" w:rsidR="00E23936" w:rsidRDefault="00E23936" w:rsidP="00E23936">
                            <w:pPr>
                              <w:spacing w:after="0" w:line="240" w:lineRule="auto"/>
                              <w:jc w:val="center"/>
                              <w:rPr>
                                <w:color w:val="000000" w:themeColor="text1"/>
                                <w:sz w:val="18"/>
                                <w:szCs w:val="18"/>
                              </w:rPr>
                            </w:pPr>
                            <w:r>
                              <w:rPr>
                                <w:color w:val="000000" w:themeColor="text1"/>
                                <w:sz w:val="18"/>
                                <w:szCs w:val="18"/>
                              </w:rPr>
                              <w:t>Čerpaná podpora</w:t>
                            </w:r>
                            <w:r w:rsidRPr="00A4717E">
                              <w:rPr>
                                <w:color w:val="000000" w:themeColor="text1"/>
                                <w:sz w:val="18"/>
                                <w:szCs w:val="18"/>
                              </w:rPr>
                              <w:t>:</w:t>
                            </w:r>
                            <w:r>
                              <w:rPr>
                                <w:color w:val="000000" w:themeColor="text1"/>
                                <w:sz w:val="18"/>
                                <w:szCs w:val="18"/>
                              </w:rPr>
                              <w:t xml:space="preserve"> 88,5 Kč</w:t>
                            </w:r>
                          </w:p>
                          <w:p w14:paraId="4BE0D114" w14:textId="77777777" w:rsidR="00E23936" w:rsidRDefault="00E23936" w:rsidP="00E23936">
                            <w:pPr>
                              <w:spacing w:after="0" w:line="240" w:lineRule="auto"/>
                              <w:jc w:val="center"/>
                              <w:rPr>
                                <w:color w:val="000000" w:themeColor="text1"/>
                                <w:sz w:val="18"/>
                                <w:szCs w:val="18"/>
                              </w:rPr>
                            </w:pPr>
                            <w:r>
                              <w:rPr>
                                <w:color w:val="000000" w:themeColor="text1"/>
                                <w:sz w:val="18"/>
                                <w:szCs w:val="18"/>
                              </w:rPr>
                              <w:t>Počet podpořených projektů: 58</w:t>
                            </w:r>
                          </w:p>
                          <w:p w14:paraId="0AC1D16C" w14:textId="77777777" w:rsidR="00E23936" w:rsidRPr="00022D0E" w:rsidRDefault="00E23936" w:rsidP="00E23936">
                            <w:pPr>
                              <w:spacing w:after="0" w:line="240" w:lineRule="auto"/>
                              <w:jc w:val="center"/>
                              <w:rPr>
                                <w:color w:val="000000" w:themeColor="text1"/>
                                <w:sz w:val="18"/>
                                <w:szCs w:val="18"/>
                              </w:rPr>
                            </w:pPr>
                          </w:p>
                          <w:p w14:paraId="488BE36B" w14:textId="77777777" w:rsidR="00E23936" w:rsidRDefault="00E23936" w:rsidP="00E23936">
                            <w:pPr>
                              <w:spacing w:after="0" w:line="240" w:lineRule="auto"/>
                              <w:jc w:val="center"/>
                              <w:rPr>
                                <w:color w:val="000000" w:themeColor="text1"/>
                                <w:sz w:val="18"/>
                                <w:szCs w:val="18"/>
                              </w:rPr>
                            </w:pPr>
                            <w:r>
                              <w:rPr>
                                <w:color w:val="000000" w:themeColor="text1"/>
                                <w:sz w:val="18"/>
                                <w:szCs w:val="18"/>
                              </w:rPr>
                              <w:t xml:space="preserve">Podpora </w:t>
                            </w:r>
                            <w:r w:rsidRPr="009A06E5">
                              <w:rPr>
                                <w:color w:val="000000" w:themeColor="text1"/>
                                <w:sz w:val="18"/>
                                <w:szCs w:val="18"/>
                              </w:rPr>
                              <w:t>zapojení českých vědců do</w:t>
                            </w:r>
                            <w:r>
                              <w:rPr>
                                <w:color w:val="000000" w:themeColor="text1"/>
                                <w:sz w:val="18"/>
                                <w:szCs w:val="18"/>
                              </w:rPr>
                              <w:t> </w:t>
                            </w:r>
                            <w:r w:rsidRPr="009A06E5">
                              <w:rPr>
                                <w:color w:val="000000" w:themeColor="text1"/>
                                <w:sz w:val="18"/>
                                <w:szCs w:val="18"/>
                              </w:rPr>
                              <w:t>mezinárodního programu pro evropskou spolupráci ve vědě, výzkumu a technologiích (COST) převážně v základním výzkumu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C6530EE" id="Obdélník: se zakulacenými rohy 82" o:spid="_x0000_s1043" style="position:absolute;left:0;text-align:left;margin-left:242.55pt;margin-top:6.25pt;width:213.5pt;height:115.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" fillcolor="white [3212]" strokecolor="#4f81bd [3204]" strokeweight="2pt">
                <v:textbox>
                  <w:txbxContent>
                    <w:p w14:paraId="4D8FA67F" w14:textId="77777777" w:rsidR="00E23936" w:rsidRDefault="00E23936" w:rsidP="00E23936">
                      <w:pPr>
                        <w:spacing w:after="0" w:line="240" w:lineRule="auto"/>
                        <w:jc w:val="center"/>
                        <w:rPr>
                          <w:color w:val="000000" w:themeColor="text1"/>
                          <w:sz w:val="12"/>
                          <w:szCs w:val="12"/>
                        </w:rPr>
                      </w:pPr>
                      <w:r>
                        <w:rPr>
                          <w:b/>
                          <w:bCs/>
                          <w:color w:val="000000" w:themeColor="text1"/>
                        </w:rPr>
                        <w:t>INTER-COST II (2021</w:t>
                      </w:r>
                      <w:r w:rsidRPr="00485E79">
                        <w:rPr>
                          <w:b/>
                          <w:bCs/>
                          <w:color w:val="000000" w:themeColor="text1"/>
                        </w:rPr>
                        <w:t>–2029)</w:t>
                      </w:r>
                    </w:p>
                    <w:p w14:paraId="1AF343E9" w14:textId="77777777" w:rsidR="00E23936" w:rsidRPr="00B2595A" w:rsidRDefault="00E23936" w:rsidP="00E23936">
                      <w:pPr>
                        <w:spacing w:after="0" w:line="240" w:lineRule="auto"/>
                        <w:jc w:val="center"/>
                        <w:rPr>
                          <w:color w:val="000000" w:themeColor="text1"/>
                          <w:sz w:val="12"/>
                          <w:szCs w:val="12"/>
                        </w:rPr>
                      </w:pPr>
                      <w:r>
                        <w:rPr>
                          <w:color w:val="000000" w:themeColor="text1"/>
                          <w:sz w:val="18"/>
                          <w:szCs w:val="18"/>
                        </w:rPr>
                        <w:t>Schválená podpora: 88,7 mil. Kč</w:t>
                      </w:r>
                    </w:p>
                    <w:p w14:paraId="0180F918" w14:textId="77777777" w:rsidR="00E23936" w:rsidRDefault="00E23936" w:rsidP="00E23936">
                      <w:pPr>
                        <w:spacing w:after="0" w:line="240" w:lineRule="auto"/>
                        <w:jc w:val="center"/>
                        <w:rPr>
                          <w:color w:val="000000" w:themeColor="text1"/>
                          <w:sz w:val="18"/>
                          <w:szCs w:val="18"/>
                        </w:rPr>
                      </w:pPr>
                      <w:r>
                        <w:rPr>
                          <w:color w:val="000000" w:themeColor="text1"/>
                          <w:sz w:val="18"/>
                          <w:szCs w:val="18"/>
                        </w:rPr>
                        <w:t>Čerpaná podpora</w:t>
                      </w:r>
                      <w:r w:rsidRPr="00A4717E">
                        <w:rPr>
                          <w:color w:val="000000" w:themeColor="text1"/>
                          <w:sz w:val="18"/>
                          <w:szCs w:val="18"/>
                        </w:rPr>
                        <w:t>:</w:t>
                      </w:r>
                      <w:r>
                        <w:rPr>
                          <w:color w:val="000000" w:themeColor="text1"/>
                          <w:sz w:val="18"/>
                          <w:szCs w:val="18"/>
                        </w:rPr>
                        <w:t xml:space="preserve"> 88,5 Kč</w:t>
                      </w:r>
                    </w:p>
                    <w:p w14:paraId="4BE0D114" w14:textId="77777777" w:rsidR="00E23936" w:rsidRDefault="00E23936" w:rsidP="00E23936">
                      <w:pPr>
                        <w:spacing w:after="0" w:line="240" w:lineRule="auto"/>
                        <w:jc w:val="center"/>
                        <w:rPr>
                          <w:color w:val="000000" w:themeColor="text1"/>
                          <w:sz w:val="18"/>
                          <w:szCs w:val="18"/>
                        </w:rPr>
                      </w:pPr>
                      <w:r>
                        <w:rPr>
                          <w:color w:val="000000" w:themeColor="text1"/>
                          <w:sz w:val="18"/>
                          <w:szCs w:val="18"/>
                        </w:rPr>
                        <w:t>Počet podpořených projektů: 58</w:t>
                      </w:r>
                    </w:p>
                    <w:p w14:paraId="0AC1D16C" w14:textId="77777777" w:rsidR="00E23936" w:rsidRPr="00022D0E" w:rsidRDefault="00E23936" w:rsidP="00E23936">
                      <w:pPr>
                        <w:spacing w:after="0" w:line="240" w:lineRule="auto"/>
                        <w:jc w:val="center"/>
                        <w:rPr>
                          <w:color w:val="000000" w:themeColor="text1"/>
                          <w:sz w:val="18"/>
                          <w:szCs w:val="18"/>
                        </w:rPr>
                      </w:pPr>
                    </w:p>
                    <w:p w14:paraId="488BE36B" w14:textId="77777777" w:rsidR="00E23936" w:rsidRDefault="00E23936" w:rsidP="00E23936">
                      <w:pPr>
                        <w:spacing w:after="0" w:line="240" w:lineRule="auto"/>
                        <w:jc w:val="center"/>
                        <w:rPr>
                          <w:color w:val="000000" w:themeColor="text1"/>
                          <w:sz w:val="18"/>
                          <w:szCs w:val="18"/>
                        </w:rPr>
                      </w:pPr>
                      <w:r>
                        <w:rPr>
                          <w:color w:val="000000" w:themeColor="text1"/>
                          <w:sz w:val="18"/>
                          <w:szCs w:val="18"/>
                        </w:rPr>
                        <w:t xml:space="preserve">Podpora </w:t>
                      </w:r>
                      <w:r w:rsidRPr="009A06E5">
                        <w:rPr>
                          <w:color w:val="000000" w:themeColor="text1"/>
                          <w:sz w:val="18"/>
                          <w:szCs w:val="18"/>
                        </w:rPr>
                        <w:t>zapojení českých vědců do</w:t>
                      </w:r>
                      <w:r>
                        <w:rPr>
                          <w:color w:val="000000" w:themeColor="text1"/>
                          <w:sz w:val="18"/>
                          <w:szCs w:val="18"/>
                        </w:rPr>
                        <w:t> </w:t>
                      </w:r>
                      <w:r w:rsidRPr="009A06E5">
                        <w:rPr>
                          <w:color w:val="000000" w:themeColor="text1"/>
                          <w:sz w:val="18"/>
                          <w:szCs w:val="18"/>
                        </w:rPr>
                        <w:t>mezinárodního programu pro evropskou spolupráci ve vědě, výzkumu a technologiích (COST) převážně v základním výzkumu</w:t>
                      </w:r>
                    </w:p>
                  </w:txbxContent>
                </v:textbox>
              </v:roundrect>
            </w:pict>
          </mc:Fallback>
        </mc:AlternateContent>
      </w:r>
      <w:r w:rsidRPr="00C41515">
        <w:rPr>
          <w:b/>
          <w:bCs/>
          <w:noProof/>
          <w:lang w:eastAsia="cs-CZ"/>
        </w:rPr>
        <mc:AlternateContent>
          <mc:Choice Requires="wps">
            <w:drawing>
              <wp:anchor distT="0" distB="0" distL="114300" distR="114300" simplePos="0" relativeHeight="251662848" behindDoc="0" locked="0" layoutInCell="1" allowOverlap="1" wp14:anchorId="4091AFDE" wp14:editId="79CFA8C8">
                <wp:simplePos x="0" y="0"/>
                <wp:positionH relativeFrom="column">
                  <wp:posOffset>260985</wp:posOffset>
                </wp:positionH>
                <wp:positionV relativeFrom="paragraph">
                  <wp:posOffset>79375</wp:posOffset>
                </wp:positionV>
                <wp:extent cx="2699385" cy="1457325"/>
                <wp:effectExtent l="0" t="0" r="24765" b="28575"/>
                <wp:wrapNone/>
                <wp:docPr id="81" name="Obdélník: se zakulacenými rohy 81"/>
                <wp:cNvGraphicFramePr/>
                <a:graphic xmlns:a="http://schemas.openxmlformats.org/drawingml/2006/main">
                  <a:graphicData uri="http://schemas.microsoft.com/office/word/2010/wordprocessingShape">
                    <wps:wsp>
                      <wps:cNvSpPr/>
                      <wps:spPr>
                        <a:xfrm>
                          <a:off x="0" y="0"/>
                          <a:ext cx="2699385" cy="1457325"/>
                        </a:xfrm>
                        <a:prstGeom prst="roundRect">
                          <a:avLst/>
                        </a:prstGeom>
                        <a:solidFill>
                          <a:schemeClr val="bg1"/>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9A048C7" w14:textId="77777777" w:rsidR="00E23936" w:rsidRPr="00F45A14" w:rsidRDefault="00E23936" w:rsidP="00E23936">
                            <w:pPr>
                              <w:spacing w:after="0" w:line="240" w:lineRule="auto"/>
                              <w:jc w:val="center"/>
                              <w:rPr>
                                <w:color w:val="000000" w:themeColor="text1"/>
                                <w:sz w:val="12"/>
                                <w:szCs w:val="12"/>
                              </w:rPr>
                            </w:pPr>
                            <w:r>
                              <w:rPr>
                                <w:b/>
                                <w:bCs/>
                                <w:color w:val="000000" w:themeColor="text1"/>
                              </w:rPr>
                              <w:t>INTER-EUREKA II (2021</w:t>
                            </w:r>
                            <w:r w:rsidRPr="00F45A14">
                              <w:rPr>
                                <w:b/>
                                <w:bCs/>
                                <w:color w:val="000000" w:themeColor="text1"/>
                              </w:rPr>
                              <w:t>–2029)</w:t>
                            </w:r>
                          </w:p>
                          <w:p w14:paraId="5514CA04" w14:textId="77777777" w:rsidR="00E23936" w:rsidRDefault="00E23936" w:rsidP="00E23936">
                            <w:pPr>
                              <w:spacing w:after="0" w:line="240" w:lineRule="auto"/>
                              <w:jc w:val="center"/>
                              <w:rPr>
                                <w:color w:val="000000" w:themeColor="text1"/>
                                <w:sz w:val="18"/>
                                <w:szCs w:val="18"/>
                              </w:rPr>
                            </w:pPr>
                            <w:r>
                              <w:rPr>
                                <w:color w:val="000000" w:themeColor="text1"/>
                                <w:sz w:val="18"/>
                                <w:szCs w:val="18"/>
                              </w:rPr>
                              <w:t>Schválená podpora: 43,2 mil. Kč</w:t>
                            </w:r>
                          </w:p>
                          <w:p w14:paraId="1996DF7C" w14:textId="77777777" w:rsidR="00E23936" w:rsidRDefault="00E23936" w:rsidP="00E23936">
                            <w:pPr>
                              <w:spacing w:after="0" w:line="240" w:lineRule="auto"/>
                              <w:jc w:val="center"/>
                              <w:rPr>
                                <w:color w:val="000000" w:themeColor="text1"/>
                                <w:sz w:val="18"/>
                                <w:szCs w:val="18"/>
                              </w:rPr>
                            </w:pPr>
                            <w:r>
                              <w:rPr>
                                <w:color w:val="000000" w:themeColor="text1"/>
                                <w:sz w:val="18"/>
                                <w:szCs w:val="18"/>
                              </w:rPr>
                              <w:t>Čerpaná podpora</w:t>
                            </w:r>
                            <w:r w:rsidRPr="00A4717E">
                              <w:rPr>
                                <w:color w:val="000000" w:themeColor="text1"/>
                                <w:sz w:val="18"/>
                                <w:szCs w:val="18"/>
                              </w:rPr>
                              <w:t>:</w:t>
                            </w:r>
                            <w:r>
                              <w:rPr>
                                <w:color w:val="000000" w:themeColor="text1"/>
                                <w:sz w:val="18"/>
                                <w:szCs w:val="18"/>
                              </w:rPr>
                              <w:t xml:space="preserve"> 45,3 Kč</w:t>
                            </w:r>
                          </w:p>
                          <w:p w14:paraId="4C085E54" w14:textId="77777777" w:rsidR="00E23936" w:rsidRDefault="00E23936" w:rsidP="00E23936">
                            <w:pPr>
                              <w:spacing w:after="0" w:line="240" w:lineRule="auto"/>
                              <w:jc w:val="center"/>
                              <w:rPr>
                                <w:color w:val="000000" w:themeColor="text1"/>
                                <w:sz w:val="18"/>
                                <w:szCs w:val="18"/>
                              </w:rPr>
                            </w:pPr>
                            <w:r>
                              <w:rPr>
                                <w:color w:val="000000" w:themeColor="text1"/>
                                <w:sz w:val="18"/>
                                <w:szCs w:val="18"/>
                              </w:rPr>
                              <w:t>Počet podpořených projektů: 17</w:t>
                            </w:r>
                          </w:p>
                          <w:p w14:paraId="7817A4E3" w14:textId="77777777" w:rsidR="00E23936" w:rsidRDefault="00E23936" w:rsidP="00E23936">
                            <w:pPr>
                              <w:spacing w:after="0" w:line="240" w:lineRule="auto"/>
                              <w:jc w:val="center"/>
                              <w:rPr>
                                <w:color w:val="000000" w:themeColor="text1"/>
                                <w:sz w:val="18"/>
                                <w:szCs w:val="18"/>
                              </w:rPr>
                            </w:pPr>
                          </w:p>
                          <w:p w14:paraId="3E1D99A4" w14:textId="77777777" w:rsidR="00E23936" w:rsidRDefault="00E23936" w:rsidP="00E23936">
                            <w:pPr>
                              <w:spacing w:after="0" w:line="240" w:lineRule="auto"/>
                              <w:jc w:val="center"/>
                              <w:rPr>
                                <w:color w:val="000000" w:themeColor="text1"/>
                                <w:sz w:val="18"/>
                                <w:szCs w:val="18"/>
                              </w:rPr>
                            </w:pPr>
                            <w:r>
                              <w:rPr>
                                <w:color w:val="000000" w:themeColor="text1"/>
                                <w:sz w:val="18"/>
                                <w:szCs w:val="18"/>
                              </w:rPr>
                              <w:t xml:space="preserve">Podpora </w:t>
                            </w:r>
                            <w:r w:rsidRPr="009A06E5">
                              <w:rPr>
                                <w:color w:val="000000" w:themeColor="text1"/>
                                <w:sz w:val="18"/>
                                <w:szCs w:val="18"/>
                              </w:rPr>
                              <w:t>účast</w:t>
                            </w:r>
                            <w:r>
                              <w:rPr>
                                <w:color w:val="000000" w:themeColor="text1"/>
                                <w:sz w:val="18"/>
                                <w:szCs w:val="18"/>
                              </w:rPr>
                              <w:t>i</w:t>
                            </w:r>
                            <w:r w:rsidRPr="009A06E5">
                              <w:rPr>
                                <w:color w:val="000000" w:themeColor="text1"/>
                                <w:sz w:val="18"/>
                                <w:szCs w:val="18"/>
                              </w:rPr>
                              <w:t xml:space="preserve"> českých subjektů v rámci mezinárodní sítě EUREKA, jež propojuje průmyslové podniky, výzkumné ústavy a</w:t>
                            </w:r>
                            <w:r>
                              <w:rPr>
                                <w:color w:val="000000" w:themeColor="text1"/>
                                <w:sz w:val="18"/>
                                <w:szCs w:val="18"/>
                              </w:rPr>
                              <w:t> VŠ.</w:t>
                            </w:r>
                          </w:p>
                          <w:p w14:paraId="109C081D" w14:textId="77777777" w:rsidR="00E23936" w:rsidRDefault="00E23936" w:rsidP="00E23936">
                            <w:pPr>
                              <w:spacing w:after="0" w:line="240" w:lineRule="auto"/>
                              <w:jc w:val="center"/>
                              <w:rPr>
                                <w:color w:val="000000" w:themeColor="text1"/>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091AFDE" id="Obdélník: se zakulacenými rohy 81" o:spid="_x0000_s1044" style="position:absolute;left:0;text-align:left;margin-left:20.55pt;margin-top:6.25pt;width:212.55pt;height:114.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" fillcolor="white [3212]" strokecolor="#4f81bd [3204]" strokeweight="2pt">
                <v:textbox>
                  <w:txbxContent>
                    <w:p w14:paraId="39A048C7" w14:textId="77777777" w:rsidR="00E23936" w:rsidRPr="00F45A14" w:rsidRDefault="00E23936" w:rsidP="00E23936">
                      <w:pPr>
                        <w:spacing w:after="0" w:line="240" w:lineRule="auto"/>
                        <w:jc w:val="center"/>
                        <w:rPr>
                          <w:color w:val="000000" w:themeColor="text1"/>
                          <w:sz w:val="12"/>
                          <w:szCs w:val="12"/>
                        </w:rPr>
                      </w:pPr>
                      <w:r>
                        <w:rPr>
                          <w:b/>
                          <w:bCs/>
                          <w:color w:val="000000" w:themeColor="text1"/>
                        </w:rPr>
                        <w:t>INTER-EUREKA II (2021</w:t>
                      </w:r>
                      <w:r w:rsidRPr="00F45A14">
                        <w:rPr>
                          <w:b/>
                          <w:bCs/>
                          <w:color w:val="000000" w:themeColor="text1"/>
                        </w:rPr>
                        <w:t>–2029)</w:t>
                      </w:r>
                    </w:p>
                    <w:p w14:paraId="5514CA04" w14:textId="77777777" w:rsidR="00E23936" w:rsidRDefault="00E23936" w:rsidP="00E23936">
                      <w:pPr>
                        <w:spacing w:after="0" w:line="240" w:lineRule="auto"/>
                        <w:jc w:val="center"/>
                        <w:rPr>
                          <w:color w:val="000000" w:themeColor="text1"/>
                          <w:sz w:val="18"/>
                          <w:szCs w:val="18"/>
                        </w:rPr>
                      </w:pPr>
                      <w:r>
                        <w:rPr>
                          <w:color w:val="000000" w:themeColor="text1"/>
                          <w:sz w:val="18"/>
                          <w:szCs w:val="18"/>
                        </w:rPr>
                        <w:t>Schválená podpora: 43,2 mil. Kč</w:t>
                      </w:r>
                    </w:p>
                    <w:p w14:paraId="1996DF7C" w14:textId="77777777" w:rsidR="00E23936" w:rsidRDefault="00E23936" w:rsidP="00E23936">
                      <w:pPr>
                        <w:spacing w:after="0" w:line="240" w:lineRule="auto"/>
                        <w:jc w:val="center"/>
                        <w:rPr>
                          <w:color w:val="000000" w:themeColor="text1"/>
                          <w:sz w:val="18"/>
                          <w:szCs w:val="18"/>
                        </w:rPr>
                      </w:pPr>
                      <w:r>
                        <w:rPr>
                          <w:color w:val="000000" w:themeColor="text1"/>
                          <w:sz w:val="18"/>
                          <w:szCs w:val="18"/>
                        </w:rPr>
                        <w:t>Čerpaná podpora</w:t>
                      </w:r>
                      <w:r w:rsidRPr="00A4717E">
                        <w:rPr>
                          <w:color w:val="000000" w:themeColor="text1"/>
                          <w:sz w:val="18"/>
                          <w:szCs w:val="18"/>
                        </w:rPr>
                        <w:t>:</w:t>
                      </w:r>
                      <w:r>
                        <w:rPr>
                          <w:color w:val="000000" w:themeColor="text1"/>
                          <w:sz w:val="18"/>
                          <w:szCs w:val="18"/>
                        </w:rPr>
                        <w:t xml:space="preserve"> 45,3 Kč</w:t>
                      </w:r>
                    </w:p>
                    <w:p w14:paraId="4C085E54" w14:textId="77777777" w:rsidR="00E23936" w:rsidRDefault="00E23936" w:rsidP="00E23936">
                      <w:pPr>
                        <w:spacing w:after="0" w:line="240" w:lineRule="auto"/>
                        <w:jc w:val="center"/>
                        <w:rPr>
                          <w:color w:val="000000" w:themeColor="text1"/>
                          <w:sz w:val="18"/>
                          <w:szCs w:val="18"/>
                        </w:rPr>
                      </w:pPr>
                      <w:r>
                        <w:rPr>
                          <w:color w:val="000000" w:themeColor="text1"/>
                          <w:sz w:val="18"/>
                          <w:szCs w:val="18"/>
                        </w:rPr>
                        <w:t>Počet podpořených projektů: 17</w:t>
                      </w:r>
                    </w:p>
                    <w:p w14:paraId="7817A4E3" w14:textId="77777777" w:rsidR="00E23936" w:rsidRDefault="00E23936" w:rsidP="00E23936">
                      <w:pPr>
                        <w:spacing w:after="0" w:line="240" w:lineRule="auto"/>
                        <w:jc w:val="center"/>
                        <w:rPr>
                          <w:color w:val="000000" w:themeColor="text1"/>
                          <w:sz w:val="18"/>
                          <w:szCs w:val="18"/>
                        </w:rPr>
                      </w:pPr>
                    </w:p>
                    <w:p w14:paraId="3E1D99A4" w14:textId="77777777" w:rsidR="00E23936" w:rsidRDefault="00E23936" w:rsidP="00E23936">
                      <w:pPr>
                        <w:spacing w:after="0" w:line="240" w:lineRule="auto"/>
                        <w:jc w:val="center"/>
                        <w:rPr>
                          <w:color w:val="000000" w:themeColor="text1"/>
                          <w:sz w:val="18"/>
                          <w:szCs w:val="18"/>
                        </w:rPr>
                      </w:pPr>
                      <w:r>
                        <w:rPr>
                          <w:color w:val="000000" w:themeColor="text1"/>
                          <w:sz w:val="18"/>
                          <w:szCs w:val="18"/>
                        </w:rPr>
                        <w:t xml:space="preserve">Podpora </w:t>
                      </w:r>
                      <w:r w:rsidRPr="009A06E5">
                        <w:rPr>
                          <w:color w:val="000000" w:themeColor="text1"/>
                          <w:sz w:val="18"/>
                          <w:szCs w:val="18"/>
                        </w:rPr>
                        <w:t>účast</w:t>
                      </w:r>
                      <w:r>
                        <w:rPr>
                          <w:color w:val="000000" w:themeColor="text1"/>
                          <w:sz w:val="18"/>
                          <w:szCs w:val="18"/>
                        </w:rPr>
                        <w:t>i</w:t>
                      </w:r>
                      <w:r w:rsidRPr="009A06E5">
                        <w:rPr>
                          <w:color w:val="000000" w:themeColor="text1"/>
                          <w:sz w:val="18"/>
                          <w:szCs w:val="18"/>
                        </w:rPr>
                        <w:t xml:space="preserve"> českých subjektů v rámci mezinárodní sítě EUREKA, jež propojuje průmyslové podniky, výzkumné ústavy a</w:t>
                      </w:r>
                      <w:r>
                        <w:rPr>
                          <w:color w:val="000000" w:themeColor="text1"/>
                          <w:sz w:val="18"/>
                          <w:szCs w:val="18"/>
                        </w:rPr>
                        <w:t> VŠ.</w:t>
                      </w:r>
                    </w:p>
                    <w:p w14:paraId="109C081D" w14:textId="77777777" w:rsidR="00E23936" w:rsidRDefault="00E23936" w:rsidP="00E23936">
                      <w:pPr>
                        <w:spacing w:after="0" w:line="240" w:lineRule="auto"/>
                        <w:jc w:val="center"/>
                        <w:rPr>
                          <w:color w:val="000000" w:themeColor="text1"/>
                          <w:sz w:val="18"/>
                          <w:szCs w:val="18"/>
                        </w:rPr>
                      </w:pPr>
                    </w:p>
                  </w:txbxContent>
                </v:textbox>
              </v:roundrect>
            </w:pict>
          </mc:Fallback>
        </mc:AlternateContent>
      </w:r>
    </w:p>
    <w:p w14:paraId="55D18B6D" w14:textId="77777777" w:rsidR="00E23936" w:rsidRPr="00C41515" w:rsidRDefault="00E23936" w:rsidP="00E23936">
      <w:pPr>
        <w:keepNext/>
        <w:spacing w:before="120" w:after="240" w:line="240" w:lineRule="auto"/>
        <w:jc w:val="both"/>
        <w:rPr>
          <w:rFonts w:eastAsia="Times New Roman" w:cs="Times New Roman"/>
          <w:b/>
          <w:szCs w:val="24"/>
          <w:highlight w:val="yellow"/>
          <w:lang w:eastAsia="cs-CZ"/>
        </w:rPr>
      </w:pPr>
    </w:p>
    <w:p w14:paraId="62DEC331" w14:textId="77777777" w:rsidR="00E23936" w:rsidRPr="00C41515" w:rsidRDefault="00E23936" w:rsidP="00E23936">
      <w:pPr>
        <w:keepNext/>
        <w:spacing w:before="120" w:after="240" w:line="240" w:lineRule="auto"/>
        <w:jc w:val="both"/>
        <w:rPr>
          <w:rFonts w:eastAsia="Times New Roman" w:cs="Times New Roman"/>
          <w:b/>
          <w:szCs w:val="24"/>
          <w:highlight w:val="yellow"/>
          <w:lang w:eastAsia="cs-CZ"/>
        </w:rPr>
      </w:pPr>
    </w:p>
    <w:p w14:paraId="16F30C8A" w14:textId="77777777" w:rsidR="00E23936" w:rsidRPr="00C41515" w:rsidRDefault="00E23936" w:rsidP="00E23936">
      <w:pPr>
        <w:keepNext/>
        <w:spacing w:before="120" w:after="240" w:line="240" w:lineRule="auto"/>
        <w:jc w:val="both"/>
        <w:rPr>
          <w:rFonts w:eastAsia="Times New Roman" w:cs="Times New Roman"/>
          <w:b/>
          <w:szCs w:val="24"/>
          <w:highlight w:val="yellow"/>
          <w:lang w:eastAsia="cs-CZ"/>
        </w:rPr>
      </w:pPr>
    </w:p>
    <w:p w14:paraId="0534C687" w14:textId="77777777" w:rsidR="00E23936" w:rsidRPr="00C41515" w:rsidRDefault="00E23936" w:rsidP="00E23936">
      <w:pPr>
        <w:spacing w:after="0" w:line="360" w:lineRule="auto"/>
        <w:jc w:val="both"/>
        <w:rPr>
          <w:rFonts w:eastAsia="Times New Roman" w:cs="Arial"/>
          <w:b/>
          <w:highlight w:val="yellow"/>
          <w:lang w:eastAsia="cs-CZ"/>
        </w:rPr>
      </w:pPr>
    </w:p>
    <w:p w14:paraId="54B0EBF4" w14:textId="77777777" w:rsidR="00E23936" w:rsidRPr="00C41515" w:rsidRDefault="00E23936" w:rsidP="00E23936">
      <w:pPr>
        <w:spacing w:after="0" w:line="360" w:lineRule="auto"/>
        <w:jc w:val="both"/>
        <w:rPr>
          <w:rFonts w:eastAsia="Times New Roman" w:cs="Arial"/>
          <w:b/>
          <w:highlight w:val="yellow"/>
          <w:lang w:eastAsia="cs-CZ"/>
        </w:rPr>
      </w:pPr>
    </w:p>
    <w:p w14:paraId="2258D159" w14:textId="55A53193" w:rsidR="00E23936" w:rsidRPr="0089168E" w:rsidRDefault="00E23936" w:rsidP="00E23936">
      <w:r w:rsidRPr="00C41515">
        <w:rPr>
          <w:rFonts w:eastAsia="Times New Roman" w:cs="Arial"/>
          <w:b/>
          <w:noProof/>
          <w:highlight w:val="yellow"/>
          <w:lang w:eastAsia="cs-CZ"/>
        </w:rPr>
        <mc:AlternateContent>
          <mc:Choice Requires="wps">
            <w:drawing>
              <wp:anchor distT="0" distB="0" distL="114300" distR="114300" simplePos="0" relativeHeight="251666944" behindDoc="0" locked="0" layoutInCell="1" allowOverlap="1" wp14:anchorId="51628EE0" wp14:editId="25FD460D">
                <wp:simplePos x="0" y="0"/>
                <wp:positionH relativeFrom="column">
                  <wp:posOffset>3137535</wp:posOffset>
                </wp:positionH>
                <wp:positionV relativeFrom="paragraph">
                  <wp:posOffset>12065</wp:posOffset>
                </wp:positionV>
                <wp:extent cx="2700000" cy="1590675"/>
                <wp:effectExtent l="0" t="0" r="24765" b="28575"/>
                <wp:wrapNone/>
                <wp:docPr id="85" name="Obdélník: se zakulacenými rohy 85"/>
                <wp:cNvGraphicFramePr/>
                <a:graphic xmlns:a="http://schemas.openxmlformats.org/drawingml/2006/main">
                  <a:graphicData uri="http://schemas.microsoft.com/office/word/2010/wordprocessingShape">
                    <wps:wsp>
                      <wps:cNvSpPr/>
                      <wps:spPr>
                        <a:xfrm>
                          <a:off x="0" y="0"/>
                          <a:ext cx="2700000" cy="1590675"/>
                        </a:xfrm>
                        <a:prstGeom prst="roundRect">
                          <a:avLst/>
                        </a:prstGeom>
                        <a:solidFill>
                          <a:schemeClr val="bg1"/>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6869E22" w14:textId="77777777" w:rsidR="00E23936" w:rsidRPr="002B0E22" w:rsidRDefault="00E23936" w:rsidP="00E23936">
                            <w:pPr>
                              <w:spacing w:after="0" w:line="240" w:lineRule="auto"/>
                              <w:jc w:val="center"/>
                              <w:rPr>
                                <w:b/>
                                <w:bCs/>
                                <w:color w:val="000000" w:themeColor="text1"/>
                              </w:rPr>
                            </w:pPr>
                            <w:proofErr w:type="spellStart"/>
                            <w:r>
                              <w:rPr>
                                <w:b/>
                                <w:bCs/>
                                <w:color w:val="000000" w:themeColor="text1"/>
                              </w:rPr>
                              <w:t>Eurostars</w:t>
                            </w:r>
                            <w:proofErr w:type="spellEnd"/>
                            <w:r w:rsidRPr="00F45A14">
                              <w:rPr>
                                <w:b/>
                                <w:bCs/>
                                <w:color w:val="000000" w:themeColor="text1"/>
                              </w:rPr>
                              <w:t xml:space="preserve"> (2</w:t>
                            </w:r>
                            <w:r>
                              <w:rPr>
                                <w:b/>
                                <w:bCs/>
                                <w:color w:val="000000" w:themeColor="text1"/>
                              </w:rPr>
                              <w:t>0</w:t>
                            </w:r>
                            <w:r w:rsidRPr="00F45A14">
                              <w:rPr>
                                <w:b/>
                                <w:bCs/>
                                <w:color w:val="000000" w:themeColor="text1"/>
                              </w:rPr>
                              <w:t>08</w:t>
                            </w:r>
                            <w:r>
                              <w:rPr>
                                <w:b/>
                                <w:bCs/>
                                <w:color w:val="000000" w:themeColor="text1"/>
                              </w:rPr>
                              <w:t>–</w:t>
                            </w:r>
                            <w:r w:rsidRPr="00F45A14">
                              <w:rPr>
                                <w:b/>
                                <w:bCs/>
                                <w:color w:val="000000" w:themeColor="text1"/>
                              </w:rPr>
                              <w:t>202</w:t>
                            </w:r>
                            <w:r>
                              <w:rPr>
                                <w:b/>
                                <w:bCs/>
                                <w:color w:val="000000" w:themeColor="text1"/>
                              </w:rPr>
                              <w:t>8</w:t>
                            </w:r>
                            <w:r w:rsidRPr="00F45A14">
                              <w:rPr>
                                <w:b/>
                                <w:bCs/>
                                <w:color w:val="000000" w:themeColor="text1"/>
                              </w:rPr>
                              <w:t>)</w:t>
                            </w:r>
                          </w:p>
                          <w:p w14:paraId="556D5F88" w14:textId="77777777" w:rsidR="00E23936" w:rsidRPr="002B0E22" w:rsidRDefault="00E23936" w:rsidP="00E23936">
                            <w:pPr>
                              <w:spacing w:after="0" w:line="240" w:lineRule="auto"/>
                              <w:jc w:val="center"/>
                              <w:rPr>
                                <w:b/>
                                <w:bCs/>
                                <w:color w:val="000000" w:themeColor="text1"/>
                                <w:sz w:val="12"/>
                                <w:szCs w:val="12"/>
                              </w:rPr>
                            </w:pPr>
                          </w:p>
                          <w:p w14:paraId="5FF6D4CC" w14:textId="77777777" w:rsidR="00E23936" w:rsidRPr="00525CEA" w:rsidRDefault="00E23936" w:rsidP="00E23936">
                            <w:pPr>
                              <w:spacing w:after="0" w:line="240" w:lineRule="auto"/>
                              <w:jc w:val="center"/>
                              <w:rPr>
                                <w:color w:val="000000" w:themeColor="text1"/>
                                <w:sz w:val="18"/>
                                <w:szCs w:val="18"/>
                              </w:rPr>
                            </w:pPr>
                            <w:r w:rsidRPr="00A4717E">
                              <w:rPr>
                                <w:color w:val="000000" w:themeColor="text1"/>
                                <w:sz w:val="18"/>
                                <w:szCs w:val="18"/>
                              </w:rPr>
                              <w:t xml:space="preserve">Schválená podpora: </w:t>
                            </w:r>
                            <w:r>
                              <w:rPr>
                                <w:color w:val="000000" w:themeColor="text1"/>
                                <w:sz w:val="18"/>
                                <w:szCs w:val="18"/>
                              </w:rPr>
                              <w:t>33,8 mil. Kč</w:t>
                            </w:r>
                          </w:p>
                          <w:p w14:paraId="1B4E81A2" w14:textId="77777777" w:rsidR="00E23936" w:rsidRDefault="00E23936" w:rsidP="00E23936">
                            <w:pPr>
                              <w:spacing w:after="0" w:line="240" w:lineRule="auto"/>
                              <w:jc w:val="center"/>
                              <w:rPr>
                                <w:color w:val="000000" w:themeColor="text1"/>
                                <w:sz w:val="18"/>
                                <w:szCs w:val="18"/>
                              </w:rPr>
                            </w:pPr>
                            <w:r>
                              <w:rPr>
                                <w:color w:val="000000" w:themeColor="text1"/>
                                <w:sz w:val="18"/>
                                <w:szCs w:val="18"/>
                              </w:rPr>
                              <w:t>Čerpaná podpora</w:t>
                            </w:r>
                            <w:r w:rsidRPr="00A4717E">
                              <w:rPr>
                                <w:color w:val="000000" w:themeColor="text1"/>
                                <w:sz w:val="18"/>
                                <w:szCs w:val="18"/>
                              </w:rPr>
                              <w:t>:</w:t>
                            </w:r>
                            <w:r>
                              <w:rPr>
                                <w:color w:val="000000" w:themeColor="text1"/>
                                <w:sz w:val="18"/>
                                <w:szCs w:val="18"/>
                              </w:rPr>
                              <w:t xml:space="preserve"> </w:t>
                            </w:r>
                            <w:r w:rsidRPr="003661EC">
                              <w:rPr>
                                <w:color w:val="000000" w:themeColor="text1"/>
                                <w:sz w:val="18"/>
                                <w:szCs w:val="18"/>
                              </w:rPr>
                              <w:t>12,</w:t>
                            </w:r>
                            <w:r>
                              <w:rPr>
                                <w:color w:val="000000" w:themeColor="text1"/>
                                <w:sz w:val="18"/>
                                <w:szCs w:val="18"/>
                              </w:rPr>
                              <w:t>2</w:t>
                            </w:r>
                            <w:r w:rsidRPr="00924633">
                              <w:rPr>
                                <w:color w:val="000000" w:themeColor="text1"/>
                                <w:sz w:val="18"/>
                                <w:szCs w:val="18"/>
                              </w:rPr>
                              <w:t xml:space="preserve"> mil. Kč</w:t>
                            </w:r>
                          </w:p>
                          <w:p w14:paraId="2DCFF06E" w14:textId="77777777" w:rsidR="00E23936" w:rsidRDefault="00E23936" w:rsidP="00E23936">
                            <w:pPr>
                              <w:spacing w:after="0" w:line="240" w:lineRule="auto"/>
                              <w:jc w:val="center"/>
                              <w:rPr>
                                <w:color w:val="000000" w:themeColor="text1"/>
                                <w:sz w:val="18"/>
                                <w:szCs w:val="18"/>
                              </w:rPr>
                            </w:pPr>
                            <w:r>
                              <w:rPr>
                                <w:color w:val="000000" w:themeColor="text1"/>
                                <w:sz w:val="18"/>
                                <w:szCs w:val="18"/>
                              </w:rPr>
                              <w:t>Počet podpořených projektů: 6</w:t>
                            </w:r>
                          </w:p>
                          <w:p w14:paraId="1D4777DE" w14:textId="77777777" w:rsidR="00E23936" w:rsidRDefault="00E23936" w:rsidP="00E23936">
                            <w:pPr>
                              <w:spacing w:after="0" w:line="240" w:lineRule="auto"/>
                              <w:jc w:val="center"/>
                              <w:rPr>
                                <w:color w:val="000000" w:themeColor="text1"/>
                                <w:sz w:val="18"/>
                                <w:szCs w:val="18"/>
                              </w:rPr>
                            </w:pPr>
                          </w:p>
                          <w:p w14:paraId="59CE3333" w14:textId="77777777" w:rsidR="00E23936" w:rsidRDefault="00E23936" w:rsidP="00E23936">
                            <w:pPr>
                              <w:spacing w:after="0" w:line="240" w:lineRule="auto"/>
                              <w:jc w:val="center"/>
                              <w:rPr>
                                <w:color w:val="000000" w:themeColor="text1"/>
                                <w:sz w:val="18"/>
                                <w:szCs w:val="18"/>
                              </w:rPr>
                            </w:pPr>
                            <w:r w:rsidRPr="000E7644">
                              <w:rPr>
                                <w:color w:val="000000" w:themeColor="text1"/>
                                <w:sz w:val="18"/>
                                <w:szCs w:val="18"/>
                              </w:rPr>
                              <w:t>Cíl</w:t>
                            </w:r>
                            <w:r>
                              <w:rPr>
                                <w:color w:val="000000" w:themeColor="text1"/>
                                <w:sz w:val="18"/>
                                <w:szCs w:val="18"/>
                              </w:rPr>
                              <w:t>í</w:t>
                            </w:r>
                            <w:r w:rsidRPr="000E7644">
                              <w:rPr>
                                <w:color w:val="000000" w:themeColor="text1"/>
                                <w:sz w:val="18"/>
                                <w:szCs w:val="18"/>
                              </w:rPr>
                              <w:t xml:space="preserve"> na podporu výzkumných aktivit </w:t>
                            </w:r>
                            <w:r>
                              <w:rPr>
                                <w:color w:val="000000" w:themeColor="text1"/>
                                <w:sz w:val="18"/>
                                <w:szCs w:val="18"/>
                              </w:rPr>
                              <w:t>MSP na principu „</w:t>
                            </w:r>
                            <w:proofErr w:type="spellStart"/>
                            <w:r>
                              <w:rPr>
                                <w:color w:val="000000" w:themeColor="text1"/>
                                <w:sz w:val="18"/>
                                <w:szCs w:val="18"/>
                              </w:rPr>
                              <w:t>bottom</w:t>
                            </w:r>
                            <w:proofErr w:type="spellEnd"/>
                            <w:r>
                              <w:rPr>
                                <w:color w:val="000000" w:themeColor="text1"/>
                                <w:sz w:val="18"/>
                                <w:szCs w:val="18"/>
                              </w:rPr>
                              <w:t>-up“.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1628EE0" id="Obdélník: se zakulacenými rohy 85" o:spid="_x0000_s1045" style="position:absolute;margin-left:247.05pt;margin-top:.95pt;width:212.6pt;height:125.2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" fillcolor="white [3212]" strokecolor="#4f81bd [3204]" strokeweight="2pt">
                <v:textbox>
                  <w:txbxContent>
                    <w:p w14:paraId="66869E22" w14:textId="77777777" w:rsidR="00E23936" w:rsidRPr="002B0E22" w:rsidRDefault="00E23936" w:rsidP="00E23936">
                      <w:pPr>
                        <w:spacing w:after="0" w:line="240" w:lineRule="auto"/>
                        <w:jc w:val="center"/>
                        <w:rPr>
                          <w:b/>
                          <w:bCs/>
                          <w:color w:val="000000" w:themeColor="text1"/>
                        </w:rPr>
                      </w:pPr>
                      <w:proofErr w:type="spellStart"/>
                      <w:r>
                        <w:rPr>
                          <w:b/>
                          <w:bCs/>
                          <w:color w:val="000000" w:themeColor="text1"/>
                        </w:rPr>
                        <w:t>Eurostars</w:t>
                      </w:r>
                      <w:proofErr w:type="spellEnd"/>
                      <w:r w:rsidRPr="00F45A14">
                        <w:rPr>
                          <w:b/>
                          <w:bCs/>
                          <w:color w:val="000000" w:themeColor="text1"/>
                        </w:rPr>
                        <w:t xml:space="preserve"> (2</w:t>
                      </w:r>
                      <w:r>
                        <w:rPr>
                          <w:b/>
                          <w:bCs/>
                          <w:color w:val="000000" w:themeColor="text1"/>
                        </w:rPr>
                        <w:t>0</w:t>
                      </w:r>
                      <w:r w:rsidRPr="00F45A14">
                        <w:rPr>
                          <w:b/>
                          <w:bCs/>
                          <w:color w:val="000000" w:themeColor="text1"/>
                        </w:rPr>
                        <w:t>08</w:t>
                      </w:r>
                      <w:r>
                        <w:rPr>
                          <w:b/>
                          <w:bCs/>
                          <w:color w:val="000000" w:themeColor="text1"/>
                        </w:rPr>
                        <w:t>–</w:t>
                      </w:r>
                      <w:r w:rsidRPr="00F45A14">
                        <w:rPr>
                          <w:b/>
                          <w:bCs/>
                          <w:color w:val="000000" w:themeColor="text1"/>
                        </w:rPr>
                        <w:t>202</w:t>
                      </w:r>
                      <w:r>
                        <w:rPr>
                          <w:b/>
                          <w:bCs/>
                          <w:color w:val="000000" w:themeColor="text1"/>
                        </w:rPr>
                        <w:t>8</w:t>
                      </w:r>
                      <w:r w:rsidRPr="00F45A14">
                        <w:rPr>
                          <w:b/>
                          <w:bCs/>
                          <w:color w:val="000000" w:themeColor="text1"/>
                        </w:rPr>
                        <w:t>)</w:t>
                      </w:r>
                    </w:p>
                    <w:p w14:paraId="556D5F88" w14:textId="77777777" w:rsidR="00E23936" w:rsidRPr="002B0E22" w:rsidRDefault="00E23936" w:rsidP="00E23936">
                      <w:pPr>
                        <w:spacing w:after="0" w:line="240" w:lineRule="auto"/>
                        <w:jc w:val="center"/>
                        <w:rPr>
                          <w:b/>
                          <w:bCs/>
                          <w:color w:val="000000" w:themeColor="text1"/>
                          <w:sz w:val="12"/>
                          <w:szCs w:val="12"/>
                        </w:rPr>
                      </w:pPr>
                    </w:p>
                    <w:p w14:paraId="5FF6D4CC" w14:textId="77777777" w:rsidR="00E23936" w:rsidRPr="00525CEA" w:rsidRDefault="00E23936" w:rsidP="00E23936">
                      <w:pPr>
                        <w:spacing w:after="0" w:line="240" w:lineRule="auto"/>
                        <w:jc w:val="center"/>
                        <w:rPr>
                          <w:color w:val="000000" w:themeColor="text1"/>
                          <w:sz w:val="18"/>
                          <w:szCs w:val="18"/>
                        </w:rPr>
                      </w:pPr>
                      <w:r w:rsidRPr="00A4717E">
                        <w:rPr>
                          <w:color w:val="000000" w:themeColor="text1"/>
                          <w:sz w:val="18"/>
                          <w:szCs w:val="18"/>
                        </w:rPr>
                        <w:t xml:space="preserve">Schválená podpora: </w:t>
                      </w:r>
                      <w:r>
                        <w:rPr>
                          <w:color w:val="000000" w:themeColor="text1"/>
                          <w:sz w:val="18"/>
                          <w:szCs w:val="18"/>
                        </w:rPr>
                        <w:t>33,8 mil. Kč</w:t>
                      </w:r>
                    </w:p>
                    <w:p w14:paraId="1B4E81A2" w14:textId="77777777" w:rsidR="00E23936" w:rsidRDefault="00E23936" w:rsidP="00E23936">
                      <w:pPr>
                        <w:spacing w:after="0" w:line="240" w:lineRule="auto"/>
                        <w:jc w:val="center"/>
                        <w:rPr>
                          <w:color w:val="000000" w:themeColor="text1"/>
                          <w:sz w:val="18"/>
                          <w:szCs w:val="18"/>
                        </w:rPr>
                      </w:pPr>
                      <w:r>
                        <w:rPr>
                          <w:color w:val="000000" w:themeColor="text1"/>
                          <w:sz w:val="18"/>
                          <w:szCs w:val="18"/>
                        </w:rPr>
                        <w:t>Čerpaná podpora</w:t>
                      </w:r>
                      <w:r w:rsidRPr="00A4717E">
                        <w:rPr>
                          <w:color w:val="000000" w:themeColor="text1"/>
                          <w:sz w:val="18"/>
                          <w:szCs w:val="18"/>
                        </w:rPr>
                        <w:t>:</w:t>
                      </w:r>
                      <w:r>
                        <w:rPr>
                          <w:color w:val="000000" w:themeColor="text1"/>
                          <w:sz w:val="18"/>
                          <w:szCs w:val="18"/>
                        </w:rPr>
                        <w:t xml:space="preserve"> </w:t>
                      </w:r>
                      <w:r w:rsidRPr="003661EC">
                        <w:rPr>
                          <w:color w:val="000000" w:themeColor="text1"/>
                          <w:sz w:val="18"/>
                          <w:szCs w:val="18"/>
                        </w:rPr>
                        <w:t>12,</w:t>
                      </w:r>
                      <w:r>
                        <w:rPr>
                          <w:color w:val="000000" w:themeColor="text1"/>
                          <w:sz w:val="18"/>
                          <w:szCs w:val="18"/>
                        </w:rPr>
                        <w:t>2</w:t>
                      </w:r>
                      <w:r w:rsidRPr="00924633">
                        <w:rPr>
                          <w:color w:val="000000" w:themeColor="text1"/>
                          <w:sz w:val="18"/>
                          <w:szCs w:val="18"/>
                        </w:rPr>
                        <w:t xml:space="preserve"> mil. Kč</w:t>
                      </w:r>
                    </w:p>
                    <w:p w14:paraId="2DCFF06E" w14:textId="77777777" w:rsidR="00E23936" w:rsidRDefault="00E23936" w:rsidP="00E23936">
                      <w:pPr>
                        <w:spacing w:after="0" w:line="240" w:lineRule="auto"/>
                        <w:jc w:val="center"/>
                        <w:rPr>
                          <w:color w:val="000000" w:themeColor="text1"/>
                          <w:sz w:val="18"/>
                          <w:szCs w:val="18"/>
                        </w:rPr>
                      </w:pPr>
                      <w:r>
                        <w:rPr>
                          <w:color w:val="000000" w:themeColor="text1"/>
                          <w:sz w:val="18"/>
                          <w:szCs w:val="18"/>
                        </w:rPr>
                        <w:t>Počet podpořených projektů: 6</w:t>
                      </w:r>
                    </w:p>
                    <w:p w14:paraId="1D4777DE" w14:textId="77777777" w:rsidR="00E23936" w:rsidRDefault="00E23936" w:rsidP="00E23936">
                      <w:pPr>
                        <w:spacing w:after="0" w:line="240" w:lineRule="auto"/>
                        <w:jc w:val="center"/>
                        <w:rPr>
                          <w:color w:val="000000" w:themeColor="text1"/>
                          <w:sz w:val="18"/>
                          <w:szCs w:val="18"/>
                        </w:rPr>
                      </w:pPr>
                    </w:p>
                    <w:p w14:paraId="59CE3333" w14:textId="77777777" w:rsidR="00E23936" w:rsidRDefault="00E23936" w:rsidP="00E23936">
                      <w:pPr>
                        <w:spacing w:after="0" w:line="240" w:lineRule="auto"/>
                        <w:jc w:val="center"/>
                        <w:rPr>
                          <w:color w:val="000000" w:themeColor="text1"/>
                          <w:sz w:val="18"/>
                          <w:szCs w:val="18"/>
                        </w:rPr>
                      </w:pPr>
                      <w:r w:rsidRPr="000E7644">
                        <w:rPr>
                          <w:color w:val="000000" w:themeColor="text1"/>
                          <w:sz w:val="18"/>
                          <w:szCs w:val="18"/>
                        </w:rPr>
                        <w:t>Cíl</w:t>
                      </w:r>
                      <w:r>
                        <w:rPr>
                          <w:color w:val="000000" w:themeColor="text1"/>
                          <w:sz w:val="18"/>
                          <w:szCs w:val="18"/>
                        </w:rPr>
                        <w:t>í</w:t>
                      </w:r>
                      <w:r w:rsidRPr="000E7644">
                        <w:rPr>
                          <w:color w:val="000000" w:themeColor="text1"/>
                          <w:sz w:val="18"/>
                          <w:szCs w:val="18"/>
                        </w:rPr>
                        <w:t xml:space="preserve"> na podporu výzkumných aktivit </w:t>
                      </w:r>
                      <w:r>
                        <w:rPr>
                          <w:color w:val="000000" w:themeColor="text1"/>
                          <w:sz w:val="18"/>
                          <w:szCs w:val="18"/>
                        </w:rPr>
                        <w:t>MSP na principu „</w:t>
                      </w:r>
                      <w:proofErr w:type="spellStart"/>
                      <w:r>
                        <w:rPr>
                          <w:color w:val="000000" w:themeColor="text1"/>
                          <w:sz w:val="18"/>
                          <w:szCs w:val="18"/>
                        </w:rPr>
                        <w:t>bottom</w:t>
                      </w:r>
                      <w:proofErr w:type="spellEnd"/>
                      <w:r>
                        <w:rPr>
                          <w:color w:val="000000" w:themeColor="text1"/>
                          <w:sz w:val="18"/>
                          <w:szCs w:val="18"/>
                        </w:rPr>
                        <w:t>-up“.</w:t>
                      </w:r>
                    </w:p>
                  </w:txbxContent>
                </v:textbox>
              </v:roundrect>
            </w:pict>
          </mc:Fallback>
        </mc:AlternateContent>
      </w:r>
      <w:r w:rsidRPr="00C41515">
        <w:rPr>
          <w:rFonts w:eastAsia="Times New Roman" w:cs="Arial"/>
          <w:b/>
          <w:noProof/>
          <w:highlight w:val="yellow"/>
          <w:lang w:eastAsia="cs-CZ"/>
        </w:rPr>
        <mc:AlternateContent>
          <mc:Choice Requires="wps">
            <w:drawing>
              <wp:anchor distT="0" distB="0" distL="114300" distR="114300" simplePos="0" relativeHeight="251679232" behindDoc="0" locked="0" layoutInCell="1" allowOverlap="1" wp14:anchorId="243D61D8" wp14:editId="0AA39B8E">
                <wp:simplePos x="0" y="0"/>
                <wp:positionH relativeFrom="column">
                  <wp:posOffset>289560</wp:posOffset>
                </wp:positionH>
                <wp:positionV relativeFrom="paragraph">
                  <wp:posOffset>12065</wp:posOffset>
                </wp:positionV>
                <wp:extent cx="2700000" cy="1600200"/>
                <wp:effectExtent l="0" t="0" r="24765" b="19050"/>
                <wp:wrapNone/>
                <wp:docPr id="84" name="Obdélník: se zakulacenými rohy 84"/>
                <wp:cNvGraphicFramePr/>
                <a:graphic xmlns:a="http://schemas.openxmlformats.org/drawingml/2006/main">
                  <a:graphicData uri="http://schemas.microsoft.com/office/word/2010/wordprocessingShape">
                    <wps:wsp>
                      <wps:cNvSpPr/>
                      <wps:spPr>
                        <a:xfrm>
                          <a:off x="0" y="0"/>
                          <a:ext cx="2700000" cy="1600200"/>
                        </a:xfrm>
                        <a:prstGeom prst="roundRect">
                          <a:avLst/>
                        </a:prstGeom>
                        <a:solidFill>
                          <a:schemeClr val="bg1"/>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F00AB7" w14:textId="77777777" w:rsidR="00E23936" w:rsidRPr="00226092" w:rsidRDefault="00E23936" w:rsidP="00E23936">
                            <w:pPr>
                              <w:spacing w:after="0" w:line="240" w:lineRule="auto"/>
                              <w:jc w:val="center"/>
                              <w:rPr>
                                <w:b/>
                                <w:bCs/>
                                <w:color w:val="000000" w:themeColor="text1"/>
                                <w:sz w:val="12"/>
                                <w:szCs w:val="12"/>
                              </w:rPr>
                            </w:pPr>
                            <w:r>
                              <w:rPr>
                                <w:b/>
                                <w:bCs/>
                                <w:color w:val="000000" w:themeColor="text1"/>
                              </w:rPr>
                              <w:t>INTER-TRANSFER</w:t>
                            </w:r>
                            <w:r w:rsidRPr="00485E79">
                              <w:rPr>
                                <w:b/>
                                <w:bCs/>
                                <w:color w:val="000000" w:themeColor="text1"/>
                              </w:rPr>
                              <w:t xml:space="preserve"> (2016–2024)</w:t>
                            </w:r>
                          </w:p>
                          <w:p w14:paraId="2FD7E194" w14:textId="77777777" w:rsidR="00E23936" w:rsidRPr="002B0E22" w:rsidRDefault="00E23936" w:rsidP="00E23936">
                            <w:pPr>
                              <w:spacing w:after="0" w:line="240" w:lineRule="auto"/>
                              <w:jc w:val="center"/>
                              <w:rPr>
                                <w:b/>
                                <w:bCs/>
                                <w:color w:val="000000" w:themeColor="text1"/>
                                <w:sz w:val="12"/>
                                <w:szCs w:val="12"/>
                              </w:rPr>
                            </w:pPr>
                          </w:p>
                          <w:p w14:paraId="07F5AF1B" w14:textId="77777777" w:rsidR="00E23936" w:rsidRDefault="00E23936" w:rsidP="00E23936">
                            <w:pPr>
                              <w:spacing w:after="0" w:line="240" w:lineRule="auto"/>
                              <w:jc w:val="center"/>
                              <w:rPr>
                                <w:color w:val="000000" w:themeColor="text1"/>
                                <w:sz w:val="18"/>
                                <w:szCs w:val="18"/>
                              </w:rPr>
                            </w:pPr>
                            <w:r>
                              <w:rPr>
                                <w:color w:val="000000" w:themeColor="text1"/>
                                <w:sz w:val="18"/>
                                <w:szCs w:val="18"/>
                              </w:rPr>
                              <w:t>Schválená podpora: 19,8 mil. Kč</w:t>
                            </w:r>
                          </w:p>
                          <w:p w14:paraId="774B4518" w14:textId="77777777" w:rsidR="00E23936" w:rsidRDefault="00E23936" w:rsidP="00E23936">
                            <w:pPr>
                              <w:spacing w:after="0" w:line="240" w:lineRule="auto"/>
                              <w:jc w:val="center"/>
                              <w:rPr>
                                <w:color w:val="000000" w:themeColor="text1"/>
                                <w:sz w:val="18"/>
                                <w:szCs w:val="18"/>
                              </w:rPr>
                            </w:pPr>
                            <w:r>
                              <w:rPr>
                                <w:color w:val="000000" w:themeColor="text1"/>
                                <w:sz w:val="18"/>
                                <w:szCs w:val="18"/>
                              </w:rPr>
                              <w:t>Čerpaná podpora: 18,8</w:t>
                            </w:r>
                            <w:r w:rsidRPr="00A4717E">
                              <w:rPr>
                                <w:color w:val="000000" w:themeColor="text1"/>
                                <w:sz w:val="18"/>
                                <w:szCs w:val="18"/>
                              </w:rPr>
                              <w:t xml:space="preserve"> mil. Kč</w:t>
                            </w:r>
                          </w:p>
                          <w:p w14:paraId="1DA6A2F5" w14:textId="77777777" w:rsidR="00E23936" w:rsidRDefault="00E23936" w:rsidP="00E23936">
                            <w:pPr>
                              <w:spacing w:after="0" w:line="240" w:lineRule="auto"/>
                              <w:jc w:val="center"/>
                              <w:rPr>
                                <w:color w:val="000000" w:themeColor="text1"/>
                                <w:sz w:val="18"/>
                                <w:szCs w:val="18"/>
                              </w:rPr>
                            </w:pPr>
                            <w:r>
                              <w:rPr>
                                <w:color w:val="000000" w:themeColor="text1"/>
                                <w:sz w:val="18"/>
                                <w:szCs w:val="18"/>
                              </w:rPr>
                              <w:t>Počet podpořených projektů: 8</w:t>
                            </w:r>
                          </w:p>
                          <w:p w14:paraId="1CC64096" w14:textId="77777777" w:rsidR="00E23936" w:rsidRDefault="00E23936" w:rsidP="00E23936">
                            <w:pPr>
                              <w:spacing w:after="0" w:line="240" w:lineRule="auto"/>
                              <w:jc w:val="center"/>
                              <w:rPr>
                                <w:color w:val="000000" w:themeColor="text1"/>
                                <w:sz w:val="18"/>
                                <w:szCs w:val="18"/>
                              </w:rPr>
                            </w:pPr>
                          </w:p>
                          <w:p w14:paraId="7CA87B14" w14:textId="77777777" w:rsidR="00E23936" w:rsidRDefault="00E23936" w:rsidP="00E23936">
                            <w:pPr>
                              <w:spacing w:after="0" w:line="240" w:lineRule="auto"/>
                              <w:jc w:val="center"/>
                              <w:rPr>
                                <w:color w:val="000000" w:themeColor="text1"/>
                                <w:sz w:val="18"/>
                                <w:szCs w:val="18"/>
                              </w:rPr>
                            </w:pPr>
                            <w:r>
                              <w:rPr>
                                <w:color w:val="000000" w:themeColor="text1"/>
                                <w:sz w:val="18"/>
                                <w:szCs w:val="18"/>
                              </w:rPr>
                              <w:t>Podpora</w:t>
                            </w:r>
                            <w:r w:rsidRPr="009A06E5">
                              <w:rPr>
                                <w:color w:val="000000" w:themeColor="text1"/>
                                <w:sz w:val="18"/>
                                <w:szCs w:val="18"/>
                              </w:rPr>
                              <w:t xml:space="preserve"> zapojení českých vědců do</w:t>
                            </w:r>
                            <w:r>
                              <w:rPr>
                                <w:color w:val="000000" w:themeColor="text1"/>
                                <w:sz w:val="18"/>
                                <w:szCs w:val="18"/>
                              </w:rPr>
                              <w:t> </w:t>
                            </w:r>
                            <w:r w:rsidRPr="009A06E5">
                              <w:rPr>
                                <w:color w:val="000000" w:themeColor="text1"/>
                                <w:sz w:val="18"/>
                                <w:szCs w:val="18"/>
                              </w:rPr>
                              <w:t>mezinárodních výzkumných týmů působících ve výzkumných centrech nebo mezinárodních organizacích v</w:t>
                            </w:r>
                            <w:r>
                              <w:rPr>
                                <w:color w:val="000000" w:themeColor="text1"/>
                                <w:sz w:val="18"/>
                                <w:szCs w:val="18"/>
                              </w:rPr>
                              <w:t> </w:t>
                            </w:r>
                            <w:r w:rsidRPr="009A06E5">
                              <w:rPr>
                                <w:color w:val="000000" w:themeColor="text1"/>
                                <w:sz w:val="18"/>
                                <w:szCs w:val="18"/>
                              </w:rPr>
                              <w:t>zahraničí</w:t>
                            </w:r>
                            <w:r>
                              <w:rPr>
                                <w:color w:val="000000" w:themeColor="text1"/>
                                <w:sz w:val="18"/>
                                <w:szCs w:val="1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43D61D8" id="Obdélník: se zakulacenými rohy 84" o:spid="_x0000_s1046" style="position:absolute;margin-left:22.8pt;margin-top:.95pt;width:212.6pt;height:126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" fillcolor="white [3212]" strokecolor="#4f81bd [3204]" strokeweight="2pt">
                <v:textbox>
                  <w:txbxContent>
                    <w:p w14:paraId="4CF00AB7" w14:textId="77777777" w:rsidR="00E23936" w:rsidRPr="00226092" w:rsidRDefault="00E23936" w:rsidP="00E23936">
                      <w:pPr>
                        <w:spacing w:after="0" w:line="240" w:lineRule="auto"/>
                        <w:jc w:val="center"/>
                        <w:rPr>
                          <w:b/>
                          <w:bCs/>
                          <w:color w:val="000000" w:themeColor="text1"/>
                          <w:sz w:val="12"/>
                          <w:szCs w:val="12"/>
                        </w:rPr>
                      </w:pPr>
                      <w:r>
                        <w:rPr>
                          <w:b/>
                          <w:bCs/>
                          <w:color w:val="000000" w:themeColor="text1"/>
                        </w:rPr>
                        <w:t>INTER-TRANSFER</w:t>
                      </w:r>
                      <w:r w:rsidRPr="00485E79">
                        <w:rPr>
                          <w:b/>
                          <w:bCs/>
                          <w:color w:val="000000" w:themeColor="text1"/>
                        </w:rPr>
                        <w:t xml:space="preserve"> (2016–2024)</w:t>
                      </w:r>
                    </w:p>
                    <w:p w14:paraId="2FD7E194" w14:textId="77777777" w:rsidR="00E23936" w:rsidRPr="002B0E22" w:rsidRDefault="00E23936" w:rsidP="00E23936">
                      <w:pPr>
                        <w:spacing w:after="0" w:line="240" w:lineRule="auto"/>
                        <w:jc w:val="center"/>
                        <w:rPr>
                          <w:b/>
                          <w:bCs/>
                          <w:color w:val="000000" w:themeColor="text1"/>
                          <w:sz w:val="12"/>
                          <w:szCs w:val="12"/>
                        </w:rPr>
                      </w:pPr>
                    </w:p>
                    <w:p w14:paraId="07F5AF1B" w14:textId="77777777" w:rsidR="00E23936" w:rsidRDefault="00E23936" w:rsidP="00E23936">
                      <w:pPr>
                        <w:spacing w:after="0" w:line="240" w:lineRule="auto"/>
                        <w:jc w:val="center"/>
                        <w:rPr>
                          <w:color w:val="000000" w:themeColor="text1"/>
                          <w:sz w:val="18"/>
                          <w:szCs w:val="18"/>
                        </w:rPr>
                      </w:pPr>
                      <w:r>
                        <w:rPr>
                          <w:color w:val="000000" w:themeColor="text1"/>
                          <w:sz w:val="18"/>
                          <w:szCs w:val="18"/>
                        </w:rPr>
                        <w:t>Schválená podpora: 19,8 mil. Kč</w:t>
                      </w:r>
                    </w:p>
                    <w:p w14:paraId="774B4518" w14:textId="77777777" w:rsidR="00E23936" w:rsidRDefault="00E23936" w:rsidP="00E23936">
                      <w:pPr>
                        <w:spacing w:after="0" w:line="240" w:lineRule="auto"/>
                        <w:jc w:val="center"/>
                        <w:rPr>
                          <w:color w:val="000000" w:themeColor="text1"/>
                          <w:sz w:val="18"/>
                          <w:szCs w:val="18"/>
                        </w:rPr>
                      </w:pPr>
                      <w:r>
                        <w:rPr>
                          <w:color w:val="000000" w:themeColor="text1"/>
                          <w:sz w:val="18"/>
                          <w:szCs w:val="18"/>
                        </w:rPr>
                        <w:t>Čerpaná podpora: 18,8</w:t>
                      </w:r>
                      <w:r w:rsidRPr="00A4717E">
                        <w:rPr>
                          <w:color w:val="000000" w:themeColor="text1"/>
                          <w:sz w:val="18"/>
                          <w:szCs w:val="18"/>
                        </w:rPr>
                        <w:t xml:space="preserve"> mil. Kč</w:t>
                      </w:r>
                    </w:p>
                    <w:p w14:paraId="1DA6A2F5" w14:textId="77777777" w:rsidR="00E23936" w:rsidRDefault="00E23936" w:rsidP="00E23936">
                      <w:pPr>
                        <w:spacing w:after="0" w:line="240" w:lineRule="auto"/>
                        <w:jc w:val="center"/>
                        <w:rPr>
                          <w:color w:val="000000" w:themeColor="text1"/>
                          <w:sz w:val="18"/>
                          <w:szCs w:val="18"/>
                        </w:rPr>
                      </w:pPr>
                      <w:r>
                        <w:rPr>
                          <w:color w:val="000000" w:themeColor="text1"/>
                          <w:sz w:val="18"/>
                          <w:szCs w:val="18"/>
                        </w:rPr>
                        <w:t>Počet podpořených projektů: 8</w:t>
                      </w:r>
                    </w:p>
                    <w:p w14:paraId="1CC64096" w14:textId="77777777" w:rsidR="00E23936" w:rsidRDefault="00E23936" w:rsidP="00E23936">
                      <w:pPr>
                        <w:spacing w:after="0" w:line="240" w:lineRule="auto"/>
                        <w:jc w:val="center"/>
                        <w:rPr>
                          <w:color w:val="000000" w:themeColor="text1"/>
                          <w:sz w:val="18"/>
                          <w:szCs w:val="18"/>
                        </w:rPr>
                      </w:pPr>
                    </w:p>
                    <w:p w14:paraId="7CA87B14" w14:textId="77777777" w:rsidR="00E23936" w:rsidRDefault="00E23936" w:rsidP="00E23936">
                      <w:pPr>
                        <w:spacing w:after="0" w:line="240" w:lineRule="auto"/>
                        <w:jc w:val="center"/>
                        <w:rPr>
                          <w:color w:val="000000" w:themeColor="text1"/>
                          <w:sz w:val="18"/>
                          <w:szCs w:val="18"/>
                        </w:rPr>
                      </w:pPr>
                      <w:r>
                        <w:rPr>
                          <w:color w:val="000000" w:themeColor="text1"/>
                          <w:sz w:val="18"/>
                          <w:szCs w:val="18"/>
                        </w:rPr>
                        <w:t>Podpora</w:t>
                      </w:r>
                      <w:r w:rsidRPr="009A06E5">
                        <w:rPr>
                          <w:color w:val="000000" w:themeColor="text1"/>
                          <w:sz w:val="18"/>
                          <w:szCs w:val="18"/>
                        </w:rPr>
                        <w:t xml:space="preserve"> zapojení českých vědců do</w:t>
                      </w:r>
                      <w:r>
                        <w:rPr>
                          <w:color w:val="000000" w:themeColor="text1"/>
                          <w:sz w:val="18"/>
                          <w:szCs w:val="18"/>
                        </w:rPr>
                        <w:t> </w:t>
                      </w:r>
                      <w:r w:rsidRPr="009A06E5">
                        <w:rPr>
                          <w:color w:val="000000" w:themeColor="text1"/>
                          <w:sz w:val="18"/>
                          <w:szCs w:val="18"/>
                        </w:rPr>
                        <w:t>mezinárodních výzkumných týmů působících ve výzkumných centrech nebo mezinárodních organizacích v</w:t>
                      </w:r>
                      <w:r>
                        <w:rPr>
                          <w:color w:val="000000" w:themeColor="text1"/>
                          <w:sz w:val="18"/>
                          <w:szCs w:val="18"/>
                        </w:rPr>
                        <w:t> </w:t>
                      </w:r>
                      <w:r w:rsidRPr="009A06E5">
                        <w:rPr>
                          <w:color w:val="000000" w:themeColor="text1"/>
                          <w:sz w:val="18"/>
                          <w:szCs w:val="18"/>
                        </w:rPr>
                        <w:t>zahraničí</w:t>
                      </w:r>
                      <w:r>
                        <w:rPr>
                          <w:color w:val="000000" w:themeColor="text1"/>
                          <w:sz w:val="18"/>
                          <w:szCs w:val="18"/>
                        </w:rPr>
                        <w:t>.</w:t>
                      </w:r>
                    </w:p>
                  </w:txbxContent>
                </v:textbox>
              </v:roundrect>
            </w:pict>
          </mc:Fallback>
        </mc:AlternateContent>
      </w:r>
    </w:p>
    <w:p w14:paraId="446417C7" w14:textId="77777777" w:rsidR="00E23936" w:rsidRDefault="00E23936" w:rsidP="00E23936">
      <w:pPr>
        <w:spacing w:after="0" w:line="360" w:lineRule="auto"/>
        <w:jc w:val="both"/>
        <w:rPr>
          <w:rFonts w:eastAsia="Times New Roman" w:cs="Arial"/>
          <w:b/>
          <w:lang w:eastAsia="cs-CZ"/>
        </w:rPr>
      </w:pPr>
    </w:p>
    <w:p w14:paraId="4EF0FBF8" w14:textId="502C7C31" w:rsidR="00E23936" w:rsidRDefault="00E23936" w:rsidP="00E23936">
      <w:pPr>
        <w:spacing w:after="0" w:line="360" w:lineRule="auto"/>
        <w:jc w:val="both"/>
        <w:rPr>
          <w:rFonts w:eastAsia="Times New Roman" w:cs="Arial"/>
          <w:b/>
          <w:lang w:eastAsia="cs-CZ"/>
        </w:rPr>
      </w:pPr>
    </w:p>
    <w:p w14:paraId="0DFF284C" w14:textId="77777777" w:rsidR="00E23936" w:rsidRDefault="00E23936" w:rsidP="00E23936">
      <w:pPr>
        <w:spacing w:after="0" w:line="360" w:lineRule="auto"/>
        <w:jc w:val="both"/>
        <w:rPr>
          <w:rFonts w:eastAsia="Times New Roman" w:cs="Arial"/>
          <w:b/>
          <w:lang w:eastAsia="cs-CZ"/>
        </w:rPr>
      </w:pPr>
    </w:p>
    <w:p w14:paraId="10B99EDD" w14:textId="77777777" w:rsidR="00E23936" w:rsidRDefault="00E23936" w:rsidP="00E23936">
      <w:pPr>
        <w:spacing w:after="0" w:line="360" w:lineRule="auto"/>
        <w:jc w:val="both"/>
        <w:rPr>
          <w:rFonts w:eastAsia="Times New Roman" w:cs="Arial"/>
          <w:b/>
          <w:lang w:eastAsia="cs-CZ"/>
        </w:rPr>
      </w:pPr>
    </w:p>
    <w:p w14:paraId="3C10410D" w14:textId="77777777" w:rsidR="00E23936" w:rsidRDefault="00E23936" w:rsidP="00E23936">
      <w:pPr>
        <w:spacing w:after="0" w:line="360" w:lineRule="auto"/>
        <w:jc w:val="both"/>
        <w:rPr>
          <w:rFonts w:eastAsia="Times New Roman" w:cs="Arial"/>
          <w:b/>
          <w:lang w:eastAsia="cs-CZ"/>
        </w:rPr>
      </w:pPr>
    </w:p>
    <w:p w14:paraId="569C7579" w14:textId="77777777" w:rsidR="00E23936" w:rsidRDefault="00E23936" w:rsidP="00E23936">
      <w:pPr>
        <w:spacing w:after="0" w:line="360" w:lineRule="auto"/>
        <w:jc w:val="both"/>
        <w:rPr>
          <w:rFonts w:eastAsia="Times New Roman" w:cs="Arial"/>
          <w:b/>
          <w:lang w:eastAsia="cs-CZ"/>
        </w:rPr>
      </w:pPr>
    </w:p>
    <w:p w14:paraId="766B28D2" w14:textId="40137E6E" w:rsidR="00E23936" w:rsidRPr="00F75A0B" w:rsidRDefault="00E23936" w:rsidP="00E23936">
      <w:pPr>
        <w:spacing w:after="120" w:line="360" w:lineRule="auto"/>
        <w:rPr>
          <w:rFonts w:eastAsia="Times New Roman" w:cs="Arial"/>
          <w:i/>
          <w:sz w:val="18"/>
          <w:szCs w:val="18"/>
          <w:lang w:eastAsia="cs-CZ"/>
        </w:rPr>
      </w:pPr>
      <w:r w:rsidRPr="00F75A0B">
        <w:rPr>
          <w:rFonts w:eastAsia="Times New Roman" w:cs="Arial"/>
          <w:i/>
          <w:sz w:val="18"/>
          <w:szCs w:val="18"/>
          <w:lang w:eastAsia="cs-CZ"/>
        </w:rPr>
        <w:t xml:space="preserve">Zdroj: IS </w:t>
      </w:r>
      <w:proofErr w:type="spellStart"/>
      <w:r w:rsidRPr="00F75A0B">
        <w:rPr>
          <w:rFonts w:eastAsia="Times New Roman" w:cs="Arial"/>
          <w:i/>
          <w:sz w:val="18"/>
          <w:szCs w:val="18"/>
          <w:lang w:eastAsia="cs-CZ"/>
        </w:rPr>
        <w:t>VaVaI</w:t>
      </w:r>
      <w:proofErr w:type="spellEnd"/>
      <w:r>
        <w:rPr>
          <w:rFonts w:eastAsia="Times New Roman" w:cs="Arial"/>
          <w:i/>
          <w:sz w:val="18"/>
          <w:szCs w:val="18"/>
          <w:lang w:eastAsia="cs-CZ"/>
        </w:rPr>
        <w:t>, export dat 24. 11. 2025</w:t>
      </w:r>
    </w:p>
    <w:p w14:paraId="61EB65FC" w14:textId="77777777" w:rsidR="00887D40" w:rsidRPr="00487F91" w:rsidRDefault="00887D40" w:rsidP="00887D40">
      <w:pPr>
        <w:spacing w:after="120" w:line="360" w:lineRule="auto"/>
        <w:jc w:val="both"/>
        <w:rPr>
          <w:rFonts w:eastAsia="Times New Roman" w:cs="Arial"/>
          <w:b/>
          <w:lang w:eastAsia="cs-CZ"/>
        </w:rPr>
      </w:pPr>
      <w:r w:rsidRPr="00487F91">
        <w:rPr>
          <w:rFonts w:eastAsia="Times New Roman" w:cs="Arial"/>
          <w:b/>
          <w:lang w:eastAsia="cs-CZ"/>
        </w:rPr>
        <w:lastRenderedPageBreak/>
        <w:t xml:space="preserve">Bilaterální spolupráce ve </w:t>
      </w:r>
      <w:proofErr w:type="spellStart"/>
      <w:r w:rsidRPr="00487F91">
        <w:rPr>
          <w:rFonts w:eastAsia="Times New Roman" w:cs="Arial"/>
          <w:b/>
          <w:lang w:eastAsia="cs-CZ"/>
        </w:rPr>
        <w:t>VaVaI</w:t>
      </w:r>
      <w:proofErr w:type="spellEnd"/>
    </w:p>
    <w:p w14:paraId="1EB464CB" w14:textId="56FCF842" w:rsidR="00887D40" w:rsidRDefault="00887D40" w:rsidP="00887D40">
      <w:pPr>
        <w:spacing w:after="120" w:line="360" w:lineRule="auto"/>
        <w:ind w:firstLine="709"/>
        <w:jc w:val="both"/>
      </w:pPr>
      <w:r w:rsidRPr="004076AD">
        <w:rPr>
          <w:rFonts w:eastAsia="Times New Roman" w:cs="Arial"/>
          <w:b/>
          <w:bCs/>
          <w:lang w:eastAsia="cs-CZ"/>
        </w:rPr>
        <w:t>MŠMT</w:t>
      </w:r>
      <w:r>
        <w:rPr>
          <w:rFonts w:eastAsia="Times New Roman" w:cs="Arial"/>
          <w:bCs/>
          <w:lang w:eastAsia="cs-CZ"/>
        </w:rPr>
        <w:t xml:space="preserve"> v rámci programu INTER-EXCELLENCE II dále rozvíjí bilaterální spolupráci prostřednictvím </w:t>
      </w:r>
      <w:r w:rsidRPr="00877887">
        <w:t xml:space="preserve">podprogramu </w:t>
      </w:r>
      <w:r>
        <w:rPr>
          <w:b/>
          <w:bCs/>
        </w:rPr>
        <w:t xml:space="preserve">INTER-ACTION II, </w:t>
      </w:r>
      <w:r w:rsidRPr="00683FC5">
        <w:rPr>
          <w:bCs/>
        </w:rPr>
        <w:t>který je</w:t>
      </w:r>
      <w:r>
        <w:rPr>
          <w:bCs/>
        </w:rPr>
        <w:t> </w:t>
      </w:r>
      <w:r w:rsidRPr="00683FC5">
        <w:rPr>
          <w:bCs/>
        </w:rPr>
        <w:t>zaměřen na</w:t>
      </w:r>
      <w:r w:rsidRPr="00877887">
        <w:t xml:space="preserve"> rozvoj spolupráce se</w:t>
      </w:r>
      <w:r>
        <w:t> </w:t>
      </w:r>
      <w:r w:rsidRPr="00877887">
        <w:t>zeměmi, ke kterým se váže platná bilaterální, mezivládní nebo mezirezortní dohoda pro</w:t>
      </w:r>
      <w:r>
        <w:t> </w:t>
      </w:r>
      <w:r w:rsidRPr="00877887">
        <w:t xml:space="preserve">aktivity </w:t>
      </w:r>
      <w:proofErr w:type="spellStart"/>
      <w:r w:rsidRPr="00877887">
        <w:t>VaVaI</w:t>
      </w:r>
      <w:proofErr w:type="spellEnd"/>
      <w:r w:rsidRPr="00877887">
        <w:t xml:space="preserve">. </w:t>
      </w:r>
      <w:r>
        <w:t xml:space="preserve">V roce 2024 bylo podpořeno v rámci INTER-ACTION II celkem 110 projektů ve výši 169,4 mil. Kč v zemích jako Slovensko, Německo (Bavorsko), USA, Indie nebo Izrael. </w:t>
      </w:r>
    </w:p>
    <w:p w14:paraId="098B76F9" w14:textId="7645B712" w:rsidR="00887D40" w:rsidRPr="00182EF6" w:rsidRDefault="00887D40" w:rsidP="00887D40">
      <w:pPr>
        <w:spacing w:after="120" w:line="360" w:lineRule="auto"/>
        <w:ind w:firstLine="709"/>
        <w:jc w:val="both"/>
      </w:pPr>
      <w:r w:rsidRPr="008F0B0C">
        <w:rPr>
          <w:rFonts w:eastAsia="Times New Roman" w:cs="Arial"/>
          <w:b/>
          <w:bCs/>
          <w:lang w:eastAsia="cs-CZ"/>
        </w:rPr>
        <w:t>GA ČR</w:t>
      </w:r>
      <w:r>
        <w:rPr>
          <w:rFonts w:eastAsia="Times New Roman" w:cs="Arial"/>
          <w:bCs/>
          <w:lang w:eastAsia="cs-CZ"/>
        </w:rPr>
        <w:t xml:space="preserve"> spolupracuje s partnerskými institucemi v Německu, Jižní Koreji, Tchaj-wanu, Rakousku, Brazílii, Polsku, Slovinsku, Švýcarsku, Lucembursku, USA a v Chorvatsku. Jedná se o dva typy grantových mezinárodních projektů. </w:t>
      </w:r>
      <w:r w:rsidRPr="004076AD">
        <w:rPr>
          <w:rFonts w:eastAsia="Times New Roman" w:cs="Arial"/>
          <w:b/>
          <w:bCs/>
          <w:lang w:eastAsia="cs-CZ"/>
        </w:rPr>
        <w:t>Bilaterální projekty</w:t>
      </w:r>
      <w:r>
        <w:rPr>
          <w:rFonts w:eastAsia="Times New Roman" w:cs="Arial"/>
          <w:bCs/>
          <w:lang w:eastAsia="cs-CZ"/>
        </w:rPr>
        <w:t xml:space="preserve"> hodnotí GA ČR a partnerská instituce současně. V roce 2024 bylo podpořeno celkem 25 projektů v celkové výši 48,6 mil. Kč. Druhým typem jsou projekty hodnocené na principu </w:t>
      </w:r>
      <w:r w:rsidRPr="004076AD">
        <w:rPr>
          <w:rFonts w:eastAsia="Times New Roman" w:cs="Arial"/>
          <w:b/>
          <w:bCs/>
          <w:lang w:eastAsia="cs-CZ"/>
        </w:rPr>
        <w:t xml:space="preserve">Lead </w:t>
      </w:r>
      <w:proofErr w:type="spellStart"/>
      <w:r w:rsidRPr="004076AD">
        <w:rPr>
          <w:rFonts w:eastAsia="Times New Roman" w:cs="Arial"/>
          <w:b/>
          <w:bCs/>
          <w:lang w:eastAsia="cs-CZ"/>
        </w:rPr>
        <w:t>Agency</w:t>
      </w:r>
      <w:proofErr w:type="spellEnd"/>
      <w:r w:rsidRPr="004076AD">
        <w:rPr>
          <w:rFonts w:eastAsia="Times New Roman" w:cs="Arial"/>
          <w:b/>
          <w:bCs/>
          <w:lang w:eastAsia="cs-CZ"/>
        </w:rPr>
        <w:t xml:space="preserve"> (LA),</w:t>
      </w:r>
      <w:r>
        <w:rPr>
          <w:rFonts w:eastAsia="Times New Roman" w:cs="Arial"/>
          <w:bCs/>
          <w:lang w:eastAsia="cs-CZ"/>
        </w:rPr>
        <w:t xml:space="preserve"> kde hodnotí pouze jedna z institucí. V roce 2024 bylo takto podpořeno celkem 218 projektů v celkové výši 417,4 mil. Kč.</w:t>
      </w:r>
    </w:p>
    <w:p w14:paraId="465FDCEA" w14:textId="6E219755" w:rsidR="00887D40" w:rsidRDefault="00887D40" w:rsidP="00887D40">
      <w:pPr>
        <w:spacing w:after="0" w:line="360" w:lineRule="auto"/>
        <w:ind w:firstLine="709"/>
        <w:jc w:val="both"/>
      </w:pPr>
      <w:r w:rsidRPr="004076AD">
        <w:rPr>
          <w:rFonts w:eastAsia="Times New Roman" w:cs="Arial"/>
          <w:b/>
          <w:bCs/>
          <w:lang w:eastAsia="cs-CZ"/>
        </w:rPr>
        <w:t>TA ČR</w:t>
      </w:r>
      <w:r>
        <w:rPr>
          <w:rFonts w:eastAsia="Times New Roman" w:cs="Arial"/>
          <w:bCs/>
          <w:lang w:eastAsia="cs-CZ"/>
        </w:rPr>
        <w:t xml:space="preserve"> rozvíjí spolupráci se zeměmi mimo EU v rámci </w:t>
      </w:r>
      <w:r w:rsidRPr="007B4D4D">
        <w:rPr>
          <w:b/>
        </w:rPr>
        <w:t>p</w:t>
      </w:r>
      <w:r w:rsidRPr="00683FC5">
        <w:rPr>
          <w:b/>
          <w:bCs/>
        </w:rPr>
        <w:t>rogram</w:t>
      </w:r>
      <w:r>
        <w:rPr>
          <w:b/>
          <w:bCs/>
        </w:rPr>
        <w:t>u</w:t>
      </w:r>
      <w:r w:rsidRPr="00683FC5">
        <w:rPr>
          <w:b/>
          <w:bCs/>
        </w:rPr>
        <w:t xml:space="preserve"> DELTA 2</w:t>
      </w:r>
      <w:r w:rsidRPr="00683FC5">
        <w:t>. Cílem je</w:t>
      </w:r>
      <w:r>
        <w:t> </w:t>
      </w:r>
      <w:r w:rsidRPr="00683FC5">
        <w:t>podpořit projekty v oblasti aplikovaného výzkumu a experimentálního vývoje, jejichž výsledky budou úspěšně zavedeny do praxe. V roce 202</w:t>
      </w:r>
      <w:r>
        <w:t>4</w:t>
      </w:r>
      <w:r w:rsidRPr="00683FC5">
        <w:t xml:space="preserve"> bylo pod</w:t>
      </w:r>
      <w:r>
        <w:t>pořeno celkem 55 projektů ve výši 235,9 </w:t>
      </w:r>
      <w:r w:rsidRPr="00683FC5">
        <w:t>mil.</w:t>
      </w:r>
      <w:r>
        <w:t> </w:t>
      </w:r>
      <w:r w:rsidRPr="00683FC5">
        <w:t>Kč.</w:t>
      </w:r>
    </w:p>
    <w:p w14:paraId="38932EA0" w14:textId="4B281D1E" w:rsidR="00887D40" w:rsidRPr="008B65EB" w:rsidRDefault="00887D40" w:rsidP="00887D40">
      <w:pPr>
        <w:keepNext/>
        <w:spacing w:before="120" w:after="240" w:line="240" w:lineRule="auto"/>
        <w:jc w:val="both"/>
        <w:rPr>
          <w:rFonts w:eastAsia="Times New Roman" w:cs="Times New Roman"/>
          <w:b/>
          <w:bCs/>
          <w:szCs w:val="24"/>
          <w:lang w:eastAsia="cs-CZ"/>
        </w:rPr>
      </w:pPr>
      <w:r w:rsidRPr="00FB4956">
        <w:rPr>
          <w:b/>
          <w:bCs/>
          <w:noProof/>
          <w:lang w:eastAsia="cs-CZ"/>
        </w:rPr>
        <mc:AlternateContent>
          <mc:Choice Requires="wps">
            <w:drawing>
              <wp:anchor distT="0" distB="0" distL="114300" distR="114300" simplePos="0" relativeHeight="251685376" behindDoc="0" locked="0" layoutInCell="1" allowOverlap="1" wp14:anchorId="212006D3" wp14:editId="101FB31E">
                <wp:simplePos x="0" y="0"/>
                <wp:positionH relativeFrom="column">
                  <wp:posOffset>3080385</wp:posOffset>
                </wp:positionH>
                <wp:positionV relativeFrom="paragraph">
                  <wp:posOffset>336550</wp:posOffset>
                </wp:positionV>
                <wp:extent cx="2699385" cy="1571625"/>
                <wp:effectExtent l="0" t="0" r="24765" b="28575"/>
                <wp:wrapNone/>
                <wp:docPr id="87" name="Obdélník: se zakulacenými rohy 87"/>
                <wp:cNvGraphicFramePr/>
                <a:graphic xmlns:a="http://schemas.openxmlformats.org/drawingml/2006/main">
                  <a:graphicData uri="http://schemas.microsoft.com/office/word/2010/wordprocessingShape">
                    <wps:wsp>
                      <wps:cNvSpPr/>
                      <wps:spPr>
                        <a:xfrm>
                          <a:off x="0" y="0"/>
                          <a:ext cx="2699385" cy="1571625"/>
                        </a:xfrm>
                        <a:prstGeom prst="roundRect">
                          <a:avLst/>
                        </a:prstGeom>
                        <a:solidFill>
                          <a:schemeClr val="bg1"/>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38AAACB" w14:textId="77777777" w:rsidR="00887D40" w:rsidRPr="002B0E22" w:rsidRDefault="00887D40" w:rsidP="00887D40">
                            <w:pPr>
                              <w:spacing w:after="0" w:line="240" w:lineRule="auto"/>
                              <w:jc w:val="center"/>
                              <w:rPr>
                                <w:b/>
                                <w:bCs/>
                                <w:color w:val="000000" w:themeColor="text1"/>
                              </w:rPr>
                            </w:pPr>
                            <w:r>
                              <w:rPr>
                                <w:b/>
                                <w:bCs/>
                                <w:color w:val="000000" w:themeColor="text1"/>
                              </w:rPr>
                              <w:t xml:space="preserve">TA ČR: </w:t>
                            </w:r>
                            <w:r w:rsidRPr="00487F91">
                              <w:rPr>
                                <w:b/>
                                <w:bCs/>
                                <w:color w:val="000000" w:themeColor="text1"/>
                              </w:rPr>
                              <w:t xml:space="preserve">DELTA </w:t>
                            </w:r>
                            <w:r w:rsidRPr="007A6589">
                              <w:rPr>
                                <w:b/>
                                <w:bCs/>
                                <w:color w:val="000000" w:themeColor="text1"/>
                              </w:rPr>
                              <w:t>2 (2020–2025)</w:t>
                            </w:r>
                          </w:p>
                          <w:p w14:paraId="79C6EAF6" w14:textId="77777777" w:rsidR="00887D40" w:rsidRPr="00A4717E" w:rsidRDefault="00887D40" w:rsidP="00887D40">
                            <w:pPr>
                              <w:spacing w:after="0" w:line="240" w:lineRule="auto"/>
                              <w:jc w:val="center"/>
                              <w:rPr>
                                <w:color w:val="000000" w:themeColor="text1"/>
                                <w:sz w:val="18"/>
                                <w:szCs w:val="18"/>
                              </w:rPr>
                            </w:pPr>
                            <w:r w:rsidRPr="00A4717E">
                              <w:rPr>
                                <w:color w:val="000000" w:themeColor="text1"/>
                                <w:sz w:val="18"/>
                                <w:szCs w:val="18"/>
                              </w:rPr>
                              <w:t xml:space="preserve">Schválená podpora: </w:t>
                            </w:r>
                            <w:r w:rsidRPr="00513FCA">
                              <w:rPr>
                                <w:color w:val="000000" w:themeColor="text1"/>
                                <w:sz w:val="18"/>
                                <w:szCs w:val="18"/>
                              </w:rPr>
                              <w:t>2</w:t>
                            </w:r>
                            <w:r>
                              <w:rPr>
                                <w:color w:val="000000" w:themeColor="text1"/>
                                <w:sz w:val="18"/>
                                <w:szCs w:val="18"/>
                              </w:rPr>
                              <w:t>36,2</w:t>
                            </w:r>
                            <w:r w:rsidRPr="00513FCA">
                              <w:rPr>
                                <w:color w:val="000000" w:themeColor="text1"/>
                                <w:sz w:val="18"/>
                                <w:szCs w:val="18"/>
                              </w:rPr>
                              <w:t>,0</w:t>
                            </w:r>
                            <w:r w:rsidRPr="00A4717E">
                              <w:rPr>
                                <w:color w:val="000000" w:themeColor="text1"/>
                                <w:sz w:val="18"/>
                                <w:szCs w:val="18"/>
                              </w:rPr>
                              <w:t xml:space="preserve"> mil. Kč</w:t>
                            </w:r>
                          </w:p>
                          <w:p w14:paraId="5F30C891" w14:textId="77777777" w:rsidR="00887D40" w:rsidRDefault="00887D40" w:rsidP="00887D40">
                            <w:pPr>
                              <w:spacing w:after="0" w:line="240" w:lineRule="auto"/>
                              <w:jc w:val="center"/>
                              <w:rPr>
                                <w:color w:val="000000" w:themeColor="text1"/>
                                <w:sz w:val="18"/>
                                <w:szCs w:val="18"/>
                              </w:rPr>
                            </w:pPr>
                            <w:r>
                              <w:rPr>
                                <w:color w:val="000000" w:themeColor="text1"/>
                                <w:sz w:val="18"/>
                                <w:szCs w:val="18"/>
                              </w:rPr>
                              <w:t>Čerpaná podpora</w:t>
                            </w:r>
                            <w:r w:rsidRPr="00A4717E">
                              <w:rPr>
                                <w:color w:val="000000" w:themeColor="text1"/>
                                <w:sz w:val="18"/>
                                <w:szCs w:val="18"/>
                              </w:rPr>
                              <w:t>:</w:t>
                            </w:r>
                            <w:r>
                              <w:rPr>
                                <w:color w:val="000000" w:themeColor="text1"/>
                                <w:sz w:val="18"/>
                                <w:szCs w:val="18"/>
                              </w:rPr>
                              <w:t xml:space="preserve"> </w:t>
                            </w:r>
                            <w:r w:rsidRPr="00907815">
                              <w:rPr>
                                <w:color w:val="000000" w:themeColor="text1"/>
                                <w:sz w:val="18"/>
                                <w:szCs w:val="18"/>
                              </w:rPr>
                              <w:t>235,</w:t>
                            </w:r>
                            <w:r>
                              <w:rPr>
                                <w:color w:val="000000" w:themeColor="text1"/>
                                <w:sz w:val="18"/>
                                <w:szCs w:val="18"/>
                              </w:rPr>
                              <w:t>9</w:t>
                            </w:r>
                            <w:r w:rsidRPr="00A4717E">
                              <w:rPr>
                                <w:color w:val="000000" w:themeColor="text1"/>
                                <w:sz w:val="18"/>
                                <w:szCs w:val="18"/>
                              </w:rPr>
                              <w:t xml:space="preserve"> mil. Kč</w:t>
                            </w:r>
                          </w:p>
                          <w:p w14:paraId="6D8B3D69" w14:textId="77777777" w:rsidR="00887D40" w:rsidRDefault="00887D40" w:rsidP="00887D40">
                            <w:pPr>
                              <w:spacing w:after="0" w:line="240" w:lineRule="auto"/>
                              <w:jc w:val="center"/>
                              <w:rPr>
                                <w:color w:val="000000" w:themeColor="text1"/>
                                <w:sz w:val="18"/>
                                <w:szCs w:val="18"/>
                              </w:rPr>
                            </w:pPr>
                            <w:r>
                              <w:rPr>
                                <w:color w:val="000000" w:themeColor="text1"/>
                                <w:sz w:val="18"/>
                                <w:szCs w:val="18"/>
                              </w:rPr>
                              <w:t>Počet podpořených projektů: 55</w:t>
                            </w:r>
                          </w:p>
                          <w:p w14:paraId="11BFE414" w14:textId="77777777" w:rsidR="00887D40" w:rsidRDefault="00887D40" w:rsidP="00887D40">
                            <w:pPr>
                              <w:spacing w:after="0" w:line="240" w:lineRule="auto"/>
                              <w:jc w:val="center"/>
                              <w:rPr>
                                <w:color w:val="000000" w:themeColor="text1"/>
                                <w:sz w:val="18"/>
                                <w:szCs w:val="18"/>
                              </w:rPr>
                            </w:pPr>
                          </w:p>
                          <w:p w14:paraId="099D7B5B" w14:textId="77777777" w:rsidR="00887D40" w:rsidRDefault="00887D40" w:rsidP="00887D40">
                            <w:pPr>
                              <w:spacing w:after="0" w:line="240" w:lineRule="auto"/>
                              <w:jc w:val="center"/>
                              <w:rPr>
                                <w:color w:val="000000" w:themeColor="text1"/>
                                <w:sz w:val="18"/>
                                <w:szCs w:val="18"/>
                              </w:rPr>
                            </w:pPr>
                            <w:r>
                              <w:rPr>
                                <w:color w:val="000000" w:themeColor="text1"/>
                                <w:sz w:val="18"/>
                                <w:szCs w:val="18"/>
                              </w:rPr>
                              <w:t>Spolupráce v oblasti aplikovaného výzkumu se zeměmi mimo EU</w:t>
                            </w:r>
                          </w:p>
                          <w:p w14:paraId="79920C5A" w14:textId="77777777" w:rsidR="00887D40" w:rsidRDefault="00887D40" w:rsidP="00887D40">
                            <w:pPr>
                              <w:spacing w:after="0" w:line="240" w:lineRule="auto"/>
                              <w:jc w:val="center"/>
                              <w:rPr>
                                <w:color w:val="000000" w:themeColor="text1"/>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12006D3" id="Obdélník: se zakulacenými rohy 87" o:spid="_x0000_s1047" style="position:absolute;left:0;text-align:left;margin-left:242.55pt;margin-top:26.5pt;width:212.55pt;height:123.7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" fillcolor="white [3212]" strokecolor="#4f81bd [3204]" strokeweight="2pt">
                <v:textbox>
                  <w:txbxContent>
                    <w:p w14:paraId="038AAACB" w14:textId="77777777" w:rsidR="00887D40" w:rsidRPr="002B0E22" w:rsidRDefault="00887D40" w:rsidP="00887D40">
                      <w:pPr>
                        <w:spacing w:after="0" w:line="240" w:lineRule="auto"/>
                        <w:jc w:val="center"/>
                        <w:rPr>
                          <w:b/>
                          <w:bCs/>
                          <w:color w:val="000000" w:themeColor="text1"/>
                        </w:rPr>
                      </w:pPr>
                      <w:r>
                        <w:rPr>
                          <w:b/>
                          <w:bCs/>
                          <w:color w:val="000000" w:themeColor="text1"/>
                        </w:rPr>
                        <w:t xml:space="preserve">TA ČR: </w:t>
                      </w:r>
                      <w:r w:rsidRPr="00487F91">
                        <w:rPr>
                          <w:b/>
                          <w:bCs/>
                          <w:color w:val="000000" w:themeColor="text1"/>
                        </w:rPr>
                        <w:t xml:space="preserve">DELTA </w:t>
                      </w:r>
                      <w:r w:rsidRPr="007A6589">
                        <w:rPr>
                          <w:b/>
                          <w:bCs/>
                          <w:color w:val="000000" w:themeColor="text1"/>
                        </w:rPr>
                        <w:t>2 (2020–2025)</w:t>
                      </w:r>
                    </w:p>
                    <w:p w14:paraId="79C6EAF6" w14:textId="77777777" w:rsidR="00887D40" w:rsidRPr="00A4717E" w:rsidRDefault="00887D40" w:rsidP="00887D40">
                      <w:pPr>
                        <w:spacing w:after="0" w:line="240" w:lineRule="auto"/>
                        <w:jc w:val="center"/>
                        <w:rPr>
                          <w:color w:val="000000" w:themeColor="text1"/>
                          <w:sz w:val="18"/>
                          <w:szCs w:val="18"/>
                        </w:rPr>
                      </w:pPr>
                      <w:r w:rsidRPr="00A4717E">
                        <w:rPr>
                          <w:color w:val="000000" w:themeColor="text1"/>
                          <w:sz w:val="18"/>
                          <w:szCs w:val="18"/>
                        </w:rPr>
                        <w:t xml:space="preserve">Schválená podpora: </w:t>
                      </w:r>
                      <w:r w:rsidRPr="00513FCA">
                        <w:rPr>
                          <w:color w:val="000000" w:themeColor="text1"/>
                          <w:sz w:val="18"/>
                          <w:szCs w:val="18"/>
                        </w:rPr>
                        <w:t>2</w:t>
                      </w:r>
                      <w:r>
                        <w:rPr>
                          <w:color w:val="000000" w:themeColor="text1"/>
                          <w:sz w:val="18"/>
                          <w:szCs w:val="18"/>
                        </w:rPr>
                        <w:t>36,2</w:t>
                      </w:r>
                      <w:r w:rsidRPr="00513FCA">
                        <w:rPr>
                          <w:color w:val="000000" w:themeColor="text1"/>
                          <w:sz w:val="18"/>
                          <w:szCs w:val="18"/>
                        </w:rPr>
                        <w:t>,0</w:t>
                      </w:r>
                      <w:r w:rsidRPr="00A4717E">
                        <w:rPr>
                          <w:color w:val="000000" w:themeColor="text1"/>
                          <w:sz w:val="18"/>
                          <w:szCs w:val="18"/>
                        </w:rPr>
                        <w:t xml:space="preserve"> mil. Kč</w:t>
                      </w:r>
                    </w:p>
                    <w:p w14:paraId="5F30C891" w14:textId="77777777" w:rsidR="00887D40" w:rsidRDefault="00887D40" w:rsidP="00887D40">
                      <w:pPr>
                        <w:spacing w:after="0" w:line="240" w:lineRule="auto"/>
                        <w:jc w:val="center"/>
                        <w:rPr>
                          <w:color w:val="000000" w:themeColor="text1"/>
                          <w:sz w:val="18"/>
                          <w:szCs w:val="18"/>
                        </w:rPr>
                      </w:pPr>
                      <w:r>
                        <w:rPr>
                          <w:color w:val="000000" w:themeColor="text1"/>
                          <w:sz w:val="18"/>
                          <w:szCs w:val="18"/>
                        </w:rPr>
                        <w:t>Čerpaná podpora</w:t>
                      </w:r>
                      <w:r w:rsidRPr="00A4717E">
                        <w:rPr>
                          <w:color w:val="000000" w:themeColor="text1"/>
                          <w:sz w:val="18"/>
                          <w:szCs w:val="18"/>
                        </w:rPr>
                        <w:t>:</w:t>
                      </w:r>
                      <w:r>
                        <w:rPr>
                          <w:color w:val="000000" w:themeColor="text1"/>
                          <w:sz w:val="18"/>
                          <w:szCs w:val="18"/>
                        </w:rPr>
                        <w:t xml:space="preserve"> </w:t>
                      </w:r>
                      <w:r w:rsidRPr="00907815">
                        <w:rPr>
                          <w:color w:val="000000" w:themeColor="text1"/>
                          <w:sz w:val="18"/>
                          <w:szCs w:val="18"/>
                        </w:rPr>
                        <w:t>235,</w:t>
                      </w:r>
                      <w:r>
                        <w:rPr>
                          <w:color w:val="000000" w:themeColor="text1"/>
                          <w:sz w:val="18"/>
                          <w:szCs w:val="18"/>
                        </w:rPr>
                        <w:t>9</w:t>
                      </w:r>
                      <w:r w:rsidRPr="00A4717E">
                        <w:rPr>
                          <w:color w:val="000000" w:themeColor="text1"/>
                          <w:sz w:val="18"/>
                          <w:szCs w:val="18"/>
                        </w:rPr>
                        <w:t xml:space="preserve"> mil. Kč</w:t>
                      </w:r>
                    </w:p>
                    <w:p w14:paraId="6D8B3D69" w14:textId="77777777" w:rsidR="00887D40" w:rsidRDefault="00887D40" w:rsidP="00887D40">
                      <w:pPr>
                        <w:spacing w:after="0" w:line="240" w:lineRule="auto"/>
                        <w:jc w:val="center"/>
                        <w:rPr>
                          <w:color w:val="000000" w:themeColor="text1"/>
                          <w:sz w:val="18"/>
                          <w:szCs w:val="18"/>
                        </w:rPr>
                      </w:pPr>
                      <w:r>
                        <w:rPr>
                          <w:color w:val="000000" w:themeColor="text1"/>
                          <w:sz w:val="18"/>
                          <w:szCs w:val="18"/>
                        </w:rPr>
                        <w:t>Počet podpořených projektů: 55</w:t>
                      </w:r>
                    </w:p>
                    <w:p w14:paraId="11BFE414" w14:textId="77777777" w:rsidR="00887D40" w:rsidRDefault="00887D40" w:rsidP="00887D40">
                      <w:pPr>
                        <w:spacing w:after="0" w:line="240" w:lineRule="auto"/>
                        <w:jc w:val="center"/>
                        <w:rPr>
                          <w:color w:val="000000" w:themeColor="text1"/>
                          <w:sz w:val="18"/>
                          <w:szCs w:val="18"/>
                        </w:rPr>
                      </w:pPr>
                    </w:p>
                    <w:p w14:paraId="099D7B5B" w14:textId="77777777" w:rsidR="00887D40" w:rsidRDefault="00887D40" w:rsidP="00887D40">
                      <w:pPr>
                        <w:spacing w:after="0" w:line="240" w:lineRule="auto"/>
                        <w:jc w:val="center"/>
                        <w:rPr>
                          <w:color w:val="000000" w:themeColor="text1"/>
                          <w:sz w:val="18"/>
                          <w:szCs w:val="18"/>
                        </w:rPr>
                      </w:pPr>
                      <w:r>
                        <w:rPr>
                          <w:color w:val="000000" w:themeColor="text1"/>
                          <w:sz w:val="18"/>
                          <w:szCs w:val="18"/>
                        </w:rPr>
                        <w:t>Spolupráce v oblasti aplikovaného výzkumu se zeměmi mimo EU</w:t>
                      </w:r>
                    </w:p>
                    <w:p w14:paraId="79920C5A" w14:textId="77777777" w:rsidR="00887D40" w:rsidRDefault="00887D40" w:rsidP="00887D40">
                      <w:pPr>
                        <w:spacing w:after="0" w:line="240" w:lineRule="auto"/>
                        <w:jc w:val="center"/>
                        <w:rPr>
                          <w:color w:val="000000" w:themeColor="text1"/>
                          <w:sz w:val="18"/>
                          <w:szCs w:val="18"/>
                        </w:rPr>
                      </w:pPr>
                    </w:p>
                  </w:txbxContent>
                </v:textbox>
              </v:roundrect>
            </w:pict>
          </mc:Fallback>
        </mc:AlternateContent>
      </w:r>
      <w:r w:rsidRPr="00FB4956">
        <w:rPr>
          <w:b/>
          <w:bCs/>
          <w:noProof/>
          <w:lang w:eastAsia="cs-CZ"/>
        </w:rPr>
        <mc:AlternateContent>
          <mc:Choice Requires="wps">
            <w:drawing>
              <wp:anchor distT="0" distB="0" distL="114300" distR="114300" simplePos="0" relativeHeight="251689472" behindDoc="0" locked="0" layoutInCell="1" allowOverlap="1" wp14:anchorId="316866F3" wp14:editId="1AAE6B1A">
                <wp:simplePos x="0" y="0"/>
                <wp:positionH relativeFrom="column">
                  <wp:posOffset>260985</wp:posOffset>
                </wp:positionH>
                <wp:positionV relativeFrom="paragraph">
                  <wp:posOffset>336551</wp:posOffset>
                </wp:positionV>
                <wp:extent cx="2699385" cy="1562100"/>
                <wp:effectExtent l="0" t="0" r="24765" b="19050"/>
                <wp:wrapNone/>
                <wp:docPr id="88" name="Obdélník: se zakulacenými rohy 88"/>
                <wp:cNvGraphicFramePr/>
                <a:graphic xmlns:a="http://schemas.openxmlformats.org/drawingml/2006/main">
                  <a:graphicData uri="http://schemas.microsoft.com/office/word/2010/wordprocessingShape">
                    <wps:wsp>
                      <wps:cNvSpPr/>
                      <wps:spPr>
                        <a:xfrm>
                          <a:off x="0" y="0"/>
                          <a:ext cx="2699385" cy="1562100"/>
                        </a:xfrm>
                        <a:prstGeom prst="roundRect">
                          <a:avLst/>
                        </a:prstGeom>
                        <a:solidFill>
                          <a:schemeClr val="bg1"/>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2F0BEAC" w14:textId="77777777" w:rsidR="00887D40" w:rsidRDefault="00887D40" w:rsidP="00887D40">
                            <w:pPr>
                              <w:spacing w:after="0" w:line="240" w:lineRule="auto"/>
                              <w:jc w:val="center"/>
                              <w:rPr>
                                <w:b/>
                                <w:bCs/>
                                <w:color w:val="000000" w:themeColor="text1"/>
                              </w:rPr>
                            </w:pPr>
                            <w:r w:rsidRPr="00487F91">
                              <w:rPr>
                                <w:b/>
                                <w:bCs/>
                                <w:color w:val="000000" w:themeColor="text1"/>
                              </w:rPr>
                              <w:t>INTER-ACTION</w:t>
                            </w:r>
                            <w:r>
                              <w:rPr>
                                <w:b/>
                                <w:bCs/>
                                <w:color w:val="000000" w:themeColor="text1"/>
                              </w:rPr>
                              <w:t xml:space="preserve"> II (2021</w:t>
                            </w:r>
                            <w:r w:rsidRPr="00E02CB0">
                              <w:rPr>
                                <w:b/>
                                <w:bCs/>
                                <w:color w:val="000000" w:themeColor="text1"/>
                              </w:rPr>
                              <w:t>–2029)</w:t>
                            </w:r>
                          </w:p>
                          <w:p w14:paraId="18CFAE91" w14:textId="77777777" w:rsidR="00887D40" w:rsidRDefault="00887D40" w:rsidP="00887D40">
                            <w:pPr>
                              <w:spacing w:after="0" w:line="240" w:lineRule="auto"/>
                              <w:jc w:val="center"/>
                              <w:rPr>
                                <w:color w:val="000000" w:themeColor="text1"/>
                                <w:sz w:val="18"/>
                                <w:szCs w:val="18"/>
                              </w:rPr>
                            </w:pPr>
                            <w:r>
                              <w:rPr>
                                <w:color w:val="000000" w:themeColor="text1"/>
                                <w:sz w:val="18"/>
                                <w:szCs w:val="18"/>
                              </w:rPr>
                              <w:t>Schválená podpora: 167,6 mil. Kč</w:t>
                            </w:r>
                          </w:p>
                          <w:p w14:paraId="7268C1AC" w14:textId="77777777" w:rsidR="00887D40" w:rsidRDefault="00887D40" w:rsidP="00887D40">
                            <w:pPr>
                              <w:spacing w:after="0" w:line="240" w:lineRule="auto"/>
                              <w:jc w:val="center"/>
                              <w:rPr>
                                <w:color w:val="000000" w:themeColor="text1"/>
                                <w:sz w:val="18"/>
                                <w:szCs w:val="18"/>
                              </w:rPr>
                            </w:pPr>
                            <w:r>
                              <w:rPr>
                                <w:color w:val="000000" w:themeColor="text1"/>
                                <w:sz w:val="18"/>
                                <w:szCs w:val="18"/>
                              </w:rPr>
                              <w:t>Čerpaná podpora</w:t>
                            </w:r>
                            <w:r w:rsidRPr="00A4717E">
                              <w:rPr>
                                <w:color w:val="000000" w:themeColor="text1"/>
                                <w:sz w:val="18"/>
                                <w:szCs w:val="18"/>
                              </w:rPr>
                              <w:t>:</w:t>
                            </w:r>
                            <w:r>
                              <w:rPr>
                                <w:color w:val="000000" w:themeColor="text1"/>
                                <w:sz w:val="18"/>
                                <w:szCs w:val="18"/>
                              </w:rPr>
                              <w:t xml:space="preserve"> 169,4</w:t>
                            </w:r>
                            <w:r w:rsidRPr="00A4717E">
                              <w:rPr>
                                <w:color w:val="000000" w:themeColor="text1"/>
                                <w:sz w:val="18"/>
                                <w:szCs w:val="18"/>
                              </w:rPr>
                              <w:t xml:space="preserve"> mil. Kč</w:t>
                            </w:r>
                          </w:p>
                          <w:p w14:paraId="37DACAE3" w14:textId="77777777" w:rsidR="00887D40" w:rsidRDefault="00887D40" w:rsidP="00887D40">
                            <w:pPr>
                              <w:spacing w:after="0" w:line="240" w:lineRule="auto"/>
                              <w:jc w:val="center"/>
                              <w:rPr>
                                <w:color w:val="000000" w:themeColor="text1"/>
                                <w:sz w:val="18"/>
                                <w:szCs w:val="18"/>
                              </w:rPr>
                            </w:pPr>
                            <w:r>
                              <w:rPr>
                                <w:color w:val="000000" w:themeColor="text1"/>
                                <w:sz w:val="18"/>
                                <w:szCs w:val="18"/>
                              </w:rPr>
                              <w:t>Počet podpořených projektů: 110</w:t>
                            </w:r>
                          </w:p>
                          <w:p w14:paraId="5FA6336A" w14:textId="77777777" w:rsidR="00887D40" w:rsidRDefault="00887D40" w:rsidP="00887D40">
                            <w:pPr>
                              <w:spacing w:after="0" w:line="240" w:lineRule="auto"/>
                              <w:jc w:val="center"/>
                              <w:rPr>
                                <w:b/>
                                <w:bCs/>
                                <w:color w:val="000000" w:themeColor="text1"/>
                              </w:rPr>
                            </w:pPr>
                          </w:p>
                          <w:p w14:paraId="060F5841" w14:textId="77777777" w:rsidR="00887D40" w:rsidRDefault="00887D40" w:rsidP="00887D40">
                            <w:pPr>
                              <w:spacing w:after="0" w:line="240" w:lineRule="auto"/>
                              <w:jc w:val="center"/>
                              <w:rPr>
                                <w:color w:val="000000" w:themeColor="text1"/>
                                <w:sz w:val="18"/>
                                <w:szCs w:val="18"/>
                              </w:rPr>
                            </w:pPr>
                            <w:r>
                              <w:rPr>
                                <w:color w:val="000000" w:themeColor="text1"/>
                                <w:sz w:val="18"/>
                                <w:szCs w:val="18"/>
                              </w:rPr>
                              <w:t xml:space="preserve">Rozvoj spolupráce se zeměmi, ke kterým se váže platná bilaterální, multilaterální nebo mezirezortní dohoda ve </w:t>
                            </w:r>
                            <w:proofErr w:type="spellStart"/>
                            <w:r>
                              <w:rPr>
                                <w:color w:val="000000" w:themeColor="text1"/>
                                <w:sz w:val="18"/>
                                <w:szCs w:val="18"/>
                              </w:rPr>
                              <w:t>VaVaI</w:t>
                            </w:r>
                            <w:proofErr w:type="spellEnd"/>
                            <w:r>
                              <w:rPr>
                                <w:color w:val="000000" w:themeColor="text1"/>
                                <w:sz w:val="18"/>
                                <w:szCs w:val="18"/>
                              </w:rPr>
                              <w:t>.</w:t>
                            </w:r>
                          </w:p>
                          <w:p w14:paraId="15B97AED" w14:textId="77777777" w:rsidR="00887D40" w:rsidRDefault="00887D40" w:rsidP="00887D40">
                            <w:pPr>
                              <w:spacing w:after="0" w:line="240" w:lineRule="auto"/>
                              <w:jc w:val="center"/>
                              <w:rPr>
                                <w:color w:val="000000" w:themeColor="text1"/>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16866F3" id="Obdélník: se zakulacenými rohy 88" o:spid="_x0000_s1048" style="position:absolute;left:0;text-align:left;margin-left:20.55pt;margin-top:26.5pt;width:212.55pt;height:123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" fillcolor="white [3212]" strokecolor="#4f81bd [3204]" strokeweight="2pt">
                <v:textbox>
                  <w:txbxContent>
                    <w:p w14:paraId="72F0BEAC" w14:textId="77777777" w:rsidR="00887D40" w:rsidRDefault="00887D40" w:rsidP="00887D40">
                      <w:pPr>
                        <w:spacing w:after="0" w:line="240" w:lineRule="auto"/>
                        <w:jc w:val="center"/>
                        <w:rPr>
                          <w:b/>
                          <w:bCs/>
                          <w:color w:val="000000" w:themeColor="text1"/>
                        </w:rPr>
                      </w:pPr>
                      <w:r w:rsidRPr="00487F91">
                        <w:rPr>
                          <w:b/>
                          <w:bCs/>
                          <w:color w:val="000000" w:themeColor="text1"/>
                        </w:rPr>
                        <w:t>INTER-ACTION</w:t>
                      </w:r>
                      <w:r>
                        <w:rPr>
                          <w:b/>
                          <w:bCs/>
                          <w:color w:val="000000" w:themeColor="text1"/>
                        </w:rPr>
                        <w:t xml:space="preserve"> II (2021</w:t>
                      </w:r>
                      <w:r w:rsidRPr="00E02CB0">
                        <w:rPr>
                          <w:b/>
                          <w:bCs/>
                          <w:color w:val="000000" w:themeColor="text1"/>
                        </w:rPr>
                        <w:t>–2029)</w:t>
                      </w:r>
                    </w:p>
                    <w:p w14:paraId="18CFAE91" w14:textId="77777777" w:rsidR="00887D40" w:rsidRDefault="00887D40" w:rsidP="00887D40">
                      <w:pPr>
                        <w:spacing w:after="0" w:line="240" w:lineRule="auto"/>
                        <w:jc w:val="center"/>
                        <w:rPr>
                          <w:color w:val="000000" w:themeColor="text1"/>
                          <w:sz w:val="18"/>
                          <w:szCs w:val="18"/>
                        </w:rPr>
                      </w:pPr>
                      <w:r>
                        <w:rPr>
                          <w:color w:val="000000" w:themeColor="text1"/>
                          <w:sz w:val="18"/>
                          <w:szCs w:val="18"/>
                        </w:rPr>
                        <w:t>Schválená podpora: 167,6 mil. Kč</w:t>
                      </w:r>
                    </w:p>
                    <w:p w14:paraId="7268C1AC" w14:textId="77777777" w:rsidR="00887D40" w:rsidRDefault="00887D40" w:rsidP="00887D40">
                      <w:pPr>
                        <w:spacing w:after="0" w:line="240" w:lineRule="auto"/>
                        <w:jc w:val="center"/>
                        <w:rPr>
                          <w:color w:val="000000" w:themeColor="text1"/>
                          <w:sz w:val="18"/>
                          <w:szCs w:val="18"/>
                        </w:rPr>
                      </w:pPr>
                      <w:r>
                        <w:rPr>
                          <w:color w:val="000000" w:themeColor="text1"/>
                          <w:sz w:val="18"/>
                          <w:szCs w:val="18"/>
                        </w:rPr>
                        <w:t>Čerpaná podpora</w:t>
                      </w:r>
                      <w:r w:rsidRPr="00A4717E">
                        <w:rPr>
                          <w:color w:val="000000" w:themeColor="text1"/>
                          <w:sz w:val="18"/>
                          <w:szCs w:val="18"/>
                        </w:rPr>
                        <w:t>:</w:t>
                      </w:r>
                      <w:r>
                        <w:rPr>
                          <w:color w:val="000000" w:themeColor="text1"/>
                          <w:sz w:val="18"/>
                          <w:szCs w:val="18"/>
                        </w:rPr>
                        <w:t xml:space="preserve"> 169,4</w:t>
                      </w:r>
                      <w:r w:rsidRPr="00A4717E">
                        <w:rPr>
                          <w:color w:val="000000" w:themeColor="text1"/>
                          <w:sz w:val="18"/>
                          <w:szCs w:val="18"/>
                        </w:rPr>
                        <w:t xml:space="preserve"> mil. Kč</w:t>
                      </w:r>
                    </w:p>
                    <w:p w14:paraId="37DACAE3" w14:textId="77777777" w:rsidR="00887D40" w:rsidRDefault="00887D40" w:rsidP="00887D40">
                      <w:pPr>
                        <w:spacing w:after="0" w:line="240" w:lineRule="auto"/>
                        <w:jc w:val="center"/>
                        <w:rPr>
                          <w:color w:val="000000" w:themeColor="text1"/>
                          <w:sz w:val="18"/>
                          <w:szCs w:val="18"/>
                        </w:rPr>
                      </w:pPr>
                      <w:r>
                        <w:rPr>
                          <w:color w:val="000000" w:themeColor="text1"/>
                          <w:sz w:val="18"/>
                          <w:szCs w:val="18"/>
                        </w:rPr>
                        <w:t>Počet podpořených projektů: 110</w:t>
                      </w:r>
                    </w:p>
                    <w:p w14:paraId="5FA6336A" w14:textId="77777777" w:rsidR="00887D40" w:rsidRDefault="00887D40" w:rsidP="00887D40">
                      <w:pPr>
                        <w:spacing w:after="0" w:line="240" w:lineRule="auto"/>
                        <w:jc w:val="center"/>
                        <w:rPr>
                          <w:b/>
                          <w:bCs/>
                          <w:color w:val="000000" w:themeColor="text1"/>
                        </w:rPr>
                      </w:pPr>
                    </w:p>
                    <w:p w14:paraId="060F5841" w14:textId="77777777" w:rsidR="00887D40" w:rsidRDefault="00887D40" w:rsidP="00887D40">
                      <w:pPr>
                        <w:spacing w:after="0" w:line="240" w:lineRule="auto"/>
                        <w:jc w:val="center"/>
                        <w:rPr>
                          <w:color w:val="000000" w:themeColor="text1"/>
                          <w:sz w:val="18"/>
                          <w:szCs w:val="18"/>
                        </w:rPr>
                      </w:pPr>
                      <w:r>
                        <w:rPr>
                          <w:color w:val="000000" w:themeColor="text1"/>
                          <w:sz w:val="18"/>
                          <w:szCs w:val="18"/>
                        </w:rPr>
                        <w:t xml:space="preserve">Rozvoj spolupráce se zeměmi, ke kterým se váže platná bilaterální, multilaterální nebo mezirezortní dohoda ve </w:t>
                      </w:r>
                      <w:proofErr w:type="spellStart"/>
                      <w:r>
                        <w:rPr>
                          <w:color w:val="000000" w:themeColor="text1"/>
                          <w:sz w:val="18"/>
                          <w:szCs w:val="18"/>
                        </w:rPr>
                        <w:t>VaVaI</w:t>
                      </w:r>
                      <w:proofErr w:type="spellEnd"/>
                      <w:r>
                        <w:rPr>
                          <w:color w:val="000000" w:themeColor="text1"/>
                          <w:sz w:val="18"/>
                          <w:szCs w:val="18"/>
                        </w:rPr>
                        <w:t>.</w:t>
                      </w:r>
                    </w:p>
                    <w:p w14:paraId="15B97AED" w14:textId="77777777" w:rsidR="00887D40" w:rsidRDefault="00887D40" w:rsidP="00887D40">
                      <w:pPr>
                        <w:spacing w:after="0" w:line="240" w:lineRule="auto"/>
                        <w:jc w:val="center"/>
                        <w:rPr>
                          <w:color w:val="000000" w:themeColor="text1"/>
                          <w:sz w:val="18"/>
                          <w:szCs w:val="18"/>
                        </w:rPr>
                      </w:pPr>
                    </w:p>
                  </w:txbxContent>
                </v:textbox>
              </v:roundrect>
            </w:pict>
          </mc:Fallback>
        </mc:AlternateContent>
      </w:r>
      <w:r w:rsidRPr="00FB4956">
        <w:rPr>
          <w:b/>
          <w:bCs/>
        </w:rPr>
        <w:t>Schéma F.4.2:</w:t>
      </w:r>
      <w:r w:rsidRPr="008B65EB">
        <w:rPr>
          <w:b/>
          <w:bCs/>
        </w:rPr>
        <w:t xml:space="preserve"> Vybrané programy bilaterální</w:t>
      </w:r>
      <w:r w:rsidRPr="008B65EB">
        <w:rPr>
          <w:rFonts w:eastAsia="Times New Roman" w:cs="Arial"/>
          <w:b/>
          <w:bCs/>
          <w:noProof/>
          <w:lang w:eastAsia="cs-CZ"/>
        </w:rPr>
        <w:t xml:space="preserve"> spolupráce</w:t>
      </w:r>
      <w:r>
        <w:rPr>
          <w:rFonts w:eastAsia="Times New Roman" w:cs="Arial"/>
          <w:b/>
          <w:bCs/>
          <w:noProof/>
          <w:lang w:eastAsia="cs-CZ"/>
        </w:rPr>
        <w:t xml:space="preserve"> v roce 2024</w:t>
      </w:r>
    </w:p>
    <w:p w14:paraId="0170760A" w14:textId="77777777" w:rsidR="00887D40" w:rsidRPr="00C41515" w:rsidRDefault="00887D40" w:rsidP="00887D40">
      <w:pPr>
        <w:keepNext/>
        <w:spacing w:before="120" w:after="240" w:line="240" w:lineRule="auto"/>
        <w:jc w:val="both"/>
        <w:rPr>
          <w:rFonts w:eastAsia="Times New Roman" w:cs="Times New Roman"/>
          <w:b/>
          <w:szCs w:val="24"/>
          <w:highlight w:val="yellow"/>
          <w:lang w:eastAsia="cs-CZ"/>
        </w:rPr>
      </w:pPr>
      <w:r w:rsidRPr="00FB4956">
        <w:rPr>
          <w:b/>
          <w:bCs/>
          <w:noProof/>
          <w:lang w:eastAsia="cs-CZ"/>
        </w:rPr>
        <mc:AlternateContent>
          <mc:Choice Requires="wps">
            <w:drawing>
              <wp:anchor distT="0" distB="0" distL="114300" distR="114300" simplePos="0" relativeHeight="251681280" behindDoc="0" locked="0" layoutInCell="1" allowOverlap="1" wp14:anchorId="45241142" wp14:editId="419353E1">
                <wp:simplePos x="0" y="0"/>
                <wp:positionH relativeFrom="column">
                  <wp:posOffset>118110</wp:posOffset>
                </wp:positionH>
                <wp:positionV relativeFrom="paragraph">
                  <wp:posOffset>42546</wp:posOffset>
                </wp:positionV>
                <wp:extent cx="5829300" cy="3524250"/>
                <wp:effectExtent l="0" t="0" r="0" b="0"/>
                <wp:wrapNone/>
                <wp:docPr id="86" name="Kosočtverec 86"/>
                <wp:cNvGraphicFramePr/>
                <a:graphic xmlns:a="http://schemas.openxmlformats.org/drawingml/2006/main">
                  <a:graphicData uri="http://schemas.microsoft.com/office/word/2010/wordprocessingShape">
                    <wps:wsp>
                      <wps:cNvSpPr/>
                      <wps:spPr>
                        <a:xfrm>
                          <a:off x="0" y="0"/>
                          <a:ext cx="5829300" cy="3524250"/>
                        </a:xfrm>
                        <a:prstGeom prst="diamond">
                          <a:avLst/>
                        </a:prstGeom>
                      </wps:spPr>
                      <wps:style>
                        <a:lnRef idx="0">
                          <a:schemeClr val="accent1">
                            <a:hueOff val="0"/>
                            <a:satOff val="0"/>
                            <a:lumOff val="0"/>
                            <a:alphaOff val="0"/>
                          </a:schemeClr>
                        </a:lnRef>
                        <a:fillRef idx="1">
                          <a:schemeClr val="accent1">
                            <a:tint val="40000"/>
                            <a:hueOff val="0"/>
                            <a:satOff val="0"/>
                            <a:lumOff val="0"/>
                            <a:alphaOff val="0"/>
                          </a:schemeClr>
                        </a:fillRef>
                        <a:effectRef idx="0">
                          <a:schemeClr val="accent1">
                            <a:tint val="40000"/>
                            <a:hueOff val="0"/>
                            <a:satOff val="0"/>
                            <a:lumOff val="0"/>
                            <a:alphaOff val="0"/>
                          </a:schemeClr>
                        </a:effectRef>
                        <a:fontRef idx="minor">
                          <a:schemeClr val="dk1">
                            <a:hueOff val="0"/>
                            <a:satOff val="0"/>
                            <a:lumOff val="0"/>
                            <a:alphaOff val="0"/>
                          </a:schemeClr>
                        </a:fontRef>
                      </wps:style>
                      <wps:bodyPr/>
                    </wps:wsp>
                  </a:graphicData>
                </a:graphic>
                <wp14:sizeRelH relativeFrom="margin">
                  <wp14:pctWidth>0</wp14:pctWidth>
                </wp14:sizeRelH>
                <wp14:sizeRelV relativeFrom="margin">
                  <wp14:pctHeight>0</wp14:pctHeight>
                </wp14:sizeRelV>
              </wp:anchor>
            </w:drawing>
          </mc:Choice>
          <mc:Fallback>
            <w:pict>
              <v:shape w14:anchorId="5D7FE02B" id="Kosočtverec 86" o:spid="_x0000_s1026" type="#_x0000_t4" style="position:absolute;margin-left:9.3pt;margin-top:3.35pt;width:459pt;height:277.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" fillcolor="#b8cce4 [1300]" stroked="f"/>
            </w:pict>
          </mc:Fallback>
        </mc:AlternateContent>
      </w:r>
    </w:p>
    <w:p w14:paraId="526CFCCD" w14:textId="77777777" w:rsidR="00887D40" w:rsidRPr="00C41515" w:rsidRDefault="00887D40" w:rsidP="00887D40">
      <w:pPr>
        <w:keepNext/>
        <w:spacing w:before="120" w:after="240" w:line="240" w:lineRule="auto"/>
        <w:jc w:val="both"/>
        <w:rPr>
          <w:rFonts w:eastAsia="Times New Roman" w:cs="Times New Roman"/>
          <w:b/>
          <w:szCs w:val="24"/>
          <w:highlight w:val="yellow"/>
          <w:lang w:eastAsia="cs-CZ"/>
        </w:rPr>
      </w:pPr>
    </w:p>
    <w:p w14:paraId="3A2B33E5" w14:textId="77777777" w:rsidR="00887D40" w:rsidRPr="00C41515" w:rsidRDefault="00887D40" w:rsidP="00887D40">
      <w:pPr>
        <w:keepNext/>
        <w:spacing w:before="120" w:after="240" w:line="240" w:lineRule="auto"/>
        <w:jc w:val="both"/>
        <w:rPr>
          <w:rFonts w:eastAsia="Times New Roman" w:cs="Times New Roman"/>
          <w:b/>
          <w:szCs w:val="24"/>
          <w:highlight w:val="yellow"/>
          <w:lang w:eastAsia="cs-CZ"/>
        </w:rPr>
      </w:pPr>
    </w:p>
    <w:p w14:paraId="26729AF4" w14:textId="77777777" w:rsidR="00887D40" w:rsidRPr="00C41515" w:rsidRDefault="00887D40" w:rsidP="00887D40">
      <w:pPr>
        <w:keepNext/>
        <w:spacing w:before="120" w:after="240" w:line="240" w:lineRule="auto"/>
        <w:jc w:val="both"/>
        <w:rPr>
          <w:rFonts w:eastAsia="Times New Roman" w:cs="Times New Roman"/>
          <w:b/>
          <w:szCs w:val="24"/>
          <w:highlight w:val="yellow"/>
          <w:lang w:eastAsia="cs-CZ"/>
        </w:rPr>
      </w:pPr>
    </w:p>
    <w:p w14:paraId="15AF566A" w14:textId="77777777" w:rsidR="00887D40" w:rsidRPr="00C41515" w:rsidRDefault="00887D40" w:rsidP="00887D40">
      <w:pPr>
        <w:spacing w:after="0" w:line="360" w:lineRule="auto"/>
        <w:jc w:val="both"/>
        <w:rPr>
          <w:rFonts w:eastAsia="Times New Roman" w:cs="Arial"/>
          <w:b/>
          <w:highlight w:val="yellow"/>
          <w:lang w:eastAsia="cs-CZ"/>
        </w:rPr>
      </w:pPr>
    </w:p>
    <w:p w14:paraId="0292D6D6" w14:textId="6A00FA24" w:rsidR="00887D40" w:rsidRPr="00C41515" w:rsidRDefault="00887D40" w:rsidP="00887D40">
      <w:pPr>
        <w:spacing w:after="0" w:line="360" w:lineRule="auto"/>
        <w:jc w:val="both"/>
        <w:rPr>
          <w:rFonts w:eastAsia="Times New Roman" w:cs="Arial"/>
          <w:b/>
          <w:highlight w:val="yellow"/>
          <w:lang w:eastAsia="cs-CZ"/>
        </w:rPr>
      </w:pPr>
      <w:r w:rsidRPr="00C41515">
        <w:rPr>
          <w:rFonts w:eastAsia="Times New Roman" w:cs="Arial"/>
          <w:b/>
          <w:noProof/>
          <w:highlight w:val="yellow"/>
          <w:lang w:eastAsia="cs-CZ"/>
        </w:rPr>
        <mc:AlternateContent>
          <mc:Choice Requires="wps">
            <w:drawing>
              <wp:anchor distT="0" distB="0" distL="114300" distR="114300" simplePos="0" relativeHeight="251691520" behindDoc="0" locked="0" layoutInCell="1" allowOverlap="1" wp14:anchorId="2336D41E" wp14:editId="304F8290">
                <wp:simplePos x="0" y="0"/>
                <wp:positionH relativeFrom="column">
                  <wp:posOffset>3108960</wp:posOffset>
                </wp:positionH>
                <wp:positionV relativeFrom="paragraph">
                  <wp:posOffset>168910</wp:posOffset>
                </wp:positionV>
                <wp:extent cx="2699385" cy="1857375"/>
                <wp:effectExtent l="0" t="0" r="24765" b="28575"/>
                <wp:wrapNone/>
                <wp:docPr id="90" name="Obdélník: se zakulacenými rohy 90"/>
                <wp:cNvGraphicFramePr/>
                <a:graphic xmlns:a="http://schemas.openxmlformats.org/drawingml/2006/main">
                  <a:graphicData uri="http://schemas.microsoft.com/office/word/2010/wordprocessingShape">
                    <wps:wsp>
                      <wps:cNvSpPr/>
                      <wps:spPr>
                        <a:xfrm>
                          <a:off x="0" y="0"/>
                          <a:ext cx="2699385" cy="1857375"/>
                        </a:xfrm>
                        <a:prstGeom prst="roundRect">
                          <a:avLst/>
                        </a:prstGeom>
                        <a:solidFill>
                          <a:schemeClr val="bg1"/>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AA1660E" w14:textId="77777777" w:rsidR="00887D40" w:rsidRDefault="00887D40" w:rsidP="00887D40">
                            <w:pPr>
                              <w:spacing w:after="0" w:line="240" w:lineRule="auto"/>
                              <w:jc w:val="center"/>
                              <w:rPr>
                                <w:b/>
                                <w:bCs/>
                                <w:color w:val="000000" w:themeColor="text1"/>
                              </w:rPr>
                            </w:pPr>
                            <w:r w:rsidRPr="00487F91">
                              <w:rPr>
                                <w:b/>
                                <w:bCs/>
                                <w:color w:val="000000" w:themeColor="text1"/>
                              </w:rPr>
                              <w:t>GA ČR</w:t>
                            </w:r>
                            <w:r>
                              <w:rPr>
                                <w:b/>
                                <w:bCs/>
                                <w:color w:val="000000" w:themeColor="text1"/>
                              </w:rPr>
                              <w:t xml:space="preserve">: </w:t>
                            </w:r>
                            <w:r w:rsidRPr="00487F91">
                              <w:rPr>
                                <w:b/>
                                <w:bCs/>
                                <w:color w:val="000000" w:themeColor="text1"/>
                              </w:rPr>
                              <w:t xml:space="preserve">Lead </w:t>
                            </w:r>
                            <w:proofErr w:type="spellStart"/>
                            <w:r w:rsidRPr="00487F91">
                              <w:rPr>
                                <w:b/>
                                <w:bCs/>
                                <w:color w:val="000000" w:themeColor="text1"/>
                              </w:rPr>
                              <w:t>Agency</w:t>
                            </w:r>
                            <w:proofErr w:type="spellEnd"/>
                            <w:r>
                              <w:rPr>
                                <w:b/>
                                <w:bCs/>
                                <w:color w:val="000000" w:themeColor="text1"/>
                              </w:rPr>
                              <w:t xml:space="preserve"> </w:t>
                            </w:r>
                          </w:p>
                          <w:p w14:paraId="0CD4F9BD" w14:textId="77777777" w:rsidR="00887D40" w:rsidRPr="00525CEA" w:rsidRDefault="00887D40" w:rsidP="00887D40">
                            <w:pPr>
                              <w:spacing w:after="0" w:line="240" w:lineRule="auto"/>
                              <w:jc w:val="center"/>
                              <w:rPr>
                                <w:b/>
                                <w:bCs/>
                                <w:color w:val="000000" w:themeColor="text1"/>
                              </w:rPr>
                            </w:pPr>
                            <w:r w:rsidRPr="002B0E22">
                              <w:rPr>
                                <w:b/>
                                <w:bCs/>
                                <w:color w:val="000000" w:themeColor="text1"/>
                              </w:rPr>
                              <w:t>(20</w:t>
                            </w:r>
                            <w:r>
                              <w:rPr>
                                <w:b/>
                                <w:bCs/>
                                <w:color w:val="000000" w:themeColor="text1"/>
                              </w:rPr>
                              <w:t>15</w:t>
                            </w:r>
                            <w:r w:rsidRPr="002B0E22">
                              <w:rPr>
                                <w:b/>
                                <w:bCs/>
                                <w:color w:val="000000" w:themeColor="text1"/>
                              </w:rPr>
                              <w:t>–20</w:t>
                            </w:r>
                            <w:r>
                              <w:rPr>
                                <w:b/>
                                <w:bCs/>
                                <w:color w:val="000000" w:themeColor="text1"/>
                              </w:rPr>
                              <w:t>30)</w:t>
                            </w:r>
                          </w:p>
                          <w:p w14:paraId="617D6DAF" w14:textId="77777777" w:rsidR="00887D40" w:rsidRDefault="00887D40" w:rsidP="00887D40">
                            <w:pPr>
                              <w:spacing w:after="0" w:line="240" w:lineRule="auto"/>
                              <w:jc w:val="center"/>
                              <w:rPr>
                                <w:color w:val="000000" w:themeColor="text1"/>
                                <w:sz w:val="18"/>
                                <w:szCs w:val="18"/>
                              </w:rPr>
                            </w:pPr>
                            <w:r w:rsidRPr="00A4717E">
                              <w:rPr>
                                <w:color w:val="000000" w:themeColor="text1"/>
                                <w:sz w:val="18"/>
                                <w:szCs w:val="18"/>
                              </w:rPr>
                              <w:t xml:space="preserve">Schválená podpora celkem: </w:t>
                            </w:r>
                            <w:r>
                              <w:rPr>
                                <w:color w:val="000000" w:themeColor="text1"/>
                                <w:sz w:val="18"/>
                                <w:szCs w:val="18"/>
                              </w:rPr>
                              <w:t>378,6 mil. Kč</w:t>
                            </w:r>
                          </w:p>
                          <w:p w14:paraId="23E5C69A" w14:textId="77777777" w:rsidR="00887D40" w:rsidRDefault="00887D40" w:rsidP="00887D40">
                            <w:pPr>
                              <w:spacing w:after="0" w:line="240" w:lineRule="auto"/>
                              <w:jc w:val="center"/>
                              <w:rPr>
                                <w:color w:val="000000" w:themeColor="text1"/>
                                <w:sz w:val="18"/>
                                <w:szCs w:val="18"/>
                              </w:rPr>
                            </w:pPr>
                            <w:r>
                              <w:rPr>
                                <w:color w:val="000000" w:themeColor="text1"/>
                                <w:sz w:val="18"/>
                                <w:szCs w:val="18"/>
                              </w:rPr>
                              <w:t>Čerpaná podpora</w:t>
                            </w:r>
                            <w:r w:rsidRPr="00A4717E">
                              <w:rPr>
                                <w:color w:val="000000" w:themeColor="text1"/>
                                <w:sz w:val="18"/>
                                <w:szCs w:val="18"/>
                              </w:rPr>
                              <w:t>:</w:t>
                            </w:r>
                            <w:r>
                              <w:rPr>
                                <w:color w:val="000000" w:themeColor="text1"/>
                                <w:sz w:val="18"/>
                                <w:szCs w:val="18"/>
                              </w:rPr>
                              <w:t xml:space="preserve"> 417,4</w:t>
                            </w:r>
                            <w:r w:rsidRPr="00A4717E">
                              <w:rPr>
                                <w:color w:val="000000" w:themeColor="text1"/>
                                <w:sz w:val="18"/>
                                <w:szCs w:val="18"/>
                              </w:rPr>
                              <w:t xml:space="preserve"> mil. Kč</w:t>
                            </w:r>
                          </w:p>
                          <w:p w14:paraId="4100D305" w14:textId="77777777" w:rsidR="00887D40" w:rsidRDefault="00887D40" w:rsidP="00887D40">
                            <w:pPr>
                              <w:spacing w:after="0" w:line="240" w:lineRule="auto"/>
                              <w:jc w:val="center"/>
                              <w:rPr>
                                <w:color w:val="000000" w:themeColor="text1"/>
                                <w:sz w:val="18"/>
                                <w:szCs w:val="18"/>
                              </w:rPr>
                            </w:pPr>
                            <w:r>
                              <w:rPr>
                                <w:color w:val="000000" w:themeColor="text1"/>
                                <w:sz w:val="18"/>
                                <w:szCs w:val="18"/>
                              </w:rPr>
                              <w:t>Počet podpořených projektů: 218</w:t>
                            </w:r>
                          </w:p>
                          <w:p w14:paraId="57AC2ED2" w14:textId="77777777" w:rsidR="00887D40" w:rsidRDefault="00887D40" w:rsidP="00887D40">
                            <w:pPr>
                              <w:spacing w:after="0" w:line="240" w:lineRule="auto"/>
                              <w:jc w:val="center"/>
                              <w:rPr>
                                <w:color w:val="000000" w:themeColor="text1"/>
                                <w:sz w:val="18"/>
                                <w:szCs w:val="18"/>
                              </w:rPr>
                            </w:pPr>
                          </w:p>
                          <w:p w14:paraId="038D1D7D" w14:textId="77777777" w:rsidR="00887D40" w:rsidRDefault="00887D40" w:rsidP="00887D40">
                            <w:pPr>
                              <w:spacing w:after="0" w:line="240" w:lineRule="auto"/>
                              <w:jc w:val="center"/>
                              <w:rPr>
                                <w:color w:val="000000" w:themeColor="text1"/>
                                <w:sz w:val="18"/>
                                <w:szCs w:val="18"/>
                              </w:rPr>
                            </w:pPr>
                            <w:r>
                              <w:rPr>
                                <w:color w:val="000000" w:themeColor="text1"/>
                                <w:sz w:val="18"/>
                                <w:szCs w:val="18"/>
                              </w:rPr>
                              <w:t>Projekty s partnerskými organizacemi</w:t>
                            </w:r>
                          </w:p>
                          <w:p w14:paraId="57B0E6CD" w14:textId="77777777" w:rsidR="00887D40" w:rsidRDefault="00887D40" w:rsidP="00887D40">
                            <w:pPr>
                              <w:spacing w:after="0" w:line="240" w:lineRule="auto"/>
                              <w:jc w:val="center"/>
                              <w:rPr>
                                <w:color w:val="000000" w:themeColor="text1"/>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336D41E" id="Obdélník: se zakulacenými rohy 90" o:spid="_x0000_s1049" style="position:absolute;left:0;text-align:left;margin-left:244.8pt;margin-top:13.3pt;width:212.55pt;height:146.2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" fillcolor="white [3212]" strokecolor="#4f81bd [3204]" strokeweight="2pt">
                <v:textbox>
                  <w:txbxContent>
                    <w:p w14:paraId="2AA1660E" w14:textId="77777777" w:rsidR="00887D40" w:rsidRDefault="00887D40" w:rsidP="00887D40">
                      <w:pPr>
                        <w:spacing w:after="0" w:line="240" w:lineRule="auto"/>
                        <w:jc w:val="center"/>
                        <w:rPr>
                          <w:b/>
                          <w:bCs/>
                          <w:color w:val="000000" w:themeColor="text1"/>
                        </w:rPr>
                      </w:pPr>
                      <w:r w:rsidRPr="00487F91">
                        <w:rPr>
                          <w:b/>
                          <w:bCs/>
                          <w:color w:val="000000" w:themeColor="text1"/>
                        </w:rPr>
                        <w:t>GA ČR</w:t>
                      </w:r>
                      <w:r>
                        <w:rPr>
                          <w:b/>
                          <w:bCs/>
                          <w:color w:val="000000" w:themeColor="text1"/>
                        </w:rPr>
                        <w:t xml:space="preserve">: </w:t>
                      </w:r>
                      <w:r w:rsidRPr="00487F91">
                        <w:rPr>
                          <w:b/>
                          <w:bCs/>
                          <w:color w:val="000000" w:themeColor="text1"/>
                        </w:rPr>
                        <w:t xml:space="preserve">Lead </w:t>
                      </w:r>
                      <w:proofErr w:type="spellStart"/>
                      <w:r w:rsidRPr="00487F91">
                        <w:rPr>
                          <w:b/>
                          <w:bCs/>
                          <w:color w:val="000000" w:themeColor="text1"/>
                        </w:rPr>
                        <w:t>Agency</w:t>
                      </w:r>
                      <w:proofErr w:type="spellEnd"/>
                      <w:r>
                        <w:rPr>
                          <w:b/>
                          <w:bCs/>
                          <w:color w:val="000000" w:themeColor="text1"/>
                        </w:rPr>
                        <w:t xml:space="preserve"> </w:t>
                      </w:r>
                    </w:p>
                    <w:p w14:paraId="0CD4F9BD" w14:textId="77777777" w:rsidR="00887D40" w:rsidRPr="00525CEA" w:rsidRDefault="00887D40" w:rsidP="00887D40">
                      <w:pPr>
                        <w:spacing w:after="0" w:line="240" w:lineRule="auto"/>
                        <w:jc w:val="center"/>
                        <w:rPr>
                          <w:b/>
                          <w:bCs/>
                          <w:color w:val="000000" w:themeColor="text1"/>
                        </w:rPr>
                      </w:pPr>
                      <w:r w:rsidRPr="002B0E22">
                        <w:rPr>
                          <w:b/>
                          <w:bCs/>
                          <w:color w:val="000000" w:themeColor="text1"/>
                        </w:rPr>
                        <w:t>(20</w:t>
                      </w:r>
                      <w:r>
                        <w:rPr>
                          <w:b/>
                          <w:bCs/>
                          <w:color w:val="000000" w:themeColor="text1"/>
                        </w:rPr>
                        <w:t>15</w:t>
                      </w:r>
                      <w:r w:rsidRPr="002B0E22">
                        <w:rPr>
                          <w:b/>
                          <w:bCs/>
                          <w:color w:val="000000" w:themeColor="text1"/>
                        </w:rPr>
                        <w:t>–20</w:t>
                      </w:r>
                      <w:r>
                        <w:rPr>
                          <w:b/>
                          <w:bCs/>
                          <w:color w:val="000000" w:themeColor="text1"/>
                        </w:rPr>
                        <w:t>30)</w:t>
                      </w:r>
                    </w:p>
                    <w:p w14:paraId="617D6DAF" w14:textId="77777777" w:rsidR="00887D40" w:rsidRDefault="00887D40" w:rsidP="00887D40">
                      <w:pPr>
                        <w:spacing w:after="0" w:line="240" w:lineRule="auto"/>
                        <w:jc w:val="center"/>
                        <w:rPr>
                          <w:color w:val="000000" w:themeColor="text1"/>
                          <w:sz w:val="18"/>
                          <w:szCs w:val="18"/>
                        </w:rPr>
                      </w:pPr>
                      <w:r w:rsidRPr="00A4717E">
                        <w:rPr>
                          <w:color w:val="000000" w:themeColor="text1"/>
                          <w:sz w:val="18"/>
                          <w:szCs w:val="18"/>
                        </w:rPr>
                        <w:t xml:space="preserve">Schválená podpora celkem: </w:t>
                      </w:r>
                      <w:r>
                        <w:rPr>
                          <w:color w:val="000000" w:themeColor="text1"/>
                          <w:sz w:val="18"/>
                          <w:szCs w:val="18"/>
                        </w:rPr>
                        <w:t>378,6 mil. Kč</w:t>
                      </w:r>
                    </w:p>
                    <w:p w14:paraId="23E5C69A" w14:textId="77777777" w:rsidR="00887D40" w:rsidRDefault="00887D40" w:rsidP="00887D40">
                      <w:pPr>
                        <w:spacing w:after="0" w:line="240" w:lineRule="auto"/>
                        <w:jc w:val="center"/>
                        <w:rPr>
                          <w:color w:val="000000" w:themeColor="text1"/>
                          <w:sz w:val="18"/>
                          <w:szCs w:val="18"/>
                        </w:rPr>
                      </w:pPr>
                      <w:r>
                        <w:rPr>
                          <w:color w:val="000000" w:themeColor="text1"/>
                          <w:sz w:val="18"/>
                          <w:szCs w:val="18"/>
                        </w:rPr>
                        <w:t>Čerpaná podpora</w:t>
                      </w:r>
                      <w:r w:rsidRPr="00A4717E">
                        <w:rPr>
                          <w:color w:val="000000" w:themeColor="text1"/>
                          <w:sz w:val="18"/>
                          <w:szCs w:val="18"/>
                        </w:rPr>
                        <w:t>:</w:t>
                      </w:r>
                      <w:r>
                        <w:rPr>
                          <w:color w:val="000000" w:themeColor="text1"/>
                          <w:sz w:val="18"/>
                          <w:szCs w:val="18"/>
                        </w:rPr>
                        <w:t xml:space="preserve"> 417,4</w:t>
                      </w:r>
                      <w:r w:rsidRPr="00A4717E">
                        <w:rPr>
                          <w:color w:val="000000" w:themeColor="text1"/>
                          <w:sz w:val="18"/>
                          <w:szCs w:val="18"/>
                        </w:rPr>
                        <w:t xml:space="preserve"> mil. Kč</w:t>
                      </w:r>
                    </w:p>
                    <w:p w14:paraId="4100D305" w14:textId="77777777" w:rsidR="00887D40" w:rsidRDefault="00887D40" w:rsidP="00887D40">
                      <w:pPr>
                        <w:spacing w:after="0" w:line="240" w:lineRule="auto"/>
                        <w:jc w:val="center"/>
                        <w:rPr>
                          <w:color w:val="000000" w:themeColor="text1"/>
                          <w:sz w:val="18"/>
                          <w:szCs w:val="18"/>
                        </w:rPr>
                      </w:pPr>
                      <w:r>
                        <w:rPr>
                          <w:color w:val="000000" w:themeColor="text1"/>
                          <w:sz w:val="18"/>
                          <w:szCs w:val="18"/>
                        </w:rPr>
                        <w:t>Počet podpořených projektů: 218</w:t>
                      </w:r>
                    </w:p>
                    <w:p w14:paraId="57AC2ED2" w14:textId="77777777" w:rsidR="00887D40" w:rsidRDefault="00887D40" w:rsidP="00887D40">
                      <w:pPr>
                        <w:spacing w:after="0" w:line="240" w:lineRule="auto"/>
                        <w:jc w:val="center"/>
                        <w:rPr>
                          <w:color w:val="000000" w:themeColor="text1"/>
                          <w:sz w:val="18"/>
                          <w:szCs w:val="18"/>
                        </w:rPr>
                      </w:pPr>
                    </w:p>
                    <w:p w14:paraId="038D1D7D" w14:textId="77777777" w:rsidR="00887D40" w:rsidRDefault="00887D40" w:rsidP="00887D40">
                      <w:pPr>
                        <w:spacing w:after="0" w:line="240" w:lineRule="auto"/>
                        <w:jc w:val="center"/>
                        <w:rPr>
                          <w:color w:val="000000" w:themeColor="text1"/>
                          <w:sz w:val="18"/>
                          <w:szCs w:val="18"/>
                        </w:rPr>
                      </w:pPr>
                      <w:r>
                        <w:rPr>
                          <w:color w:val="000000" w:themeColor="text1"/>
                          <w:sz w:val="18"/>
                          <w:szCs w:val="18"/>
                        </w:rPr>
                        <w:t>Projekty s partnerskými organizacemi</w:t>
                      </w:r>
                    </w:p>
                    <w:p w14:paraId="57B0E6CD" w14:textId="77777777" w:rsidR="00887D40" w:rsidRDefault="00887D40" w:rsidP="00887D40">
                      <w:pPr>
                        <w:spacing w:after="0" w:line="240" w:lineRule="auto"/>
                        <w:jc w:val="center"/>
                        <w:rPr>
                          <w:color w:val="000000" w:themeColor="text1"/>
                          <w:sz w:val="18"/>
                          <w:szCs w:val="18"/>
                        </w:rPr>
                      </w:pPr>
                    </w:p>
                  </w:txbxContent>
                </v:textbox>
              </v:roundrect>
            </w:pict>
          </mc:Fallback>
        </mc:AlternateContent>
      </w:r>
      <w:r w:rsidRPr="00C41515">
        <w:rPr>
          <w:rFonts w:eastAsia="Times New Roman" w:cs="Arial"/>
          <w:b/>
          <w:noProof/>
          <w:highlight w:val="yellow"/>
          <w:lang w:eastAsia="cs-CZ"/>
        </w:rPr>
        <mc:AlternateContent>
          <mc:Choice Requires="wps">
            <w:drawing>
              <wp:anchor distT="0" distB="0" distL="114300" distR="114300" simplePos="0" relativeHeight="251695616" behindDoc="0" locked="0" layoutInCell="1" allowOverlap="1" wp14:anchorId="6CD0D4C8" wp14:editId="2FE5ADA5">
                <wp:simplePos x="0" y="0"/>
                <wp:positionH relativeFrom="column">
                  <wp:posOffset>270510</wp:posOffset>
                </wp:positionH>
                <wp:positionV relativeFrom="paragraph">
                  <wp:posOffset>159385</wp:posOffset>
                </wp:positionV>
                <wp:extent cx="2699385" cy="1847850"/>
                <wp:effectExtent l="0" t="0" r="24765" b="19050"/>
                <wp:wrapNone/>
                <wp:docPr id="89" name="Obdélník: se zakulacenými rohy 89"/>
                <wp:cNvGraphicFramePr/>
                <a:graphic xmlns:a="http://schemas.openxmlformats.org/drawingml/2006/main">
                  <a:graphicData uri="http://schemas.microsoft.com/office/word/2010/wordprocessingShape">
                    <wps:wsp>
                      <wps:cNvSpPr/>
                      <wps:spPr>
                        <a:xfrm>
                          <a:off x="0" y="0"/>
                          <a:ext cx="2699385" cy="1847850"/>
                        </a:xfrm>
                        <a:prstGeom prst="roundRect">
                          <a:avLst/>
                        </a:prstGeom>
                        <a:solidFill>
                          <a:schemeClr val="bg1"/>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7AD8A40" w14:textId="77777777" w:rsidR="00887D40" w:rsidRPr="002B0E22" w:rsidRDefault="00887D40" w:rsidP="00887D40">
                            <w:pPr>
                              <w:spacing w:after="0" w:line="240" w:lineRule="auto"/>
                              <w:jc w:val="center"/>
                              <w:rPr>
                                <w:b/>
                                <w:bCs/>
                                <w:color w:val="000000" w:themeColor="text1"/>
                              </w:rPr>
                            </w:pPr>
                            <w:r w:rsidRPr="00487F91">
                              <w:rPr>
                                <w:b/>
                                <w:bCs/>
                                <w:color w:val="000000" w:themeColor="text1"/>
                              </w:rPr>
                              <w:t>GA ČR</w:t>
                            </w:r>
                            <w:r>
                              <w:rPr>
                                <w:b/>
                                <w:bCs/>
                                <w:color w:val="000000" w:themeColor="text1"/>
                              </w:rPr>
                              <w:t xml:space="preserve">: </w:t>
                            </w:r>
                            <w:r w:rsidRPr="00487F91">
                              <w:rPr>
                                <w:b/>
                                <w:bCs/>
                                <w:color w:val="000000" w:themeColor="text1"/>
                              </w:rPr>
                              <w:t xml:space="preserve">Mezinárodní bilaterální projekty </w:t>
                            </w:r>
                            <w:r w:rsidRPr="002B0E22">
                              <w:rPr>
                                <w:b/>
                                <w:bCs/>
                                <w:color w:val="000000" w:themeColor="text1"/>
                              </w:rPr>
                              <w:t>(20</w:t>
                            </w:r>
                            <w:r>
                              <w:rPr>
                                <w:b/>
                                <w:bCs/>
                                <w:color w:val="000000" w:themeColor="text1"/>
                              </w:rPr>
                              <w:t>07-</w:t>
                            </w:r>
                            <w:r w:rsidRPr="002B0E22">
                              <w:rPr>
                                <w:b/>
                                <w:bCs/>
                                <w:color w:val="000000" w:themeColor="text1"/>
                              </w:rPr>
                              <w:t>)</w:t>
                            </w:r>
                          </w:p>
                          <w:p w14:paraId="279D7CE9" w14:textId="77777777" w:rsidR="00887D40" w:rsidRPr="002B0E22" w:rsidRDefault="00887D40" w:rsidP="00887D40">
                            <w:pPr>
                              <w:spacing w:after="0" w:line="240" w:lineRule="auto"/>
                              <w:jc w:val="center"/>
                              <w:rPr>
                                <w:b/>
                                <w:bCs/>
                                <w:color w:val="000000" w:themeColor="text1"/>
                                <w:sz w:val="12"/>
                                <w:szCs w:val="12"/>
                              </w:rPr>
                            </w:pPr>
                          </w:p>
                          <w:p w14:paraId="5FCDD14E" w14:textId="77777777" w:rsidR="00887D40" w:rsidRPr="00012647" w:rsidRDefault="00887D40" w:rsidP="00887D40">
                            <w:pPr>
                              <w:spacing w:after="0" w:line="240" w:lineRule="auto"/>
                              <w:jc w:val="center"/>
                              <w:rPr>
                                <w:color w:val="000000" w:themeColor="text1"/>
                                <w:sz w:val="18"/>
                                <w:szCs w:val="18"/>
                              </w:rPr>
                            </w:pPr>
                            <w:r>
                              <w:rPr>
                                <w:color w:val="000000" w:themeColor="text1"/>
                                <w:sz w:val="18"/>
                                <w:szCs w:val="18"/>
                              </w:rPr>
                              <w:t>Schválená podpora celkem</w:t>
                            </w:r>
                            <w:r w:rsidRPr="00A4717E">
                              <w:rPr>
                                <w:color w:val="000000" w:themeColor="text1"/>
                                <w:sz w:val="18"/>
                                <w:szCs w:val="18"/>
                              </w:rPr>
                              <w:t xml:space="preserve">: </w:t>
                            </w:r>
                            <w:r>
                              <w:rPr>
                                <w:color w:val="000000" w:themeColor="text1"/>
                                <w:sz w:val="18"/>
                                <w:szCs w:val="18"/>
                              </w:rPr>
                              <w:t>63,6 mil. Kč</w:t>
                            </w:r>
                          </w:p>
                          <w:p w14:paraId="75E3954B" w14:textId="77777777" w:rsidR="00887D40" w:rsidRDefault="00887D40" w:rsidP="00887D40">
                            <w:pPr>
                              <w:spacing w:after="0" w:line="240" w:lineRule="auto"/>
                              <w:jc w:val="center"/>
                              <w:rPr>
                                <w:color w:val="000000" w:themeColor="text1"/>
                                <w:sz w:val="18"/>
                                <w:szCs w:val="18"/>
                              </w:rPr>
                            </w:pPr>
                            <w:r>
                              <w:rPr>
                                <w:color w:val="000000" w:themeColor="text1"/>
                                <w:sz w:val="18"/>
                                <w:szCs w:val="18"/>
                              </w:rPr>
                              <w:t>Čerpaná podpora</w:t>
                            </w:r>
                            <w:r w:rsidRPr="00A4717E">
                              <w:rPr>
                                <w:color w:val="000000" w:themeColor="text1"/>
                                <w:sz w:val="18"/>
                                <w:szCs w:val="18"/>
                              </w:rPr>
                              <w:t>:</w:t>
                            </w:r>
                            <w:r>
                              <w:rPr>
                                <w:color w:val="000000" w:themeColor="text1"/>
                                <w:sz w:val="18"/>
                                <w:szCs w:val="18"/>
                              </w:rPr>
                              <w:t xml:space="preserve"> 48,6</w:t>
                            </w:r>
                            <w:r w:rsidRPr="00A4717E">
                              <w:rPr>
                                <w:color w:val="000000" w:themeColor="text1"/>
                                <w:sz w:val="18"/>
                                <w:szCs w:val="18"/>
                              </w:rPr>
                              <w:t xml:space="preserve"> mil. Kč</w:t>
                            </w:r>
                          </w:p>
                          <w:p w14:paraId="36E35708" w14:textId="77777777" w:rsidR="00887D40" w:rsidRDefault="00887D40" w:rsidP="00887D40">
                            <w:pPr>
                              <w:spacing w:after="0" w:line="240" w:lineRule="auto"/>
                              <w:jc w:val="center"/>
                              <w:rPr>
                                <w:color w:val="000000" w:themeColor="text1"/>
                                <w:sz w:val="18"/>
                                <w:szCs w:val="18"/>
                              </w:rPr>
                            </w:pPr>
                            <w:r>
                              <w:rPr>
                                <w:color w:val="000000" w:themeColor="text1"/>
                                <w:sz w:val="18"/>
                                <w:szCs w:val="18"/>
                              </w:rPr>
                              <w:t>Počet podpořených projektů: 25</w:t>
                            </w:r>
                          </w:p>
                          <w:p w14:paraId="4A8EA041" w14:textId="77777777" w:rsidR="00887D40" w:rsidRDefault="00887D40" w:rsidP="00887D40">
                            <w:pPr>
                              <w:spacing w:after="0" w:line="240" w:lineRule="auto"/>
                              <w:jc w:val="center"/>
                              <w:rPr>
                                <w:color w:val="000000" w:themeColor="text1"/>
                                <w:sz w:val="18"/>
                                <w:szCs w:val="18"/>
                              </w:rPr>
                            </w:pPr>
                          </w:p>
                          <w:p w14:paraId="5CA6A8FD" w14:textId="77777777" w:rsidR="00887D40" w:rsidRDefault="00887D40" w:rsidP="00887D40">
                            <w:pPr>
                              <w:spacing w:after="0" w:line="240" w:lineRule="auto"/>
                              <w:jc w:val="center"/>
                              <w:rPr>
                                <w:color w:val="000000" w:themeColor="text1"/>
                                <w:sz w:val="18"/>
                                <w:szCs w:val="18"/>
                              </w:rPr>
                            </w:pPr>
                            <w:r>
                              <w:rPr>
                                <w:color w:val="000000" w:themeColor="text1"/>
                                <w:sz w:val="18"/>
                                <w:szCs w:val="18"/>
                              </w:rPr>
                              <w:t xml:space="preserve">Projekty s partnerskými organizacemi </w:t>
                            </w:r>
                          </w:p>
                          <w:p w14:paraId="00ADE7C7" w14:textId="77777777" w:rsidR="00887D40" w:rsidRDefault="00887D40" w:rsidP="00887D40">
                            <w:pPr>
                              <w:spacing w:after="0" w:line="240" w:lineRule="auto"/>
                              <w:jc w:val="center"/>
                              <w:rPr>
                                <w:color w:val="000000" w:themeColor="text1"/>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CD0D4C8" id="Obdélník: se zakulacenými rohy 89" o:spid="_x0000_s1050" style="position:absolute;left:0;text-align:left;margin-left:21.3pt;margin-top:12.55pt;width:212.55pt;height:145.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" fillcolor="white [3212]" strokecolor="#4f81bd [3204]" strokeweight="2pt">
                <v:textbox>
                  <w:txbxContent>
                    <w:p w14:paraId="07AD8A40" w14:textId="77777777" w:rsidR="00887D40" w:rsidRPr="002B0E22" w:rsidRDefault="00887D40" w:rsidP="00887D40">
                      <w:pPr>
                        <w:spacing w:after="0" w:line="240" w:lineRule="auto"/>
                        <w:jc w:val="center"/>
                        <w:rPr>
                          <w:b/>
                          <w:bCs/>
                          <w:color w:val="000000" w:themeColor="text1"/>
                        </w:rPr>
                      </w:pPr>
                      <w:r w:rsidRPr="00487F91">
                        <w:rPr>
                          <w:b/>
                          <w:bCs/>
                          <w:color w:val="000000" w:themeColor="text1"/>
                        </w:rPr>
                        <w:t>GA ČR</w:t>
                      </w:r>
                      <w:r>
                        <w:rPr>
                          <w:b/>
                          <w:bCs/>
                          <w:color w:val="000000" w:themeColor="text1"/>
                        </w:rPr>
                        <w:t xml:space="preserve">: </w:t>
                      </w:r>
                      <w:r w:rsidRPr="00487F91">
                        <w:rPr>
                          <w:b/>
                          <w:bCs/>
                          <w:color w:val="000000" w:themeColor="text1"/>
                        </w:rPr>
                        <w:t xml:space="preserve">Mezinárodní bilaterální projekty </w:t>
                      </w:r>
                      <w:r w:rsidRPr="002B0E22">
                        <w:rPr>
                          <w:b/>
                          <w:bCs/>
                          <w:color w:val="000000" w:themeColor="text1"/>
                        </w:rPr>
                        <w:t>(20</w:t>
                      </w:r>
                      <w:r>
                        <w:rPr>
                          <w:b/>
                          <w:bCs/>
                          <w:color w:val="000000" w:themeColor="text1"/>
                        </w:rPr>
                        <w:t>07-</w:t>
                      </w:r>
                      <w:r w:rsidRPr="002B0E22">
                        <w:rPr>
                          <w:b/>
                          <w:bCs/>
                          <w:color w:val="000000" w:themeColor="text1"/>
                        </w:rPr>
                        <w:t>)</w:t>
                      </w:r>
                    </w:p>
                    <w:p w14:paraId="279D7CE9" w14:textId="77777777" w:rsidR="00887D40" w:rsidRPr="002B0E22" w:rsidRDefault="00887D40" w:rsidP="00887D40">
                      <w:pPr>
                        <w:spacing w:after="0" w:line="240" w:lineRule="auto"/>
                        <w:jc w:val="center"/>
                        <w:rPr>
                          <w:b/>
                          <w:bCs/>
                          <w:color w:val="000000" w:themeColor="text1"/>
                          <w:sz w:val="12"/>
                          <w:szCs w:val="12"/>
                        </w:rPr>
                      </w:pPr>
                    </w:p>
                    <w:p w14:paraId="5FCDD14E" w14:textId="77777777" w:rsidR="00887D40" w:rsidRPr="00012647" w:rsidRDefault="00887D40" w:rsidP="00887D40">
                      <w:pPr>
                        <w:spacing w:after="0" w:line="240" w:lineRule="auto"/>
                        <w:jc w:val="center"/>
                        <w:rPr>
                          <w:color w:val="000000" w:themeColor="text1"/>
                          <w:sz w:val="18"/>
                          <w:szCs w:val="18"/>
                        </w:rPr>
                      </w:pPr>
                      <w:r>
                        <w:rPr>
                          <w:color w:val="000000" w:themeColor="text1"/>
                          <w:sz w:val="18"/>
                          <w:szCs w:val="18"/>
                        </w:rPr>
                        <w:t>Schválená podpora celkem</w:t>
                      </w:r>
                      <w:r w:rsidRPr="00A4717E">
                        <w:rPr>
                          <w:color w:val="000000" w:themeColor="text1"/>
                          <w:sz w:val="18"/>
                          <w:szCs w:val="18"/>
                        </w:rPr>
                        <w:t xml:space="preserve">: </w:t>
                      </w:r>
                      <w:r>
                        <w:rPr>
                          <w:color w:val="000000" w:themeColor="text1"/>
                          <w:sz w:val="18"/>
                          <w:szCs w:val="18"/>
                        </w:rPr>
                        <w:t>63,6 mil. Kč</w:t>
                      </w:r>
                    </w:p>
                    <w:p w14:paraId="75E3954B" w14:textId="77777777" w:rsidR="00887D40" w:rsidRDefault="00887D40" w:rsidP="00887D40">
                      <w:pPr>
                        <w:spacing w:after="0" w:line="240" w:lineRule="auto"/>
                        <w:jc w:val="center"/>
                        <w:rPr>
                          <w:color w:val="000000" w:themeColor="text1"/>
                          <w:sz w:val="18"/>
                          <w:szCs w:val="18"/>
                        </w:rPr>
                      </w:pPr>
                      <w:r>
                        <w:rPr>
                          <w:color w:val="000000" w:themeColor="text1"/>
                          <w:sz w:val="18"/>
                          <w:szCs w:val="18"/>
                        </w:rPr>
                        <w:t>Čerpaná podpora</w:t>
                      </w:r>
                      <w:r w:rsidRPr="00A4717E">
                        <w:rPr>
                          <w:color w:val="000000" w:themeColor="text1"/>
                          <w:sz w:val="18"/>
                          <w:szCs w:val="18"/>
                        </w:rPr>
                        <w:t>:</w:t>
                      </w:r>
                      <w:r>
                        <w:rPr>
                          <w:color w:val="000000" w:themeColor="text1"/>
                          <w:sz w:val="18"/>
                          <w:szCs w:val="18"/>
                        </w:rPr>
                        <w:t xml:space="preserve"> 48,6</w:t>
                      </w:r>
                      <w:r w:rsidRPr="00A4717E">
                        <w:rPr>
                          <w:color w:val="000000" w:themeColor="text1"/>
                          <w:sz w:val="18"/>
                          <w:szCs w:val="18"/>
                        </w:rPr>
                        <w:t xml:space="preserve"> mil. Kč</w:t>
                      </w:r>
                    </w:p>
                    <w:p w14:paraId="36E35708" w14:textId="77777777" w:rsidR="00887D40" w:rsidRDefault="00887D40" w:rsidP="00887D40">
                      <w:pPr>
                        <w:spacing w:after="0" w:line="240" w:lineRule="auto"/>
                        <w:jc w:val="center"/>
                        <w:rPr>
                          <w:color w:val="000000" w:themeColor="text1"/>
                          <w:sz w:val="18"/>
                          <w:szCs w:val="18"/>
                        </w:rPr>
                      </w:pPr>
                      <w:r>
                        <w:rPr>
                          <w:color w:val="000000" w:themeColor="text1"/>
                          <w:sz w:val="18"/>
                          <w:szCs w:val="18"/>
                        </w:rPr>
                        <w:t>Počet podpořených projektů: 25</w:t>
                      </w:r>
                    </w:p>
                    <w:p w14:paraId="4A8EA041" w14:textId="77777777" w:rsidR="00887D40" w:rsidRDefault="00887D40" w:rsidP="00887D40">
                      <w:pPr>
                        <w:spacing w:after="0" w:line="240" w:lineRule="auto"/>
                        <w:jc w:val="center"/>
                        <w:rPr>
                          <w:color w:val="000000" w:themeColor="text1"/>
                          <w:sz w:val="18"/>
                          <w:szCs w:val="18"/>
                        </w:rPr>
                      </w:pPr>
                    </w:p>
                    <w:p w14:paraId="5CA6A8FD" w14:textId="77777777" w:rsidR="00887D40" w:rsidRDefault="00887D40" w:rsidP="00887D40">
                      <w:pPr>
                        <w:spacing w:after="0" w:line="240" w:lineRule="auto"/>
                        <w:jc w:val="center"/>
                        <w:rPr>
                          <w:color w:val="000000" w:themeColor="text1"/>
                          <w:sz w:val="18"/>
                          <w:szCs w:val="18"/>
                        </w:rPr>
                      </w:pPr>
                      <w:r>
                        <w:rPr>
                          <w:color w:val="000000" w:themeColor="text1"/>
                          <w:sz w:val="18"/>
                          <w:szCs w:val="18"/>
                        </w:rPr>
                        <w:t xml:space="preserve">Projekty s partnerskými organizacemi </w:t>
                      </w:r>
                    </w:p>
                    <w:p w14:paraId="00ADE7C7" w14:textId="77777777" w:rsidR="00887D40" w:rsidRDefault="00887D40" w:rsidP="00887D40">
                      <w:pPr>
                        <w:spacing w:after="0" w:line="240" w:lineRule="auto"/>
                        <w:jc w:val="center"/>
                        <w:rPr>
                          <w:color w:val="000000" w:themeColor="text1"/>
                          <w:sz w:val="18"/>
                          <w:szCs w:val="18"/>
                        </w:rPr>
                      </w:pPr>
                    </w:p>
                  </w:txbxContent>
                </v:textbox>
              </v:roundrect>
            </w:pict>
          </mc:Fallback>
        </mc:AlternateContent>
      </w:r>
    </w:p>
    <w:p w14:paraId="5648774E" w14:textId="77777777" w:rsidR="00887D40" w:rsidRDefault="00887D40" w:rsidP="00887D40">
      <w:pPr>
        <w:spacing w:after="0" w:line="360" w:lineRule="auto"/>
        <w:jc w:val="both"/>
        <w:rPr>
          <w:rFonts w:eastAsia="Times New Roman" w:cs="Arial"/>
          <w:b/>
          <w:lang w:eastAsia="cs-CZ"/>
        </w:rPr>
      </w:pPr>
    </w:p>
    <w:p w14:paraId="3515C195" w14:textId="07F55AB5" w:rsidR="00887D40" w:rsidRDefault="00887D40" w:rsidP="00887D40">
      <w:pPr>
        <w:spacing w:after="0" w:line="360" w:lineRule="auto"/>
        <w:jc w:val="both"/>
        <w:rPr>
          <w:rFonts w:eastAsia="Times New Roman" w:cs="Arial"/>
          <w:b/>
          <w:lang w:eastAsia="cs-CZ"/>
        </w:rPr>
      </w:pPr>
    </w:p>
    <w:p w14:paraId="1EB03E3C" w14:textId="2011E814" w:rsidR="00887D40" w:rsidRDefault="00887D40" w:rsidP="00887D40">
      <w:pPr>
        <w:spacing w:after="0" w:line="360" w:lineRule="auto"/>
        <w:jc w:val="both"/>
        <w:rPr>
          <w:rFonts w:eastAsia="Times New Roman" w:cs="Arial"/>
          <w:b/>
          <w:lang w:eastAsia="cs-CZ"/>
        </w:rPr>
      </w:pPr>
    </w:p>
    <w:p w14:paraId="6A5033C0" w14:textId="77777777" w:rsidR="00887D40" w:rsidRDefault="00887D40" w:rsidP="00887D40">
      <w:pPr>
        <w:spacing w:after="0" w:line="360" w:lineRule="auto"/>
        <w:jc w:val="both"/>
        <w:rPr>
          <w:rFonts w:eastAsia="Times New Roman" w:cs="Arial"/>
          <w:b/>
          <w:lang w:eastAsia="cs-CZ"/>
        </w:rPr>
      </w:pPr>
    </w:p>
    <w:p w14:paraId="21DE302F" w14:textId="77777777" w:rsidR="00887D40" w:rsidRDefault="00887D40" w:rsidP="00887D40">
      <w:pPr>
        <w:spacing w:after="0" w:line="360" w:lineRule="auto"/>
        <w:jc w:val="both"/>
        <w:rPr>
          <w:rFonts w:eastAsia="Times New Roman" w:cs="Arial"/>
          <w:b/>
          <w:lang w:eastAsia="cs-CZ"/>
        </w:rPr>
      </w:pPr>
    </w:p>
    <w:p w14:paraId="63EB2FF9" w14:textId="77777777" w:rsidR="00887D40" w:rsidRDefault="00887D40" w:rsidP="00887D40">
      <w:pPr>
        <w:spacing w:after="0" w:line="360" w:lineRule="auto"/>
        <w:jc w:val="both"/>
        <w:rPr>
          <w:rFonts w:eastAsia="Times New Roman" w:cs="Arial"/>
          <w:b/>
          <w:lang w:eastAsia="cs-CZ"/>
        </w:rPr>
      </w:pPr>
    </w:p>
    <w:p w14:paraId="509C4670" w14:textId="77777777" w:rsidR="00887D40" w:rsidRDefault="00887D40" w:rsidP="00887D40">
      <w:pPr>
        <w:spacing w:after="0" w:line="360" w:lineRule="auto"/>
        <w:jc w:val="both"/>
        <w:rPr>
          <w:rFonts w:eastAsia="Times New Roman" w:cs="Arial"/>
          <w:b/>
          <w:lang w:eastAsia="cs-CZ"/>
        </w:rPr>
      </w:pPr>
    </w:p>
    <w:p w14:paraId="16470E82" w14:textId="77777777" w:rsidR="00887D40" w:rsidRDefault="00887D40" w:rsidP="00887D40">
      <w:pPr>
        <w:spacing w:after="120" w:line="360" w:lineRule="auto"/>
        <w:rPr>
          <w:rFonts w:eastAsia="Times New Roman" w:cs="Arial"/>
          <w:i/>
          <w:sz w:val="20"/>
          <w:szCs w:val="20"/>
          <w:lang w:eastAsia="cs-CZ"/>
        </w:rPr>
      </w:pPr>
    </w:p>
    <w:p w14:paraId="3F044035" w14:textId="6E02F2F5" w:rsidR="00887D40" w:rsidRDefault="00887D40" w:rsidP="00887D40">
      <w:pPr>
        <w:spacing w:after="120" w:line="360" w:lineRule="auto"/>
        <w:rPr>
          <w:rFonts w:eastAsia="Times New Roman" w:cs="Arial"/>
          <w:i/>
          <w:sz w:val="20"/>
          <w:szCs w:val="20"/>
          <w:lang w:eastAsia="cs-CZ"/>
        </w:rPr>
      </w:pPr>
      <w:r w:rsidRPr="00887D40">
        <w:rPr>
          <w:rFonts w:eastAsia="Times New Roman" w:cs="Arial"/>
          <w:i/>
          <w:sz w:val="20"/>
          <w:szCs w:val="20"/>
          <w:lang w:eastAsia="cs-CZ"/>
        </w:rPr>
        <w:t xml:space="preserve">Zdroj: IS </w:t>
      </w:r>
      <w:proofErr w:type="spellStart"/>
      <w:r w:rsidRPr="00887D40">
        <w:rPr>
          <w:rFonts w:eastAsia="Times New Roman" w:cs="Arial"/>
          <w:i/>
          <w:sz w:val="20"/>
          <w:szCs w:val="20"/>
          <w:lang w:eastAsia="cs-CZ"/>
        </w:rPr>
        <w:t>VaVaI</w:t>
      </w:r>
      <w:proofErr w:type="spellEnd"/>
      <w:r w:rsidRPr="00887D40">
        <w:rPr>
          <w:rFonts w:eastAsia="Times New Roman" w:cs="Arial"/>
          <w:i/>
          <w:sz w:val="20"/>
          <w:szCs w:val="20"/>
          <w:lang w:eastAsia="cs-CZ"/>
        </w:rPr>
        <w:t>, export dat 24. 11. 2025, Zpráva o činnosti GA ČR za rok 2024</w:t>
      </w:r>
    </w:p>
    <w:p w14:paraId="235FCC6C" w14:textId="77777777" w:rsidR="00887D40" w:rsidRDefault="00887D40" w:rsidP="00887D40">
      <w:pPr>
        <w:spacing w:after="120" w:line="360" w:lineRule="auto"/>
        <w:rPr>
          <w:rFonts w:eastAsia="Times New Roman" w:cs="Arial"/>
          <w:iCs/>
          <w:sz w:val="20"/>
          <w:szCs w:val="20"/>
          <w:lang w:eastAsia="cs-CZ"/>
        </w:rPr>
      </w:pPr>
    </w:p>
    <w:p w14:paraId="72169D03" w14:textId="77777777" w:rsidR="00887D40" w:rsidRDefault="00887D40" w:rsidP="00887D40">
      <w:pPr>
        <w:spacing w:after="120" w:line="360" w:lineRule="auto"/>
        <w:rPr>
          <w:rFonts w:eastAsia="Times New Roman" w:cs="Arial"/>
          <w:iCs/>
          <w:sz w:val="20"/>
          <w:szCs w:val="20"/>
          <w:lang w:eastAsia="cs-CZ"/>
        </w:rPr>
      </w:pPr>
    </w:p>
    <w:p w14:paraId="65BA11D8" w14:textId="77777777" w:rsidR="00887D40" w:rsidRPr="00487F91" w:rsidRDefault="00887D40" w:rsidP="00887D40">
      <w:pPr>
        <w:spacing w:after="120" w:line="360" w:lineRule="auto"/>
        <w:jc w:val="both"/>
        <w:rPr>
          <w:b/>
          <w:bCs/>
        </w:rPr>
      </w:pPr>
      <w:r w:rsidRPr="00487F91">
        <w:rPr>
          <w:b/>
          <w:bCs/>
        </w:rPr>
        <w:lastRenderedPageBreak/>
        <w:t>Další vybrané programy na podporu mezinárodní spolupráce</w:t>
      </w:r>
    </w:p>
    <w:p w14:paraId="2E4B6CBA" w14:textId="77777777" w:rsidR="00887D40" w:rsidRPr="004076AD" w:rsidRDefault="00887D40" w:rsidP="00887D40">
      <w:pPr>
        <w:spacing w:after="120" w:line="360" w:lineRule="auto"/>
        <w:jc w:val="both"/>
      </w:pPr>
      <w:r>
        <w:rPr>
          <w:rFonts w:eastAsia="Times New Roman" w:cs="Arial"/>
          <w:bCs/>
          <w:lang w:eastAsia="cs-CZ"/>
        </w:rPr>
        <w:tab/>
        <w:t>Schéma F.4.3</w:t>
      </w:r>
      <w:r w:rsidRPr="004076AD">
        <w:t xml:space="preserve"> podává přehled o ostatních vybraných pr</w:t>
      </w:r>
      <w:r>
        <w:t xml:space="preserve">ogramech na podporu mezinárodní </w:t>
      </w:r>
      <w:r w:rsidRPr="004076AD">
        <w:t xml:space="preserve">spolupráce ve </w:t>
      </w:r>
      <w:proofErr w:type="spellStart"/>
      <w:r w:rsidRPr="004076AD">
        <w:t>VaVa</w:t>
      </w:r>
      <w:r>
        <w:t>I</w:t>
      </w:r>
      <w:proofErr w:type="spellEnd"/>
      <w:r w:rsidRPr="004076AD">
        <w:t>, kde je obtížné stanovit, zda jsou spíše nástroji bilaterální nebo multilaterální spolupráce.</w:t>
      </w:r>
      <w:r w:rsidRPr="004076AD">
        <w:rPr>
          <w:rFonts w:cstheme="minorHAnsi"/>
          <w:sz w:val="20"/>
          <w:szCs w:val="20"/>
        </w:rPr>
        <w:t xml:space="preserve"> </w:t>
      </w:r>
    </w:p>
    <w:p w14:paraId="1E96EC92" w14:textId="77777777" w:rsidR="00887D40" w:rsidRDefault="00887D40" w:rsidP="00887D40">
      <w:pPr>
        <w:spacing w:after="120" w:line="360" w:lineRule="auto"/>
        <w:jc w:val="both"/>
      </w:pPr>
      <w:r>
        <w:rPr>
          <w:rFonts w:eastAsia="Times New Roman" w:cs="Arial"/>
          <w:bCs/>
          <w:lang w:eastAsia="cs-CZ"/>
        </w:rPr>
        <w:tab/>
      </w:r>
      <w:r w:rsidRPr="004076AD">
        <w:t xml:space="preserve">TA ČR podporuje projekty bilaterální a multilaterální spolupráce prostřednictvím programu </w:t>
      </w:r>
      <w:r w:rsidRPr="004076AD">
        <w:rPr>
          <w:b/>
          <w:bCs/>
        </w:rPr>
        <w:t>Kappa</w:t>
      </w:r>
      <w:r w:rsidRPr="004076AD">
        <w:t>. Tento program je financovaný z Fondů Evropského hospodářského prostoru (EHP) a</w:t>
      </w:r>
      <w:r>
        <w:t> </w:t>
      </w:r>
      <w:r w:rsidRPr="004076AD">
        <w:t>Norska a cílí na projekty ve spolupráci s Norskem, Islandem a Lichtenštejnskem.</w:t>
      </w:r>
      <w:r>
        <w:t xml:space="preserve"> V roce 2024 bylo podpořeno </w:t>
      </w:r>
      <w:r w:rsidRPr="005E13FD">
        <w:t>25</w:t>
      </w:r>
      <w:r>
        <w:t xml:space="preserve"> projektů v </w:t>
      </w:r>
      <w:r w:rsidRPr="005E13FD">
        <w:t>hodnotě 106,6</w:t>
      </w:r>
      <w:r>
        <w:t xml:space="preserve"> mil. Kč</w:t>
      </w:r>
    </w:p>
    <w:p w14:paraId="1EFE5E14" w14:textId="5D0AC6F0" w:rsidR="00887D40" w:rsidRDefault="00887D40" w:rsidP="00887D40">
      <w:pPr>
        <w:spacing w:after="120" w:line="360" w:lineRule="auto"/>
        <w:ind w:firstLine="708"/>
        <w:jc w:val="both"/>
      </w:pPr>
      <w:r w:rsidRPr="008D2D27">
        <w:t xml:space="preserve">Program </w:t>
      </w:r>
      <w:proofErr w:type="spellStart"/>
      <w:r w:rsidRPr="008D2D27">
        <w:rPr>
          <w:b/>
          <w:bCs/>
        </w:rPr>
        <w:t>Dioscuri</w:t>
      </w:r>
      <w:proofErr w:type="spellEnd"/>
      <w:r w:rsidRPr="008D2D27">
        <w:t xml:space="preserve"> financovaný z rozpočtové kapitoly MŠMT je zaměřen na podporu mladých excelentních vědců na začátku kariéry</w:t>
      </w:r>
      <w:r w:rsidR="00677CA5">
        <w:t>, na</w:t>
      </w:r>
      <w:r w:rsidRPr="008D2D27">
        <w:t xml:space="preserve"> vytvoř</w:t>
      </w:r>
      <w:r w:rsidR="00677CA5">
        <w:t>ení</w:t>
      </w:r>
      <w:r w:rsidRPr="008D2D27">
        <w:t xml:space="preserve"> mezinárodně konkurenceschopné, inovativní výzkumné skupiny v podobě center vědecké excelence </w:t>
      </w:r>
      <w:proofErr w:type="spellStart"/>
      <w:r w:rsidRPr="008D2D27">
        <w:t>Dioscuri</w:t>
      </w:r>
      <w:proofErr w:type="spellEnd"/>
      <w:r w:rsidRPr="008D2D27">
        <w:t xml:space="preserve"> v České republice. </w:t>
      </w:r>
      <w:r>
        <w:t>V roce 2024 byly podpořeny tři projekty ve výši 14,3 mil. Kč.</w:t>
      </w:r>
    </w:p>
    <w:p w14:paraId="0B3816BA" w14:textId="20B9B894" w:rsidR="00887D40" w:rsidRPr="00887D40" w:rsidRDefault="00887D40" w:rsidP="00887D40">
      <w:pPr>
        <w:keepNext/>
        <w:spacing w:before="120" w:after="240" w:line="240" w:lineRule="auto"/>
        <w:jc w:val="both"/>
        <w:rPr>
          <w:rFonts w:eastAsia="Times New Roman" w:cs="Times New Roman"/>
          <w:b/>
          <w:bCs/>
          <w:szCs w:val="24"/>
          <w:highlight w:val="yellow"/>
          <w:lang w:eastAsia="cs-CZ"/>
        </w:rPr>
      </w:pPr>
      <w:r w:rsidRPr="00FB4956">
        <w:rPr>
          <w:b/>
          <w:bCs/>
          <w:noProof/>
          <w:lang w:eastAsia="cs-CZ"/>
        </w:rPr>
        <mc:AlternateContent>
          <mc:Choice Requires="wps">
            <w:drawing>
              <wp:anchor distT="0" distB="0" distL="114300" distR="114300" simplePos="0" relativeHeight="251699712" behindDoc="0" locked="0" layoutInCell="1" allowOverlap="1" wp14:anchorId="5BB1C56D" wp14:editId="4B2F80A3">
                <wp:simplePos x="0" y="0"/>
                <wp:positionH relativeFrom="margin">
                  <wp:posOffset>1205865</wp:posOffset>
                </wp:positionH>
                <wp:positionV relativeFrom="paragraph">
                  <wp:posOffset>343535</wp:posOffset>
                </wp:positionV>
                <wp:extent cx="3356610" cy="1725930"/>
                <wp:effectExtent l="0" t="0" r="0" b="7620"/>
                <wp:wrapNone/>
                <wp:docPr id="91" name="Kosočtverec 91"/>
                <wp:cNvGraphicFramePr/>
                <a:graphic xmlns:a="http://schemas.openxmlformats.org/drawingml/2006/main">
                  <a:graphicData uri="http://schemas.microsoft.com/office/word/2010/wordprocessingShape">
                    <wps:wsp>
                      <wps:cNvSpPr/>
                      <wps:spPr>
                        <a:xfrm>
                          <a:off x="0" y="0"/>
                          <a:ext cx="3356610" cy="1725930"/>
                        </a:xfrm>
                        <a:prstGeom prst="diamond">
                          <a:avLst/>
                        </a:prstGeom>
                      </wps:spPr>
                      <wps:style>
                        <a:lnRef idx="0">
                          <a:schemeClr val="accent1">
                            <a:hueOff val="0"/>
                            <a:satOff val="0"/>
                            <a:lumOff val="0"/>
                            <a:alphaOff val="0"/>
                          </a:schemeClr>
                        </a:lnRef>
                        <a:fillRef idx="1">
                          <a:schemeClr val="accent1">
                            <a:tint val="40000"/>
                            <a:hueOff val="0"/>
                            <a:satOff val="0"/>
                            <a:lumOff val="0"/>
                            <a:alphaOff val="0"/>
                          </a:schemeClr>
                        </a:fillRef>
                        <a:effectRef idx="0">
                          <a:schemeClr val="accent1">
                            <a:tint val="40000"/>
                            <a:hueOff val="0"/>
                            <a:satOff val="0"/>
                            <a:lumOff val="0"/>
                            <a:alphaOff val="0"/>
                          </a:schemeClr>
                        </a:effectRef>
                        <a:fontRef idx="minor">
                          <a:schemeClr val="dk1">
                            <a:hueOff val="0"/>
                            <a:satOff val="0"/>
                            <a:lumOff val="0"/>
                            <a:alphaOff val="0"/>
                          </a:schemeClr>
                        </a:fontRef>
                      </wps:style>
                      <wps:bodyPr/>
                    </wps:wsp>
                  </a:graphicData>
                </a:graphic>
                <wp14:sizeRelH relativeFrom="margin">
                  <wp14:pctWidth>0</wp14:pctWidth>
                </wp14:sizeRelH>
                <wp14:sizeRelV relativeFrom="margin">
                  <wp14:pctHeight>0</wp14:pctHeight>
                </wp14:sizeRelV>
              </wp:anchor>
            </w:drawing>
          </mc:Choice>
          <mc:Fallback>
            <w:pict>
              <v:shape w14:anchorId="4AC88E12" id="Kosočtverec 91" o:spid="_x0000_s1026" type="#_x0000_t4" style="position:absolute;margin-left:94.95pt;margin-top:27.05pt;width:264.3pt;height:135.9pt;z-index:2516997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" fillcolor="#b8cce4 [1300]" stroked="f">
                <w10:wrap anchorx="margin"/>
              </v:shape>
            </w:pict>
          </mc:Fallback>
        </mc:AlternateContent>
      </w:r>
      <w:r w:rsidRPr="00FB4956">
        <w:rPr>
          <w:b/>
          <w:bCs/>
        </w:rPr>
        <w:t>Schéma F.4.3:</w:t>
      </w:r>
      <w:r w:rsidRPr="00C41515">
        <w:rPr>
          <w:b/>
          <w:bCs/>
        </w:rPr>
        <w:t xml:space="preserve"> </w:t>
      </w:r>
      <w:r>
        <w:rPr>
          <w:b/>
          <w:bCs/>
        </w:rPr>
        <w:t>Přehled dalších programů na podporu mezinárodní spolupráce v roce 2024</w:t>
      </w:r>
    </w:p>
    <w:p w14:paraId="01CCA2E2" w14:textId="77777777" w:rsidR="00887D40" w:rsidRPr="00C41515" w:rsidRDefault="00887D40" w:rsidP="00887D40">
      <w:pPr>
        <w:keepNext/>
        <w:spacing w:before="120" w:after="240" w:line="240" w:lineRule="auto"/>
        <w:jc w:val="both"/>
        <w:rPr>
          <w:rFonts w:eastAsia="Times New Roman" w:cs="Times New Roman"/>
          <w:b/>
          <w:szCs w:val="24"/>
          <w:highlight w:val="yellow"/>
          <w:lang w:eastAsia="cs-CZ"/>
        </w:rPr>
      </w:pPr>
      <w:r w:rsidRPr="00C41515">
        <w:rPr>
          <w:b/>
          <w:bCs/>
          <w:noProof/>
          <w:lang w:eastAsia="cs-CZ"/>
        </w:rPr>
        <mc:AlternateContent>
          <mc:Choice Requires="wps">
            <w:drawing>
              <wp:anchor distT="0" distB="0" distL="114300" distR="114300" simplePos="0" relativeHeight="251701760" behindDoc="0" locked="0" layoutInCell="1" allowOverlap="1" wp14:anchorId="0445BCE1" wp14:editId="7866D117">
                <wp:simplePos x="0" y="0"/>
                <wp:positionH relativeFrom="column">
                  <wp:posOffset>2958465</wp:posOffset>
                </wp:positionH>
                <wp:positionV relativeFrom="paragraph">
                  <wp:posOffset>7620</wp:posOffset>
                </wp:positionV>
                <wp:extent cx="2699385" cy="1341120"/>
                <wp:effectExtent l="0" t="0" r="24765" b="11430"/>
                <wp:wrapNone/>
                <wp:docPr id="92" name="Obdélník: se zakulacenými rohy 92"/>
                <wp:cNvGraphicFramePr/>
                <a:graphic xmlns:a="http://schemas.openxmlformats.org/drawingml/2006/main">
                  <a:graphicData uri="http://schemas.microsoft.com/office/word/2010/wordprocessingShape">
                    <wps:wsp>
                      <wps:cNvSpPr/>
                      <wps:spPr>
                        <a:xfrm>
                          <a:off x="0" y="0"/>
                          <a:ext cx="2699385" cy="1341120"/>
                        </a:xfrm>
                        <a:prstGeom prst="roundRect">
                          <a:avLst/>
                        </a:prstGeom>
                        <a:solidFill>
                          <a:schemeClr val="bg1"/>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A0BD255" w14:textId="77777777" w:rsidR="00887D40" w:rsidRPr="002B0E22" w:rsidRDefault="00887D40" w:rsidP="00887D40">
                            <w:pPr>
                              <w:spacing w:after="0" w:line="240" w:lineRule="auto"/>
                              <w:jc w:val="center"/>
                              <w:rPr>
                                <w:b/>
                                <w:bCs/>
                                <w:color w:val="000000" w:themeColor="text1"/>
                              </w:rPr>
                            </w:pPr>
                            <w:proofErr w:type="spellStart"/>
                            <w:r>
                              <w:rPr>
                                <w:b/>
                                <w:bCs/>
                                <w:color w:val="000000" w:themeColor="text1"/>
                              </w:rPr>
                              <w:t>Dioscuri</w:t>
                            </w:r>
                            <w:proofErr w:type="spellEnd"/>
                            <w:r>
                              <w:rPr>
                                <w:b/>
                                <w:bCs/>
                                <w:color w:val="000000" w:themeColor="text1"/>
                              </w:rPr>
                              <w:t xml:space="preserve"> (2023–2035</w:t>
                            </w:r>
                            <w:r w:rsidRPr="004D6146">
                              <w:rPr>
                                <w:b/>
                                <w:bCs/>
                                <w:color w:val="000000" w:themeColor="text1"/>
                              </w:rPr>
                              <w:t>)</w:t>
                            </w:r>
                          </w:p>
                          <w:p w14:paraId="0290C5F9" w14:textId="77777777" w:rsidR="00887D40" w:rsidRPr="002B0E22" w:rsidRDefault="00887D40" w:rsidP="00887D40">
                            <w:pPr>
                              <w:spacing w:after="0" w:line="240" w:lineRule="auto"/>
                              <w:rPr>
                                <w:b/>
                                <w:bCs/>
                                <w:color w:val="000000" w:themeColor="text1"/>
                                <w:sz w:val="12"/>
                                <w:szCs w:val="12"/>
                              </w:rPr>
                            </w:pPr>
                          </w:p>
                          <w:p w14:paraId="070792B0" w14:textId="77777777" w:rsidR="00887D40" w:rsidRDefault="00887D40" w:rsidP="00887D40">
                            <w:pPr>
                              <w:spacing w:after="0" w:line="240" w:lineRule="auto"/>
                              <w:ind w:firstLine="708"/>
                              <w:rPr>
                                <w:color w:val="000000" w:themeColor="text1"/>
                                <w:sz w:val="18"/>
                                <w:szCs w:val="18"/>
                              </w:rPr>
                            </w:pPr>
                            <w:r>
                              <w:rPr>
                                <w:color w:val="000000" w:themeColor="text1"/>
                                <w:sz w:val="18"/>
                                <w:szCs w:val="18"/>
                              </w:rPr>
                              <w:t>Schválená podpora: 15 mil. Kč</w:t>
                            </w:r>
                          </w:p>
                          <w:p w14:paraId="48932A61" w14:textId="77777777" w:rsidR="00887D40" w:rsidRDefault="00887D40" w:rsidP="00887D40">
                            <w:pPr>
                              <w:spacing w:after="0" w:line="240" w:lineRule="auto"/>
                              <w:jc w:val="center"/>
                              <w:rPr>
                                <w:color w:val="000000" w:themeColor="text1"/>
                                <w:sz w:val="18"/>
                                <w:szCs w:val="18"/>
                              </w:rPr>
                            </w:pPr>
                            <w:r>
                              <w:rPr>
                                <w:color w:val="000000" w:themeColor="text1"/>
                                <w:sz w:val="18"/>
                                <w:szCs w:val="18"/>
                              </w:rPr>
                              <w:t>Čerpaná podpora</w:t>
                            </w:r>
                            <w:r w:rsidRPr="00A4717E">
                              <w:rPr>
                                <w:color w:val="000000" w:themeColor="text1"/>
                                <w:sz w:val="18"/>
                                <w:szCs w:val="18"/>
                              </w:rPr>
                              <w:t>:</w:t>
                            </w:r>
                            <w:r>
                              <w:rPr>
                                <w:color w:val="000000" w:themeColor="text1"/>
                                <w:sz w:val="18"/>
                                <w:szCs w:val="18"/>
                              </w:rPr>
                              <w:t xml:space="preserve"> 14,3</w:t>
                            </w:r>
                            <w:r w:rsidRPr="00A4717E">
                              <w:rPr>
                                <w:color w:val="000000" w:themeColor="text1"/>
                                <w:sz w:val="18"/>
                                <w:szCs w:val="18"/>
                              </w:rPr>
                              <w:t xml:space="preserve"> mil. Kč</w:t>
                            </w:r>
                          </w:p>
                          <w:p w14:paraId="50CD9DCD" w14:textId="77777777" w:rsidR="00887D40" w:rsidRDefault="00887D40" w:rsidP="00887D40">
                            <w:pPr>
                              <w:spacing w:after="0" w:line="240" w:lineRule="auto"/>
                              <w:jc w:val="center"/>
                              <w:rPr>
                                <w:color w:val="000000" w:themeColor="text1"/>
                                <w:sz w:val="18"/>
                                <w:szCs w:val="18"/>
                              </w:rPr>
                            </w:pPr>
                            <w:r>
                              <w:rPr>
                                <w:color w:val="000000" w:themeColor="text1"/>
                                <w:sz w:val="18"/>
                                <w:szCs w:val="18"/>
                              </w:rPr>
                              <w:t>Počet podpořených projektů: 3</w:t>
                            </w:r>
                          </w:p>
                          <w:p w14:paraId="7B2B9278" w14:textId="77777777" w:rsidR="00887D40" w:rsidRDefault="00887D40" w:rsidP="00887D40">
                            <w:pPr>
                              <w:spacing w:after="0" w:line="240" w:lineRule="auto"/>
                              <w:rPr>
                                <w:color w:val="000000" w:themeColor="text1"/>
                                <w:sz w:val="18"/>
                                <w:szCs w:val="18"/>
                              </w:rPr>
                            </w:pPr>
                          </w:p>
                          <w:p w14:paraId="519EECFE" w14:textId="77777777" w:rsidR="00887D40" w:rsidRDefault="00887D40" w:rsidP="00887D40">
                            <w:pPr>
                              <w:spacing w:after="0" w:line="240" w:lineRule="auto"/>
                              <w:jc w:val="center"/>
                              <w:rPr>
                                <w:color w:val="000000" w:themeColor="text1"/>
                                <w:sz w:val="18"/>
                                <w:szCs w:val="18"/>
                              </w:rPr>
                            </w:pPr>
                            <w:r>
                              <w:rPr>
                                <w:color w:val="000000" w:themeColor="text1"/>
                                <w:sz w:val="18"/>
                                <w:szCs w:val="18"/>
                              </w:rPr>
                              <w:t>Zastoupení českých vědců v mezinárodních organizacích</w:t>
                            </w:r>
                          </w:p>
                          <w:p w14:paraId="58F6BF96" w14:textId="77777777" w:rsidR="00887D40" w:rsidRDefault="00887D40" w:rsidP="00887D40">
                            <w:pPr>
                              <w:spacing w:after="0" w:line="240" w:lineRule="auto"/>
                              <w:jc w:val="center"/>
                              <w:rPr>
                                <w:color w:val="000000" w:themeColor="text1"/>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445BCE1" id="Obdélník: se zakulacenými rohy 92" o:spid="_x0000_s1051" style="position:absolute;left:0;text-align:left;margin-left:232.95pt;margin-top:.6pt;width:212.55pt;height:105.6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" fillcolor="white [3212]" strokecolor="#4f81bd [3204]" strokeweight="2pt">
                <v:textbox>
                  <w:txbxContent>
                    <w:p w14:paraId="0A0BD255" w14:textId="77777777" w:rsidR="00887D40" w:rsidRPr="002B0E22" w:rsidRDefault="00887D40" w:rsidP="00887D40">
                      <w:pPr>
                        <w:spacing w:after="0" w:line="240" w:lineRule="auto"/>
                        <w:jc w:val="center"/>
                        <w:rPr>
                          <w:b/>
                          <w:bCs/>
                          <w:color w:val="000000" w:themeColor="text1"/>
                        </w:rPr>
                      </w:pPr>
                      <w:proofErr w:type="spellStart"/>
                      <w:r>
                        <w:rPr>
                          <w:b/>
                          <w:bCs/>
                          <w:color w:val="000000" w:themeColor="text1"/>
                        </w:rPr>
                        <w:t>Dioscuri</w:t>
                      </w:r>
                      <w:proofErr w:type="spellEnd"/>
                      <w:r>
                        <w:rPr>
                          <w:b/>
                          <w:bCs/>
                          <w:color w:val="000000" w:themeColor="text1"/>
                        </w:rPr>
                        <w:t xml:space="preserve"> (2023–2035</w:t>
                      </w:r>
                      <w:r w:rsidRPr="004D6146">
                        <w:rPr>
                          <w:b/>
                          <w:bCs/>
                          <w:color w:val="000000" w:themeColor="text1"/>
                        </w:rPr>
                        <w:t>)</w:t>
                      </w:r>
                    </w:p>
                    <w:p w14:paraId="0290C5F9" w14:textId="77777777" w:rsidR="00887D40" w:rsidRPr="002B0E22" w:rsidRDefault="00887D40" w:rsidP="00887D40">
                      <w:pPr>
                        <w:spacing w:after="0" w:line="240" w:lineRule="auto"/>
                        <w:rPr>
                          <w:b/>
                          <w:bCs/>
                          <w:color w:val="000000" w:themeColor="text1"/>
                          <w:sz w:val="12"/>
                          <w:szCs w:val="12"/>
                        </w:rPr>
                      </w:pPr>
                    </w:p>
                    <w:p w14:paraId="070792B0" w14:textId="77777777" w:rsidR="00887D40" w:rsidRDefault="00887D40" w:rsidP="00887D40">
                      <w:pPr>
                        <w:spacing w:after="0" w:line="240" w:lineRule="auto"/>
                        <w:ind w:firstLine="708"/>
                        <w:rPr>
                          <w:color w:val="000000" w:themeColor="text1"/>
                          <w:sz w:val="18"/>
                          <w:szCs w:val="18"/>
                        </w:rPr>
                      </w:pPr>
                      <w:r>
                        <w:rPr>
                          <w:color w:val="000000" w:themeColor="text1"/>
                          <w:sz w:val="18"/>
                          <w:szCs w:val="18"/>
                        </w:rPr>
                        <w:t>Schválená podpora: 15 mil. Kč</w:t>
                      </w:r>
                    </w:p>
                    <w:p w14:paraId="48932A61" w14:textId="77777777" w:rsidR="00887D40" w:rsidRDefault="00887D40" w:rsidP="00887D40">
                      <w:pPr>
                        <w:spacing w:after="0" w:line="240" w:lineRule="auto"/>
                        <w:jc w:val="center"/>
                        <w:rPr>
                          <w:color w:val="000000" w:themeColor="text1"/>
                          <w:sz w:val="18"/>
                          <w:szCs w:val="18"/>
                        </w:rPr>
                      </w:pPr>
                      <w:r>
                        <w:rPr>
                          <w:color w:val="000000" w:themeColor="text1"/>
                          <w:sz w:val="18"/>
                          <w:szCs w:val="18"/>
                        </w:rPr>
                        <w:t>Čerpaná podpora</w:t>
                      </w:r>
                      <w:r w:rsidRPr="00A4717E">
                        <w:rPr>
                          <w:color w:val="000000" w:themeColor="text1"/>
                          <w:sz w:val="18"/>
                          <w:szCs w:val="18"/>
                        </w:rPr>
                        <w:t>:</w:t>
                      </w:r>
                      <w:r>
                        <w:rPr>
                          <w:color w:val="000000" w:themeColor="text1"/>
                          <w:sz w:val="18"/>
                          <w:szCs w:val="18"/>
                        </w:rPr>
                        <w:t xml:space="preserve"> 14,3</w:t>
                      </w:r>
                      <w:r w:rsidRPr="00A4717E">
                        <w:rPr>
                          <w:color w:val="000000" w:themeColor="text1"/>
                          <w:sz w:val="18"/>
                          <w:szCs w:val="18"/>
                        </w:rPr>
                        <w:t xml:space="preserve"> mil. Kč</w:t>
                      </w:r>
                    </w:p>
                    <w:p w14:paraId="50CD9DCD" w14:textId="77777777" w:rsidR="00887D40" w:rsidRDefault="00887D40" w:rsidP="00887D40">
                      <w:pPr>
                        <w:spacing w:after="0" w:line="240" w:lineRule="auto"/>
                        <w:jc w:val="center"/>
                        <w:rPr>
                          <w:color w:val="000000" w:themeColor="text1"/>
                          <w:sz w:val="18"/>
                          <w:szCs w:val="18"/>
                        </w:rPr>
                      </w:pPr>
                      <w:r>
                        <w:rPr>
                          <w:color w:val="000000" w:themeColor="text1"/>
                          <w:sz w:val="18"/>
                          <w:szCs w:val="18"/>
                        </w:rPr>
                        <w:t>Počet podpořených projektů: 3</w:t>
                      </w:r>
                    </w:p>
                    <w:p w14:paraId="7B2B9278" w14:textId="77777777" w:rsidR="00887D40" w:rsidRDefault="00887D40" w:rsidP="00887D40">
                      <w:pPr>
                        <w:spacing w:after="0" w:line="240" w:lineRule="auto"/>
                        <w:rPr>
                          <w:color w:val="000000" w:themeColor="text1"/>
                          <w:sz w:val="18"/>
                          <w:szCs w:val="18"/>
                        </w:rPr>
                      </w:pPr>
                    </w:p>
                    <w:p w14:paraId="519EECFE" w14:textId="77777777" w:rsidR="00887D40" w:rsidRDefault="00887D40" w:rsidP="00887D40">
                      <w:pPr>
                        <w:spacing w:after="0" w:line="240" w:lineRule="auto"/>
                        <w:jc w:val="center"/>
                        <w:rPr>
                          <w:color w:val="000000" w:themeColor="text1"/>
                          <w:sz w:val="18"/>
                          <w:szCs w:val="18"/>
                        </w:rPr>
                      </w:pPr>
                      <w:r>
                        <w:rPr>
                          <w:color w:val="000000" w:themeColor="text1"/>
                          <w:sz w:val="18"/>
                          <w:szCs w:val="18"/>
                        </w:rPr>
                        <w:t>Zastoupení českých vědců v mezinárodních organizacích</w:t>
                      </w:r>
                    </w:p>
                    <w:p w14:paraId="58F6BF96" w14:textId="77777777" w:rsidR="00887D40" w:rsidRDefault="00887D40" w:rsidP="00887D40">
                      <w:pPr>
                        <w:spacing w:after="0" w:line="240" w:lineRule="auto"/>
                        <w:jc w:val="center"/>
                        <w:rPr>
                          <w:color w:val="000000" w:themeColor="text1"/>
                          <w:sz w:val="18"/>
                          <w:szCs w:val="18"/>
                        </w:rPr>
                      </w:pPr>
                    </w:p>
                  </w:txbxContent>
                </v:textbox>
              </v:roundrect>
            </w:pict>
          </mc:Fallback>
        </mc:AlternateContent>
      </w:r>
      <w:r w:rsidRPr="00C41515">
        <w:rPr>
          <w:rFonts w:eastAsia="Times New Roman" w:cs="Arial"/>
          <w:b/>
          <w:noProof/>
          <w:highlight w:val="yellow"/>
          <w:lang w:eastAsia="cs-CZ"/>
        </w:rPr>
        <mc:AlternateContent>
          <mc:Choice Requires="wps">
            <w:drawing>
              <wp:anchor distT="0" distB="0" distL="114300" distR="114300" simplePos="0" relativeHeight="251705856" behindDoc="0" locked="0" layoutInCell="1" allowOverlap="1" wp14:anchorId="767AEC04" wp14:editId="41C99A37">
                <wp:simplePos x="0" y="0"/>
                <wp:positionH relativeFrom="column">
                  <wp:posOffset>90805</wp:posOffset>
                </wp:positionH>
                <wp:positionV relativeFrom="paragraph">
                  <wp:posOffset>20954</wp:posOffset>
                </wp:positionV>
                <wp:extent cx="2699385" cy="1331595"/>
                <wp:effectExtent l="0" t="0" r="24765" b="20955"/>
                <wp:wrapNone/>
                <wp:docPr id="95" name="Obdélník: se zakulacenými rohy 95"/>
                <wp:cNvGraphicFramePr/>
                <a:graphic xmlns:a="http://schemas.openxmlformats.org/drawingml/2006/main">
                  <a:graphicData uri="http://schemas.microsoft.com/office/word/2010/wordprocessingShape">
                    <wps:wsp>
                      <wps:cNvSpPr/>
                      <wps:spPr>
                        <a:xfrm>
                          <a:off x="0" y="0"/>
                          <a:ext cx="2699385" cy="1331595"/>
                        </a:xfrm>
                        <a:prstGeom prst="roundRect">
                          <a:avLst/>
                        </a:prstGeom>
                        <a:solidFill>
                          <a:schemeClr val="bg1"/>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D20CC3D" w14:textId="77777777" w:rsidR="00887D40" w:rsidRPr="002B0E22" w:rsidRDefault="00887D40" w:rsidP="00887D40">
                            <w:pPr>
                              <w:spacing w:after="0" w:line="240" w:lineRule="auto"/>
                              <w:jc w:val="center"/>
                              <w:rPr>
                                <w:b/>
                                <w:bCs/>
                                <w:color w:val="000000" w:themeColor="text1"/>
                              </w:rPr>
                            </w:pPr>
                            <w:bookmarkStart w:id="48" w:name="_Hlk187594937"/>
                            <w:r w:rsidRPr="005E47B2">
                              <w:rPr>
                                <w:b/>
                                <w:bCs/>
                                <w:color w:val="000000" w:themeColor="text1"/>
                              </w:rPr>
                              <w:t>KAPPA</w:t>
                            </w:r>
                            <w:r>
                              <w:rPr>
                                <w:b/>
                                <w:bCs/>
                                <w:color w:val="000000" w:themeColor="text1"/>
                              </w:rPr>
                              <w:t xml:space="preserve"> </w:t>
                            </w:r>
                            <w:r w:rsidRPr="002B0E22">
                              <w:rPr>
                                <w:b/>
                                <w:bCs/>
                                <w:color w:val="000000" w:themeColor="text1"/>
                              </w:rPr>
                              <w:t>(20</w:t>
                            </w:r>
                            <w:r>
                              <w:rPr>
                                <w:b/>
                                <w:bCs/>
                                <w:color w:val="000000" w:themeColor="text1"/>
                              </w:rPr>
                              <w:t>19</w:t>
                            </w:r>
                            <w:r w:rsidRPr="002B0E22">
                              <w:rPr>
                                <w:b/>
                                <w:bCs/>
                                <w:color w:val="000000" w:themeColor="text1"/>
                              </w:rPr>
                              <w:t>–20</w:t>
                            </w:r>
                            <w:r>
                              <w:rPr>
                                <w:b/>
                                <w:bCs/>
                                <w:color w:val="000000" w:themeColor="text1"/>
                              </w:rPr>
                              <w:t>24</w:t>
                            </w:r>
                            <w:r w:rsidRPr="002B0E22">
                              <w:rPr>
                                <w:b/>
                                <w:bCs/>
                                <w:color w:val="000000" w:themeColor="text1"/>
                              </w:rPr>
                              <w:t>)</w:t>
                            </w:r>
                          </w:p>
                          <w:p w14:paraId="3E480578" w14:textId="77777777" w:rsidR="00887D40" w:rsidRPr="002B0E22" w:rsidRDefault="00887D40" w:rsidP="00887D40">
                            <w:pPr>
                              <w:spacing w:after="0" w:line="240" w:lineRule="auto"/>
                              <w:jc w:val="center"/>
                              <w:rPr>
                                <w:b/>
                                <w:bCs/>
                                <w:color w:val="000000" w:themeColor="text1"/>
                                <w:sz w:val="12"/>
                                <w:szCs w:val="12"/>
                              </w:rPr>
                            </w:pPr>
                          </w:p>
                          <w:p w14:paraId="6C06A71B" w14:textId="77777777" w:rsidR="00887D40" w:rsidRPr="00E10BA1" w:rsidRDefault="00887D40" w:rsidP="00887D40">
                            <w:pPr>
                              <w:spacing w:after="0" w:line="240" w:lineRule="auto"/>
                              <w:jc w:val="center"/>
                              <w:rPr>
                                <w:color w:val="000000" w:themeColor="text1"/>
                                <w:sz w:val="18"/>
                                <w:szCs w:val="18"/>
                              </w:rPr>
                            </w:pPr>
                            <w:r w:rsidRPr="00A4717E">
                              <w:rPr>
                                <w:color w:val="000000" w:themeColor="text1"/>
                                <w:sz w:val="18"/>
                                <w:szCs w:val="18"/>
                              </w:rPr>
                              <w:t xml:space="preserve">Schválená podpora: </w:t>
                            </w:r>
                            <w:r>
                              <w:rPr>
                                <w:color w:val="000000" w:themeColor="text1"/>
                                <w:sz w:val="18"/>
                                <w:szCs w:val="18"/>
                              </w:rPr>
                              <w:t>39,6 mil. Kč</w:t>
                            </w:r>
                          </w:p>
                          <w:p w14:paraId="5645A0D5" w14:textId="77777777" w:rsidR="00887D40" w:rsidRDefault="00887D40" w:rsidP="00887D40">
                            <w:pPr>
                              <w:spacing w:after="0" w:line="240" w:lineRule="auto"/>
                              <w:jc w:val="center"/>
                              <w:rPr>
                                <w:color w:val="000000" w:themeColor="text1"/>
                                <w:sz w:val="18"/>
                                <w:szCs w:val="18"/>
                              </w:rPr>
                            </w:pPr>
                            <w:r>
                              <w:rPr>
                                <w:color w:val="000000" w:themeColor="text1"/>
                                <w:sz w:val="18"/>
                                <w:szCs w:val="18"/>
                              </w:rPr>
                              <w:t>Čerpaná podpora</w:t>
                            </w:r>
                            <w:r w:rsidRPr="00A4717E">
                              <w:rPr>
                                <w:color w:val="000000" w:themeColor="text1"/>
                                <w:sz w:val="18"/>
                                <w:szCs w:val="18"/>
                              </w:rPr>
                              <w:t>:</w:t>
                            </w:r>
                            <w:r>
                              <w:rPr>
                                <w:color w:val="000000" w:themeColor="text1"/>
                                <w:sz w:val="18"/>
                                <w:szCs w:val="18"/>
                              </w:rPr>
                              <w:t xml:space="preserve"> </w:t>
                            </w:r>
                            <w:r w:rsidRPr="005E13FD">
                              <w:rPr>
                                <w:color w:val="000000" w:themeColor="text1"/>
                                <w:sz w:val="18"/>
                                <w:szCs w:val="18"/>
                              </w:rPr>
                              <w:t>106,6</w:t>
                            </w:r>
                            <w:r w:rsidRPr="00A4717E">
                              <w:rPr>
                                <w:color w:val="000000" w:themeColor="text1"/>
                                <w:sz w:val="18"/>
                                <w:szCs w:val="18"/>
                              </w:rPr>
                              <w:t xml:space="preserve"> mil. Kč</w:t>
                            </w:r>
                          </w:p>
                          <w:p w14:paraId="4837E61E" w14:textId="77777777" w:rsidR="00887D40" w:rsidRDefault="00887D40" w:rsidP="00887D40">
                            <w:pPr>
                              <w:spacing w:after="0" w:line="240" w:lineRule="auto"/>
                              <w:jc w:val="center"/>
                              <w:rPr>
                                <w:color w:val="000000" w:themeColor="text1"/>
                                <w:sz w:val="18"/>
                                <w:szCs w:val="18"/>
                              </w:rPr>
                            </w:pPr>
                            <w:r>
                              <w:rPr>
                                <w:color w:val="000000" w:themeColor="text1"/>
                                <w:sz w:val="18"/>
                                <w:szCs w:val="18"/>
                              </w:rPr>
                              <w:t>Počet podpořených projektů: 25</w:t>
                            </w:r>
                          </w:p>
                          <w:p w14:paraId="2383E577" w14:textId="77777777" w:rsidR="00887D40" w:rsidRDefault="00887D40" w:rsidP="00887D40">
                            <w:pPr>
                              <w:spacing w:after="0" w:line="240" w:lineRule="auto"/>
                              <w:jc w:val="center"/>
                              <w:rPr>
                                <w:color w:val="000000" w:themeColor="text1"/>
                                <w:sz w:val="18"/>
                                <w:szCs w:val="18"/>
                              </w:rPr>
                            </w:pPr>
                          </w:p>
                          <w:p w14:paraId="1606D489" w14:textId="77777777" w:rsidR="00887D40" w:rsidRDefault="00887D40" w:rsidP="00887D40">
                            <w:pPr>
                              <w:spacing w:after="0" w:line="240" w:lineRule="auto"/>
                              <w:jc w:val="center"/>
                              <w:rPr>
                                <w:color w:val="000000" w:themeColor="text1"/>
                                <w:sz w:val="18"/>
                                <w:szCs w:val="18"/>
                              </w:rPr>
                            </w:pPr>
                            <w:r>
                              <w:rPr>
                                <w:color w:val="000000" w:themeColor="text1"/>
                                <w:sz w:val="18"/>
                                <w:szCs w:val="18"/>
                              </w:rPr>
                              <w:t>Spolupráce se zeměmi EHP</w:t>
                            </w:r>
                          </w:p>
                          <w:bookmarkEnd w:id="48"/>
                          <w:p w14:paraId="1F143821" w14:textId="77777777" w:rsidR="00887D40" w:rsidRDefault="00887D40" w:rsidP="00887D40">
                            <w:pPr>
                              <w:spacing w:after="0" w:line="240" w:lineRule="auto"/>
                              <w:jc w:val="center"/>
                              <w:rPr>
                                <w:color w:val="000000" w:themeColor="text1"/>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67AEC04" id="Obdélník: se zakulacenými rohy 95" o:spid="_x0000_s1052" style="position:absolute;left:0;text-align:left;margin-left:7.15pt;margin-top:1.65pt;width:212.55pt;height:104.8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" fillcolor="white [3212]" strokecolor="#4f81bd [3204]" strokeweight="2pt">
                <v:textbox>
                  <w:txbxContent>
                    <w:p w14:paraId="0D20CC3D" w14:textId="77777777" w:rsidR="00887D40" w:rsidRPr="002B0E22" w:rsidRDefault="00887D40" w:rsidP="00887D40">
                      <w:pPr>
                        <w:spacing w:after="0" w:line="240" w:lineRule="auto"/>
                        <w:jc w:val="center"/>
                        <w:rPr>
                          <w:b/>
                          <w:bCs/>
                          <w:color w:val="000000" w:themeColor="text1"/>
                        </w:rPr>
                      </w:pPr>
                      <w:bookmarkStart w:id="49" w:name="_Hlk187594937"/>
                      <w:r w:rsidRPr="005E47B2">
                        <w:rPr>
                          <w:b/>
                          <w:bCs/>
                          <w:color w:val="000000" w:themeColor="text1"/>
                        </w:rPr>
                        <w:t>KAPPA</w:t>
                      </w:r>
                      <w:r>
                        <w:rPr>
                          <w:b/>
                          <w:bCs/>
                          <w:color w:val="000000" w:themeColor="text1"/>
                        </w:rPr>
                        <w:t xml:space="preserve"> </w:t>
                      </w:r>
                      <w:r w:rsidRPr="002B0E22">
                        <w:rPr>
                          <w:b/>
                          <w:bCs/>
                          <w:color w:val="000000" w:themeColor="text1"/>
                        </w:rPr>
                        <w:t>(20</w:t>
                      </w:r>
                      <w:r>
                        <w:rPr>
                          <w:b/>
                          <w:bCs/>
                          <w:color w:val="000000" w:themeColor="text1"/>
                        </w:rPr>
                        <w:t>19</w:t>
                      </w:r>
                      <w:r w:rsidRPr="002B0E22">
                        <w:rPr>
                          <w:b/>
                          <w:bCs/>
                          <w:color w:val="000000" w:themeColor="text1"/>
                        </w:rPr>
                        <w:t>–20</w:t>
                      </w:r>
                      <w:r>
                        <w:rPr>
                          <w:b/>
                          <w:bCs/>
                          <w:color w:val="000000" w:themeColor="text1"/>
                        </w:rPr>
                        <w:t>24</w:t>
                      </w:r>
                      <w:r w:rsidRPr="002B0E22">
                        <w:rPr>
                          <w:b/>
                          <w:bCs/>
                          <w:color w:val="000000" w:themeColor="text1"/>
                        </w:rPr>
                        <w:t>)</w:t>
                      </w:r>
                    </w:p>
                    <w:p w14:paraId="3E480578" w14:textId="77777777" w:rsidR="00887D40" w:rsidRPr="002B0E22" w:rsidRDefault="00887D40" w:rsidP="00887D40">
                      <w:pPr>
                        <w:spacing w:after="0" w:line="240" w:lineRule="auto"/>
                        <w:jc w:val="center"/>
                        <w:rPr>
                          <w:b/>
                          <w:bCs/>
                          <w:color w:val="000000" w:themeColor="text1"/>
                          <w:sz w:val="12"/>
                          <w:szCs w:val="12"/>
                        </w:rPr>
                      </w:pPr>
                    </w:p>
                    <w:p w14:paraId="6C06A71B" w14:textId="77777777" w:rsidR="00887D40" w:rsidRPr="00E10BA1" w:rsidRDefault="00887D40" w:rsidP="00887D40">
                      <w:pPr>
                        <w:spacing w:after="0" w:line="240" w:lineRule="auto"/>
                        <w:jc w:val="center"/>
                        <w:rPr>
                          <w:color w:val="000000" w:themeColor="text1"/>
                          <w:sz w:val="18"/>
                          <w:szCs w:val="18"/>
                        </w:rPr>
                      </w:pPr>
                      <w:r w:rsidRPr="00A4717E">
                        <w:rPr>
                          <w:color w:val="000000" w:themeColor="text1"/>
                          <w:sz w:val="18"/>
                          <w:szCs w:val="18"/>
                        </w:rPr>
                        <w:t xml:space="preserve">Schválená podpora: </w:t>
                      </w:r>
                      <w:r>
                        <w:rPr>
                          <w:color w:val="000000" w:themeColor="text1"/>
                          <w:sz w:val="18"/>
                          <w:szCs w:val="18"/>
                        </w:rPr>
                        <w:t>39,6 mil. Kč</w:t>
                      </w:r>
                    </w:p>
                    <w:p w14:paraId="5645A0D5" w14:textId="77777777" w:rsidR="00887D40" w:rsidRDefault="00887D40" w:rsidP="00887D40">
                      <w:pPr>
                        <w:spacing w:after="0" w:line="240" w:lineRule="auto"/>
                        <w:jc w:val="center"/>
                        <w:rPr>
                          <w:color w:val="000000" w:themeColor="text1"/>
                          <w:sz w:val="18"/>
                          <w:szCs w:val="18"/>
                        </w:rPr>
                      </w:pPr>
                      <w:r>
                        <w:rPr>
                          <w:color w:val="000000" w:themeColor="text1"/>
                          <w:sz w:val="18"/>
                          <w:szCs w:val="18"/>
                        </w:rPr>
                        <w:t>Čerpaná podpora</w:t>
                      </w:r>
                      <w:r w:rsidRPr="00A4717E">
                        <w:rPr>
                          <w:color w:val="000000" w:themeColor="text1"/>
                          <w:sz w:val="18"/>
                          <w:szCs w:val="18"/>
                        </w:rPr>
                        <w:t>:</w:t>
                      </w:r>
                      <w:r>
                        <w:rPr>
                          <w:color w:val="000000" w:themeColor="text1"/>
                          <w:sz w:val="18"/>
                          <w:szCs w:val="18"/>
                        </w:rPr>
                        <w:t xml:space="preserve"> </w:t>
                      </w:r>
                      <w:r w:rsidRPr="005E13FD">
                        <w:rPr>
                          <w:color w:val="000000" w:themeColor="text1"/>
                          <w:sz w:val="18"/>
                          <w:szCs w:val="18"/>
                        </w:rPr>
                        <w:t>106,6</w:t>
                      </w:r>
                      <w:r w:rsidRPr="00A4717E">
                        <w:rPr>
                          <w:color w:val="000000" w:themeColor="text1"/>
                          <w:sz w:val="18"/>
                          <w:szCs w:val="18"/>
                        </w:rPr>
                        <w:t xml:space="preserve"> mil. Kč</w:t>
                      </w:r>
                    </w:p>
                    <w:p w14:paraId="4837E61E" w14:textId="77777777" w:rsidR="00887D40" w:rsidRDefault="00887D40" w:rsidP="00887D40">
                      <w:pPr>
                        <w:spacing w:after="0" w:line="240" w:lineRule="auto"/>
                        <w:jc w:val="center"/>
                        <w:rPr>
                          <w:color w:val="000000" w:themeColor="text1"/>
                          <w:sz w:val="18"/>
                          <w:szCs w:val="18"/>
                        </w:rPr>
                      </w:pPr>
                      <w:r>
                        <w:rPr>
                          <w:color w:val="000000" w:themeColor="text1"/>
                          <w:sz w:val="18"/>
                          <w:szCs w:val="18"/>
                        </w:rPr>
                        <w:t>Počet podpořených projektů: 25</w:t>
                      </w:r>
                    </w:p>
                    <w:p w14:paraId="2383E577" w14:textId="77777777" w:rsidR="00887D40" w:rsidRDefault="00887D40" w:rsidP="00887D40">
                      <w:pPr>
                        <w:spacing w:after="0" w:line="240" w:lineRule="auto"/>
                        <w:jc w:val="center"/>
                        <w:rPr>
                          <w:color w:val="000000" w:themeColor="text1"/>
                          <w:sz w:val="18"/>
                          <w:szCs w:val="18"/>
                        </w:rPr>
                      </w:pPr>
                    </w:p>
                    <w:p w14:paraId="1606D489" w14:textId="77777777" w:rsidR="00887D40" w:rsidRDefault="00887D40" w:rsidP="00887D40">
                      <w:pPr>
                        <w:spacing w:after="0" w:line="240" w:lineRule="auto"/>
                        <w:jc w:val="center"/>
                        <w:rPr>
                          <w:color w:val="000000" w:themeColor="text1"/>
                          <w:sz w:val="18"/>
                          <w:szCs w:val="18"/>
                        </w:rPr>
                      </w:pPr>
                      <w:r>
                        <w:rPr>
                          <w:color w:val="000000" w:themeColor="text1"/>
                          <w:sz w:val="18"/>
                          <w:szCs w:val="18"/>
                        </w:rPr>
                        <w:t>Spolupráce se zeměmi EHP</w:t>
                      </w:r>
                    </w:p>
                    <w:bookmarkEnd w:id="49"/>
                    <w:p w14:paraId="1F143821" w14:textId="77777777" w:rsidR="00887D40" w:rsidRDefault="00887D40" w:rsidP="00887D40">
                      <w:pPr>
                        <w:spacing w:after="0" w:line="240" w:lineRule="auto"/>
                        <w:jc w:val="center"/>
                        <w:rPr>
                          <w:color w:val="000000" w:themeColor="text1"/>
                          <w:sz w:val="18"/>
                          <w:szCs w:val="18"/>
                        </w:rPr>
                      </w:pPr>
                    </w:p>
                  </w:txbxContent>
                </v:textbox>
              </v:roundrect>
            </w:pict>
          </mc:Fallback>
        </mc:AlternateContent>
      </w:r>
    </w:p>
    <w:p w14:paraId="22916C41" w14:textId="77777777" w:rsidR="00887D40" w:rsidRPr="00C41515" w:rsidRDefault="00887D40" w:rsidP="00887D40">
      <w:pPr>
        <w:keepNext/>
        <w:spacing w:before="120" w:after="240" w:line="240" w:lineRule="auto"/>
        <w:jc w:val="both"/>
        <w:rPr>
          <w:rFonts w:eastAsia="Times New Roman" w:cs="Times New Roman"/>
          <w:b/>
          <w:szCs w:val="24"/>
          <w:highlight w:val="yellow"/>
          <w:lang w:eastAsia="cs-CZ"/>
        </w:rPr>
      </w:pPr>
    </w:p>
    <w:p w14:paraId="3FF2BD47" w14:textId="77777777" w:rsidR="00887D40" w:rsidRPr="00C41515" w:rsidRDefault="00887D40" w:rsidP="00887D40">
      <w:pPr>
        <w:keepNext/>
        <w:spacing w:before="120" w:after="240" w:line="240" w:lineRule="auto"/>
        <w:jc w:val="both"/>
        <w:rPr>
          <w:rFonts w:eastAsia="Times New Roman" w:cs="Times New Roman"/>
          <w:b/>
          <w:szCs w:val="24"/>
          <w:highlight w:val="yellow"/>
          <w:lang w:eastAsia="cs-CZ"/>
        </w:rPr>
      </w:pPr>
    </w:p>
    <w:p w14:paraId="5E541818" w14:textId="77777777" w:rsidR="00887D40" w:rsidRPr="00C41515" w:rsidRDefault="00887D40" w:rsidP="00887D40">
      <w:pPr>
        <w:spacing w:after="0" w:line="360" w:lineRule="auto"/>
        <w:jc w:val="both"/>
        <w:rPr>
          <w:rFonts w:eastAsia="Times New Roman" w:cs="Arial"/>
          <w:b/>
          <w:highlight w:val="yellow"/>
          <w:lang w:eastAsia="cs-CZ"/>
        </w:rPr>
      </w:pPr>
    </w:p>
    <w:p w14:paraId="5B2D3F9C" w14:textId="77777777" w:rsidR="00887D40" w:rsidRPr="00C41515" w:rsidRDefault="00887D40" w:rsidP="00887D40">
      <w:pPr>
        <w:spacing w:after="0" w:line="360" w:lineRule="auto"/>
        <w:jc w:val="both"/>
        <w:rPr>
          <w:rFonts w:eastAsia="Times New Roman" w:cs="Arial"/>
          <w:b/>
          <w:highlight w:val="yellow"/>
          <w:lang w:eastAsia="cs-CZ"/>
        </w:rPr>
      </w:pPr>
    </w:p>
    <w:p w14:paraId="71EE3D47" w14:textId="48CED1E2" w:rsidR="00887D40" w:rsidRPr="00DB5656" w:rsidRDefault="00887D40" w:rsidP="00887D40">
      <w:pPr>
        <w:spacing w:after="120" w:line="360" w:lineRule="auto"/>
        <w:rPr>
          <w:highlight w:val="yellow"/>
        </w:rPr>
      </w:pPr>
      <w:r>
        <w:rPr>
          <w:rFonts w:eastAsia="Times New Roman" w:cs="Arial"/>
          <w:i/>
          <w:sz w:val="20"/>
          <w:szCs w:val="20"/>
          <w:lang w:eastAsia="cs-CZ"/>
        </w:rPr>
        <w:t xml:space="preserve">Zdroj: IS </w:t>
      </w:r>
      <w:proofErr w:type="spellStart"/>
      <w:r>
        <w:rPr>
          <w:rFonts w:eastAsia="Times New Roman" w:cs="Arial"/>
          <w:i/>
          <w:sz w:val="20"/>
          <w:szCs w:val="20"/>
          <w:lang w:eastAsia="cs-CZ"/>
        </w:rPr>
        <w:t>VaVaI</w:t>
      </w:r>
      <w:proofErr w:type="spellEnd"/>
      <w:r w:rsidR="001C6AC9">
        <w:rPr>
          <w:rFonts w:eastAsia="Times New Roman" w:cs="Arial"/>
          <w:i/>
          <w:sz w:val="20"/>
          <w:szCs w:val="20"/>
          <w:lang w:eastAsia="cs-CZ"/>
        </w:rPr>
        <w:t xml:space="preserve">, </w:t>
      </w:r>
      <w:r w:rsidR="001C6AC9" w:rsidRPr="00887D40">
        <w:rPr>
          <w:rFonts w:eastAsia="Times New Roman" w:cs="Arial"/>
          <w:i/>
          <w:sz w:val="20"/>
          <w:szCs w:val="20"/>
          <w:lang w:eastAsia="cs-CZ"/>
        </w:rPr>
        <w:t>export dat 24. 11. 2025</w:t>
      </w:r>
    </w:p>
    <w:p w14:paraId="52F14672" w14:textId="7D8A220F" w:rsidR="00037BE6" w:rsidRDefault="00037BE6" w:rsidP="00887D40">
      <w:pPr>
        <w:spacing w:after="120" w:line="360" w:lineRule="auto"/>
        <w:rPr>
          <w:b/>
          <w:bCs/>
          <w:iCs/>
          <w:sz w:val="20"/>
          <w:szCs w:val="20"/>
        </w:rPr>
      </w:pPr>
    </w:p>
    <w:p w14:paraId="37498F3D" w14:textId="77777777" w:rsidR="00037BE6" w:rsidRDefault="00037BE6">
      <w:pPr>
        <w:rPr>
          <w:b/>
          <w:bCs/>
          <w:iCs/>
          <w:sz w:val="20"/>
          <w:szCs w:val="20"/>
        </w:rPr>
      </w:pPr>
      <w:r>
        <w:rPr>
          <w:b/>
          <w:bCs/>
          <w:iCs/>
          <w:sz w:val="20"/>
          <w:szCs w:val="20"/>
        </w:rPr>
        <w:br w:type="page"/>
      </w:r>
    </w:p>
    <w:p w14:paraId="5CFF4622" w14:textId="55F40F6B" w:rsidR="00BF5BAE" w:rsidRPr="00037BE6" w:rsidRDefault="00011DB4" w:rsidP="00037BE6">
      <w:pPr>
        <w:rPr>
          <w:rFonts w:asciiTheme="majorHAnsi" w:eastAsiaTheme="majorEastAsia" w:hAnsiTheme="majorHAnsi" w:cstheme="majorBidi"/>
          <w:b/>
          <w:bCs/>
          <w:smallCaps/>
          <w:color w:val="365F91" w:themeColor="accent1" w:themeShade="BF"/>
          <w:sz w:val="36"/>
          <w:szCs w:val="28"/>
        </w:rPr>
      </w:pPr>
      <w:bookmarkStart w:id="50" w:name="_Toc87340799"/>
      <w:bookmarkStart w:id="51" w:name="_Hlk119510506"/>
      <w:bookmarkEnd w:id="42"/>
      <w:r w:rsidRPr="00037BE6">
        <w:rPr>
          <w:rFonts w:asciiTheme="majorHAnsi" w:eastAsiaTheme="majorEastAsia" w:hAnsiTheme="majorHAnsi" w:cstheme="majorBidi"/>
          <w:b/>
          <w:bCs/>
          <w:smallCaps/>
          <w:color w:val="365F91" w:themeColor="accent1" w:themeShade="BF"/>
          <w:sz w:val="36"/>
          <w:szCs w:val="28"/>
        </w:rPr>
        <w:lastRenderedPageBreak/>
        <w:t>Seznam zkratek</w:t>
      </w:r>
      <w:bookmarkEnd w:id="50"/>
      <w:bookmarkEnd w:id="51"/>
    </w:p>
    <w:p w14:paraId="3644AABA"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 xml:space="preserve">AIS </w:t>
      </w:r>
      <w:r w:rsidRPr="007E2428">
        <w:rPr>
          <w:rFonts w:cs="Arial"/>
        </w:rPr>
        <w:tab/>
      </w:r>
      <w:proofErr w:type="spellStart"/>
      <w:r w:rsidRPr="007E2428">
        <w:rPr>
          <w:rFonts w:cs="Arial"/>
        </w:rPr>
        <w:t>Article</w:t>
      </w:r>
      <w:proofErr w:type="spellEnd"/>
      <w:r w:rsidRPr="007E2428">
        <w:rPr>
          <w:rFonts w:cs="Arial"/>
        </w:rPr>
        <w:t xml:space="preserve"> Influence </w:t>
      </w:r>
      <w:proofErr w:type="spellStart"/>
      <w:r w:rsidRPr="007E2428">
        <w:rPr>
          <w:rFonts w:cs="Arial"/>
        </w:rPr>
        <w:t>Score</w:t>
      </w:r>
      <w:proofErr w:type="spellEnd"/>
    </w:p>
    <w:p w14:paraId="0356829B" w14:textId="770968A4" w:rsidR="00815070" w:rsidRPr="007E2428" w:rsidRDefault="00815070" w:rsidP="00815070">
      <w:pPr>
        <w:tabs>
          <w:tab w:val="left" w:pos="2552"/>
        </w:tabs>
        <w:spacing w:after="0" w:line="24" w:lineRule="atLeast"/>
        <w:ind w:left="2552" w:hanging="2554"/>
        <w:contextualSpacing/>
        <w:rPr>
          <w:rFonts w:cs="Arial"/>
        </w:rPr>
      </w:pPr>
      <w:r w:rsidRPr="007E2428">
        <w:rPr>
          <w:rFonts w:cs="Arial"/>
        </w:rPr>
        <w:t>AV </w:t>
      </w:r>
      <w:r w:rsidRPr="007E2428">
        <w:rPr>
          <w:rFonts w:cs="Arial"/>
        </w:rPr>
        <w:tab/>
        <w:t>veřejné výzkumné instituce, jejichž zřizovatelem je</w:t>
      </w:r>
      <w:r w:rsidR="00703AD4">
        <w:rPr>
          <w:rFonts w:cs="Arial"/>
        </w:rPr>
        <w:t> </w:t>
      </w:r>
      <w:r w:rsidRPr="007E2428">
        <w:rPr>
          <w:rFonts w:cs="Arial"/>
        </w:rPr>
        <w:t>dle</w:t>
      </w:r>
      <w:r w:rsidR="00703AD4">
        <w:rPr>
          <w:rFonts w:cs="Arial"/>
        </w:rPr>
        <w:t> </w:t>
      </w:r>
      <w:r w:rsidRPr="007E2428">
        <w:rPr>
          <w:rFonts w:cs="Arial"/>
        </w:rPr>
        <w:t xml:space="preserve">zákona č. 341/2005 Sb. Akademie věd České republiky </w:t>
      </w:r>
    </w:p>
    <w:p w14:paraId="28DD3067"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AV ČR</w:t>
      </w:r>
      <w:r w:rsidRPr="007E2428">
        <w:rPr>
          <w:rFonts w:cs="Arial"/>
        </w:rPr>
        <w:tab/>
        <w:t>Akademie věd České republiky</w:t>
      </w:r>
    </w:p>
    <w:p w14:paraId="4896ACD2" w14:textId="77777777" w:rsidR="00815070" w:rsidRPr="007E2428" w:rsidRDefault="00815070" w:rsidP="00815070">
      <w:pPr>
        <w:tabs>
          <w:tab w:val="left" w:pos="2552"/>
        </w:tabs>
        <w:spacing w:after="0" w:line="24" w:lineRule="atLeast"/>
        <w:ind w:left="2552" w:hanging="2552"/>
        <w:contextualSpacing/>
        <w:rPr>
          <w:rFonts w:cs="Arial"/>
        </w:rPr>
      </w:pPr>
      <w:r w:rsidRPr="007E2428">
        <w:rPr>
          <w:rFonts w:cs="Arial"/>
        </w:rPr>
        <w:t>BERD</w:t>
      </w:r>
      <w:r w:rsidRPr="007E2428">
        <w:rPr>
          <w:rFonts w:cs="Arial"/>
        </w:rPr>
        <w:tab/>
        <w:t xml:space="preserve">Business </w:t>
      </w:r>
      <w:proofErr w:type="spellStart"/>
      <w:r w:rsidRPr="007E2428">
        <w:rPr>
          <w:rFonts w:cs="Arial"/>
        </w:rPr>
        <w:t>Enterprise</w:t>
      </w:r>
      <w:proofErr w:type="spellEnd"/>
      <w:r w:rsidRPr="007E2428">
        <w:rPr>
          <w:rFonts w:cs="Arial"/>
        </w:rPr>
        <w:t xml:space="preserve"> </w:t>
      </w:r>
      <w:proofErr w:type="spellStart"/>
      <w:r w:rsidRPr="007E2428">
        <w:rPr>
          <w:rFonts w:cs="Arial"/>
        </w:rPr>
        <w:t>Expenditure</w:t>
      </w:r>
      <w:proofErr w:type="spellEnd"/>
      <w:r w:rsidRPr="007E2428">
        <w:rPr>
          <w:rFonts w:cs="Arial"/>
        </w:rPr>
        <w:t xml:space="preserve"> on R&amp;D – výdaje na </w:t>
      </w:r>
      <w:proofErr w:type="spellStart"/>
      <w:r w:rsidRPr="007E2428">
        <w:rPr>
          <w:rFonts w:cs="Arial"/>
        </w:rPr>
        <w:t>VaV</w:t>
      </w:r>
      <w:proofErr w:type="spellEnd"/>
      <w:r w:rsidRPr="007E2428">
        <w:rPr>
          <w:rFonts w:cs="Arial"/>
        </w:rPr>
        <w:t xml:space="preserve"> v podnikatelském sektoru</w:t>
      </w:r>
    </w:p>
    <w:p w14:paraId="5770C01E"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CEA</w:t>
      </w:r>
      <w:r w:rsidRPr="007E2428">
        <w:rPr>
          <w:rFonts w:cs="Arial"/>
        </w:rPr>
        <w:tab/>
        <w:t>Centrální evidence aktivit výzkumu</w:t>
      </w:r>
    </w:p>
    <w:p w14:paraId="1B8711D9" w14:textId="77777777" w:rsidR="00815070" w:rsidRPr="007E2428" w:rsidRDefault="00815070" w:rsidP="00815070">
      <w:pPr>
        <w:tabs>
          <w:tab w:val="left" w:pos="2552"/>
        </w:tabs>
        <w:spacing w:after="0" w:line="24" w:lineRule="atLeast"/>
        <w:ind w:left="2552" w:hanging="2552"/>
        <w:contextualSpacing/>
        <w:jc w:val="both"/>
        <w:rPr>
          <w:rFonts w:cs="Arial"/>
        </w:rPr>
      </w:pPr>
      <w:r w:rsidRPr="007E2428">
        <w:rPr>
          <w:rFonts w:cs="Arial"/>
        </w:rPr>
        <w:t>CEP</w:t>
      </w:r>
      <w:r w:rsidRPr="007E2428">
        <w:rPr>
          <w:rFonts w:cs="Arial"/>
        </w:rPr>
        <w:tab/>
        <w:t>Centrální evidence projektů výzkumu, experimentálního vývoje a inovací</w:t>
      </w:r>
    </w:p>
    <w:p w14:paraId="27C4683B"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CERN</w:t>
      </w:r>
      <w:r w:rsidRPr="007E2428">
        <w:rPr>
          <w:rFonts w:cs="Arial"/>
        </w:rPr>
        <w:tab/>
        <w:t xml:space="preserve">Evropská organizace pro jaderný výzkum </w:t>
      </w:r>
    </w:p>
    <w:p w14:paraId="34DF7454"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ČR</w:t>
      </w:r>
      <w:r w:rsidRPr="007E2428">
        <w:rPr>
          <w:rFonts w:cs="Arial"/>
        </w:rPr>
        <w:tab/>
        <w:t>Česká republika</w:t>
      </w:r>
    </w:p>
    <w:p w14:paraId="7B7E8CA2"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ČSÚ</w:t>
      </w:r>
      <w:r w:rsidRPr="007E2428">
        <w:rPr>
          <w:rFonts w:cs="Arial"/>
        </w:rPr>
        <w:tab/>
        <w:t>Český statistický úřad</w:t>
      </w:r>
    </w:p>
    <w:p w14:paraId="40E6260D" w14:textId="6685E2DE" w:rsidR="00815070" w:rsidRPr="007E2428" w:rsidRDefault="00815070" w:rsidP="00815070">
      <w:pPr>
        <w:tabs>
          <w:tab w:val="left" w:pos="2552"/>
        </w:tabs>
        <w:spacing w:after="0" w:line="24" w:lineRule="atLeast"/>
        <w:contextualSpacing/>
        <w:jc w:val="both"/>
        <w:rPr>
          <w:rFonts w:cs="Arial"/>
        </w:rPr>
      </w:pPr>
      <w:r w:rsidRPr="007E2428">
        <w:rPr>
          <w:rFonts w:cs="Arial"/>
        </w:rPr>
        <w:t>DK</w:t>
      </w:r>
      <w:r w:rsidR="00B25934">
        <w:rPr>
          <w:rFonts w:cs="Arial"/>
        </w:rPr>
        <w:t xml:space="preserve"> </w:t>
      </w:r>
      <w:r w:rsidRPr="007E2428">
        <w:rPr>
          <w:rFonts w:cs="Arial"/>
        </w:rPr>
        <w:t>RVO</w:t>
      </w:r>
      <w:r w:rsidRPr="007E2428">
        <w:rPr>
          <w:rFonts w:cs="Arial"/>
        </w:rPr>
        <w:tab/>
        <w:t>Dlouhodobý koncepční rozvoj výzkumných organizací</w:t>
      </w:r>
    </w:p>
    <w:p w14:paraId="5F477171" w14:textId="64CCB07A" w:rsidR="00977F76" w:rsidRDefault="00DD5607" w:rsidP="00815070">
      <w:pPr>
        <w:tabs>
          <w:tab w:val="left" w:pos="2552"/>
        </w:tabs>
        <w:spacing w:after="0" w:line="24" w:lineRule="atLeast"/>
        <w:contextualSpacing/>
        <w:jc w:val="both"/>
        <w:rPr>
          <w:rFonts w:cs="Arial"/>
        </w:rPr>
      </w:pPr>
      <w:r>
        <w:rPr>
          <w:rFonts w:cs="Arial"/>
        </w:rPr>
        <w:t>DZS</w:t>
      </w:r>
      <w:r w:rsidR="00977F76" w:rsidRPr="00977F76">
        <w:rPr>
          <w:rFonts w:cs="Arial"/>
        </w:rPr>
        <w:t xml:space="preserve"> </w:t>
      </w:r>
      <w:r w:rsidR="00977F76">
        <w:rPr>
          <w:rFonts w:cs="Arial"/>
        </w:rPr>
        <w:tab/>
        <w:t>Dům zahraniční spolupráce</w:t>
      </w:r>
    </w:p>
    <w:p w14:paraId="02FF98AF" w14:textId="2C007662" w:rsidR="00DD5607" w:rsidRDefault="00977F76" w:rsidP="00815070">
      <w:pPr>
        <w:tabs>
          <w:tab w:val="left" w:pos="2552"/>
        </w:tabs>
        <w:spacing w:after="0" w:line="24" w:lineRule="atLeast"/>
        <w:contextualSpacing/>
        <w:jc w:val="both"/>
        <w:rPr>
          <w:rFonts w:cs="Arial"/>
        </w:rPr>
      </w:pPr>
      <w:r>
        <w:rPr>
          <w:rFonts w:cs="Arial"/>
        </w:rPr>
        <w:t>EHP</w:t>
      </w:r>
      <w:r w:rsidR="00DD5607">
        <w:rPr>
          <w:rFonts w:cs="Arial"/>
        </w:rPr>
        <w:tab/>
      </w:r>
      <w:r>
        <w:rPr>
          <w:rFonts w:cs="Arial"/>
        </w:rPr>
        <w:t>Evropský hospodářský prostor</w:t>
      </w:r>
    </w:p>
    <w:p w14:paraId="64CBCCDF"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EIC</w:t>
      </w:r>
      <w:r w:rsidRPr="007E2428">
        <w:rPr>
          <w:rFonts w:cs="Arial"/>
        </w:rPr>
        <w:tab/>
        <w:t>Evropská rada pro inovace</w:t>
      </w:r>
    </w:p>
    <w:p w14:paraId="797F8616"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EIS</w:t>
      </w:r>
      <w:r w:rsidRPr="007E2428">
        <w:rPr>
          <w:rFonts w:cs="Arial"/>
        </w:rPr>
        <w:tab/>
      </w:r>
      <w:proofErr w:type="spellStart"/>
      <w:r w:rsidRPr="007E2428">
        <w:rPr>
          <w:rFonts w:cs="Arial"/>
        </w:rPr>
        <w:t>European</w:t>
      </w:r>
      <w:proofErr w:type="spellEnd"/>
      <w:r w:rsidRPr="007E2428">
        <w:rPr>
          <w:rFonts w:cs="Arial"/>
        </w:rPr>
        <w:t xml:space="preserve"> Innovation </w:t>
      </w:r>
      <w:proofErr w:type="spellStart"/>
      <w:r w:rsidRPr="007E2428">
        <w:rPr>
          <w:rFonts w:cs="Arial"/>
        </w:rPr>
        <w:t>Scoreboard</w:t>
      </w:r>
      <w:proofErr w:type="spellEnd"/>
      <w:r w:rsidRPr="007E2428">
        <w:rPr>
          <w:rFonts w:cs="Arial"/>
        </w:rPr>
        <w:t xml:space="preserve"> </w:t>
      </w:r>
    </w:p>
    <w:p w14:paraId="2C47FC98" w14:textId="71819FA6" w:rsidR="00815070" w:rsidRPr="007E2428" w:rsidRDefault="00815070" w:rsidP="00815070">
      <w:pPr>
        <w:tabs>
          <w:tab w:val="left" w:pos="2552"/>
        </w:tabs>
        <w:spacing w:after="0" w:line="24" w:lineRule="atLeast"/>
        <w:contextualSpacing/>
        <w:jc w:val="both"/>
        <w:rPr>
          <w:rFonts w:cs="Arial"/>
        </w:rPr>
      </w:pPr>
      <w:r w:rsidRPr="007E2428">
        <w:rPr>
          <w:rFonts w:cs="Arial"/>
        </w:rPr>
        <w:t>EK / EC</w:t>
      </w:r>
      <w:r w:rsidRPr="007E2428">
        <w:rPr>
          <w:rFonts w:cs="Arial"/>
        </w:rPr>
        <w:tab/>
        <w:t xml:space="preserve">Evropská komise </w:t>
      </w:r>
      <w:r w:rsidR="008969A8">
        <w:rPr>
          <w:rFonts w:cs="Arial"/>
        </w:rPr>
        <w:t>(</w:t>
      </w:r>
      <w:proofErr w:type="spellStart"/>
      <w:r w:rsidRPr="007E2428">
        <w:rPr>
          <w:rFonts w:cs="Arial"/>
        </w:rPr>
        <w:t>European</w:t>
      </w:r>
      <w:proofErr w:type="spellEnd"/>
      <w:r w:rsidRPr="007E2428">
        <w:rPr>
          <w:rFonts w:cs="Arial"/>
        </w:rPr>
        <w:t xml:space="preserve"> </w:t>
      </w:r>
      <w:proofErr w:type="spellStart"/>
      <w:r w:rsidRPr="007E2428">
        <w:rPr>
          <w:rFonts w:cs="Arial"/>
        </w:rPr>
        <w:t>Commission</w:t>
      </w:r>
      <w:proofErr w:type="spellEnd"/>
      <w:r w:rsidR="008969A8">
        <w:rPr>
          <w:rFonts w:cs="Arial"/>
        </w:rPr>
        <w:t>)</w:t>
      </w:r>
    </w:p>
    <w:p w14:paraId="60B21DC5"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EPO</w:t>
      </w:r>
      <w:r w:rsidRPr="007E2428">
        <w:rPr>
          <w:rFonts w:cs="Arial"/>
        </w:rPr>
        <w:tab/>
        <w:t>Evropský patentový úřad</w:t>
      </w:r>
    </w:p>
    <w:p w14:paraId="2C2D0481"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ERA</w:t>
      </w:r>
      <w:r w:rsidRPr="007E2428">
        <w:rPr>
          <w:rFonts w:cs="Arial"/>
        </w:rPr>
        <w:tab/>
      </w:r>
      <w:proofErr w:type="spellStart"/>
      <w:r w:rsidRPr="007E2428">
        <w:rPr>
          <w:rFonts w:cs="Arial"/>
        </w:rPr>
        <w:t>European</w:t>
      </w:r>
      <w:proofErr w:type="spellEnd"/>
      <w:r w:rsidRPr="007E2428">
        <w:rPr>
          <w:rFonts w:cs="Arial"/>
        </w:rPr>
        <w:t xml:space="preserve"> </w:t>
      </w:r>
      <w:proofErr w:type="spellStart"/>
      <w:r w:rsidRPr="007E2428">
        <w:rPr>
          <w:rFonts w:cs="Arial"/>
        </w:rPr>
        <w:t>Research</w:t>
      </w:r>
      <w:proofErr w:type="spellEnd"/>
      <w:r w:rsidRPr="007E2428">
        <w:rPr>
          <w:rFonts w:cs="Arial"/>
        </w:rPr>
        <w:t xml:space="preserve"> Area (Evropský výzkumný prostor)</w:t>
      </w:r>
    </w:p>
    <w:p w14:paraId="56129EF4"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ERC</w:t>
      </w:r>
      <w:r w:rsidRPr="007E2428">
        <w:rPr>
          <w:rFonts w:cs="Arial"/>
        </w:rPr>
        <w:tab/>
      </w:r>
      <w:proofErr w:type="spellStart"/>
      <w:r w:rsidRPr="007E2428">
        <w:rPr>
          <w:rFonts w:cs="Arial"/>
        </w:rPr>
        <w:t>European</w:t>
      </w:r>
      <w:proofErr w:type="spellEnd"/>
      <w:r w:rsidRPr="007E2428">
        <w:rPr>
          <w:rFonts w:cs="Arial"/>
        </w:rPr>
        <w:t xml:space="preserve"> </w:t>
      </w:r>
      <w:proofErr w:type="spellStart"/>
      <w:r w:rsidRPr="007E2428">
        <w:rPr>
          <w:rFonts w:cs="Arial"/>
        </w:rPr>
        <w:t>Research</w:t>
      </w:r>
      <w:proofErr w:type="spellEnd"/>
      <w:r w:rsidRPr="007E2428">
        <w:rPr>
          <w:rFonts w:cs="Arial"/>
        </w:rPr>
        <w:t xml:space="preserve"> </w:t>
      </w:r>
      <w:proofErr w:type="spellStart"/>
      <w:r w:rsidRPr="007E2428">
        <w:rPr>
          <w:rFonts w:cs="Arial"/>
        </w:rPr>
        <w:t>Council</w:t>
      </w:r>
      <w:proofErr w:type="spellEnd"/>
      <w:r w:rsidRPr="007E2428">
        <w:rPr>
          <w:rFonts w:cs="Arial"/>
        </w:rPr>
        <w:t xml:space="preserve"> (Evropská výzkumná rada)</w:t>
      </w:r>
    </w:p>
    <w:p w14:paraId="2368EB88" w14:textId="77777777" w:rsidR="00815070" w:rsidRPr="007E2428" w:rsidRDefault="00815070" w:rsidP="00815070">
      <w:pPr>
        <w:tabs>
          <w:tab w:val="left" w:pos="2552"/>
        </w:tabs>
        <w:spacing w:after="0" w:line="24" w:lineRule="atLeast"/>
        <w:ind w:left="2552" w:hanging="2552"/>
        <w:contextualSpacing/>
        <w:rPr>
          <w:rFonts w:cs="Arial"/>
        </w:rPr>
      </w:pPr>
      <w:r w:rsidRPr="007E2428">
        <w:rPr>
          <w:rFonts w:cs="Arial"/>
        </w:rPr>
        <w:t>ERIC</w:t>
      </w:r>
      <w:r w:rsidRPr="007E2428">
        <w:rPr>
          <w:rFonts w:cs="Arial"/>
        </w:rPr>
        <w:tab/>
        <w:t>Společenství pro konsorcium evropské výzkumné infrastruktury (</w:t>
      </w:r>
      <w:proofErr w:type="spellStart"/>
      <w:r w:rsidRPr="007E2428">
        <w:rPr>
          <w:rFonts w:cs="Arial"/>
        </w:rPr>
        <w:t>European</w:t>
      </w:r>
      <w:proofErr w:type="spellEnd"/>
      <w:r w:rsidRPr="007E2428">
        <w:rPr>
          <w:rFonts w:cs="Arial"/>
        </w:rPr>
        <w:t xml:space="preserve"> </w:t>
      </w:r>
      <w:proofErr w:type="spellStart"/>
      <w:r w:rsidRPr="007E2428">
        <w:rPr>
          <w:rFonts w:cs="Arial"/>
        </w:rPr>
        <w:t>Research</w:t>
      </w:r>
      <w:proofErr w:type="spellEnd"/>
      <w:r w:rsidRPr="007E2428">
        <w:rPr>
          <w:rFonts w:cs="Arial"/>
        </w:rPr>
        <w:t xml:space="preserve"> </w:t>
      </w:r>
      <w:proofErr w:type="spellStart"/>
      <w:r w:rsidRPr="007E2428">
        <w:rPr>
          <w:rFonts w:cs="Arial"/>
        </w:rPr>
        <w:t>Infrastructure</w:t>
      </w:r>
      <w:proofErr w:type="spellEnd"/>
      <w:r w:rsidRPr="007E2428">
        <w:rPr>
          <w:rFonts w:cs="Arial"/>
        </w:rPr>
        <w:t xml:space="preserve"> </w:t>
      </w:r>
      <w:proofErr w:type="spellStart"/>
      <w:r w:rsidRPr="007E2428">
        <w:rPr>
          <w:rFonts w:cs="Arial"/>
        </w:rPr>
        <w:t>Consortium</w:t>
      </w:r>
      <w:proofErr w:type="spellEnd"/>
      <w:r w:rsidRPr="007E2428">
        <w:rPr>
          <w:rFonts w:cs="Arial"/>
        </w:rPr>
        <w:t>)</w:t>
      </w:r>
    </w:p>
    <w:p w14:paraId="0B2081AC" w14:textId="77777777" w:rsidR="00815070" w:rsidRPr="007E2428" w:rsidRDefault="00815070" w:rsidP="00815070">
      <w:pPr>
        <w:tabs>
          <w:tab w:val="left" w:pos="2552"/>
        </w:tabs>
        <w:spacing w:after="0" w:line="24" w:lineRule="atLeast"/>
        <w:ind w:left="2552" w:hanging="2552"/>
        <w:contextualSpacing/>
        <w:jc w:val="both"/>
        <w:rPr>
          <w:rFonts w:cs="Arial"/>
        </w:rPr>
      </w:pPr>
      <w:r w:rsidRPr="007E2428">
        <w:rPr>
          <w:rFonts w:cs="Arial"/>
        </w:rPr>
        <w:t>ERIH PLUS</w:t>
      </w:r>
      <w:r w:rsidRPr="007E2428">
        <w:rPr>
          <w:rFonts w:cs="Arial"/>
        </w:rPr>
        <w:tab/>
      </w:r>
      <w:proofErr w:type="spellStart"/>
      <w:r w:rsidRPr="007E2428">
        <w:rPr>
          <w:rFonts w:cs="Arial"/>
        </w:rPr>
        <w:t>European</w:t>
      </w:r>
      <w:proofErr w:type="spellEnd"/>
      <w:r w:rsidRPr="007E2428">
        <w:rPr>
          <w:rFonts w:cs="Arial"/>
        </w:rPr>
        <w:t xml:space="preserve"> Reference Index </w:t>
      </w:r>
      <w:proofErr w:type="spellStart"/>
      <w:r w:rsidRPr="007E2428">
        <w:rPr>
          <w:rFonts w:cs="Arial"/>
        </w:rPr>
        <w:t>for</w:t>
      </w:r>
      <w:proofErr w:type="spellEnd"/>
      <w:r w:rsidRPr="007E2428">
        <w:rPr>
          <w:rFonts w:cs="Arial"/>
        </w:rPr>
        <w:t xml:space="preserve"> </w:t>
      </w:r>
      <w:proofErr w:type="spellStart"/>
      <w:r w:rsidRPr="007E2428">
        <w:rPr>
          <w:rFonts w:cs="Arial"/>
        </w:rPr>
        <w:t>the</w:t>
      </w:r>
      <w:proofErr w:type="spellEnd"/>
      <w:r w:rsidRPr="007E2428">
        <w:rPr>
          <w:rFonts w:cs="Arial"/>
        </w:rPr>
        <w:t xml:space="preserve"> </w:t>
      </w:r>
      <w:proofErr w:type="spellStart"/>
      <w:r w:rsidRPr="007E2428">
        <w:rPr>
          <w:rFonts w:cs="Arial"/>
        </w:rPr>
        <w:t>Humanities</w:t>
      </w:r>
      <w:proofErr w:type="spellEnd"/>
      <w:r w:rsidRPr="007E2428">
        <w:rPr>
          <w:rFonts w:cs="Arial"/>
        </w:rPr>
        <w:t xml:space="preserve"> and </w:t>
      </w:r>
      <w:proofErr w:type="spellStart"/>
      <w:r w:rsidRPr="007E2428">
        <w:rPr>
          <w:rFonts w:cs="Arial"/>
        </w:rPr>
        <w:t>the</w:t>
      </w:r>
      <w:proofErr w:type="spellEnd"/>
      <w:r w:rsidRPr="007E2428">
        <w:rPr>
          <w:rFonts w:cs="Arial"/>
        </w:rPr>
        <w:t xml:space="preserve"> </w:t>
      </w:r>
      <w:proofErr w:type="spellStart"/>
      <w:r w:rsidRPr="007E2428">
        <w:rPr>
          <w:rFonts w:cs="Arial"/>
        </w:rPr>
        <w:t>Social</w:t>
      </w:r>
      <w:proofErr w:type="spellEnd"/>
      <w:r w:rsidRPr="007E2428">
        <w:rPr>
          <w:rFonts w:cs="Arial"/>
        </w:rPr>
        <w:t xml:space="preserve"> </w:t>
      </w:r>
      <w:proofErr w:type="spellStart"/>
      <w:r w:rsidRPr="007E2428">
        <w:rPr>
          <w:rFonts w:cs="Arial"/>
        </w:rPr>
        <w:t>Sciences</w:t>
      </w:r>
      <w:proofErr w:type="spellEnd"/>
    </w:p>
    <w:p w14:paraId="791B5EF9" w14:textId="7101FFFA" w:rsidR="00815070" w:rsidRPr="007E2428" w:rsidRDefault="00815070" w:rsidP="00815070">
      <w:pPr>
        <w:tabs>
          <w:tab w:val="left" w:pos="2552"/>
        </w:tabs>
        <w:spacing w:after="0" w:line="24" w:lineRule="atLeast"/>
        <w:contextualSpacing/>
        <w:jc w:val="both"/>
        <w:rPr>
          <w:rFonts w:cs="Arial"/>
        </w:rPr>
      </w:pPr>
      <w:r w:rsidRPr="007E2428">
        <w:rPr>
          <w:rFonts w:cs="Arial"/>
        </w:rPr>
        <w:t>ESA</w:t>
      </w:r>
      <w:r w:rsidRPr="007E2428">
        <w:rPr>
          <w:rFonts w:cs="Arial"/>
        </w:rPr>
        <w:tab/>
        <w:t>Evropská kosmická agentura</w:t>
      </w:r>
    </w:p>
    <w:p w14:paraId="2A177F34"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ESF</w:t>
      </w:r>
      <w:r w:rsidRPr="007E2428">
        <w:rPr>
          <w:rFonts w:cs="Arial"/>
        </w:rPr>
        <w:tab/>
        <w:t>Evropský sociální fond</w:t>
      </w:r>
    </w:p>
    <w:p w14:paraId="6277B465" w14:textId="738D25FE" w:rsidR="00815070" w:rsidRPr="007E2428" w:rsidRDefault="00815070" w:rsidP="00815070">
      <w:pPr>
        <w:tabs>
          <w:tab w:val="left" w:pos="2552"/>
        </w:tabs>
        <w:spacing w:after="0" w:line="24" w:lineRule="atLeast"/>
        <w:contextualSpacing/>
        <w:jc w:val="both"/>
        <w:rPr>
          <w:rFonts w:cs="Arial"/>
        </w:rPr>
      </w:pPr>
      <w:r w:rsidRPr="007E2428">
        <w:rPr>
          <w:rFonts w:cs="Arial"/>
        </w:rPr>
        <w:t>ESFRI</w:t>
      </w:r>
      <w:r w:rsidRPr="007E2428">
        <w:rPr>
          <w:rFonts w:cs="Arial"/>
        </w:rPr>
        <w:tab/>
        <w:t>Evropské strategické fór</w:t>
      </w:r>
      <w:r w:rsidR="008969A8">
        <w:rPr>
          <w:rFonts w:cs="Arial"/>
        </w:rPr>
        <w:t>um</w:t>
      </w:r>
      <w:r w:rsidRPr="007E2428">
        <w:rPr>
          <w:rFonts w:cs="Arial"/>
        </w:rPr>
        <w:t> pro výzkumné infrastruktury</w:t>
      </w:r>
    </w:p>
    <w:p w14:paraId="255083F9" w14:textId="45E3BA6A" w:rsidR="00815070" w:rsidRPr="007E2428" w:rsidRDefault="00815070" w:rsidP="00815070">
      <w:pPr>
        <w:tabs>
          <w:tab w:val="left" w:pos="2552"/>
        </w:tabs>
        <w:spacing w:after="0" w:line="24" w:lineRule="atLeast"/>
        <w:contextualSpacing/>
        <w:jc w:val="both"/>
        <w:rPr>
          <w:rFonts w:cs="Arial"/>
        </w:rPr>
      </w:pPr>
      <w:r w:rsidRPr="007E2428">
        <w:rPr>
          <w:rFonts w:cs="Arial"/>
        </w:rPr>
        <w:t>ESIF</w:t>
      </w:r>
      <w:r w:rsidRPr="007E2428">
        <w:rPr>
          <w:rFonts w:cs="Arial"/>
        </w:rPr>
        <w:tab/>
        <w:t>Evropské strukturální a investiční fondy</w:t>
      </w:r>
    </w:p>
    <w:p w14:paraId="1CE3B5E9" w14:textId="265524CC" w:rsidR="00815070" w:rsidRPr="007E2428" w:rsidRDefault="00815070" w:rsidP="00815070">
      <w:pPr>
        <w:tabs>
          <w:tab w:val="left" w:pos="2552"/>
        </w:tabs>
        <w:spacing w:after="0" w:line="24" w:lineRule="atLeast"/>
        <w:contextualSpacing/>
        <w:jc w:val="both"/>
        <w:rPr>
          <w:rFonts w:cs="Arial"/>
        </w:rPr>
      </w:pPr>
      <w:r w:rsidRPr="007E2428">
        <w:rPr>
          <w:rFonts w:cs="Arial"/>
        </w:rPr>
        <w:t>ESO</w:t>
      </w:r>
      <w:r w:rsidRPr="007E2428">
        <w:rPr>
          <w:rFonts w:cs="Arial"/>
        </w:rPr>
        <w:tab/>
        <w:t>Evropská jižní observatoř</w:t>
      </w:r>
    </w:p>
    <w:p w14:paraId="66C665F0" w14:textId="4370FD62" w:rsidR="00815070" w:rsidRPr="007E2428" w:rsidRDefault="00815070" w:rsidP="00815070">
      <w:pPr>
        <w:tabs>
          <w:tab w:val="left" w:pos="2552"/>
        </w:tabs>
        <w:spacing w:after="0" w:line="24" w:lineRule="atLeast"/>
        <w:contextualSpacing/>
        <w:jc w:val="both"/>
        <w:rPr>
          <w:rFonts w:cs="Arial"/>
        </w:rPr>
      </w:pPr>
      <w:r w:rsidRPr="007E2428">
        <w:rPr>
          <w:rFonts w:cs="Arial"/>
        </w:rPr>
        <w:t>EU</w:t>
      </w:r>
      <w:r w:rsidRPr="007E2428">
        <w:rPr>
          <w:rFonts w:cs="Arial"/>
        </w:rPr>
        <w:tab/>
        <w:t>Evropská unie</w:t>
      </w:r>
    </w:p>
    <w:p w14:paraId="64418E2A" w14:textId="117F4617" w:rsidR="00815070" w:rsidRPr="007E2428" w:rsidRDefault="00815070" w:rsidP="00815070">
      <w:pPr>
        <w:tabs>
          <w:tab w:val="left" w:pos="2552"/>
        </w:tabs>
        <w:spacing w:after="0" w:line="24" w:lineRule="atLeast"/>
        <w:contextualSpacing/>
        <w:jc w:val="both"/>
        <w:rPr>
          <w:rFonts w:cs="Arial"/>
        </w:rPr>
      </w:pPr>
      <w:r w:rsidRPr="007E2428">
        <w:rPr>
          <w:rFonts w:cs="Arial"/>
        </w:rPr>
        <w:t>EU13</w:t>
      </w:r>
      <w:r w:rsidRPr="007E2428">
        <w:rPr>
          <w:rFonts w:cs="Arial"/>
        </w:rPr>
        <w:tab/>
        <w:t>země, které vstoupily do EU v roce 2004 a později</w:t>
      </w:r>
    </w:p>
    <w:p w14:paraId="41F7C344"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EU15</w:t>
      </w:r>
      <w:r w:rsidRPr="007E2428">
        <w:rPr>
          <w:rFonts w:cs="Arial"/>
        </w:rPr>
        <w:tab/>
        <w:t>země, které vstoupily do EU před rokem 2004</w:t>
      </w:r>
    </w:p>
    <w:p w14:paraId="590AD1A8"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EU27</w:t>
      </w:r>
      <w:r w:rsidRPr="007E2428">
        <w:rPr>
          <w:rFonts w:cs="Arial"/>
        </w:rPr>
        <w:tab/>
        <w:t>všechny členské státy EU od 2019 (tj. bez Velké Británie)</w:t>
      </w:r>
    </w:p>
    <w:p w14:paraId="0F19FE97" w14:textId="2214E68A" w:rsidR="00815070" w:rsidRPr="007E2428" w:rsidRDefault="00815070" w:rsidP="00815070">
      <w:pPr>
        <w:tabs>
          <w:tab w:val="left" w:pos="2552"/>
        </w:tabs>
        <w:spacing w:after="0" w:line="24" w:lineRule="atLeast"/>
        <w:contextualSpacing/>
        <w:jc w:val="both"/>
        <w:rPr>
          <w:rFonts w:cs="Arial"/>
        </w:rPr>
      </w:pPr>
      <w:r w:rsidRPr="007E2428">
        <w:rPr>
          <w:rFonts w:cs="Arial"/>
        </w:rPr>
        <w:t>EU28</w:t>
      </w:r>
      <w:r w:rsidRPr="007E2428">
        <w:rPr>
          <w:rFonts w:cs="Arial"/>
        </w:rPr>
        <w:tab/>
        <w:t>všechny členské státy EU od července 2013 (včetně Chorvatska)</w:t>
      </w:r>
    </w:p>
    <w:p w14:paraId="73489130" w14:textId="77777777" w:rsidR="00815070" w:rsidRPr="007E2428" w:rsidRDefault="00815070" w:rsidP="00815070">
      <w:pPr>
        <w:tabs>
          <w:tab w:val="left" w:pos="2552"/>
        </w:tabs>
        <w:spacing w:after="0" w:line="24" w:lineRule="atLeast"/>
        <w:contextualSpacing/>
        <w:jc w:val="both"/>
        <w:rPr>
          <w:rFonts w:cs="Arial"/>
        </w:rPr>
      </w:pPr>
      <w:proofErr w:type="spellStart"/>
      <w:r w:rsidRPr="007E2428">
        <w:rPr>
          <w:rFonts w:cs="Arial"/>
        </w:rPr>
        <w:t>Eurostat</w:t>
      </w:r>
      <w:proofErr w:type="spellEnd"/>
      <w:r w:rsidRPr="007E2428">
        <w:rPr>
          <w:rFonts w:cs="Arial"/>
        </w:rPr>
        <w:tab/>
        <w:t>Evropský statistický úřad</w:t>
      </w:r>
    </w:p>
    <w:p w14:paraId="41F6D054"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FTE</w:t>
      </w:r>
      <w:r w:rsidRPr="007E2428">
        <w:rPr>
          <w:rFonts w:cs="Arial"/>
        </w:rPr>
        <w:tab/>
        <w:t xml:space="preserve">Full Time </w:t>
      </w:r>
      <w:proofErr w:type="spellStart"/>
      <w:r w:rsidRPr="007E2428">
        <w:rPr>
          <w:rFonts w:cs="Arial"/>
        </w:rPr>
        <w:t>Equivalent</w:t>
      </w:r>
      <w:proofErr w:type="spellEnd"/>
    </w:p>
    <w:p w14:paraId="34A303F4"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 xml:space="preserve">GA ČR </w:t>
      </w:r>
      <w:r w:rsidRPr="007E2428">
        <w:rPr>
          <w:rFonts w:cs="Arial"/>
        </w:rPr>
        <w:tab/>
        <w:t>Grantová agentura České republiky</w:t>
      </w:r>
    </w:p>
    <w:p w14:paraId="5D67A592" w14:textId="154E79A1" w:rsidR="00014B58" w:rsidRDefault="00014B58" w:rsidP="00815070">
      <w:pPr>
        <w:tabs>
          <w:tab w:val="left" w:pos="2552"/>
        </w:tabs>
        <w:spacing w:after="0" w:line="24" w:lineRule="atLeast"/>
        <w:contextualSpacing/>
        <w:jc w:val="both"/>
        <w:rPr>
          <w:rFonts w:cs="Arial"/>
        </w:rPr>
      </w:pPr>
      <w:r>
        <w:rPr>
          <w:rFonts w:cs="Arial"/>
        </w:rPr>
        <w:t>GBARD</w:t>
      </w:r>
      <w:r>
        <w:rPr>
          <w:rFonts w:cs="Arial"/>
        </w:rPr>
        <w:tab/>
        <w:t>Státní rozpočtové výdaje na výzkum a vývoj</w:t>
      </w:r>
    </w:p>
    <w:p w14:paraId="6CDB6E85" w14:textId="65D5FD6A" w:rsidR="00815070" w:rsidRPr="007E2428" w:rsidRDefault="00815070" w:rsidP="00815070">
      <w:pPr>
        <w:tabs>
          <w:tab w:val="left" w:pos="2552"/>
        </w:tabs>
        <w:spacing w:after="0" w:line="24" w:lineRule="atLeast"/>
        <w:contextualSpacing/>
        <w:jc w:val="both"/>
        <w:rPr>
          <w:rFonts w:cs="Arial"/>
        </w:rPr>
      </w:pPr>
      <w:r w:rsidRPr="007E2428">
        <w:rPr>
          <w:rFonts w:cs="Arial"/>
        </w:rPr>
        <w:t>GEP</w:t>
      </w:r>
      <w:r w:rsidRPr="007E2428">
        <w:rPr>
          <w:rFonts w:cs="Arial"/>
        </w:rPr>
        <w:tab/>
        <w:t>Plán genderové rovnosti</w:t>
      </w:r>
    </w:p>
    <w:p w14:paraId="392BDE13"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GERD</w:t>
      </w:r>
      <w:r w:rsidRPr="007E2428">
        <w:rPr>
          <w:rFonts w:cs="Arial"/>
        </w:rPr>
        <w:tab/>
        <w:t xml:space="preserve">Gross </w:t>
      </w:r>
      <w:proofErr w:type="spellStart"/>
      <w:r w:rsidRPr="007E2428">
        <w:rPr>
          <w:rFonts w:cs="Arial"/>
        </w:rPr>
        <w:t>Expenditure</w:t>
      </w:r>
      <w:proofErr w:type="spellEnd"/>
      <w:r w:rsidRPr="007E2428">
        <w:rPr>
          <w:rFonts w:cs="Arial"/>
        </w:rPr>
        <w:t xml:space="preserve"> on R&amp;D – celkové (hrubé) výdaje na </w:t>
      </w:r>
      <w:proofErr w:type="spellStart"/>
      <w:r w:rsidRPr="007E2428">
        <w:rPr>
          <w:rFonts w:cs="Arial"/>
        </w:rPr>
        <w:t>VaV</w:t>
      </w:r>
      <w:proofErr w:type="spellEnd"/>
    </w:p>
    <w:p w14:paraId="62F35F2F" w14:textId="72D96E96" w:rsidR="00815070" w:rsidRPr="007E2428" w:rsidRDefault="00815070" w:rsidP="00815070">
      <w:pPr>
        <w:tabs>
          <w:tab w:val="left" w:pos="2552"/>
        </w:tabs>
        <w:spacing w:after="0" w:line="24" w:lineRule="atLeast"/>
        <w:contextualSpacing/>
        <w:jc w:val="both"/>
        <w:rPr>
          <w:rFonts w:cs="Arial"/>
        </w:rPr>
      </w:pPr>
      <w:r w:rsidRPr="007E2428">
        <w:rPr>
          <w:rFonts w:cs="Arial"/>
        </w:rPr>
        <w:t>GFŘ</w:t>
      </w:r>
      <w:r w:rsidRPr="007E2428">
        <w:rPr>
          <w:rFonts w:cs="Arial"/>
        </w:rPr>
        <w:tab/>
        <w:t>Generální finanční ředitelství</w:t>
      </w:r>
    </w:p>
    <w:p w14:paraId="2D977793"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GII</w:t>
      </w:r>
      <w:r w:rsidRPr="007E2428">
        <w:rPr>
          <w:rFonts w:cs="Arial"/>
        </w:rPr>
        <w:tab/>
      </w:r>
      <w:proofErr w:type="spellStart"/>
      <w:r w:rsidRPr="007E2428">
        <w:rPr>
          <w:rFonts w:cs="Arial"/>
        </w:rPr>
        <w:t>Global</w:t>
      </w:r>
      <w:proofErr w:type="spellEnd"/>
      <w:r w:rsidRPr="007E2428">
        <w:rPr>
          <w:rFonts w:cs="Arial"/>
        </w:rPr>
        <w:t xml:space="preserve"> Innovation Index</w:t>
      </w:r>
    </w:p>
    <w:p w14:paraId="26D312A7" w14:textId="77777777" w:rsidR="00815070" w:rsidRPr="007E2428" w:rsidRDefault="00815070" w:rsidP="00815070">
      <w:pPr>
        <w:tabs>
          <w:tab w:val="left" w:pos="2552"/>
        </w:tabs>
        <w:spacing w:after="0" w:line="24" w:lineRule="atLeast"/>
        <w:ind w:left="2552" w:hanging="2552"/>
        <w:contextualSpacing/>
        <w:rPr>
          <w:rFonts w:cs="Arial"/>
        </w:rPr>
      </w:pPr>
      <w:r w:rsidRPr="007E2428">
        <w:rPr>
          <w:rFonts w:cs="Arial"/>
        </w:rPr>
        <w:t>GOVERD</w:t>
      </w:r>
      <w:r w:rsidRPr="007E2428">
        <w:rPr>
          <w:rFonts w:cs="Arial"/>
        </w:rPr>
        <w:tab/>
      </w:r>
      <w:proofErr w:type="spellStart"/>
      <w:r w:rsidRPr="007E2428">
        <w:rPr>
          <w:rFonts w:cs="Arial"/>
        </w:rPr>
        <w:t>Government</w:t>
      </w:r>
      <w:proofErr w:type="spellEnd"/>
      <w:r w:rsidRPr="007E2428">
        <w:rPr>
          <w:rFonts w:cs="Arial"/>
        </w:rPr>
        <w:t xml:space="preserve"> </w:t>
      </w:r>
      <w:proofErr w:type="spellStart"/>
      <w:r w:rsidRPr="007E2428">
        <w:rPr>
          <w:rFonts w:cs="Arial"/>
        </w:rPr>
        <w:t>Expenditure</w:t>
      </w:r>
      <w:proofErr w:type="spellEnd"/>
      <w:r w:rsidRPr="007E2428">
        <w:rPr>
          <w:rFonts w:cs="Arial"/>
        </w:rPr>
        <w:t xml:space="preserve"> on R&amp;D – výdaje na </w:t>
      </w:r>
      <w:proofErr w:type="spellStart"/>
      <w:r w:rsidRPr="007E2428">
        <w:rPr>
          <w:rFonts w:cs="Arial"/>
        </w:rPr>
        <w:t>VaV</w:t>
      </w:r>
      <w:proofErr w:type="spellEnd"/>
      <w:r w:rsidRPr="007E2428">
        <w:rPr>
          <w:rFonts w:cs="Arial"/>
        </w:rPr>
        <w:t> ve vládním sektoru</w:t>
      </w:r>
    </w:p>
    <w:p w14:paraId="0A7F58C1" w14:textId="0F51D9B6" w:rsidR="00815070" w:rsidRPr="007E2428" w:rsidRDefault="00815070" w:rsidP="00815070">
      <w:pPr>
        <w:tabs>
          <w:tab w:val="left" w:pos="2552"/>
        </w:tabs>
        <w:spacing w:after="0" w:line="24" w:lineRule="atLeast"/>
        <w:contextualSpacing/>
        <w:jc w:val="both"/>
        <w:rPr>
          <w:rFonts w:cs="Arial"/>
        </w:rPr>
      </w:pPr>
      <w:r w:rsidRPr="007E2428">
        <w:rPr>
          <w:rFonts w:cs="Arial"/>
        </w:rPr>
        <w:t>H2020</w:t>
      </w:r>
      <w:r w:rsidRPr="007E2428">
        <w:rPr>
          <w:rFonts w:cs="Arial"/>
        </w:rPr>
        <w:tab/>
        <w:t xml:space="preserve">Rámcový program EU pro výzkum a inovace Horizont 2020 </w:t>
      </w:r>
    </w:p>
    <w:p w14:paraId="527C8D8C" w14:textId="2D66AAB7" w:rsidR="00815070" w:rsidRPr="007E2428" w:rsidRDefault="00815070" w:rsidP="00815070">
      <w:pPr>
        <w:tabs>
          <w:tab w:val="left" w:pos="2552"/>
        </w:tabs>
        <w:spacing w:after="0" w:line="24" w:lineRule="atLeast"/>
        <w:contextualSpacing/>
        <w:jc w:val="both"/>
        <w:rPr>
          <w:rFonts w:cs="Arial"/>
        </w:rPr>
      </w:pPr>
      <w:r w:rsidRPr="007E2428">
        <w:rPr>
          <w:rFonts w:cs="Arial"/>
        </w:rPr>
        <w:t>HC</w:t>
      </w:r>
      <w:r w:rsidRPr="007E2428">
        <w:rPr>
          <w:rFonts w:cs="Arial"/>
        </w:rPr>
        <w:tab/>
      </w:r>
      <w:proofErr w:type="spellStart"/>
      <w:r w:rsidRPr="007E2428">
        <w:rPr>
          <w:rFonts w:cs="Arial"/>
        </w:rPr>
        <w:t>Headcount</w:t>
      </w:r>
      <w:proofErr w:type="spellEnd"/>
    </w:p>
    <w:p w14:paraId="0F4F1EDC"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HDP</w:t>
      </w:r>
      <w:r w:rsidRPr="007E2428">
        <w:rPr>
          <w:rFonts w:cs="Arial"/>
        </w:rPr>
        <w:tab/>
        <w:t>hrubý domácí produkt</w:t>
      </w:r>
    </w:p>
    <w:p w14:paraId="695FA015" w14:textId="624E65D6" w:rsidR="00815070" w:rsidRPr="007E2428" w:rsidRDefault="00815070" w:rsidP="00815070">
      <w:pPr>
        <w:tabs>
          <w:tab w:val="left" w:pos="2552"/>
        </w:tabs>
        <w:spacing w:after="0" w:line="24" w:lineRule="atLeast"/>
        <w:contextualSpacing/>
        <w:jc w:val="both"/>
        <w:rPr>
          <w:rFonts w:cs="Arial"/>
        </w:rPr>
      </w:pPr>
      <w:r w:rsidRPr="007E2428">
        <w:rPr>
          <w:rFonts w:cs="Arial"/>
        </w:rPr>
        <w:t>ICT</w:t>
      </w:r>
      <w:r w:rsidRPr="007E2428">
        <w:rPr>
          <w:rFonts w:cs="Arial"/>
        </w:rPr>
        <w:tab/>
        <w:t>informační a komunikační technologie</w:t>
      </w:r>
    </w:p>
    <w:p w14:paraId="148D2E62" w14:textId="4B045652" w:rsidR="00815070" w:rsidRPr="007E2428" w:rsidRDefault="00815070" w:rsidP="00815070">
      <w:pPr>
        <w:tabs>
          <w:tab w:val="left" w:pos="2552"/>
        </w:tabs>
        <w:spacing w:after="0" w:line="24" w:lineRule="atLeast"/>
        <w:contextualSpacing/>
        <w:jc w:val="both"/>
        <w:rPr>
          <w:rFonts w:cs="Arial"/>
        </w:rPr>
      </w:pPr>
      <w:r w:rsidRPr="007E2428">
        <w:rPr>
          <w:rFonts w:cs="Arial"/>
        </w:rPr>
        <w:t>INFRA</w:t>
      </w:r>
      <w:r w:rsidRPr="007E2428">
        <w:rPr>
          <w:rFonts w:cs="Arial"/>
        </w:rPr>
        <w:tab/>
        <w:t>Projekty velkých</w:t>
      </w:r>
      <w:r w:rsidR="004F5847">
        <w:rPr>
          <w:rFonts w:cs="Arial"/>
        </w:rPr>
        <w:t xml:space="preserve"> výzkumných</w:t>
      </w:r>
      <w:r w:rsidRPr="007E2428">
        <w:rPr>
          <w:rFonts w:cs="Arial"/>
        </w:rPr>
        <w:t xml:space="preserve"> infrastruktur</w:t>
      </w:r>
    </w:p>
    <w:p w14:paraId="34222A56" w14:textId="369FEA19" w:rsidR="00815070" w:rsidRPr="007E2428" w:rsidRDefault="00815070" w:rsidP="00815070">
      <w:pPr>
        <w:tabs>
          <w:tab w:val="left" w:pos="2552"/>
        </w:tabs>
        <w:spacing w:after="0" w:line="24" w:lineRule="atLeast"/>
        <w:contextualSpacing/>
        <w:jc w:val="both"/>
        <w:rPr>
          <w:rFonts w:cs="Arial"/>
        </w:rPr>
      </w:pPr>
      <w:r w:rsidRPr="007E2428">
        <w:rPr>
          <w:rFonts w:cs="Arial"/>
        </w:rPr>
        <w:t>IOI</w:t>
      </w:r>
      <w:r w:rsidRPr="007E2428">
        <w:rPr>
          <w:rFonts w:cs="Arial"/>
        </w:rPr>
        <w:tab/>
      </w:r>
      <w:proofErr w:type="spellStart"/>
      <w:r w:rsidRPr="007E2428">
        <w:rPr>
          <w:rFonts w:cs="Arial"/>
        </w:rPr>
        <w:t>The</w:t>
      </w:r>
      <w:proofErr w:type="spellEnd"/>
      <w:r w:rsidRPr="007E2428">
        <w:rPr>
          <w:rFonts w:cs="Arial"/>
        </w:rPr>
        <w:t xml:space="preserve"> Innovation Output </w:t>
      </w:r>
      <w:proofErr w:type="spellStart"/>
      <w:r w:rsidRPr="007E2428">
        <w:rPr>
          <w:rFonts w:cs="Arial"/>
        </w:rPr>
        <w:t>Indicator</w:t>
      </w:r>
      <w:proofErr w:type="spellEnd"/>
    </w:p>
    <w:p w14:paraId="1DBEF14C" w14:textId="675F8C64" w:rsidR="00815070" w:rsidRPr="007E2428" w:rsidRDefault="00815070" w:rsidP="00815070">
      <w:pPr>
        <w:tabs>
          <w:tab w:val="left" w:pos="2552"/>
        </w:tabs>
        <w:spacing w:after="0" w:line="24" w:lineRule="atLeast"/>
        <w:contextualSpacing/>
        <w:jc w:val="both"/>
        <w:rPr>
          <w:rFonts w:cs="Arial"/>
        </w:rPr>
      </w:pPr>
      <w:r w:rsidRPr="007E2428">
        <w:rPr>
          <w:rFonts w:cs="Arial"/>
        </w:rPr>
        <w:t xml:space="preserve">IS </w:t>
      </w:r>
      <w:proofErr w:type="spellStart"/>
      <w:r w:rsidRPr="007E2428">
        <w:rPr>
          <w:rFonts w:cs="Arial"/>
        </w:rPr>
        <w:t>VaVaI</w:t>
      </w:r>
      <w:proofErr w:type="spellEnd"/>
      <w:r w:rsidRPr="007E2428">
        <w:rPr>
          <w:rFonts w:cs="Arial"/>
        </w:rPr>
        <w:tab/>
        <w:t>Informační systém výzkumu, experimentálního vývoje a inovací</w:t>
      </w:r>
    </w:p>
    <w:p w14:paraId="413BB219" w14:textId="7DAC0C4A" w:rsidR="00815070" w:rsidRPr="007E2428" w:rsidRDefault="00815070" w:rsidP="00815070">
      <w:pPr>
        <w:tabs>
          <w:tab w:val="left" w:pos="2552"/>
        </w:tabs>
        <w:spacing w:after="0" w:line="24" w:lineRule="atLeast"/>
        <w:contextualSpacing/>
        <w:jc w:val="both"/>
        <w:rPr>
          <w:rFonts w:cs="Arial"/>
        </w:rPr>
      </w:pPr>
      <w:r w:rsidRPr="007E2428">
        <w:rPr>
          <w:rFonts w:cs="Arial"/>
        </w:rPr>
        <w:t>JRC</w:t>
      </w:r>
      <w:r w:rsidRPr="007E2428">
        <w:rPr>
          <w:rFonts w:cs="Arial"/>
        </w:rPr>
        <w:tab/>
        <w:t xml:space="preserve">Společné výzkumné středisko (Joint </w:t>
      </w:r>
      <w:proofErr w:type="spellStart"/>
      <w:r w:rsidRPr="007E2428">
        <w:rPr>
          <w:rFonts w:cs="Arial"/>
        </w:rPr>
        <w:t>Research</w:t>
      </w:r>
      <w:proofErr w:type="spellEnd"/>
      <w:r w:rsidRPr="007E2428">
        <w:rPr>
          <w:rFonts w:cs="Arial"/>
        </w:rPr>
        <w:t xml:space="preserve"> Centre)</w:t>
      </w:r>
    </w:p>
    <w:p w14:paraId="7DA5F9B3"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MD</w:t>
      </w:r>
      <w:r w:rsidRPr="007E2428">
        <w:rPr>
          <w:rFonts w:cs="Arial"/>
        </w:rPr>
        <w:tab/>
        <w:t>Ministerstvo dopravy</w:t>
      </w:r>
    </w:p>
    <w:p w14:paraId="636935F2" w14:textId="21A366A3" w:rsidR="00815070" w:rsidRPr="007E2428" w:rsidRDefault="00815070" w:rsidP="00815070">
      <w:pPr>
        <w:tabs>
          <w:tab w:val="left" w:pos="2552"/>
        </w:tabs>
        <w:spacing w:after="0" w:line="24" w:lineRule="atLeast"/>
        <w:ind w:left="2552" w:hanging="2552"/>
        <w:contextualSpacing/>
        <w:rPr>
          <w:rFonts w:cs="Arial"/>
        </w:rPr>
      </w:pPr>
      <w:r w:rsidRPr="007E2428">
        <w:rPr>
          <w:rFonts w:cs="Arial"/>
        </w:rPr>
        <w:lastRenderedPageBreak/>
        <w:t xml:space="preserve">Metodika 2017+ </w:t>
      </w:r>
      <w:r w:rsidRPr="007E2428">
        <w:rPr>
          <w:rFonts w:cs="Arial"/>
        </w:rPr>
        <w:tab/>
        <w:t>Metodika hodnocení výzkumných organizací a programů účelové podpory výzkumu, vývoje a inovací</w:t>
      </w:r>
      <w:r w:rsidRPr="007E2428">
        <w:t xml:space="preserve"> </w:t>
      </w:r>
      <w:r w:rsidRPr="007E2428">
        <w:rPr>
          <w:rFonts w:cs="Arial"/>
        </w:rPr>
        <w:t>schválená</w:t>
      </w:r>
      <w:r w:rsidRPr="007E2428">
        <w:t xml:space="preserve"> </w:t>
      </w:r>
      <w:r w:rsidRPr="007E2428">
        <w:rPr>
          <w:rFonts w:cs="Arial"/>
        </w:rPr>
        <w:t>usnesením vlády ze</w:t>
      </w:r>
      <w:r w:rsidR="00703AD4">
        <w:rPr>
          <w:rFonts w:cs="Arial"/>
        </w:rPr>
        <w:t> </w:t>
      </w:r>
      <w:r w:rsidRPr="007E2428">
        <w:rPr>
          <w:rFonts w:cs="Arial"/>
        </w:rPr>
        <w:t>dne</w:t>
      </w:r>
      <w:r w:rsidRPr="007E2428">
        <w:rPr>
          <w:rFonts w:eastAsia="Times New Roman" w:cs="Arial"/>
          <w:lang w:eastAsia="cs-CZ"/>
        </w:rPr>
        <w:t> </w:t>
      </w:r>
      <w:r w:rsidRPr="007E2428">
        <w:rPr>
          <w:rFonts w:cs="Arial"/>
        </w:rPr>
        <w:t>8. 2. 2017 č. 107</w:t>
      </w:r>
    </w:p>
    <w:p w14:paraId="564770BC" w14:textId="7D7D0003" w:rsidR="00815070" w:rsidRPr="007E2428" w:rsidRDefault="00815070" w:rsidP="00815070">
      <w:pPr>
        <w:tabs>
          <w:tab w:val="left" w:pos="2552"/>
        </w:tabs>
        <w:spacing w:after="0" w:line="24" w:lineRule="atLeast"/>
        <w:ind w:left="2552" w:hanging="2552"/>
        <w:contextualSpacing/>
        <w:jc w:val="both"/>
        <w:rPr>
          <w:rFonts w:cs="Arial"/>
        </w:rPr>
      </w:pPr>
      <w:r w:rsidRPr="007E2428">
        <w:rPr>
          <w:rFonts w:cs="Arial"/>
        </w:rPr>
        <w:t>MEZINAR</w:t>
      </w:r>
      <w:r w:rsidRPr="007E2428">
        <w:rPr>
          <w:rFonts w:cs="Arial"/>
        </w:rPr>
        <w:tab/>
        <w:t>Mezinárodní spolupráce ČR ve výzkumu a vývoji realizovaná na základě mezinárodních smluv</w:t>
      </w:r>
    </w:p>
    <w:p w14:paraId="0DBCC4C0"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MF</w:t>
      </w:r>
      <w:r w:rsidRPr="007E2428">
        <w:rPr>
          <w:rFonts w:cs="Arial"/>
        </w:rPr>
        <w:tab/>
        <w:t>Ministerstvo financí</w:t>
      </w:r>
    </w:p>
    <w:p w14:paraId="1DD4B52C"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MK</w:t>
      </w:r>
      <w:r w:rsidRPr="007E2428">
        <w:rPr>
          <w:rFonts w:cs="Arial"/>
        </w:rPr>
        <w:tab/>
        <w:t>Ministerstvo kultury</w:t>
      </w:r>
    </w:p>
    <w:p w14:paraId="04370E0A"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MMR</w:t>
      </w:r>
      <w:r w:rsidRPr="007E2428">
        <w:rPr>
          <w:rFonts w:cs="Arial"/>
        </w:rPr>
        <w:tab/>
        <w:t>Ministerstvo pro místní rozvoj</w:t>
      </w:r>
    </w:p>
    <w:p w14:paraId="4F2239D3"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MO</w:t>
      </w:r>
      <w:r w:rsidRPr="007E2428">
        <w:rPr>
          <w:rFonts w:cs="Arial"/>
        </w:rPr>
        <w:tab/>
        <w:t>Ministerstvo obrany</w:t>
      </w:r>
    </w:p>
    <w:p w14:paraId="6F112339" w14:textId="236A1BB6" w:rsidR="00815070" w:rsidRPr="007E2428" w:rsidRDefault="00815070" w:rsidP="00815070">
      <w:pPr>
        <w:tabs>
          <w:tab w:val="left" w:pos="2552"/>
        </w:tabs>
        <w:spacing w:after="0" w:line="24" w:lineRule="atLeast"/>
        <w:contextualSpacing/>
        <w:jc w:val="both"/>
        <w:rPr>
          <w:rFonts w:cs="Arial"/>
        </w:rPr>
      </w:pPr>
      <w:r w:rsidRPr="007E2428">
        <w:rPr>
          <w:rFonts w:cs="Arial"/>
        </w:rPr>
        <w:t>MPO</w:t>
      </w:r>
      <w:r w:rsidRPr="007E2428">
        <w:rPr>
          <w:rFonts w:cs="Arial"/>
        </w:rPr>
        <w:tab/>
        <w:t>Ministerstvo průmyslu a obchodu</w:t>
      </w:r>
    </w:p>
    <w:p w14:paraId="7F813E29"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MPSV</w:t>
      </w:r>
      <w:r w:rsidRPr="007E2428">
        <w:rPr>
          <w:rFonts w:cs="Arial"/>
        </w:rPr>
        <w:tab/>
        <w:t>Ministerstvo práce a sociálních věcí</w:t>
      </w:r>
    </w:p>
    <w:p w14:paraId="1C3A9FDC" w14:textId="1DB4AF70" w:rsidR="00815070" w:rsidRPr="007E2428" w:rsidRDefault="00815070" w:rsidP="00815070">
      <w:pPr>
        <w:tabs>
          <w:tab w:val="left" w:pos="2552"/>
        </w:tabs>
        <w:spacing w:after="0" w:line="24" w:lineRule="atLeast"/>
        <w:contextualSpacing/>
        <w:jc w:val="both"/>
        <w:rPr>
          <w:rFonts w:cs="Arial"/>
        </w:rPr>
      </w:pPr>
      <w:r w:rsidRPr="007E2428">
        <w:rPr>
          <w:rFonts w:cs="Arial"/>
        </w:rPr>
        <w:t>MS</w:t>
      </w:r>
      <w:r w:rsidRPr="007E2428">
        <w:rPr>
          <w:rFonts w:cs="Arial"/>
        </w:rPr>
        <w:tab/>
        <w:t>Ministerstvo spravedlnosti</w:t>
      </w:r>
    </w:p>
    <w:p w14:paraId="1013833B" w14:textId="51D647C6" w:rsidR="00815070" w:rsidRPr="007E2428" w:rsidRDefault="00815070" w:rsidP="00815070">
      <w:pPr>
        <w:tabs>
          <w:tab w:val="left" w:pos="2552"/>
        </w:tabs>
        <w:spacing w:after="0" w:line="24" w:lineRule="atLeast"/>
        <w:ind w:left="2552" w:hanging="2552"/>
        <w:contextualSpacing/>
        <w:rPr>
          <w:rFonts w:cs="Arial"/>
        </w:rPr>
      </w:pPr>
      <w:r w:rsidRPr="007E2428">
        <w:rPr>
          <w:rFonts w:cs="Arial"/>
        </w:rPr>
        <w:t>MS2014+</w:t>
      </w:r>
      <w:r w:rsidRPr="007E2428">
        <w:rPr>
          <w:rFonts w:cs="Arial"/>
        </w:rPr>
        <w:tab/>
        <w:t>Monitorovací systém evropských strukturálních a investičních fondů (ESIF) pro programové období 2014–2020</w:t>
      </w:r>
    </w:p>
    <w:p w14:paraId="579E2CC6"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MSC2007</w:t>
      </w:r>
      <w:r w:rsidRPr="007E2428">
        <w:rPr>
          <w:rFonts w:cs="Arial"/>
        </w:rPr>
        <w:tab/>
        <w:t>Monitorovací systém Strukturálních fondů</w:t>
      </w:r>
    </w:p>
    <w:p w14:paraId="6A288690"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MSCA</w:t>
      </w:r>
      <w:r w:rsidRPr="007E2428">
        <w:rPr>
          <w:rFonts w:cs="Arial"/>
        </w:rPr>
        <w:tab/>
        <w:t xml:space="preserve">Akce Marie </w:t>
      </w:r>
      <w:proofErr w:type="spellStart"/>
      <w:r w:rsidRPr="007E2428">
        <w:rPr>
          <w:rFonts w:cs="Arial"/>
        </w:rPr>
        <w:t>Sklodowska</w:t>
      </w:r>
      <w:proofErr w:type="spellEnd"/>
      <w:r w:rsidRPr="007E2428">
        <w:rPr>
          <w:rFonts w:cs="Arial"/>
        </w:rPr>
        <w:t>-Curie</w:t>
      </w:r>
    </w:p>
    <w:p w14:paraId="2FBF2BF6" w14:textId="6AA3B306" w:rsidR="00815070" w:rsidRPr="007E2428" w:rsidRDefault="00815070" w:rsidP="00815070">
      <w:pPr>
        <w:tabs>
          <w:tab w:val="left" w:pos="2552"/>
        </w:tabs>
        <w:spacing w:after="0" w:line="24" w:lineRule="atLeast"/>
        <w:contextualSpacing/>
        <w:jc w:val="both"/>
        <w:rPr>
          <w:rFonts w:cs="Arial"/>
        </w:rPr>
      </w:pPr>
      <w:r w:rsidRPr="007E2428">
        <w:rPr>
          <w:rFonts w:cs="Arial"/>
        </w:rPr>
        <w:t>MSP</w:t>
      </w:r>
      <w:r w:rsidRPr="007E2428">
        <w:rPr>
          <w:rFonts w:cs="Arial"/>
        </w:rPr>
        <w:tab/>
        <w:t>malý a střední podnik</w:t>
      </w:r>
    </w:p>
    <w:p w14:paraId="54065A8D" w14:textId="0AAB0532" w:rsidR="00815070" w:rsidRPr="007E2428" w:rsidRDefault="00815070" w:rsidP="00815070">
      <w:pPr>
        <w:tabs>
          <w:tab w:val="left" w:pos="2552"/>
        </w:tabs>
        <w:spacing w:after="0" w:line="24" w:lineRule="atLeast"/>
        <w:contextualSpacing/>
        <w:jc w:val="both"/>
        <w:rPr>
          <w:rFonts w:cs="Arial"/>
        </w:rPr>
      </w:pPr>
      <w:r w:rsidRPr="007E2428">
        <w:rPr>
          <w:rFonts w:cs="Arial"/>
        </w:rPr>
        <w:t>MSTI</w:t>
      </w:r>
      <w:r w:rsidRPr="007E2428">
        <w:rPr>
          <w:rFonts w:cs="Arial"/>
        </w:rPr>
        <w:tab/>
      </w:r>
      <w:proofErr w:type="spellStart"/>
      <w:r w:rsidRPr="007E2428">
        <w:rPr>
          <w:rFonts w:cs="Arial"/>
        </w:rPr>
        <w:t>Main</w:t>
      </w:r>
      <w:proofErr w:type="spellEnd"/>
      <w:r w:rsidRPr="007E2428">
        <w:rPr>
          <w:rFonts w:cs="Arial"/>
        </w:rPr>
        <w:t xml:space="preserve"> Science and Technology </w:t>
      </w:r>
      <w:proofErr w:type="spellStart"/>
      <w:r w:rsidRPr="007E2428">
        <w:rPr>
          <w:rFonts w:cs="Arial"/>
        </w:rPr>
        <w:t>Indicators</w:t>
      </w:r>
      <w:proofErr w:type="spellEnd"/>
      <w:r w:rsidRPr="007E2428">
        <w:rPr>
          <w:rFonts w:cs="Arial"/>
        </w:rPr>
        <w:t>, OECD</w:t>
      </w:r>
    </w:p>
    <w:p w14:paraId="12CCB96E"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 xml:space="preserve">MŠMT </w:t>
      </w:r>
      <w:r w:rsidRPr="007E2428">
        <w:rPr>
          <w:rFonts w:cs="Arial"/>
        </w:rPr>
        <w:tab/>
        <w:t>Ministerstvo školství, mládeže a tělovýchovy</w:t>
      </w:r>
    </w:p>
    <w:p w14:paraId="52F25B25"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MV</w:t>
      </w:r>
      <w:r w:rsidRPr="007E2428">
        <w:rPr>
          <w:rFonts w:cs="Arial"/>
        </w:rPr>
        <w:tab/>
        <w:t>Ministerstvo vnitra</w:t>
      </w:r>
    </w:p>
    <w:p w14:paraId="1FC0CE5F" w14:textId="77777777" w:rsidR="00815070" w:rsidRPr="007E2428" w:rsidRDefault="00815070" w:rsidP="00815070">
      <w:pPr>
        <w:tabs>
          <w:tab w:val="left" w:pos="2552"/>
        </w:tabs>
        <w:spacing w:after="0" w:line="24" w:lineRule="atLeast"/>
        <w:contextualSpacing/>
        <w:jc w:val="both"/>
        <w:rPr>
          <w:rFonts w:cs="Arial"/>
        </w:rPr>
      </w:pPr>
      <w:proofErr w:type="spellStart"/>
      <w:r w:rsidRPr="007E2428">
        <w:rPr>
          <w:rFonts w:cs="Arial"/>
        </w:rPr>
        <w:t>MZd</w:t>
      </w:r>
      <w:proofErr w:type="spellEnd"/>
      <w:r w:rsidRPr="007E2428">
        <w:rPr>
          <w:rFonts w:cs="Arial"/>
        </w:rPr>
        <w:tab/>
        <w:t>Ministerstvo zdravotnictví</w:t>
      </w:r>
    </w:p>
    <w:p w14:paraId="42B9D8A5" w14:textId="77777777" w:rsidR="00815070" w:rsidRPr="007E2428" w:rsidRDefault="00815070" w:rsidP="00815070">
      <w:pPr>
        <w:tabs>
          <w:tab w:val="left" w:pos="2552"/>
        </w:tabs>
        <w:spacing w:after="0" w:line="24" w:lineRule="atLeast"/>
        <w:contextualSpacing/>
        <w:jc w:val="both"/>
        <w:rPr>
          <w:rFonts w:cs="Arial"/>
        </w:rPr>
      </w:pPr>
      <w:proofErr w:type="spellStart"/>
      <w:r w:rsidRPr="007E2428">
        <w:rPr>
          <w:rFonts w:cs="Arial"/>
        </w:rPr>
        <w:t>MZe</w:t>
      </w:r>
      <w:proofErr w:type="spellEnd"/>
      <w:r w:rsidRPr="007E2428">
        <w:rPr>
          <w:rFonts w:cs="Arial"/>
        </w:rPr>
        <w:tab/>
        <w:t>Ministerstvo zemědělství</w:t>
      </w:r>
    </w:p>
    <w:p w14:paraId="6EB90C61"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MZV</w:t>
      </w:r>
      <w:r w:rsidRPr="007E2428">
        <w:rPr>
          <w:rFonts w:cs="Arial"/>
        </w:rPr>
        <w:tab/>
        <w:t>Ministerstvo zahraničních věcí</w:t>
      </w:r>
    </w:p>
    <w:p w14:paraId="4C1CC84B"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MŽP</w:t>
      </w:r>
      <w:r w:rsidRPr="007E2428">
        <w:rPr>
          <w:rFonts w:cs="Arial"/>
        </w:rPr>
        <w:tab/>
        <w:t>Ministerstvo životního prostředí</w:t>
      </w:r>
    </w:p>
    <w:p w14:paraId="073CC42F" w14:textId="77777777" w:rsidR="00815070" w:rsidRDefault="00815070" w:rsidP="00815070">
      <w:pPr>
        <w:tabs>
          <w:tab w:val="left" w:pos="2552"/>
        </w:tabs>
        <w:spacing w:after="0" w:line="24" w:lineRule="atLeast"/>
        <w:contextualSpacing/>
        <w:jc w:val="both"/>
        <w:rPr>
          <w:rFonts w:cs="Arial"/>
        </w:rPr>
      </w:pPr>
      <w:r w:rsidRPr="007E2428">
        <w:rPr>
          <w:rFonts w:cs="Arial"/>
        </w:rPr>
        <w:t>NCI</w:t>
      </w:r>
      <w:r w:rsidRPr="007E2428">
        <w:rPr>
          <w:rFonts w:cs="Arial"/>
        </w:rPr>
        <w:tab/>
        <w:t>Normalizovaný citační index</w:t>
      </w:r>
    </w:p>
    <w:p w14:paraId="2A5166EF" w14:textId="7132E744" w:rsidR="00CC1DBA" w:rsidRPr="007E2428" w:rsidRDefault="00CC1DBA" w:rsidP="00815070">
      <w:pPr>
        <w:tabs>
          <w:tab w:val="left" w:pos="2552"/>
        </w:tabs>
        <w:spacing w:after="0" w:line="24" w:lineRule="atLeast"/>
        <w:contextualSpacing/>
        <w:jc w:val="both"/>
        <w:rPr>
          <w:rFonts w:cs="Arial"/>
        </w:rPr>
      </w:pPr>
      <w:r>
        <w:rPr>
          <w:rFonts w:cs="Arial"/>
        </w:rPr>
        <w:t>NCIP</w:t>
      </w:r>
      <w:r>
        <w:rPr>
          <w:rFonts w:cs="Arial"/>
        </w:rPr>
        <w:tab/>
        <w:t xml:space="preserve">Národní centrum pro informační podporu </w:t>
      </w:r>
      <w:proofErr w:type="spellStart"/>
      <w:r>
        <w:rPr>
          <w:rFonts w:cs="Arial"/>
        </w:rPr>
        <w:t>VaVaI</w:t>
      </w:r>
      <w:proofErr w:type="spellEnd"/>
    </w:p>
    <w:p w14:paraId="62220DB6" w14:textId="008F9A3A" w:rsidR="00560628" w:rsidRDefault="00560628" w:rsidP="00815070">
      <w:pPr>
        <w:tabs>
          <w:tab w:val="left" w:pos="2552"/>
        </w:tabs>
        <w:spacing w:after="0" w:line="24" w:lineRule="atLeast"/>
        <w:contextualSpacing/>
        <w:jc w:val="both"/>
        <w:rPr>
          <w:rFonts w:cs="Arial"/>
        </w:rPr>
      </w:pPr>
      <w:r>
        <w:rPr>
          <w:rFonts w:cs="Arial"/>
        </w:rPr>
        <w:t>NKC</w:t>
      </w:r>
      <w:r>
        <w:rPr>
          <w:rFonts w:cs="Arial"/>
        </w:rPr>
        <w:tab/>
        <w:t>Národní kontaktní centrum</w:t>
      </w:r>
    </w:p>
    <w:p w14:paraId="413EF7DF" w14:textId="454423E6" w:rsidR="00815070" w:rsidRPr="007E2428" w:rsidRDefault="00815070" w:rsidP="00815070">
      <w:pPr>
        <w:tabs>
          <w:tab w:val="left" w:pos="2552"/>
        </w:tabs>
        <w:spacing w:after="0" w:line="24" w:lineRule="atLeast"/>
        <w:contextualSpacing/>
        <w:jc w:val="both"/>
        <w:rPr>
          <w:rFonts w:cs="Arial"/>
        </w:rPr>
      </w:pPr>
      <w:r w:rsidRPr="007E2428">
        <w:rPr>
          <w:rFonts w:cs="Arial"/>
        </w:rPr>
        <w:t>NOO</w:t>
      </w:r>
      <w:r w:rsidRPr="007E2428">
        <w:rPr>
          <w:rFonts w:cs="Arial"/>
        </w:rPr>
        <w:tab/>
        <w:t>Nástroj pro oživení a odolnost</w:t>
      </w:r>
    </w:p>
    <w:p w14:paraId="27B7F3B7"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 xml:space="preserve">NP </w:t>
      </w:r>
      <w:proofErr w:type="spellStart"/>
      <w:r w:rsidRPr="007E2428">
        <w:rPr>
          <w:rFonts w:cs="Arial"/>
        </w:rPr>
        <w:t>VaVaI</w:t>
      </w:r>
      <w:proofErr w:type="spellEnd"/>
      <w:r w:rsidRPr="007E2428">
        <w:rPr>
          <w:rFonts w:cs="Arial"/>
        </w:rPr>
        <w:tab/>
        <w:t xml:space="preserve">Národní politika výzkumu, vývoje a inovací </w:t>
      </w:r>
    </w:p>
    <w:p w14:paraId="570D74D1"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 xml:space="preserve">NP </w:t>
      </w:r>
      <w:proofErr w:type="spellStart"/>
      <w:r w:rsidRPr="007E2428">
        <w:rPr>
          <w:rFonts w:cs="Arial"/>
        </w:rPr>
        <w:t>VaVaI</w:t>
      </w:r>
      <w:proofErr w:type="spellEnd"/>
      <w:r w:rsidRPr="007E2428">
        <w:rPr>
          <w:rFonts w:cs="Arial"/>
        </w:rPr>
        <w:t xml:space="preserve"> 2021+</w:t>
      </w:r>
      <w:r w:rsidRPr="007E2428">
        <w:rPr>
          <w:rFonts w:cs="Arial"/>
        </w:rPr>
        <w:tab/>
        <w:t>Národní politika výzkumu, vývoje a inovací České republiky 2021+</w:t>
      </w:r>
    </w:p>
    <w:p w14:paraId="3A475EC0"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NPO</w:t>
      </w:r>
      <w:r w:rsidRPr="007E2428">
        <w:rPr>
          <w:rFonts w:cs="Arial"/>
        </w:rPr>
        <w:tab/>
        <w:t>Národní plán obnovy</w:t>
      </w:r>
    </w:p>
    <w:p w14:paraId="5F0ACA02" w14:textId="497FFA67" w:rsidR="00815070" w:rsidRPr="007E2428" w:rsidRDefault="00815070" w:rsidP="00373A42">
      <w:pPr>
        <w:tabs>
          <w:tab w:val="left" w:pos="2552"/>
        </w:tabs>
        <w:spacing w:after="0" w:line="24" w:lineRule="atLeast"/>
        <w:ind w:left="2552" w:hanging="2552"/>
        <w:contextualSpacing/>
        <w:jc w:val="both"/>
        <w:rPr>
          <w:rFonts w:cs="Arial"/>
        </w:rPr>
      </w:pPr>
      <w:r w:rsidRPr="007E2428">
        <w:rPr>
          <w:rFonts w:cs="Arial"/>
        </w:rPr>
        <w:t>NPOV</w:t>
      </w:r>
      <w:r w:rsidRPr="007E2428">
        <w:rPr>
          <w:rFonts w:cs="Arial"/>
        </w:rPr>
        <w:tab/>
        <w:t>Národní priority orientovaného výzkumu, experimentálního vývoje a</w:t>
      </w:r>
      <w:r w:rsidR="00703AD4">
        <w:rPr>
          <w:rFonts w:cs="Arial"/>
        </w:rPr>
        <w:t> </w:t>
      </w:r>
      <w:r w:rsidRPr="007E2428">
        <w:rPr>
          <w:rFonts w:cs="Arial"/>
        </w:rPr>
        <w:t>inovací</w:t>
      </w:r>
    </w:p>
    <w:p w14:paraId="3BF49BE6"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NPR</w:t>
      </w:r>
      <w:r w:rsidRPr="007E2428">
        <w:rPr>
          <w:rFonts w:cs="Arial"/>
        </w:rPr>
        <w:tab/>
        <w:t>Národní program reforem ČR</w:t>
      </w:r>
    </w:p>
    <w:p w14:paraId="320D92FC"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OECD</w:t>
      </w:r>
      <w:r w:rsidRPr="007E2428">
        <w:rPr>
          <w:rFonts w:cs="Arial"/>
        </w:rPr>
        <w:tab/>
        <w:t>Organizace pro ekonomickou spolupráci a rozvoj</w:t>
      </w:r>
    </w:p>
    <w:p w14:paraId="02DBC7AE" w14:textId="44880B8B" w:rsidR="00703AD4" w:rsidRPr="007E2428" w:rsidRDefault="00815070" w:rsidP="00815070">
      <w:pPr>
        <w:tabs>
          <w:tab w:val="left" w:pos="2552"/>
        </w:tabs>
        <w:spacing w:after="0" w:line="24" w:lineRule="atLeast"/>
        <w:contextualSpacing/>
        <w:jc w:val="both"/>
        <w:rPr>
          <w:rFonts w:cs="Arial"/>
        </w:rPr>
      </w:pPr>
      <w:r w:rsidRPr="007E2428">
        <w:rPr>
          <w:rFonts w:cs="Arial"/>
        </w:rPr>
        <w:t>OP</w:t>
      </w:r>
      <w:r w:rsidRPr="007E2428">
        <w:rPr>
          <w:rFonts w:cs="Arial"/>
        </w:rPr>
        <w:tab/>
        <w:t>operační program</w:t>
      </w:r>
    </w:p>
    <w:p w14:paraId="3B1102BF" w14:textId="37F1E14E" w:rsidR="00815070" w:rsidRPr="007E2428" w:rsidRDefault="00815070" w:rsidP="00815070">
      <w:pPr>
        <w:tabs>
          <w:tab w:val="left" w:pos="2552"/>
        </w:tabs>
        <w:spacing w:after="0" w:line="24" w:lineRule="atLeast"/>
        <w:contextualSpacing/>
        <w:jc w:val="both"/>
        <w:rPr>
          <w:rFonts w:cs="Arial"/>
        </w:rPr>
      </w:pPr>
      <w:r w:rsidRPr="007E2428">
        <w:rPr>
          <w:rFonts w:cs="Arial"/>
        </w:rPr>
        <w:t>OP JAK</w:t>
      </w:r>
      <w:r w:rsidR="00703AD4">
        <w:rPr>
          <w:rFonts w:cs="Arial"/>
        </w:rPr>
        <w:tab/>
      </w:r>
      <w:r w:rsidR="00703AD4" w:rsidRPr="007E2428">
        <w:rPr>
          <w:rFonts w:cs="Arial"/>
        </w:rPr>
        <w:t xml:space="preserve">Operační program </w:t>
      </w:r>
      <w:r w:rsidR="00703AD4">
        <w:rPr>
          <w:rFonts w:cs="Arial"/>
        </w:rPr>
        <w:t>Jan Amos Komenský</w:t>
      </w:r>
    </w:p>
    <w:p w14:paraId="16A33148"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OP PIK</w:t>
      </w:r>
      <w:r w:rsidRPr="007E2428">
        <w:rPr>
          <w:rFonts w:cs="Arial"/>
        </w:rPr>
        <w:tab/>
        <w:t>Operační program podnikání a inovace pro konkurenceschopnost</w:t>
      </w:r>
    </w:p>
    <w:p w14:paraId="0DA64D1C" w14:textId="5AB434C3" w:rsidR="00815070" w:rsidRPr="007E2428" w:rsidRDefault="00815070" w:rsidP="00815070">
      <w:pPr>
        <w:tabs>
          <w:tab w:val="left" w:pos="2552"/>
        </w:tabs>
        <w:spacing w:after="0" w:line="24" w:lineRule="atLeast"/>
        <w:contextualSpacing/>
        <w:jc w:val="both"/>
        <w:rPr>
          <w:rFonts w:cs="Arial"/>
        </w:rPr>
      </w:pPr>
      <w:r w:rsidRPr="007E2428">
        <w:rPr>
          <w:rFonts w:cs="Arial"/>
        </w:rPr>
        <w:t>OP TAK</w:t>
      </w:r>
      <w:r w:rsidR="00703AD4">
        <w:rPr>
          <w:rFonts w:cs="Arial"/>
        </w:rPr>
        <w:tab/>
        <w:t>Operační program Technologie a aplikace pro konkurenceschopnost</w:t>
      </w:r>
    </w:p>
    <w:p w14:paraId="0D179775"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OP VVV</w:t>
      </w:r>
      <w:r w:rsidRPr="007E2428">
        <w:rPr>
          <w:rFonts w:cs="Arial"/>
        </w:rPr>
        <w:tab/>
        <w:t>Operační program Výzkum, vývoj a vzdělávání</w:t>
      </w:r>
    </w:p>
    <w:p w14:paraId="5D1A2E22" w14:textId="77777777" w:rsidR="00815070" w:rsidRPr="007E2428" w:rsidRDefault="00815070" w:rsidP="00815070">
      <w:pPr>
        <w:tabs>
          <w:tab w:val="left" w:pos="2552"/>
        </w:tabs>
        <w:spacing w:after="0" w:line="24" w:lineRule="atLeast"/>
        <w:contextualSpacing/>
        <w:jc w:val="both"/>
        <w:rPr>
          <w:rFonts w:cs="Arial"/>
        </w:rPr>
      </w:pPr>
      <w:proofErr w:type="spellStart"/>
      <w:r w:rsidRPr="007E2428">
        <w:rPr>
          <w:rFonts w:cs="Arial"/>
        </w:rPr>
        <w:t>p.b</w:t>
      </w:r>
      <w:proofErr w:type="spellEnd"/>
      <w:r w:rsidRPr="007E2428">
        <w:rPr>
          <w:rFonts w:cs="Arial"/>
        </w:rPr>
        <w:t>.</w:t>
      </w:r>
      <w:r w:rsidRPr="007E2428">
        <w:rPr>
          <w:rFonts w:cs="Arial"/>
        </w:rPr>
        <w:tab/>
        <w:t>procentní bod</w:t>
      </w:r>
    </w:p>
    <w:p w14:paraId="5068A4E5"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PATSTAT</w:t>
      </w:r>
      <w:r w:rsidRPr="007E2428">
        <w:rPr>
          <w:rFonts w:cs="Arial"/>
        </w:rPr>
        <w:tab/>
      </w:r>
      <w:proofErr w:type="spellStart"/>
      <w:r w:rsidRPr="007E2428">
        <w:rPr>
          <w:rFonts w:cs="Arial"/>
        </w:rPr>
        <w:t>Worldwide</w:t>
      </w:r>
      <w:proofErr w:type="spellEnd"/>
      <w:r w:rsidRPr="007E2428">
        <w:rPr>
          <w:rFonts w:cs="Arial"/>
        </w:rPr>
        <w:t xml:space="preserve"> Patent </w:t>
      </w:r>
      <w:proofErr w:type="spellStart"/>
      <w:r w:rsidRPr="007E2428">
        <w:rPr>
          <w:rFonts w:cs="Arial"/>
        </w:rPr>
        <w:t>Statistical</w:t>
      </w:r>
      <w:proofErr w:type="spellEnd"/>
      <w:r w:rsidRPr="007E2428">
        <w:rPr>
          <w:rFonts w:cs="Arial"/>
        </w:rPr>
        <w:t xml:space="preserve"> Database</w:t>
      </w:r>
    </w:p>
    <w:p w14:paraId="598AB729"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PCT</w:t>
      </w:r>
      <w:r w:rsidRPr="007E2428">
        <w:rPr>
          <w:rFonts w:cs="Arial"/>
        </w:rPr>
        <w:tab/>
        <w:t xml:space="preserve">Smlouva o patentové spolupráci/Patent </w:t>
      </w:r>
      <w:proofErr w:type="spellStart"/>
      <w:r w:rsidRPr="007E2428">
        <w:rPr>
          <w:rFonts w:cs="Arial"/>
        </w:rPr>
        <w:t>Cooperation</w:t>
      </w:r>
      <w:proofErr w:type="spellEnd"/>
      <w:r w:rsidRPr="007E2428">
        <w:rPr>
          <w:rFonts w:cs="Arial"/>
        </w:rPr>
        <w:t xml:space="preserve"> </w:t>
      </w:r>
      <w:proofErr w:type="spellStart"/>
      <w:r w:rsidRPr="007E2428">
        <w:rPr>
          <w:rFonts w:cs="Arial"/>
        </w:rPr>
        <w:t>Treaty</w:t>
      </w:r>
      <w:proofErr w:type="spellEnd"/>
    </w:p>
    <w:p w14:paraId="39A19528"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PF</w:t>
      </w:r>
      <w:r w:rsidRPr="007E2428">
        <w:rPr>
          <w:rFonts w:cs="Arial"/>
        </w:rPr>
        <w:tab/>
        <w:t>právnické a fyzické osoby mimo vysoké školy</w:t>
      </w:r>
    </w:p>
    <w:p w14:paraId="7E13E406" w14:textId="77777777" w:rsidR="004717DD" w:rsidRDefault="00815070" w:rsidP="00815070">
      <w:pPr>
        <w:tabs>
          <w:tab w:val="left" w:pos="2552"/>
        </w:tabs>
        <w:spacing w:after="0" w:line="24" w:lineRule="atLeast"/>
        <w:ind w:left="2552" w:hanging="2552"/>
        <w:contextualSpacing/>
        <w:rPr>
          <w:rFonts w:cs="Arial"/>
        </w:rPr>
      </w:pPr>
      <w:r w:rsidRPr="007E2428">
        <w:rPr>
          <w:rFonts w:cs="Arial"/>
        </w:rPr>
        <w:t>PPS</w:t>
      </w:r>
      <w:r w:rsidRPr="007E2428">
        <w:rPr>
          <w:rFonts w:cs="Arial"/>
        </w:rPr>
        <w:tab/>
      </w:r>
      <w:proofErr w:type="spellStart"/>
      <w:r w:rsidRPr="007E2428">
        <w:rPr>
          <w:rFonts w:cs="Arial"/>
        </w:rPr>
        <w:t>Purchasing</w:t>
      </w:r>
      <w:proofErr w:type="spellEnd"/>
      <w:r w:rsidRPr="007E2428">
        <w:rPr>
          <w:rFonts w:cs="Arial"/>
        </w:rPr>
        <w:t xml:space="preserve"> </w:t>
      </w:r>
      <w:proofErr w:type="spellStart"/>
      <w:r w:rsidRPr="007E2428">
        <w:rPr>
          <w:rFonts w:cs="Arial"/>
        </w:rPr>
        <w:t>Power</w:t>
      </w:r>
      <w:proofErr w:type="spellEnd"/>
      <w:r w:rsidRPr="007E2428">
        <w:rPr>
          <w:rFonts w:cs="Arial"/>
        </w:rPr>
        <w:t xml:space="preserve"> </w:t>
      </w:r>
      <w:proofErr w:type="gramStart"/>
      <w:r w:rsidRPr="007E2428">
        <w:rPr>
          <w:rFonts w:cs="Arial"/>
        </w:rPr>
        <w:t>Standard − standard</w:t>
      </w:r>
      <w:proofErr w:type="gramEnd"/>
      <w:r w:rsidRPr="007E2428">
        <w:rPr>
          <w:rFonts w:cs="Arial"/>
        </w:rPr>
        <w:t xml:space="preserve"> kupní síly</w:t>
      </w:r>
    </w:p>
    <w:p w14:paraId="06E403A4" w14:textId="5C1FC6E5" w:rsidR="00815070" w:rsidRPr="007E2428" w:rsidRDefault="004717DD" w:rsidP="00815070">
      <w:pPr>
        <w:tabs>
          <w:tab w:val="left" w:pos="2552"/>
        </w:tabs>
        <w:spacing w:after="0" w:line="24" w:lineRule="atLeast"/>
        <w:ind w:left="2552" w:hanging="2552"/>
        <w:contextualSpacing/>
        <w:rPr>
          <w:rFonts w:cs="Arial"/>
        </w:rPr>
      </w:pPr>
      <w:r>
        <w:rPr>
          <w:rFonts w:cs="Arial"/>
        </w:rPr>
        <w:tab/>
      </w:r>
      <w:r w:rsidR="00815070" w:rsidRPr="007E2428">
        <w:rPr>
          <w:rFonts w:cs="Arial"/>
        </w:rPr>
        <w:t>jednotka pro měření kupní síly příslušné měnové jednotky</w:t>
      </w:r>
    </w:p>
    <w:p w14:paraId="746C5177"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 xml:space="preserve">R&amp;D </w:t>
      </w:r>
      <w:r w:rsidRPr="007E2428">
        <w:rPr>
          <w:rFonts w:cs="Arial"/>
        </w:rPr>
        <w:tab/>
      </w:r>
      <w:proofErr w:type="spellStart"/>
      <w:r w:rsidRPr="007E2428">
        <w:rPr>
          <w:rFonts w:cs="Arial"/>
        </w:rPr>
        <w:t>Research</w:t>
      </w:r>
      <w:proofErr w:type="spellEnd"/>
      <w:r w:rsidRPr="007E2428">
        <w:rPr>
          <w:rFonts w:cs="Arial"/>
        </w:rPr>
        <w:t xml:space="preserve"> and Development</w:t>
      </w:r>
    </w:p>
    <w:p w14:paraId="7A7E267B"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RIS</w:t>
      </w:r>
      <w:r w:rsidRPr="007E2428">
        <w:rPr>
          <w:rFonts w:cs="Arial"/>
        </w:rPr>
        <w:tab/>
      </w:r>
      <w:proofErr w:type="spellStart"/>
      <w:r w:rsidRPr="007E2428">
        <w:rPr>
          <w:rFonts w:cs="Arial"/>
        </w:rPr>
        <w:t>Regional</w:t>
      </w:r>
      <w:proofErr w:type="spellEnd"/>
      <w:r w:rsidRPr="007E2428">
        <w:rPr>
          <w:rFonts w:cs="Arial"/>
        </w:rPr>
        <w:t xml:space="preserve"> Innovation </w:t>
      </w:r>
      <w:proofErr w:type="spellStart"/>
      <w:r w:rsidRPr="007E2428">
        <w:rPr>
          <w:rFonts w:cs="Arial"/>
        </w:rPr>
        <w:t>Scoreboard</w:t>
      </w:r>
      <w:proofErr w:type="spellEnd"/>
    </w:p>
    <w:p w14:paraId="54973E62" w14:textId="77777777" w:rsidR="00815070" w:rsidRPr="007E2428" w:rsidRDefault="00815070" w:rsidP="00815070">
      <w:pPr>
        <w:tabs>
          <w:tab w:val="left" w:pos="2552"/>
        </w:tabs>
        <w:spacing w:after="0" w:line="24" w:lineRule="atLeast"/>
        <w:ind w:left="2552" w:hanging="2552"/>
        <w:contextualSpacing/>
        <w:rPr>
          <w:rFonts w:cs="Arial"/>
        </w:rPr>
      </w:pPr>
      <w:r w:rsidRPr="007E2428">
        <w:rPr>
          <w:rFonts w:cs="Arial"/>
        </w:rPr>
        <w:t>RIS3</w:t>
      </w:r>
      <w:r w:rsidRPr="007E2428">
        <w:rPr>
          <w:rFonts w:cs="Arial"/>
        </w:rPr>
        <w:tab/>
        <w:t xml:space="preserve">Národní výzkumná a inovační strategie pro inteligentní specializaci České republiky (Národní RIS3 strategie) </w:t>
      </w:r>
    </w:p>
    <w:p w14:paraId="49411FA0"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RIV</w:t>
      </w:r>
      <w:r w:rsidRPr="007E2428">
        <w:rPr>
          <w:rFonts w:cs="Arial"/>
        </w:rPr>
        <w:tab/>
        <w:t>Rejstřík informací o výsledcích</w:t>
      </w:r>
    </w:p>
    <w:p w14:paraId="626717C9" w14:textId="77777777" w:rsidR="00815070" w:rsidRPr="007E2428" w:rsidRDefault="00815070" w:rsidP="00373A42">
      <w:pPr>
        <w:tabs>
          <w:tab w:val="left" w:pos="2552"/>
        </w:tabs>
        <w:spacing w:after="0" w:line="24" w:lineRule="atLeast"/>
        <w:ind w:left="2552" w:hanging="2552"/>
        <w:contextualSpacing/>
        <w:jc w:val="both"/>
        <w:rPr>
          <w:rFonts w:cs="Arial"/>
        </w:rPr>
      </w:pPr>
      <w:r w:rsidRPr="007E2428">
        <w:rPr>
          <w:rFonts w:cs="Arial"/>
        </w:rPr>
        <w:t>RP</w:t>
      </w:r>
      <w:r w:rsidRPr="007E2428">
        <w:rPr>
          <w:rFonts w:cs="Arial"/>
        </w:rPr>
        <w:tab/>
        <w:t>Rámcový program / rámcové programy EU pro výzkum a technologický rozvoj</w:t>
      </w:r>
    </w:p>
    <w:p w14:paraId="280871FB"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RRF</w:t>
      </w:r>
      <w:r w:rsidRPr="007E2428">
        <w:rPr>
          <w:rFonts w:cs="Arial"/>
        </w:rPr>
        <w:tab/>
      </w:r>
      <w:proofErr w:type="spellStart"/>
      <w:r w:rsidRPr="007E2428">
        <w:rPr>
          <w:rFonts w:cs="Arial"/>
        </w:rPr>
        <w:t>Recovery</w:t>
      </w:r>
      <w:proofErr w:type="spellEnd"/>
      <w:r w:rsidRPr="007E2428">
        <w:rPr>
          <w:rFonts w:cs="Arial"/>
        </w:rPr>
        <w:t xml:space="preserve"> </w:t>
      </w:r>
      <w:proofErr w:type="spellStart"/>
      <w:r w:rsidRPr="007E2428">
        <w:rPr>
          <w:rFonts w:cs="Arial"/>
        </w:rPr>
        <w:t>Resilience</w:t>
      </w:r>
      <w:proofErr w:type="spellEnd"/>
      <w:r w:rsidRPr="007E2428">
        <w:rPr>
          <w:rFonts w:cs="Arial"/>
        </w:rPr>
        <w:t xml:space="preserve"> Facility </w:t>
      </w:r>
    </w:p>
    <w:p w14:paraId="67097C9A"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RVO</w:t>
      </w:r>
      <w:r w:rsidRPr="007E2428">
        <w:rPr>
          <w:rFonts w:cs="Arial"/>
        </w:rPr>
        <w:tab/>
        <w:t>Rozvoj výzkumných organizací</w:t>
      </w:r>
    </w:p>
    <w:p w14:paraId="71FE18A7" w14:textId="77777777" w:rsidR="00815070" w:rsidRPr="007E2428" w:rsidRDefault="00815070" w:rsidP="00815070">
      <w:pPr>
        <w:tabs>
          <w:tab w:val="left" w:pos="2552"/>
        </w:tabs>
        <w:spacing w:after="0" w:line="24" w:lineRule="atLeast"/>
        <w:contextualSpacing/>
        <w:jc w:val="both"/>
        <w:rPr>
          <w:rFonts w:cs="Arial"/>
        </w:rPr>
      </w:pPr>
      <w:r w:rsidRPr="007E2428">
        <w:rPr>
          <w:rFonts w:cs="Arial"/>
        </w:rPr>
        <w:t>RVVI</w:t>
      </w:r>
      <w:r w:rsidRPr="007E2428">
        <w:rPr>
          <w:rFonts w:cs="Arial"/>
        </w:rPr>
        <w:tab/>
        <w:t>Rada pro výzkum, vývoj a inovace</w:t>
      </w:r>
    </w:p>
    <w:p w14:paraId="1AF07BCC" w14:textId="77777777" w:rsidR="00815070" w:rsidRPr="007E2428" w:rsidRDefault="00815070" w:rsidP="00815070">
      <w:pPr>
        <w:tabs>
          <w:tab w:val="left" w:pos="2552"/>
        </w:tabs>
        <w:spacing w:after="0" w:line="24" w:lineRule="atLeast"/>
        <w:contextualSpacing/>
        <w:rPr>
          <w:rFonts w:cs="Arial"/>
        </w:rPr>
      </w:pPr>
      <w:r w:rsidRPr="007E2428">
        <w:rPr>
          <w:rFonts w:cs="Arial"/>
        </w:rPr>
        <w:t>SFEU</w:t>
      </w:r>
      <w:r w:rsidRPr="007E2428">
        <w:rPr>
          <w:rFonts w:cs="Arial"/>
        </w:rPr>
        <w:tab/>
        <w:t>Smlouva o fungování EU</w:t>
      </w:r>
    </w:p>
    <w:p w14:paraId="16C9F7CF" w14:textId="77777777" w:rsidR="00815070" w:rsidRPr="007E2428" w:rsidRDefault="00815070" w:rsidP="00815070">
      <w:pPr>
        <w:tabs>
          <w:tab w:val="left" w:pos="2552"/>
        </w:tabs>
        <w:spacing w:after="0" w:line="24" w:lineRule="atLeast"/>
        <w:contextualSpacing/>
        <w:rPr>
          <w:rFonts w:cs="Arial"/>
        </w:rPr>
      </w:pPr>
      <w:r w:rsidRPr="007E2428">
        <w:rPr>
          <w:rFonts w:cs="Arial"/>
        </w:rPr>
        <w:lastRenderedPageBreak/>
        <w:t>SII</w:t>
      </w:r>
      <w:r w:rsidRPr="007E2428">
        <w:rPr>
          <w:rFonts w:cs="Arial"/>
        </w:rPr>
        <w:tab/>
        <w:t>souhrnný inovační index</w:t>
      </w:r>
    </w:p>
    <w:p w14:paraId="5D348A9A" w14:textId="77777777" w:rsidR="00815070" w:rsidRPr="007E2428" w:rsidRDefault="00815070" w:rsidP="00815070">
      <w:pPr>
        <w:tabs>
          <w:tab w:val="left" w:pos="2552"/>
        </w:tabs>
        <w:spacing w:after="0" w:line="24" w:lineRule="atLeast"/>
        <w:ind w:left="2552" w:hanging="2552"/>
        <w:contextualSpacing/>
        <w:rPr>
          <w:rFonts w:cs="Arial"/>
        </w:rPr>
      </w:pPr>
      <w:r w:rsidRPr="007E2428">
        <w:rPr>
          <w:rFonts w:cs="Arial"/>
        </w:rPr>
        <w:t>SP</w:t>
      </w:r>
      <w:r w:rsidRPr="007E2428">
        <w:rPr>
          <w:rFonts w:cs="Arial"/>
        </w:rPr>
        <w:tab/>
        <w:t>státní příspěvkové organizace, organizační složky státu a veřejné výzkumné instituce mimo ústavů AV ČR</w:t>
      </w:r>
    </w:p>
    <w:p w14:paraId="43B61DF2" w14:textId="77777777" w:rsidR="00815070" w:rsidRPr="007E2428" w:rsidRDefault="00815070" w:rsidP="00815070">
      <w:pPr>
        <w:tabs>
          <w:tab w:val="left" w:pos="2552"/>
        </w:tabs>
        <w:spacing w:after="0" w:line="24" w:lineRule="atLeast"/>
        <w:contextualSpacing/>
        <w:rPr>
          <w:rFonts w:cs="Arial"/>
        </w:rPr>
      </w:pPr>
      <w:r w:rsidRPr="007E2428">
        <w:rPr>
          <w:rFonts w:cs="Arial"/>
        </w:rPr>
        <w:t>SPOLUFIN</w:t>
      </w:r>
      <w:r w:rsidRPr="007E2428">
        <w:rPr>
          <w:rFonts w:cs="Arial"/>
        </w:rPr>
        <w:tab/>
        <w:t xml:space="preserve">spolufinancování operačních programů ve </w:t>
      </w:r>
      <w:proofErr w:type="spellStart"/>
      <w:r w:rsidRPr="007E2428">
        <w:rPr>
          <w:rFonts w:cs="Arial"/>
        </w:rPr>
        <w:t>VaVaI</w:t>
      </w:r>
      <w:proofErr w:type="spellEnd"/>
      <w:r w:rsidRPr="007E2428">
        <w:rPr>
          <w:rFonts w:cs="Arial"/>
        </w:rPr>
        <w:t xml:space="preserve"> ze státního rozpočtu</w:t>
      </w:r>
    </w:p>
    <w:p w14:paraId="3CA7AB40" w14:textId="77777777" w:rsidR="00815070" w:rsidRPr="007E2428" w:rsidRDefault="00815070" w:rsidP="00815070">
      <w:pPr>
        <w:tabs>
          <w:tab w:val="left" w:pos="2552"/>
        </w:tabs>
        <w:spacing w:after="0" w:line="24" w:lineRule="atLeast"/>
        <w:contextualSpacing/>
        <w:rPr>
          <w:rFonts w:cs="Arial"/>
        </w:rPr>
      </w:pPr>
      <w:r w:rsidRPr="007E2428">
        <w:rPr>
          <w:rFonts w:cs="Arial"/>
        </w:rPr>
        <w:t>SR</w:t>
      </w:r>
      <w:r w:rsidRPr="007E2428">
        <w:rPr>
          <w:rFonts w:cs="Arial"/>
        </w:rPr>
        <w:tab/>
        <w:t>státní rozpočet</w:t>
      </w:r>
    </w:p>
    <w:p w14:paraId="07618408" w14:textId="77777777" w:rsidR="00815070" w:rsidRPr="007E2428" w:rsidRDefault="00815070" w:rsidP="00815070">
      <w:pPr>
        <w:tabs>
          <w:tab w:val="left" w:pos="2552"/>
        </w:tabs>
        <w:spacing w:after="0" w:line="24" w:lineRule="atLeast"/>
        <w:contextualSpacing/>
        <w:rPr>
          <w:rFonts w:cs="Arial"/>
        </w:rPr>
      </w:pPr>
      <w:r w:rsidRPr="007E2428">
        <w:rPr>
          <w:rFonts w:cs="Arial"/>
        </w:rPr>
        <w:t>SRIP</w:t>
      </w:r>
      <w:r w:rsidRPr="007E2428">
        <w:rPr>
          <w:rFonts w:cs="Arial"/>
        </w:rPr>
        <w:tab/>
        <w:t xml:space="preserve">Science, </w:t>
      </w:r>
      <w:proofErr w:type="spellStart"/>
      <w:r w:rsidRPr="007E2428">
        <w:rPr>
          <w:rFonts w:cs="Arial"/>
        </w:rPr>
        <w:t>Research</w:t>
      </w:r>
      <w:proofErr w:type="spellEnd"/>
      <w:r w:rsidRPr="007E2428">
        <w:rPr>
          <w:rFonts w:cs="Arial"/>
        </w:rPr>
        <w:t xml:space="preserve"> and Innovation Performance </w:t>
      </w:r>
      <w:proofErr w:type="spellStart"/>
      <w:r w:rsidRPr="007E2428">
        <w:rPr>
          <w:rFonts w:cs="Arial"/>
        </w:rPr>
        <w:t>of</w:t>
      </w:r>
      <w:proofErr w:type="spellEnd"/>
      <w:r w:rsidRPr="007E2428">
        <w:rPr>
          <w:rFonts w:cs="Arial"/>
        </w:rPr>
        <w:t xml:space="preserve"> </w:t>
      </w:r>
      <w:proofErr w:type="spellStart"/>
      <w:r w:rsidRPr="007E2428">
        <w:rPr>
          <w:rFonts w:cs="Arial"/>
        </w:rPr>
        <w:t>the</w:t>
      </w:r>
      <w:proofErr w:type="spellEnd"/>
      <w:r w:rsidRPr="007E2428">
        <w:rPr>
          <w:rFonts w:cs="Arial"/>
        </w:rPr>
        <w:t xml:space="preserve"> EU</w:t>
      </w:r>
    </w:p>
    <w:p w14:paraId="52CAE650" w14:textId="5C8D2BD3" w:rsidR="00C83018" w:rsidRDefault="00C83018" w:rsidP="00815070">
      <w:pPr>
        <w:tabs>
          <w:tab w:val="left" w:pos="2552"/>
        </w:tabs>
        <w:spacing w:after="0" w:line="24" w:lineRule="atLeast"/>
        <w:contextualSpacing/>
        <w:rPr>
          <w:rFonts w:cs="Arial"/>
        </w:rPr>
      </w:pPr>
      <w:r>
        <w:rPr>
          <w:rFonts w:cs="Arial"/>
        </w:rPr>
        <w:t>SSC</w:t>
      </w:r>
      <w:r>
        <w:rPr>
          <w:rFonts w:cs="Arial"/>
        </w:rPr>
        <w:tab/>
      </w:r>
      <w:proofErr w:type="spellStart"/>
      <w:r>
        <w:rPr>
          <w:rFonts w:cs="Arial"/>
        </w:rPr>
        <w:t>Social</w:t>
      </w:r>
      <w:proofErr w:type="spellEnd"/>
      <w:r>
        <w:rPr>
          <w:rFonts w:cs="Arial"/>
        </w:rPr>
        <w:t xml:space="preserve"> </w:t>
      </w:r>
      <w:proofErr w:type="spellStart"/>
      <w:r>
        <w:rPr>
          <w:rFonts w:cs="Arial"/>
        </w:rPr>
        <w:t>Security</w:t>
      </w:r>
      <w:proofErr w:type="spellEnd"/>
      <w:r>
        <w:rPr>
          <w:rFonts w:cs="Arial"/>
        </w:rPr>
        <w:t xml:space="preserve"> </w:t>
      </w:r>
      <w:proofErr w:type="spellStart"/>
      <w:r>
        <w:rPr>
          <w:rFonts w:cs="Arial"/>
        </w:rPr>
        <w:t>Contribution</w:t>
      </w:r>
      <w:proofErr w:type="spellEnd"/>
    </w:p>
    <w:p w14:paraId="4312C8D9" w14:textId="65358F64" w:rsidR="00815070" w:rsidRPr="007E2428" w:rsidRDefault="00815070" w:rsidP="00815070">
      <w:pPr>
        <w:tabs>
          <w:tab w:val="left" w:pos="2552"/>
        </w:tabs>
        <w:spacing w:after="0" w:line="24" w:lineRule="atLeast"/>
        <w:contextualSpacing/>
        <w:rPr>
          <w:rFonts w:cs="Arial"/>
        </w:rPr>
      </w:pPr>
      <w:r w:rsidRPr="007E2428">
        <w:rPr>
          <w:rFonts w:cs="Arial"/>
        </w:rPr>
        <w:t>SVV</w:t>
      </w:r>
      <w:r w:rsidRPr="007E2428">
        <w:rPr>
          <w:rFonts w:cs="Arial"/>
        </w:rPr>
        <w:tab/>
        <w:t xml:space="preserve">specifický vysokoškolský výzkum </w:t>
      </w:r>
    </w:p>
    <w:p w14:paraId="42B01189" w14:textId="77777777" w:rsidR="00815070" w:rsidRPr="007E2428" w:rsidRDefault="00815070" w:rsidP="00815070">
      <w:pPr>
        <w:tabs>
          <w:tab w:val="left" w:pos="2552"/>
        </w:tabs>
        <w:spacing w:after="0" w:line="24" w:lineRule="atLeast"/>
        <w:contextualSpacing/>
        <w:rPr>
          <w:rFonts w:cs="Arial"/>
        </w:rPr>
      </w:pPr>
      <w:r w:rsidRPr="007E2428">
        <w:rPr>
          <w:rFonts w:cs="Arial"/>
        </w:rPr>
        <w:t>TA ČR</w:t>
      </w:r>
      <w:r w:rsidRPr="007E2428">
        <w:rPr>
          <w:rFonts w:cs="Arial"/>
        </w:rPr>
        <w:tab/>
        <w:t>Technologická agentura ČR</w:t>
      </w:r>
    </w:p>
    <w:p w14:paraId="732CC010" w14:textId="100D3286" w:rsidR="00815070" w:rsidRPr="007E2428" w:rsidRDefault="00815070" w:rsidP="00815070">
      <w:pPr>
        <w:tabs>
          <w:tab w:val="left" w:pos="2552"/>
        </w:tabs>
        <w:spacing w:after="0" w:line="24" w:lineRule="atLeast"/>
        <w:contextualSpacing/>
        <w:rPr>
          <w:rFonts w:cs="Arial"/>
        </w:rPr>
      </w:pPr>
      <w:r w:rsidRPr="007E2428">
        <w:rPr>
          <w:rFonts w:cs="Arial"/>
        </w:rPr>
        <w:t>ÚPV</w:t>
      </w:r>
      <w:r w:rsidRPr="007E2428">
        <w:rPr>
          <w:rFonts w:cs="Arial"/>
        </w:rPr>
        <w:tab/>
        <w:t>Úřad průmyslového vlastnictví České republiky</w:t>
      </w:r>
    </w:p>
    <w:p w14:paraId="16D12A83" w14:textId="77777777" w:rsidR="00815070" w:rsidRPr="007E2428" w:rsidRDefault="00815070" w:rsidP="00815070">
      <w:pPr>
        <w:tabs>
          <w:tab w:val="left" w:pos="2552"/>
        </w:tabs>
        <w:spacing w:after="0" w:line="24" w:lineRule="atLeast"/>
        <w:contextualSpacing/>
        <w:rPr>
          <w:rFonts w:cs="Arial"/>
        </w:rPr>
      </w:pPr>
      <w:r w:rsidRPr="007E2428">
        <w:rPr>
          <w:rFonts w:cs="Arial"/>
        </w:rPr>
        <w:t>ÚV ČR</w:t>
      </w:r>
      <w:r w:rsidRPr="007E2428">
        <w:rPr>
          <w:rFonts w:cs="Arial"/>
        </w:rPr>
        <w:tab/>
        <w:t>Úřad vlády České republiky</w:t>
      </w:r>
    </w:p>
    <w:p w14:paraId="7158B170" w14:textId="77777777" w:rsidR="00815070" w:rsidRPr="007E2428" w:rsidRDefault="00815070" w:rsidP="00815070">
      <w:pPr>
        <w:tabs>
          <w:tab w:val="left" w:pos="2552"/>
        </w:tabs>
        <w:spacing w:after="0" w:line="24" w:lineRule="atLeast"/>
        <w:contextualSpacing/>
        <w:rPr>
          <w:rFonts w:cs="Arial"/>
        </w:rPr>
      </w:pPr>
      <w:proofErr w:type="spellStart"/>
      <w:r w:rsidRPr="007E2428">
        <w:rPr>
          <w:rFonts w:cs="Arial"/>
        </w:rPr>
        <w:t>VaV</w:t>
      </w:r>
      <w:proofErr w:type="spellEnd"/>
      <w:r w:rsidRPr="007E2428">
        <w:rPr>
          <w:rFonts w:cs="Arial"/>
        </w:rPr>
        <w:tab/>
        <w:t>výzkum a vývoj</w:t>
      </w:r>
    </w:p>
    <w:p w14:paraId="729C0B52" w14:textId="77777777" w:rsidR="00815070" w:rsidRPr="007E2428" w:rsidRDefault="00815070" w:rsidP="00815070">
      <w:pPr>
        <w:tabs>
          <w:tab w:val="left" w:pos="2552"/>
        </w:tabs>
        <w:spacing w:after="0" w:line="24" w:lineRule="atLeast"/>
        <w:contextualSpacing/>
        <w:rPr>
          <w:rFonts w:cs="Arial"/>
        </w:rPr>
      </w:pPr>
      <w:proofErr w:type="spellStart"/>
      <w:r w:rsidRPr="007E2428">
        <w:rPr>
          <w:rFonts w:cs="Arial"/>
        </w:rPr>
        <w:t>VaVaI</w:t>
      </w:r>
      <w:proofErr w:type="spellEnd"/>
      <w:r w:rsidRPr="007E2428">
        <w:rPr>
          <w:rFonts w:cs="Arial"/>
        </w:rPr>
        <w:tab/>
        <w:t>výzkum, experimentální vývoj a inovace</w:t>
      </w:r>
    </w:p>
    <w:p w14:paraId="676B4FE2" w14:textId="77777777" w:rsidR="00815070" w:rsidRPr="007E2428" w:rsidRDefault="00815070" w:rsidP="00815070">
      <w:pPr>
        <w:tabs>
          <w:tab w:val="left" w:pos="2552"/>
        </w:tabs>
        <w:spacing w:after="0" w:line="24" w:lineRule="atLeast"/>
        <w:ind w:left="2552" w:hanging="2552"/>
        <w:contextualSpacing/>
        <w:rPr>
          <w:rFonts w:cs="Arial"/>
        </w:rPr>
      </w:pPr>
      <w:r w:rsidRPr="007E2428">
        <w:rPr>
          <w:rFonts w:cs="Arial"/>
        </w:rPr>
        <w:t>VES</w:t>
      </w:r>
      <w:r w:rsidRPr="007E2428">
        <w:rPr>
          <w:rFonts w:cs="Arial"/>
        </w:rPr>
        <w:tab/>
        <w:t xml:space="preserve">evidence veřejných soutěží ve výzkumu, experimentálním vývoji a inovacích </w:t>
      </w:r>
    </w:p>
    <w:p w14:paraId="1AE47E20" w14:textId="77777777" w:rsidR="00815070" w:rsidRPr="007E2428" w:rsidRDefault="00815070" w:rsidP="00815070">
      <w:pPr>
        <w:tabs>
          <w:tab w:val="left" w:pos="2552"/>
        </w:tabs>
        <w:spacing w:after="0" w:line="24" w:lineRule="atLeast"/>
        <w:contextualSpacing/>
        <w:rPr>
          <w:rFonts w:cs="Arial"/>
        </w:rPr>
      </w:pPr>
      <w:r w:rsidRPr="007E2428">
        <w:rPr>
          <w:rFonts w:cs="Arial"/>
        </w:rPr>
        <w:t>VO</w:t>
      </w:r>
      <w:r w:rsidRPr="007E2428">
        <w:rPr>
          <w:rFonts w:cs="Arial"/>
        </w:rPr>
        <w:tab/>
        <w:t>výzkumné organizace</w:t>
      </w:r>
    </w:p>
    <w:p w14:paraId="4AC7501D" w14:textId="72A6AC98" w:rsidR="00815070" w:rsidRPr="007E2428" w:rsidRDefault="00815070" w:rsidP="00815070">
      <w:pPr>
        <w:tabs>
          <w:tab w:val="left" w:pos="2552"/>
        </w:tabs>
        <w:spacing w:after="0" w:line="24" w:lineRule="atLeast"/>
        <w:contextualSpacing/>
        <w:rPr>
          <w:rFonts w:cs="Arial"/>
        </w:rPr>
      </w:pPr>
      <w:r w:rsidRPr="007E2428">
        <w:rPr>
          <w:rFonts w:cs="Arial"/>
        </w:rPr>
        <w:t>V</w:t>
      </w:r>
      <w:r w:rsidR="00535A84">
        <w:rPr>
          <w:rFonts w:cs="Arial"/>
        </w:rPr>
        <w:t>Š</w:t>
      </w:r>
      <w:r w:rsidRPr="007E2428">
        <w:rPr>
          <w:rFonts w:cs="Arial"/>
        </w:rPr>
        <w:tab/>
        <w:t>vysoká škola (státní, veřejná, soukromá, obchodní společnost)</w:t>
      </w:r>
    </w:p>
    <w:p w14:paraId="5B59551B" w14:textId="77777777" w:rsidR="00815070" w:rsidRPr="007E2428" w:rsidRDefault="00815070" w:rsidP="00815070">
      <w:pPr>
        <w:tabs>
          <w:tab w:val="left" w:pos="2552"/>
        </w:tabs>
        <w:spacing w:after="0" w:line="24" w:lineRule="atLeast"/>
        <w:contextualSpacing/>
        <w:rPr>
          <w:rFonts w:cs="Arial"/>
        </w:rPr>
      </w:pPr>
      <w:r w:rsidRPr="007E2428">
        <w:rPr>
          <w:rFonts w:cs="Arial"/>
        </w:rPr>
        <w:t>VVI</w:t>
      </w:r>
      <w:r w:rsidRPr="007E2428">
        <w:rPr>
          <w:rFonts w:cs="Arial"/>
        </w:rPr>
        <w:tab/>
        <w:t>velká výzkumná infrastruktura</w:t>
      </w:r>
    </w:p>
    <w:p w14:paraId="0D22CE38" w14:textId="354B9CFD" w:rsidR="00815070" w:rsidRPr="007E2428" w:rsidRDefault="00815070" w:rsidP="00373A42">
      <w:pPr>
        <w:tabs>
          <w:tab w:val="left" w:pos="2552"/>
        </w:tabs>
        <w:spacing w:after="0" w:line="24" w:lineRule="atLeast"/>
        <w:ind w:left="2552" w:hanging="2552"/>
        <w:contextualSpacing/>
        <w:rPr>
          <w:rFonts w:cs="Arial"/>
        </w:rPr>
      </w:pPr>
      <w:r w:rsidRPr="007E2428">
        <w:rPr>
          <w:rFonts w:cs="Arial"/>
        </w:rPr>
        <w:t>WIPO</w:t>
      </w:r>
      <w:r w:rsidRPr="007E2428">
        <w:rPr>
          <w:rFonts w:cs="Arial"/>
        </w:rPr>
        <w:tab/>
      </w:r>
      <w:proofErr w:type="spellStart"/>
      <w:r w:rsidRPr="007E2428">
        <w:rPr>
          <w:rFonts w:cs="Arial"/>
        </w:rPr>
        <w:t>World</w:t>
      </w:r>
      <w:proofErr w:type="spellEnd"/>
      <w:r w:rsidRPr="007E2428">
        <w:rPr>
          <w:rFonts w:cs="Arial"/>
        </w:rPr>
        <w:t xml:space="preserve"> </w:t>
      </w:r>
      <w:proofErr w:type="spellStart"/>
      <w:r w:rsidRPr="007E2428">
        <w:rPr>
          <w:rFonts w:cs="Arial"/>
        </w:rPr>
        <w:t>Intellectual</w:t>
      </w:r>
      <w:proofErr w:type="spellEnd"/>
      <w:r w:rsidRPr="007E2428">
        <w:rPr>
          <w:rFonts w:cs="Arial"/>
        </w:rPr>
        <w:t xml:space="preserve"> </w:t>
      </w:r>
      <w:proofErr w:type="spellStart"/>
      <w:r w:rsidRPr="007E2428">
        <w:rPr>
          <w:rFonts w:cs="Arial"/>
        </w:rPr>
        <w:t>Property</w:t>
      </w:r>
      <w:proofErr w:type="spellEnd"/>
      <w:r w:rsidRPr="007E2428">
        <w:rPr>
          <w:rFonts w:cs="Arial"/>
        </w:rPr>
        <w:t xml:space="preserve"> </w:t>
      </w:r>
      <w:proofErr w:type="spellStart"/>
      <w:r w:rsidRPr="007E2428">
        <w:rPr>
          <w:rFonts w:cs="Arial"/>
        </w:rPr>
        <w:t>Organization</w:t>
      </w:r>
      <w:proofErr w:type="spellEnd"/>
      <w:r w:rsidR="00373A42">
        <w:rPr>
          <w:rFonts w:cs="Arial"/>
        </w:rPr>
        <w:t xml:space="preserve"> (Světová organizace duševního vlastnictví)</w:t>
      </w:r>
      <w:r w:rsidRPr="007E2428">
        <w:rPr>
          <w:rFonts w:cs="Arial"/>
        </w:rPr>
        <w:tab/>
      </w:r>
    </w:p>
    <w:p w14:paraId="0B4DF2EB" w14:textId="20627AAE" w:rsidR="00815070" w:rsidRDefault="00815070" w:rsidP="00815070">
      <w:pPr>
        <w:tabs>
          <w:tab w:val="left" w:pos="2552"/>
        </w:tabs>
      </w:pPr>
      <w:proofErr w:type="spellStart"/>
      <w:r>
        <w:rPr>
          <w:rFonts w:cs="Arial"/>
        </w:rPr>
        <w:t>WoS</w:t>
      </w:r>
      <w:proofErr w:type="spellEnd"/>
      <w:r>
        <w:rPr>
          <w:rFonts w:cs="Arial"/>
        </w:rPr>
        <w:tab/>
      </w:r>
      <w:r w:rsidRPr="007E2428">
        <w:rPr>
          <w:rFonts w:cs="Arial"/>
        </w:rPr>
        <w:t xml:space="preserve">Web </w:t>
      </w:r>
      <w:proofErr w:type="spellStart"/>
      <w:r w:rsidRPr="007E2428">
        <w:rPr>
          <w:rFonts w:cs="Arial"/>
        </w:rPr>
        <w:t>of</w:t>
      </w:r>
      <w:proofErr w:type="spellEnd"/>
      <w:r w:rsidRPr="007E2428">
        <w:rPr>
          <w:rFonts w:cs="Arial"/>
        </w:rPr>
        <w:t xml:space="preserve"> Science</w:t>
      </w:r>
    </w:p>
    <w:p w14:paraId="4F2E2662" w14:textId="6801C943" w:rsidR="00B43C64" w:rsidRDefault="00B43C64" w:rsidP="00C73BD4">
      <w:pPr>
        <w:tabs>
          <w:tab w:val="left" w:pos="2552"/>
        </w:tabs>
        <w:spacing w:after="0" w:line="24" w:lineRule="atLeast"/>
        <w:contextualSpacing/>
        <w:rPr>
          <w:rFonts w:cs="Arial"/>
          <w:highlight w:val="yellow"/>
        </w:rPr>
      </w:pPr>
    </w:p>
    <w:p w14:paraId="2792EC7A" w14:textId="76BA36C0" w:rsidR="00B43C64" w:rsidRDefault="00B43C64" w:rsidP="00C73BD4">
      <w:pPr>
        <w:tabs>
          <w:tab w:val="left" w:pos="2552"/>
        </w:tabs>
        <w:spacing w:after="0" w:line="24" w:lineRule="atLeast"/>
        <w:contextualSpacing/>
        <w:rPr>
          <w:rFonts w:cs="Arial"/>
          <w:highlight w:val="yellow"/>
        </w:rPr>
      </w:pPr>
    </w:p>
    <w:p w14:paraId="60D35CFB" w14:textId="5DE0B11F" w:rsidR="00B43C64" w:rsidRDefault="00B43C64" w:rsidP="00C73BD4">
      <w:pPr>
        <w:tabs>
          <w:tab w:val="left" w:pos="2552"/>
        </w:tabs>
        <w:spacing w:after="0" w:line="24" w:lineRule="atLeast"/>
        <w:contextualSpacing/>
        <w:rPr>
          <w:rFonts w:cs="Arial"/>
          <w:highlight w:val="yellow"/>
        </w:rPr>
      </w:pPr>
    </w:p>
    <w:p w14:paraId="0FF7DB50" w14:textId="757095CA" w:rsidR="00B43C64" w:rsidRDefault="00B43C64" w:rsidP="00C73BD4">
      <w:pPr>
        <w:tabs>
          <w:tab w:val="left" w:pos="2552"/>
        </w:tabs>
        <w:spacing w:after="0" w:line="24" w:lineRule="atLeast"/>
        <w:contextualSpacing/>
        <w:rPr>
          <w:rFonts w:cs="Arial"/>
          <w:highlight w:val="yellow"/>
        </w:rPr>
      </w:pPr>
    </w:p>
    <w:p w14:paraId="7B2F6CE0" w14:textId="16EF41EA" w:rsidR="00B43C64" w:rsidRDefault="00B43C64" w:rsidP="00C73BD4">
      <w:pPr>
        <w:tabs>
          <w:tab w:val="left" w:pos="2552"/>
        </w:tabs>
        <w:spacing w:after="0" w:line="24" w:lineRule="atLeast"/>
        <w:contextualSpacing/>
        <w:rPr>
          <w:rFonts w:cs="Arial"/>
          <w:highlight w:val="yellow"/>
        </w:rPr>
      </w:pPr>
    </w:p>
    <w:p w14:paraId="73C07676" w14:textId="77777777" w:rsidR="00B43C64" w:rsidRDefault="00B43C64" w:rsidP="00C73BD4">
      <w:pPr>
        <w:tabs>
          <w:tab w:val="left" w:pos="2552"/>
        </w:tabs>
        <w:spacing w:after="0" w:line="24" w:lineRule="atLeast"/>
        <w:contextualSpacing/>
        <w:rPr>
          <w:rFonts w:cs="Arial"/>
          <w:highlight w:val="yellow"/>
        </w:rPr>
      </w:pPr>
    </w:p>
    <w:p w14:paraId="46021BEE" w14:textId="77777777" w:rsidR="00BF5BAE" w:rsidRDefault="00BF5BAE" w:rsidP="00C73BD4">
      <w:pPr>
        <w:tabs>
          <w:tab w:val="left" w:pos="2552"/>
        </w:tabs>
        <w:spacing w:after="0" w:line="24" w:lineRule="atLeast"/>
        <w:contextualSpacing/>
        <w:rPr>
          <w:rFonts w:cs="Arial"/>
          <w:highlight w:val="yellow"/>
        </w:rPr>
      </w:pPr>
    </w:p>
    <w:p w14:paraId="396EC796" w14:textId="105C7506" w:rsidR="00203E37" w:rsidRPr="009E59BB" w:rsidRDefault="00203E37" w:rsidP="00C73BD4">
      <w:pPr>
        <w:tabs>
          <w:tab w:val="left" w:pos="2552"/>
        </w:tabs>
        <w:spacing w:after="0" w:line="24" w:lineRule="atLeast"/>
        <w:contextualSpacing/>
        <w:rPr>
          <w:rFonts w:cs="Arial"/>
          <w:highlight w:val="yellow"/>
        </w:rPr>
      </w:pPr>
      <w:r w:rsidRPr="009E59BB">
        <w:rPr>
          <w:rFonts w:cs="Arial"/>
          <w:highlight w:val="yellow"/>
        </w:rPr>
        <w:br w:type="page"/>
      </w:r>
    </w:p>
    <w:p w14:paraId="69EB9823" w14:textId="679A370B" w:rsidR="004311E6" w:rsidRDefault="004311E6" w:rsidP="00E84397">
      <w:pPr>
        <w:tabs>
          <w:tab w:val="right" w:pos="9356"/>
        </w:tabs>
        <w:spacing w:after="0"/>
        <w:rPr>
          <w:rFonts w:cs="Arial"/>
          <w:b/>
          <w:sz w:val="24"/>
          <w:szCs w:val="24"/>
        </w:rPr>
      </w:pPr>
      <w:r w:rsidRPr="001C3F0C">
        <w:rPr>
          <w:rFonts w:cs="Arial"/>
          <w:b/>
          <w:sz w:val="24"/>
          <w:szCs w:val="24"/>
        </w:rPr>
        <w:lastRenderedPageBreak/>
        <w:t>Zpracovatel:</w:t>
      </w:r>
    </w:p>
    <w:p w14:paraId="223EA21A" w14:textId="77777777" w:rsidR="00CE37D1" w:rsidRPr="001C3F0C" w:rsidRDefault="00CE37D1" w:rsidP="00E84397">
      <w:pPr>
        <w:tabs>
          <w:tab w:val="right" w:pos="9356"/>
        </w:tabs>
        <w:spacing w:after="0"/>
        <w:rPr>
          <w:rFonts w:cs="Arial"/>
          <w:b/>
          <w:sz w:val="24"/>
          <w:szCs w:val="24"/>
        </w:rPr>
      </w:pPr>
    </w:p>
    <w:p w14:paraId="2FD27A85" w14:textId="1C86F68C" w:rsidR="00740196" w:rsidRPr="001C3F0C" w:rsidRDefault="00740196" w:rsidP="00740196">
      <w:pPr>
        <w:tabs>
          <w:tab w:val="right" w:pos="9356"/>
        </w:tabs>
        <w:spacing w:after="0"/>
        <w:rPr>
          <w:rFonts w:cs="Arial"/>
          <w:b/>
          <w:sz w:val="24"/>
          <w:szCs w:val="24"/>
        </w:rPr>
      </w:pPr>
      <w:r w:rsidRPr="001C3F0C">
        <w:rPr>
          <w:rFonts w:cs="Arial"/>
          <w:b/>
          <w:sz w:val="24"/>
          <w:szCs w:val="24"/>
        </w:rPr>
        <w:t>Úřad vlády ČR – Sekce pro vědu, výzkum a inovace</w:t>
      </w:r>
    </w:p>
    <w:p w14:paraId="181C7A9E" w14:textId="730ACED8" w:rsidR="00740196" w:rsidRPr="001C3F0C" w:rsidRDefault="00740196" w:rsidP="00E84397">
      <w:pPr>
        <w:tabs>
          <w:tab w:val="right" w:pos="9356"/>
        </w:tabs>
        <w:spacing w:after="0"/>
        <w:rPr>
          <w:rFonts w:cs="Arial"/>
          <w:i/>
        </w:rPr>
      </w:pPr>
      <w:r w:rsidRPr="001C3F0C">
        <w:rPr>
          <w:rFonts w:cs="Arial"/>
          <w:b/>
          <w:sz w:val="24"/>
          <w:szCs w:val="24"/>
        </w:rPr>
        <w:t xml:space="preserve">Odbor koordinace výzkumu, vývoje a inovací: </w:t>
      </w:r>
      <w:r w:rsidRPr="001C3F0C">
        <w:rPr>
          <w:rFonts w:cs="Arial"/>
          <w:i/>
        </w:rPr>
        <w:t xml:space="preserve">Hana </w:t>
      </w:r>
      <w:proofErr w:type="spellStart"/>
      <w:r w:rsidRPr="001C3F0C">
        <w:rPr>
          <w:rFonts w:cs="Arial"/>
          <w:i/>
        </w:rPr>
        <w:t>Bakičová</w:t>
      </w:r>
      <w:proofErr w:type="spellEnd"/>
    </w:p>
    <w:p w14:paraId="2379B21C" w14:textId="36B1EDAC" w:rsidR="004311E6" w:rsidRPr="001C3F0C" w:rsidRDefault="005F5A7B" w:rsidP="00E84397">
      <w:pPr>
        <w:tabs>
          <w:tab w:val="left" w:pos="6237"/>
          <w:tab w:val="right" w:pos="9356"/>
        </w:tabs>
        <w:spacing w:after="0"/>
        <w:rPr>
          <w:rFonts w:cs="Arial"/>
          <w:b/>
        </w:rPr>
      </w:pPr>
      <w:r w:rsidRPr="001C3F0C">
        <w:rPr>
          <w:rFonts w:cs="Arial"/>
          <w:b/>
        </w:rPr>
        <w:t>Oddělení analýz</w:t>
      </w:r>
      <w:r w:rsidR="00615101">
        <w:rPr>
          <w:rFonts w:cs="Arial"/>
          <w:b/>
        </w:rPr>
        <w:t>, finančního řízení</w:t>
      </w:r>
      <w:r w:rsidRPr="001C3F0C">
        <w:rPr>
          <w:rFonts w:cs="Arial"/>
          <w:b/>
        </w:rPr>
        <w:t xml:space="preserve"> </w:t>
      </w:r>
      <w:r w:rsidR="00361051" w:rsidRPr="001C3F0C">
        <w:rPr>
          <w:rFonts w:cs="Arial"/>
          <w:b/>
        </w:rPr>
        <w:t>a </w:t>
      </w:r>
      <w:r w:rsidRPr="001C3F0C">
        <w:rPr>
          <w:rFonts w:cs="Arial"/>
          <w:b/>
        </w:rPr>
        <w:t>koordinace výzkumu</w:t>
      </w:r>
      <w:r w:rsidR="00740196" w:rsidRPr="001C3F0C">
        <w:rPr>
          <w:rFonts w:cs="Arial"/>
          <w:b/>
        </w:rPr>
        <w:t>, vývoje</w:t>
      </w:r>
      <w:r w:rsidRPr="001C3F0C">
        <w:rPr>
          <w:rFonts w:cs="Arial"/>
          <w:b/>
        </w:rPr>
        <w:t xml:space="preserve"> </w:t>
      </w:r>
      <w:r w:rsidR="00361051" w:rsidRPr="001C3F0C">
        <w:rPr>
          <w:rFonts w:cs="Arial"/>
          <w:b/>
        </w:rPr>
        <w:t>a </w:t>
      </w:r>
      <w:r w:rsidRPr="001C3F0C">
        <w:rPr>
          <w:rFonts w:cs="Arial"/>
          <w:b/>
        </w:rPr>
        <w:t>inovací:</w:t>
      </w:r>
      <w:r w:rsidR="00740196" w:rsidRPr="001C3F0C">
        <w:rPr>
          <w:rFonts w:cs="Arial"/>
          <w:b/>
        </w:rPr>
        <w:t xml:space="preserve"> </w:t>
      </w:r>
      <w:r w:rsidR="00A57BE3">
        <w:rPr>
          <w:rFonts w:cs="Arial"/>
          <w:i/>
        </w:rPr>
        <w:t>Aleš Palucha</w:t>
      </w:r>
    </w:p>
    <w:p w14:paraId="0EB2ACCC" w14:textId="3000BF35" w:rsidR="004311E6" w:rsidRPr="001C3F0C" w:rsidRDefault="004311E6" w:rsidP="00B46F87">
      <w:pPr>
        <w:tabs>
          <w:tab w:val="right" w:pos="9356"/>
        </w:tabs>
        <w:spacing w:before="240"/>
        <w:rPr>
          <w:rFonts w:cs="Arial"/>
          <w:b/>
          <w:sz w:val="24"/>
          <w:szCs w:val="24"/>
        </w:rPr>
      </w:pPr>
      <w:r w:rsidRPr="001C3F0C">
        <w:rPr>
          <w:rFonts w:cs="Arial"/>
          <w:b/>
          <w:sz w:val="24"/>
          <w:szCs w:val="24"/>
        </w:rPr>
        <w:t>Autoř</w:t>
      </w:r>
      <w:r w:rsidR="002E1F00" w:rsidRPr="001C3F0C">
        <w:rPr>
          <w:rFonts w:cs="Arial"/>
          <w:b/>
          <w:sz w:val="24"/>
          <w:szCs w:val="24"/>
        </w:rPr>
        <w:t>i jednotlivých kapitol</w:t>
      </w:r>
      <w:r w:rsidRPr="001C3F0C">
        <w:rPr>
          <w:rFonts w:cs="Arial"/>
          <w:b/>
          <w:sz w:val="24"/>
          <w:szCs w:val="24"/>
        </w:rPr>
        <w:t>:</w:t>
      </w:r>
    </w:p>
    <w:p w14:paraId="779BD2AA" w14:textId="79626993" w:rsidR="00E72FE8" w:rsidRPr="001C3F0C" w:rsidRDefault="00277CBC" w:rsidP="00A17C8A">
      <w:pPr>
        <w:tabs>
          <w:tab w:val="right" w:pos="9356"/>
        </w:tabs>
        <w:spacing w:after="0"/>
        <w:rPr>
          <w:rFonts w:cs="Arial"/>
        </w:rPr>
      </w:pPr>
      <w:r w:rsidRPr="001C3F0C">
        <w:rPr>
          <w:rFonts w:cs="Arial"/>
          <w:b/>
        </w:rPr>
        <w:t xml:space="preserve">A. Systém </w:t>
      </w:r>
      <w:proofErr w:type="spellStart"/>
      <w:r w:rsidRPr="001C3F0C">
        <w:rPr>
          <w:rFonts w:cs="Arial"/>
          <w:b/>
        </w:rPr>
        <w:t>VaVaI</w:t>
      </w:r>
      <w:proofErr w:type="spellEnd"/>
      <w:r w:rsidR="00C01DFD">
        <w:rPr>
          <w:rFonts w:cs="Arial"/>
          <w:b/>
        </w:rPr>
        <w:t xml:space="preserve"> v ČR</w:t>
      </w:r>
    </w:p>
    <w:p w14:paraId="2FEDCBAE" w14:textId="6FFBF315" w:rsidR="004311E6" w:rsidRPr="001C3F0C" w:rsidRDefault="00A57BE3" w:rsidP="00744A86">
      <w:pPr>
        <w:tabs>
          <w:tab w:val="right" w:pos="9356"/>
        </w:tabs>
        <w:spacing w:after="120"/>
        <w:rPr>
          <w:rFonts w:cs="Arial"/>
        </w:rPr>
      </w:pPr>
      <w:r>
        <w:rPr>
          <w:rFonts w:cs="Arial"/>
          <w:i/>
        </w:rPr>
        <w:t xml:space="preserve">Kateřina Machová, </w:t>
      </w:r>
      <w:r w:rsidR="003154EB">
        <w:rPr>
          <w:rFonts w:cs="Arial"/>
          <w:i/>
        </w:rPr>
        <w:t>Aleš Palucha</w:t>
      </w:r>
    </w:p>
    <w:p w14:paraId="50AB98DE" w14:textId="5375BCD5" w:rsidR="00E72FE8" w:rsidRPr="001C3F0C" w:rsidRDefault="00B41F10" w:rsidP="00A17C8A">
      <w:pPr>
        <w:tabs>
          <w:tab w:val="right" w:pos="9356"/>
        </w:tabs>
        <w:spacing w:after="0"/>
        <w:rPr>
          <w:rFonts w:cs="Arial"/>
          <w:b/>
        </w:rPr>
      </w:pPr>
      <w:r w:rsidRPr="001C3F0C">
        <w:rPr>
          <w:rFonts w:cs="Arial"/>
          <w:b/>
        </w:rPr>
        <w:t>B. Finance</w:t>
      </w:r>
      <w:r w:rsidR="004311E6" w:rsidRPr="001C3F0C">
        <w:rPr>
          <w:rFonts w:cs="Arial"/>
          <w:b/>
        </w:rPr>
        <w:t xml:space="preserve"> </w:t>
      </w:r>
    </w:p>
    <w:p w14:paraId="62146180" w14:textId="41667DF8" w:rsidR="004311E6" w:rsidRPr="001C3F0C" w:rsidRDefault="006C34D4" w:rsidP="00744A86">
      <w:pPr>
        <w:tabs>
          <w:tab w:val="right" w:pos="9356"/>
        </w:tabs>
        <w:spacing w:after="120"/>
        <w:rPr>
          <w:rFonts w:cs="Arial"/>
          <w:i/>
        </w:rPr>
      </w:pPr>
      <w:r>
        <w:rPr>
          <w:rFonts w:cs="Arial"/>
          <w:i/>
        </w:rPr>
        <w:t>Jana Kubecová</w:t>
      </w:r>
      <w:r w:rsidR="003154EB">
        <w:rPr>
          <w:rFonts w:cs="Arial"/>
          <w:i/>
        </w:rPr>
        <w:t xml:space="preserve">, </w:t>
      </w:r>
      <w:r w:rsidR="00A57BE3">
        <w:rPr>
          <w:rFonts w:cs="Arial"/>
          <w:i/>
        </w:rPr>
        <w:t xml:space="preserve">Lucie </w:t>
      </w:r>
      <w:proofErr w:type="spellStart"/>
      <w:r w:rsidR="00A57BE3">
        <w:rPr>
          <w:rFonts w:cs="Arial"/>
          <w:i/>
        </w:rPr>
        <w:t>Kureková</w:t>
      </w:r>
      <w:proofErr w:type="spellEnd"/>
      <w:r w:rsidR="00A57BE3">
        <w:rPr>
          <w:rFonts w:cs="Arial"/>
          <w:i/>
        </w:rPr>
        <w:t xml:space="preserve">, </w:t>
      </w:r>
      <w:r w:rsidR="003154EB">
        <w:rPr>
          <w:rFonts w:cs="Arial"/>
          <w:i/>
        </w:rPr>
        <w:t>Aleš Palucha</w:t>
      </w:r>
    </w:p>
    <w:p w14:paraId="32623DFA" w14:textId="620A34EC" w:rsidR="004311E6" w:rsidRPr="001C3F0C" w:rsidRDefault="00B41F10" w:rsidP="00A17C8A">
      <w:pPr>
        <w:tabs>
          <w:tab w:val="right" w:pos="9356"/>
        </w:tabs>
        <w:spacing w:after="0"/>
        <w:rPr>
          <w:rFonts w:cs="Arial"/>
          <w:b/>
        </w:rPr>
      </w:pPr>
      <w:r w:rsidRPr="001C3F0C">
        <w:rPr>
          <w:rFonts w:cs="Arial"/>
          <w:b/>
        </w:rPr>
        <w:t xml:space="preserve">C. </w:t>
      </w:r>
      <w:r w:rsidR="007B3D5D" w:rsidRPr="001C3F0C">
        <w:rPr>
          <w:rFonts w:cs="Arial"/>
          <w:b/>
        </w:rPr>
        <w:t>Lidé</w:t>
      </w:r>
      <w:r w:rsidR="004311E6" w:rsidRPr="001C3F0C">
        <w:rPr>
          <w:rFonts w:cs="Arial"/>
          <w:b/>
        </w:rPr>
        <w:t xml:space="preserve"> ve </w:t>
      </w:r>
      <w:proofErr w:type="spellStart"/>
      <w:r w:rsidRPr="001C3F0C">
        <w:rPr>
          <w:rFonts w:cs="Arial"/>
          <w:b/>
        </w:rPr>
        <w:t>VaVaI</w:t>
      </w:r>
      <w:proofErr w:type="spellEnd"/>
    </w:p>
    <w:p w14:paraId="6C1ED5BF" w14:textId="5A3FAF24" w:rsidR="003E6C2B" w:rsidRPr="001C3F0C" w:rsidRDefault="00A61AA5" w:rsidP="00C01DFD">
      <w:pPr>
        <w:tabs>
          <w:tab w:val="right" w:pos="9356"/>
        </w:tabs>
        <w:rPr>
          <w:rFonts w:cs="Arial"/>
          <w:i/>
        </w:rPr>
      </w:pPr>
      <w:r w:rsidRPr="001C3F0C">
        <w:rPr>
          <w:rFonts w:cs="Arial"/>
          <w:i/>
        </w:rPr>
        <w:t>Jan</w:t>
      </w:r>
      <w:r w:rsidR="00361051" w:rsidRPr="001C3F0C">
        <w:rPr>
          <w:rFonts w:cs="Arial"/>
          <w:i/>
        </w:rPr>
        <w:t>a </w:t>
      </w:r>
      <w:r w:rsidRPr="001C3F0C">
        <w:rPr>
          <w:rFonts w:cs="Arial"/>
          <w:i/>
        </w:rPr>
        <w:t>Kubecová</w:t>
      </w:r>
    </w:p>
    <w:p w14:paraId="09CF043B" w14:textId="0A3BFCE7" w:rsidR="00E72FE8" w:rsidRPr="001C3F0C" w:rsidRDefault="00B41F10" w:rsidP="00A17C8A">
      <w:pPr>
        <w:tabs>
          <w:tab w:val="right" w:pos="9356"/>
        </w:tabs>
        <w:spacing w:after="0"/>
        <w:rPr>
          <w:rFonts w:cs="Arial"/>
          <w:b/>
        </w:rPr>
      </w:pPr>
      <w:r w:rsidRPr="001C3F0C">
        <w:rPr>
          <w:rFonts w:cs="Arial"/>
          <w:b/>
        </w:rPr>
        <w:t xml:space="preserve">D. </w:t>
      </w:r>
      <w:r w:rsidR="00B638D9" w:rsidRPr="001C3F0C">
        <w:rPr>
          <w:rFonts w:cs="Arial"/>
          <w:b/>
        </w:rPr>
        <w:t xml:space="preserve">Výzkumné </w:t>
      </w:r>
      <w:r w:rsidRPr="001C3F0C">
        <w:rPr>
          <w:rFonts w:cs="Arial"/>
          <w:b/>
        </w:rPr>
        <w:t>organizace, zařízení a infrastruktura</w:t>
      </w:r>
    </w:p>
    <w:p w14:paraId="7BC80CF9" w14:textId="3886CFAF" w:rsidR="003E6C2B" w:rsidRPr="001C3F0C" w:rsidRDefault="006C34D4" w:rsidP="00B41F10">
      <w:pPr>
        <w:tabs>
          <w:tab w:val="right" w:pos="9356"/>
        </w:tabs>
        <w:spacing w:after="120"/>
        <w:rPr>
          <w:rFonts w:cs="Arial"/>
          <w:i/>
        </w:rPr>
      </w:pPr>
      <w:r>
        <w:rPr>
          <w:rFonts w:cs="Arial"/>
          <w:i/>
        </w:rPr>
        <w:t>Aleš Palucha</w:t>
      </w:r>
    </w:p>
    <w:p w14:paraId="2A0881CD" w14:textId="501C801A" w:rsidR="008337FB" w:rsidRPr="001C3F0C" w:rsidRDefault="00B41F10" w:rsidP="00A17C8A">
      <w:pPr>
        <w:tabs>
          <w:tab w:val="right" w:pos="9356"/>
        </w:tabs>
        <w:spacing w:after="0"/>
        <w:rPr>
          <w:rFonts w:cs="Arial"/>
          <w:b/>
        </w:rPr>
      </w:pPr>
      <w:r w:rsidRPr="001C3F0C">
        <w:rPr>
          <w:rFonts w:cs="Arial"/>
          <w:b/>
        </w:rPr>
        <w:t xml:space="preserve">E. Výkonnost a efektivita </w:t>
      </w:r>
      <w:proofErr w:type="spellStart"/>
      <w:r w:rsidRPr="001C3F0C">
        <w:rPr>
          <w:rFonts w:cs="Arial"/>
          <w:b/>
        </w:rPr>
        <w:t>VaVaI</w:t>
      </w:r>
      <w:proofErr w:type="spellEnd"/>
    </w:p>
    <w:p w14:paraId="23685E61" w14:textId="1550C156" w:rsidR="004311E6" w:rsidRPr="001C3F0C" w:rsidRDefault="00B41F10" w:rsidP="00744A86">
      <w:pPr>
        <w:tabs>
          <w:tab w:val="right" w:pos="9356"/>
        </w:tabs>
        <w:spacing w:after="120"/>
        <w:rPr>
          <w:rFonts w:cs="Arial"/>
          <w:i/>
        </w:rPr>
      </w:pPr>
      <w:r w:rsidRPr="001C3F0C">
        <w:rPr>
          <w:rFonts w:cs="Arial"/>
          <w:i/>
        </w:rPr>
        <w:t>Jana Kubecová</w:t>
      </w:r>
      <w:r w:rsidR="006C34D4">
        <w:rPr>
          <w:rFonts w:cs="Arial"/>
          <w:i/>
        </w:rPr>
        <w:t xml:space="preserve">, </w:t>
      </w:r>
      <w:r w:rsidR="00A57BE3">
        <w:rPr>
          <w:rFonts w:cs="Arial"/>
          <w:i/>
        </w:rPr>
        <w:t xml:space="preserve">Lucie </w:t>
      </w:r>
      <w:proofErr w:type="spellStart"/>
      <w:r w:rsidR="00A57BE3">
        <w:rPr>
          <w:rFonts w:cs="Arial"/>
          <w:i/>
        </w:rPr>
        <w:t>Kureková</w:t>
      </w:r>
      <w:proofErr w:type="spellEnd"/>
      <w:r w:rsidR="003154EB">
        <w:rPr>
          <w:rFonts w:cs="Arial"/>
          <w:i/>
        </w:rPr>
        <w:t xml:space="preserve">, </w:t>
      </w:r>
      <w:r w:rsidR="006C34D4">
        <w:rPr>
          <w:rFonts w:cs="Arial"/>
          <w:i/>
        </w:rPr>
        <w:t xml:space="preserve">Rudolf </w:t>
      </w:r>
      <w:proofErr w:type="spellStart"/>
      <w:r w:rsidR="006C34D4">
        <w:rPr>
          <w:rFonts w:cs="Arial"/>
          <w:i/>
        </w:rPr>
        <w:t>Pečinka</w:t>
      </w:r>
      <w:proofErr w:type="spellEnd"/>
    </w:p>
    <w:p w14:paraId="02CE394F" w14:textId="0F6220BB" w:rsidR="001421B6" w:rsidRPr="001C3F0C" w:rsidRDefault="00B41F10" w:rsidP="001421B6">
      <w:pPr>
        <w:tabs>
          <w:tab w:val="right" w:pos="9356"/>
        </w:tabs>
        <w:spacing w:after="0"/>
        <w:rPr>
          <w:rFonts w:cs="Arial"/>
          <w:b/>
        </w:rPr>
      </w:pPr>
      <w:r w:rsidRPr="001C3F0C">
        <w:rPr>
          <w:rFonts w:cs="Arial"/>
          <w:b/>
        </w:rPr>
        <w:t xml:space="preserve">F. </w:t>
      </w:r>
      <w:r w:rsidR="001421B6" w:rsidRPr="001C3F0C">
        <w:rPr>
          <w:rFonts w:cs="Arial"/>
          <w:b/>
        </w:rPr>
        <w:t>Mezinárodní spolupráce</w:t>
      </w:r>
    </w:p>
    <w:p w14:paraId="72C4C0CF" w14:textId="7DEB6821" w:rsidR="001421B6" w:rsidRPr="001C3F0C" w:rsidRDefault="00A57BE3" w:rsidP="00744A86">
      <w:pPr>
        <w:tabs>
          <w:tab w:val="right" w:pos="9356"/>
        </w:tabs>
        <w:spacing w:after="120"/>
        <w:rPr>
          <w:rFonts w:cs="Arial"/>
          <w:i/>
        </w:rPr>
      </w:pPr>
      <w:r>
        <w:rPr>
          <w:rFonts w:cs="Arial"/>
          <w:i/>
        </w:rPr>
        <w:t xml:space="preserve">Lucie </w:t>
      </w:r>
      <w:proofErr w:type="spellStart"/>
      <w:r>
        <w:rPr>
          <w:rFonts w:cs="Arial"/>
          <w:i/>
        </w:rPr>
        <w:t>Kureková</w:t>
      </w:r>
      <w:proofErr w:type="spellEnd"/>
      <w:r>
        <w:rPr>
          <w:rFonts w:cs="Arial"/>
          <w:i/>
        </w:rPr>
        <w:t xml:space="preserve">, </w:t>
      </w:r>
      <w:r w:rsidR="003154EB">
        <w:rPr>
          <w:rFonts w:cs="Arial"/>
          <w:i/>
        </w:rPr>
        <w:t>Aleš Palucha</w:t>
      </w:r>
    </w:p>
    <w:p w14:paraId="4277761C" w14:textId="45072012" w:rsidR="00DB6F6D" w:rsidRPr="001C3F0C" w:rsidRDefault="00DB6F6D" w:rsidP="00B46F87">
      <w:pPr>
        <w:tabs>
          <w:tab w:val="right" w:pos="9356"/>
        </w:tabs>
        <w:spacing w:before="240"/>
        <w:rPr>
          <w:rFonts w:cs="Arial"/>
          <w:b/>
          <w:sz w:val="24"/>
          <w:szCs w:val="24"/>
        </w:rPr>
      </w:pPr>
      <w:r w:rsidRPr="001C3F0C">
        <w:rPr>
          <w:rFonts w:cs="Arial"/>
          <w:b/>
          <w:sz w:val="24"/>
          <w:szCs w:val="24"/>
        </w:rPr>
        <w:t>Přílohová část:</w:t>
      </w:r>
    </w:p>
    <w:p w14:paraId="38058F2B" w14:textId="02D26FFC" w:rsidR="002C3945" w:rsidRPr="00326864" w:rsidRDefault="00DB6F6D" w:rsidP="00C34E9F">
      <w:pPr>
        <w:tabs>
          <w:tab w:val="right" w:pos="9356"/>
        </w:tabs>
        <w:spacing w:after="0"/>
        <w:jc w:val="both"/>
        <w:rPr>
          <w:rFonts w:cs="Arial"/>
          <w:b/>
        </w:rPr>
      </w:pPr>
      <w:r w:rsidRPr="00326864">
        <w:rPr>
          <w:rFonts w:cs="Arial"/>
          <w:b/>
        </w:rPr>
        <w:t xml:space="preserve">P1. </w:t>
      </w:r>
      <w:r w:rsidR="002C3945" w:rsidRPr="00326864">
        <w:rPr>
          <w:rFonts w:cs="Arial"/>
          <w:b/>
        </w:rPr>
        <w:t>Monitoring kvantitativních indikátorů plnění cílů Národní politiky výzkumu, vývoje a</w:t>
      </w:r>
      <w:r w:rsidR="00C34E9F" w:rsidRPr="00326864">
        <w:rPr>
          <w:rFonts w:cs="Arial"/>
          <w:b/>
        </w:rPr>
        <w:t> </w:t>
      </w:r>
      <w:r w:rsidR="002C3945" w:rsidRPr="00326864">
        <w:rPr>
          <w:rFonts w:cs="Arial"/>
          <w:b/>
        </w:rPr>
        <w:t>inovací ČR</w:t>
      </w:r>
    </w:p>
    <w:p w14:paraId="21C2D1B2" w14:textId="4420FFAF" w:rsidR="002C3945" w:rsidRPr="00326864" w:rsidRDefault="002C3945" w:rsidP="002C3945">
      <w:pPr>
        <w:tabs>
          <w:tab w:val="right" w:pos="9356"/>
        </w:tabs>
        <w:ind w:left="709" w:hanging="709"/>
        <w:rPr>
          <w:rFonts w:cs="Arial"/>
          <w:i/>
        </w:rPr>
      </w:pPr>
      <w:r w:rsidRPr="00326864">
        <w:rPr>
          <w:rFonts w:cs="Arial"/>
          <w:i/>
        </w:rPr>
        <w:t>Technologick</w:t>
      </w:r>
      <w:r w:rsidR="0021475A" w:rsidRPr="00326864">
        <w:rPr>
          <w:rFonts w:cs="Arial"/>
          <w:i/>
        </w:rPr>
        <w:t>é</w:t>
      </w:r>
      <w:r w:rsidRPr="00326864">
        <w:rPr>
          <w:rFonts w:cs="Arial"/>
          <w:i/>
        </w:rPr>
        <w:t xml:space="preserve"> centr</w:t>
      </w:r>
      <w:r w:rsidR="00F20AA3" w:rsidRPr="00326864">
        <w:rPr>
          <w:rFonts w:cs="Arial"/>
          <w:i/>
        </w:rPr>
        <w:t>um</w:t>
      </w:r>
      <w:r w:rsidRPr="00326864">
        <w:rPr>
          <w:rFonts w:cs="Arial"/>
          <w:i/>
        </w:rPr>
        <w:t xml:space="preserve"> </w:t>
      </w:r>
      <w:r w:rsidR="0086176E" w:rsidRPr="00326864">
        <w:rPr>
          <w:rFonts w:cs="Arial"/>
          <w:i/>
        </w:rPr>
        <w:t>Praha</w:t>
      </w:r>
    </w:p>
    <w:p w14:paraId="33BF1A6A" w14:textId="0EEB44B2" w:rsidR="004311E6" w:rsidRPr="00FB2823" w:rsidRDefault="00D766F6" w:rsidP="001421B6">
      <w:pPr>
        <w:spacing w:before="240" w:after="120"/>
        <w:rPr>
          <w:rFonts w:cs="Arial"/>
          <w:b/>
          <w:sz w:val="24"/>
          <w:szCs w:val="24"/>
        </w:rPr>
      </w:pPr>
      <w:r w:rsidRPr="00FB2823">
        <w:rPr>
          <w:rFonts w:cs="Arial"/>
          <w:b/>
          <w:sz w:val="24"/>
          <w:szCs w:val="24"/>
        </w:rPr>
        <w:t>Zpravodajové Rady pro výzkum, vývoj a inovace</w:t>
      </w:r>
      <w:r w:rsidR="004311E6" w:rsidRPr="00FB2823">
        <w:rPr>
          <w:rFonts w:cs="Arial"/>
          <w:b/>
          <w:sz w:val="24"/>
          <w:szCs w:val="24"/>
        </w:rPr>
        <w:t>:</w:t>
      </w:r>
    </w:p>
    <w:p w14:paraId="45651D90" w14:textId="48D454A9" w:rsidR="004311E6" w:rsidRPr="00FB2823" w:rsidRDefault="00744A86" w:rsidP="003E6C2B">
      <w:pPr>
        <w:spacing w:afterLines="60" w:after="144" w:line="240" w:lineRule="auto"/>
        <w:rPr>
          <w:rFonts w:cs="Arial"/>
        </w:rPr>
      </w:pPr>
      <w:r w:rsidRPr="00FB2823">
        <w:rPr>
          <w:rFonts w:cs="Arial"/>
        </w:rPr>
        <w:t>prof. PhDr. Dana Hamplová, Ph.D.</w:t>
      </w:r>
    </w:p>
    <w:p w14:paraId="14C0A014" w14:textId="4A6A2F90" w:rsidR="00744A86" w:rsidRPr="00FB2823" w:rsidRDefault="00744A86" w:rsidP="003E6C2B">
      <w:pPr>
        <w:spacing w:afterLines="60" w:after="144" w:line="240" w:lineRule="auto"/>
        <w:rPr>
          <w:rFonts w:cs="Arial"/>
        </w:rPr>
      </w:pPr>
      <w:r w:rsidRPr="00FB2823">
        <w:rPr>
          <w:rFonts w:cs="Arial"/>
        </w:rPr>
        <w:t>prof. Ing. Vladimír Mařík, DrSc., dr.</w:t>
      </w:r>
      <w:r w:rsidR="00C87356">
        <w:rPr>
          <w:rFonts w:cs="Arial"/>
        </w:rPr>
        <w:t xml:space="preserve"> </w:t>
      </w:r>
      <w:r w:rsidRPr="00FB2823">
        <w:rPr>
          <w:rFonts w:cs="Arial"/>
        </w:rPr>
        <w:t>h.</w:t>
      </w:r>
      <w:r w:rsidR="00C87356">
        <w:rPr>
          <w:rFonts w:cs="Arial"/>
        </w:rPr>
        <w:t xml:space="preserve"> </w:t>
      </w:r>
      <w:r w:rsidRPr="00FB2823">
        <w:rPr>
          <w:rFonts w:cs="Arial"/>
        </w:rPr>
        <w:t>c.</w:t>
      </w:r>
    </w:p>
    <w:p w14:paraId="007881B5" w14:textId="012229F4" w:rsidR="00931E4F" w:rsidRPr="00641BC4" w:rsidRDefault="00011DB4" w:rsidP="008A7C6F">
      <w:pPr>
        <w:pStyle w:val="Souhrn"/>
      </w:pPr>
      <w:bookmarkStart w:id="52" w:name="_Toc87340800"/>
      <w:bookmarkStart w:id="53" w:name="_Toc215589320"/>
      <w:r w:rsidRPr="00641BC4">
        <w:lastRenderedPageBreak/>
        <w:t>Příloh</w:t>
      </w:r>
      <w:r w:rsidR="000A3BA0" w:rsidRPr="00641BC4">
        <w:t>ová část</w:t>
      </w:r>
      <w:bookmarkEnd w:id="52"/>
      <w:bookmarkEnd w:id="53"/>
    </w:p>
    <w:p w14:paraId="2A14AE5C" w14:textId="7249F795" w:rsidR="00DF4550" w:rsidRPr="004A4B96" w:rsidRDefault="00D7788A" w:rsidP="008A7C6F">
      <w:pPr>
        <w:pStyle w:val="Plohanadpis"/>
      </w:pPr>
      <w:bookmarkStart w:id="54" w:name="_Toc87340801"/>
      <w:bookmarkStart w:id="55" w:name="_Toc215589321"/>
      <w:r w:rsidRPr="004A4B96">
        <w:t>P.</w:t>
      </w:r>
      <w:r w:rsidR="005011E3" w:rsidRPr="004A4B96">
        <w:t xml:space="preserve"> </w:t>
      </w:r>
      <w:r w:rsidRPr="004A4B96">
        <w:t xml:space="preserve">1 </w:t>
      </w:r>
      <w:r w:rsidR="00DF4550" w:rsidRPr="004A4B96">
        <w:t xml:space="preserve">Monitoring kvantitativních indikátorů plnění cílů Národní politiky výzkumu, vývoje </w:t>
      </w:r>
      <w:r w:rsidR="00361051" w:rsidRPr="004A4B96">
        <w:t>a </w:t>
      </w:r>
      <w:r w:rsidR="00DF4550" w:rsidRPr="004A4B96">
        <w:t>inovací ČR</w:t>
      </w:r>
      <w:bookmarkEnd w:id="54"/>
      <w:bookmarkEnd w:id="55"/>
    </w:p>
    <w:p w14:paraId="7BC08ABC" w14:textId="77777777" w:rsidR="00150CEC" w:rsidRDefault="00150CEC" w:rsidP="00150CEC">
      <w:pPr>
        <w:spacing w:after="120" w:line="360" w:lineRule="auto"/>
        <w:ind w:firstLine="709"/>
        <w:jc w:val="both"/>
        <w:rPr>
          <w:rFonts w:cs="Arial"/>
        </w:rPr>
      </w:pPr>
      <w:r w:rsidRPr="00637E01">
        <w:rPr>
          <w:rFonts w:cs="Arial"/>
          <w:lang w:eastAsia="cs-CZ"/>
        </w:rPr>
        <w:t>Národní politika výzkumu, výv</w:t>
      </w:r>
      <w:r>
        <w:rPr>
          <w:rFonts w:cs="Arial"/>
          <w:lang w:eastAsia="cs-CZ"/>
        </w:rPr>
        <w:t>oje a inovací ČR na léta 2016–</w:t>
      </w:r>
      <w:r w:rsidRPr="00637E01">
        <w:rPr>
          <w:rFonts w:cs="Arial"/>
          <w:lang w:eastAsia="cs-CZ"/>
        </w:rPr>
        <w:t>2020 (NP </w:t>
      </w:r>
      <w:proofErr w:type="spellStart"/>
      <w:r w:rsidRPr="00637E01">
        <w:rPr>
          <w:rFonts w:cs="Arial"/>
          <w:lang w:eastAsia="cs-CZ"/>
        </w:rPr>
        <w:t>VaVaI</w:t>
      </w:r>
      <w:proofErr w:type="spellEnd"/>
      <w:r w:rsidRPr="00637E01">
        <w:rPr>
          <w:rFonts w:cs="Arial"/>
          <w:lang w:eastAsia="cs-CZ"/>
        </w:rPr>
        <w:t xml:space="preserve">) jako zastřešující strategický dokument v oblasti </w:t>
      </w:r>
      <w:proofErr w:type="spellStart"/>
      <w:r w:rsidRPr="00637E01">
        <w:rPr>
          <w:rFonts w:cs="Arial"/>
          <w:lang w:eastAsia="cs-CZ"/>
        </w:rPr>
        <w:t>VaVaI</w:t>
      </w:r>
      <w:proofErr w:type="spellEnd"/>
      <w:r w:rsidRPr="00637E01">
        <w:rPr>
          <w:rFonts w:cs="Arial"/>
          <w:lang w:eastAsia="cs-CZ"/>
        </w:rPr>
        <w:t xml:space="preserve"> je navržena včetně indikátorové soustavy. Pomocí stanovených indikátorů je možné posuzovat pokrok při plnění cílů v souvislosti s realizací uvedené strategie.</w:t>
      </w:r>
      <w:r w:rsidRPr="00637E01">
        <w:rPr>
          <w:rFonts w:cs="Arial"/>
        </w:rPr>
        <w:t xml:space="preserve"> Součástí implementace NP </w:t>
      </w:r>
      <w:proofErr w:type="spellStart"/>
      <w:r w:rsidRPr="00637E01">
        <w:rPr>
          <w:rFonts w:cs="Arial"/>
        </w:rPr>
        <w:t>VaVaI</w:t>
      </w:r>
      <w:proofErr w:type="spellEnd"/>
      <w:r w:rsidRPr="00637E01">
        <w:rPr>
          <w:rFonts w:cs="Arial"/>
        </w:rPr>
        <w:t xml:space="preserve"> má být také pravidelný monitoring indikátorů a jejich analýza. </w:t>
      </w:r>
      <w:r w:rsidRPr="00637E01">
        <w:rPr>
          <w:rFonts w:cs="Arial"/>
          <w:b/>
        </w:rPr>
        <w:t xml:space="preserve">Interim hodnocení NP </w:t>
      </w:r>
      <w:proofErr w:type="spellStart"/>
      <w:r w:rsidRPr="00637E01">
        <w:rPr>
          <w:rFonts w:cs="Arial"/>
          <w:b/>
        </w:rPr>
        <w:t>VaVaI</w:t>
      </w:r>
      <w:proofErr w:type="spellEnd"/>
      <w:r w:rsidRPr="00637E01">
        <w:rPr>
          <w:rFonts w:cs="Arial"/>
        </w:rPr>
        <w:t xml:space="preserve"> </w:t>
      </w:r>
      <w:r>
        <w:rPr>
          <w:rFonts w:cs="Arial"/>
        </w:rPr>
        <w:t xml:space="preserve">bylo </w:t>
      </w:r>
      <w:r w:rsidRPr="00637E01">
        <w:rPr>
          <w:rFonts w:cs="Arial"/>
        </w:rPr>
        <w:t>provedeno v souladu se</w:t>
      </w:r>
      <w:r>
        <w:rPr>
          <w:rFonts w:cs="Arial"/>
        </w:rPr>
        <w:t> </w:t>
      </w:r>
      <w:r w:rsidRPr="00637E01">
        <w:rPr>
          <w:rFonts w:cs="Arial"/>
        </w:rPr>
        <w:t xml:space="preserve">zásadními milníky jejího specifického cíle 1.3: </w:t>
      </w:r>
      <w:r w:rsidRPr="00637E01">
        <w:rPr>
          <w:rFonts w:cs="Arial"/>
          <w:bCs/>
        </w:rPr>
        <w:t xml:space="preserve">Posílit strategickou inteligenci pro politiku </w:t>
      </w:r>
      <w:proofErr w:type="spellStart"/>
      <w:r w:rsidRPr="00637E01">
        <w:rPr>
          <w:rFonts w:cs="Arial"/>
          <w:bCs/>
        </w:rPr>
        <w:t>VaVaI</w:t>
      </w:r>
      <w:proofErr w:type="spellEnd"/>
      <w:r w:rsidRPr="00637E01">
        <w:rPr>
          <w:rFonts w:cs="Arial"/>
          <w:b/>
          <w:bCs/>
        </w:rPr>
        <w:t xml:space="preserve"> </w:t>
      </w:r>
      <w:r w:rsidRPr="00637E01">
        <w:rPr>
          <w:rFonts w:cs="Arial"/>
          <w:b/>
        </w:rPr>
        <w:t>v roce 2018 v gesci ÚV ČR – Odbor RVVI</w:t>
      </w:r>
      <w:r w:rsidRPr="00637E01">
        <w:rPr>
          <w:rFonts w:cs="Arial"/>
        </w:rPr>
        <w:t>.</w:t>
      </w:r>
    </w:p>
    <w:p w14:paraId="6ECCCF65" w14:textId="7E86A959" w:rsidR="00150CEC" w:rsidRPr="00637E01" w:rsidRDefault="00150CEC" w:rsidP="00150CEC">
      <w:pPr>
        <w:spacing w:after="120" w:line="360" w:lineRule="auto"/>
        <w:ind w:firstLine="709"/>
        <w:jc w:val="both"/>
        <w:rPr>
          <w:rFonts w:cs="Arial"/>
        </w:rPr>
      </w:pPr>
      <w:r w:rsidRPr="00637E01">
        <w:rPr>
          <w:rFonts w:cs="Arial"/>
        </w:rPr>
        <w:t xml:space="preserve">V rámci </w:t>
      </w:r>
      <w:r w:rsidRPr="00637E01">
        <w:rPr>
          <w:rFonts w:cs="Arial"/>
          <w:b/>
        </w:rPr>
        <w:t>zahájení pravidelného monitoringu</w:t>
      </w:r>
      <w:r w:rsidRPr="00637E01">
        <w:rPr>
          <w:rFonts w:cs="Arial"/>
        </w:rPr>
        <w:t xml:space="preserve"> byly stanoveny aktuální </w:t>
      </w:r>
      <w:r w:rsidRPr="00637E01">
        <w:rPr>
          <w:rFonts w:cs="Arial"/>
          <w:b/>
        </w:rPr>
        <w:t>hodnoty kvantitativních indikátorů</w:t>
      </w:r>
      <w:r w:rsidRPr="00637E01">
        <w:rPr>
          <w:rFonts w:cs="Arial"/>
        </w:rPr>
        <w:t xml:space="preserve"> (ve většině případů</w:t>
      </w:r>
      <w:r>
        <w:rPr>
          <w:rFonts w:cs="Arial"/>
        </w:rPr>
        <w:t>,</w:t>
      </w:r>
      <w:r w:rsidRPr="00637E01">
        <w:rPr>
          <w:rFonts w:cs="Arial"/>
        </w:rPr>
        <w:t xml:space="preserve"> pokud to bylo možné</w:t>
      </w:r>
      <w:r>
        <w:rPr>
          <w:rFonts w:cs="Arial"/>
        </w:rPr>
        <w:t>,</w:t>
      </w:r>
      <w:r w:rsidRPr="00637E01">
        <w:rPr>
          <w:rFonts w:cs="Arial"/>
        </w:rPr>
        <w:t xml:space="preserve"> za rok 2016). Indikátorová soustava navržená v NP </w:t>
      </w:r>
      <w:proofErr w:type="spellStart"/>
      <w:r w:rsidRPr="00637E01">
        <w:rPr>
          <w:rFonts w:cs="Arial"/>
        </w:rPr>
        <w:t>VaVaI</w:t>
      </w:r>
      <w:proofErr w:type="spellEnd"/>
      <w:r w:rsidRPr="00637E01">
        <w:rPr>
          <w:rFonts w:cs="Arial"/>
        </w:rPr>
        <w:t xml:space="preserve"> obsahuje takové kvalitativní a kvantitativní indikátory, které byly relevantní v době její tvorby.</w:t>
      </w:r>
      <w:r>
        <w:rPr>
          <w:rFonts w:cs="Arial"/>
        </w:rPr>
        <w:t xml:space="preserve"> V tabulce </w:t>
      </w:r>
      <w:r w:rsidRPr="00637E01">
        <w:rPr>
          <w:rFonts w:cs="Arial"/>
        </w:rPr>
        <w:t xml:space="preserve">P.1 </w:t>
      </w:r>
      <w:r>
        <w:rPr>
          <w:rFonts w:cs="Arial"/>
        </w:rPr>
        <w:t xml:space="preserve">jsou uvedeny hodnoty </w:t>
      </w:r>
      <w:r w:rsidRPr="00637E01">
        <w:rPr>
          <w:rFonts w:cs="Arial"/>
        </w:rPr>
        <w:t xml:space="preserve">těchto indikátorů </w:t>
      </w:r>
      <w:r>
        <w:rPr>
          <w:rFonts w:cs="Arial"/>
        </w:rPr>
        <w:t xml:space="preserve">zpravidla </w:t>
      </w:r>
      <w:r w:rsidRPr="00637E01">
        <w:rPr>
          <w:rFonts w:cs="Arial"/>
        </w:rPr>
        <w:t>za rok 20</w:t>
      </w:r>
      <w:r>
        <w:rPr>
          <w:rFonts w:cs="Arial"/>
        </w:rPr>
        <w:t>23 (pokud hodnoty z tohoto roku nebyly k dispozici, je uveden údaj z posledního roku s dostupnými údaji)</w:t>
      </w:r>
      <w:r w:rsidRPr="00637E01">
        <w:rPr>
          <w:rFonts w:cs="Arial"/>
        </w:rPr>
        <w:t xml:space="preserve">. Tabulka uvádí mimo jiné </w:t>
      </w:r>
      <w:r w:rsidRPr="00637E01">
        <w:rPr>
          <w:rFonts w:cs="Arial"/>
          <w:b/>
        </w:rPr>
        <w:t>u některých indikátorů zpřesnění</w:t>
      </w:r>
      <w:r w:rsidRPr="00637E01">
        <w:rPr>
          <w:rFonts w:cs="Arial"/>
        </w:rPr>
        <w:t xml:space="preserve"> ve smyslu </w:t>
      </w:r>
      <w:r>
        <w:rPr>
          <w:rFonts w:cs="Arial"/>
        </w:rPr>
        <w:t xml:space="preserve">jejich </w:t>
      </w:r>
      <w:r w:rsidRPr="00637E01">
        <w:rPr>
          <w:rFonts w:cs="Arial"/>
        </w:rPr>
        <w:t>lepší vypovídací schopnosti</w:t>
      </w:r>
      <w:r>
        <w:rPr>
          <w:rFonts w:cs="Arial"/>
        </w:rPr>
        <w:t>. Jelikož v současné době probíhá rámcový program Horizont Evropa, jsou indikátory pro účast ČR v rámcovém programu Horizont 2020 doplněny o stejné indikátory pro program Horizont Evropa.  Vzhledem k tomu, že</w:t>
      </w:r>
      <w:r w:rsidR="00337A8C">
        <w:rPr>
          <w:rFonts w:cs="Arial"/>
        </w:rPr>
        <w:t> </w:t>
      </w:r>
      <w:r>
        <w:rPr>
          <w:rFonts w:cs="Arial"/>
        </w:rPr>
        <w:t>některá data využívaná pro stanovení kvantitativních indikátorů jejich poskytovatelé průběžně aktualizují a zpětně upravují, byly u některých indikátorů zpětně stanoveny i jejich hodnoty v předcházejících letech. Další informace ke stanovení indikátorů jsou uvedeny v poznámkách pod tabulkou.</w:t>
      </w:r>
    </w:p>
    <w:p w14:paraId="72E3CBF7" w14:textId="77777777" w:rsidR="004A4B96" w:rsidRPr="00637E01" w:rsidRDefault="004A4B96" w:rsidP="00150CEC">
      <w:pPr>
        <w:keepNext/>
        <w:spacing w:after="240" w:line="240" w:lineRule="auto"/>
        <w:jc w:val="both"/>
        <w:rPr>
          <w:rFonts w:cs="Arial"/>
          <w:b/>
          <w:lang w:eastAsia="cs-CZ"/>
        </w:rPr>
      </w:pPr>
      <w:r w:rsidRPr="00637E01">
        <w:rPr>
          <w:rFonts w:cs="Arial"/>
          <w:b/>
          <w:lang w:eastAsia="cs-CZ"/>
        </w:rPr>
        <w:t>Tabulka P.1: Hodnoty kvantitativních indikátorů pro hodnocení pokroku v plnění cílů Národní politiky výzkumu, vývoje a inovací ČR na léta 2016–2020</w:t>
      </w:r>
    </w:p>
    <w:tbl>
      <w:tblPr>
        <w:tblStyle w:val="Mkatabulky"/>
        <w:tblW w:w="4962" w:type="pct"/>
        <w:tblInd w:w="108" w:type="dxa"/>
        <w:tblLayout w:type="fixed"/>
        <w:tblLook w:val="04A0" w:firstRow="1" w:lastRow="0" w:firstColumn="1" w:lastColumn="0" w:noHBand="0" w:noVBand="1"/>
      </w:tblPr>
      <w:tblGrid>
        <w:gridCol w:w="738"/>
        <w:gridCol w:w="3059"/>
        <w:gridCol w:w="1914"/>
        <w:gridCol w:w="1929"/>
        <w:gridCol w:w="1857"/>
      </w:tblGrid>
      <w:tr w:rsidR="00150CEC" w:rsidRPr="00637E01" w14:paraId="374051E3" w14:textId="77777777" w:rsidTr="00150CEC">
        <w:trPr>
          <w:trHeight w:val="787"/>
          <w:tblHeader/>
        </w:trPr>
        <w:tc>
          <w:tcPr>
            <w:tcW w:w="739" w:type="dxa"/>
            <w:shd w:val="clear" w:color="auto" w:fill="F2F2F2" w:themeFill="background1" w:themeFillShade="F2"/>
            <w:vAlign w:val="center"/>
          </w:tcPr>
          <w:p w14:paraId="0D433BC5" w14:textId="77777777" w:rsidR="00150CEC" w:rsidRPr="00637E01" w:rsidRDefault="00150CEC" w:rsidP="00307AF7">
            <w:pPr>
              <w:rPr>
                <w:rFonts w:cs="Arial"/>
                <w:sz w:val="18"/>
                <w:szCs w:val="18"/>
              </w:rPr>
            </w:pPr>
          </w:p>
        </w:tc>
        <w:tc>
          <w:tcPr>
            <w:tcW w:w="3059" w:type="dxa"/>
            <w:shd w:val="clear" w:color="auto" w:fill="F2F2F2" w:themeFill="background1" w:themeFillShade="F2"/>
            <w:vAlign w:val="center"/>
          </w:tcPr>
          <w:p w14:paraId="6758A0C6" w14:textId="77777777" w:rsidR="00150CEC" w:rsidRPr="00637E01" w:rsidRDefault="00150CEC" w:rsidP="00307AF7">
            <w:pPr>
              <w:spacing w:before="120" w:after="60"/>
              <w:jc w:val="center"/>
              <w:rPr>
                <w:rFonts w:cs="Arial"/>
                <w:b/>
                <w:sz w:val="18"/>
                <w:szCs w:val="18"/>
              </w:rPr>
            </w:pPr>
            <w:r w:rsidRPr="00637E01">
              <w:rPr>
                <w:rFonts w:cs="Arial"/>
                <w:b/>
                <w:sz w:val="18"/>
                <w:szCs w:val="18"/>
              </w:rPr>
              <w:t>Název</w:t>
            </w:r>
          </w:p>
        </w:tc>
        <w:tc>
          <w:tcPr>
            <w:tcW w:w="1914" w:type="dxa"/>
            <w:shd w:val="clear" w:color="auto" w:fill="F2F2F2" w:themeFill="background1" w:themeFillShade="F2"/>
            <w:vAlign w:val="center"/>
          </w:tcPr>
          <w:p w14:paraId="4E1CAC36" w14:textId="77777777" w:rsidR="00150CEC" w:rsidRPr="00637E01" w:rsidRDefault="00150CEC" w:rsidP="00307AF7">
            <w:pPr>
              <w:spacing w:before="120" w:after="60"/>
              <w:jc w:val="center"/>
              <w:rPr>
                <w:rFonts w:cs="Arial"/>
                <w:b/>
                <w:sz w:val="18"/>
                <w:szCs w:val="18"/>
              </w:rPr>
            </w:pPr>
            <w:r w:rsidRPr="00637E01">
              <w:rPr>
                <w:rFonts w:cs="Arial"/>
                <w:b/>
                <w:sz w:val="18"/>
                <w:szCs w:val="18"/>
              </w:rPr>
              <w:t xml:space="preserve">Výchozí hodnota při tvorbě NP </w:t>
            </w:r>
            <w:proofErr w:type="spellStart"/>
            <w:r w:rsidRPr="00637E01">
              <w:rPr>
                <w:rFonts w:cs="Arial"/>
                <w:b/>
                <w:sz w:val="18"/>
                <w:szCs w:val="18"/>
              </w:rPr>
              <w:t>VaVaI</w:t>
            </w:r>
            <w:proofErr w:type="spellEnd"/>
            <w:r w:rsidRPr="00637E01">
              <w:rPr>
                <w:rFonts w:cs="Arial"/>
                <w:b/>
                <w:sz w:val="18"/>
                <w:szCs w:val="18"/>
              </w:rPr>
              <w:t xml:space="preserve"> (rok)</w:t>
            </w:r>
          </w:p>
        </w:tc>
        <w:tc>
          <w:tcPr>
            <w:tcW w:w="1929" w:type="dxa"/>
            <w:shd w:val="clear" w:color="auto" w:fill="F2F2F2" w:themeFill="background1" w:themeFillShade="F2"/>
            <w:vAlign w:val="center"/>
          </w:tcPr>
          <w:p w14:paraId="3D077D1E" w14:textId="77777777" w:rsidR="00150CEC" w:rsidRPr="00637E01" w:rsidRDefault="00150CEC" w:rsidP="00307AF7">
            <w:pPr>
              <w:spacing w:before="120" w:after="60"/>
              <w:jc w:val="center"/>
              <w:rPr>
                <w:rFonts w:cs="Arial"/>
                <w:b/>
                <w:sz w:val="18"/>
                <w:szCs w:val="18"/>
              </w:rPr>
            </w:pPr>
            <w:r w:rsidRPr="00637E01">
              <w:rPr>
                <w:rFonts w:cs="Arial"/>
                <w:b/>
                <w:sz w:val="18"/>
                <w:szCs w:val="18"/>
              </w:rPr>
              <w:t>Výchozí hodnota pro monitoring plnění cílů (rok)</w:t>
            </w:r>
          </w:p>
        </w:tc>
        <w:tc>
          <w:tcPr>
            <w:tcW w:w="1857" w:type="dxa"/>
            <w:shd w:val="clear" w:color="auto" w:fill="F2F2F2" w:themeFill="background1" w:themeFillShade="F2"/>
            <w:vAlign w:val="center"/>
          </w:tcPr>
          <w:p w14:paraId="6357B825" w14:textId="77777777" w:rsidR="00150CEC" w:rsidRPr="00637E01" w:rsidRDefault="00150CEC" w:rsidP="00307AF7">
            <w:pPr>
              <w:spacing w:before="120" w:after="60"/>
              <w:jc w:val="center"/>
              <w:rPr>
                <w:rFonts w:cs="Arial"/>
                <w:b/>
                <w:sz w:val="18"/>
                <w:szCs w:val="18"/>
              </w:rPr>
            </w:pPr>
            <w:r>
              <w:rPr>
                <w:rFonts w:cs="Arial"/>
                <w:b/>
                <w:sz w:val="18"/>
                <w:szCs w:val="18"/>
              </w:rPr>
              <w:t>Aktuální h</w:t>
            </w:r>
            <w:r w:rsidRPr="00637E01">
              <w:rPr>
                <w:rFonts w:cs="Arial"/>
                <w:b/>
                <w:sz w:val="18"/>
                <w:szCs w:val="18"/>
              </w:rPr>
              <w:t xml:space="preserve">odnota ukazatele </w:t>
            </w:r>
            <w:r>
              <w:rPr>
                <w:rFonts w:cs="Arial"/>
                <w:b/>
                <w:sz w:val="18"/>
                <w:szCs w:val="18"/>
              </w:rPr>
              <w:t>(rok)</w:t>
            </w:r>
          </w:p>
        </w:tc>
      </w:tr>
      <w:tr w:rsidR="00150CEC" w:rsidRPr="00637E01" w14:paraId="7213A792" w14:textId="77777777" w:rsidTr="00150CEC">
        <w:trPr>
          <w:trHeight w:val="794"/>
        </w:trPr>
        <w:tc>
          <w:tcPr>
            <w:tcW w:w="739" w:type="dxa"/>
            <w:vAlign w:val="center"/>
          </w:tcPr>
          <w:p w14:paraId="39924144" w14:textId="77777777" w:rsidR="00150CEC" w:rsidRPr="00637E01" w:rsidRDefault="00150CEC" w:rsidP="00307AF7">
            <w:pPr>
              <w:spacing w:before="120" w:after="120"/>
              <w:jc w:val="center"/>
              <w:rPr>
                <w:rFonts w:cs="Arial"/>
                <w:sz w:val="18"/>
                <w:szCs w:val="18"/>
              </w:rPr>
            </w:pPr>
            <w:r w:rsidRPr="00637E01">
              <w:rPr>
                <w:rFonts w:cs="Arial"/>
                <w:sz w:val="18"/>
                <w:szCs w:val="18"/>
              </w:rPr>
              <w:t>1</w:t>
            </w:r>
          </w:p>
        </w:tc>
        <w:tc>
          <w:tcPr>
            <w:tcW w:w="3059" w:type="dxa"/>
            <w:vAlign w:val="center"/>
          </w:tcPr>
          <w:p w14:paraId="3ADE9257" w14:textId="77777777" w:rsidR="00150CEC" w:rsidRPr="00637E01" w:rsidRDefault="00150CEC" w:rsidP="00307AF7">
            <w:pPr>
              <w:spacing w:before="60" w:after="60"/>
              <w:rPr>
                <w:rFonts w:cs="Arial"/>
                <w:sz w:val="18"/>
                <w:szCs w:val="18"/>
              </w:rPr>
            </w:pPr>
            <w:r w:rsidRPr="00637E01">
              <w:rPr>
                <w:rFonts w:cs="Arial"/>
                <w:sz w:val="18"/>
                <w:szCs w:val="18"/>
              </w:rPr>
              <w:t>Počet absolventů doktorského studia ve věku 25–34 let na milion obyvatel stejné věkové skupiny</w:t>
            </w:r>
          </w:p>
        </w:tc>
        <w:tc>
          <w:tcPr>
            <w:tcW w:w="1914" w:type="dxa"/>
            <w:vAlign w:val="center"/>
          </w:tcPr>
          <w:p w14:paraId="07A0D5C5" w14:textId="77777777" w:rsidR="00150CEC" w:rsidRPr="00637E01" w:rsidRDefault="00150CEC" w:rsidP="00307AF7">
            <w:pPr>
              <w:spacing w:before="60" w:after="60"/>
              <w:jc w:val="center"/>
              <w:rPr>
                <w:rFonts w:cs="Arial"/>
                <w:sz w:val="18"/>
                <w:szCs w:val="18"/>
              </w:rPr>
            </w:pPr>
            <w:r w:rsidRPr="00637E01">
              <w:rPr>
                <w:rFonts w:cs="Arial"/>
                <w:sz w:val="18"/>
                <w:szCs w:val="18"/>
              </w:rPr>
              <w:t>1</w:t>
            </w:r>
            <w:r>
              <w:rPr>
                <w:rFonts w:cs="Arial"/>
                <w:sz w:val="18"/>
                <w:szCs w:val="18"/>
              </w:rPr>
              <w:t> 114</w:t>
            </w:r>
          </w:p>
          <w:p w14:paraId="4035A8F4" w14:textId="77777777" w:rsidR="00150CEC" w:rsidRPr="00637E01" w:rsidRDefault="00150CEC" w:rsidP="00307AF7">
            <w:pPr>
              <w:spacing w:before="60" w:after="60"/>
              <w:jc w:val="center"/>
              <w:rPr>
                <w:rFonts w:cs="Arial"/>
                <w:sz w:val="18"/>
                <w:szCs w:val="18"/>
              </w:rPr>
            </w:pPr>
            <w:r w:rsidRPr="00637E01">
              <w:rPr>
                <w:rFonts w:cs="Arial"/>
                <w:sz w:val="18"/>
                <w:szCs w:val="18"/>
              </w:rPr>
              <w:t>(201</w:t>
            </w:r>
            <w:r>
              <w:rPr>
                <w:rFonts w:cs="Arial"/>
                <w:sz w:val="18"/>
                <w:szCs w:val="18"/>
              </w:rPr>
              <w:t>3</w:t>
            </w:r>
            <w:r w:rsidRPr="00637E01">
              <w:rPr>
                <w:rFonts w:cs="Arial"/>
                <w:sz w:val="18"/>
                <w:szCs w:val="18"/>
              </w:rPr>
              <w:t>)</w:t>
            </w:r>
          </w:p>
        </w:tc>
        <w:tc>
          <w:tcPr>
            <w:tcW w:w="1929" w:type="dxa"/>
            <w:vAlign w:val="center"/>
          </w:tcPr>
          <w:p w14:paraId="659F6FEE" w14:textId="77777777" w:rsidR="00150CEC" w:rsidRPr="00637E01" w:rsidRDefault="00150CEC" w:rsidP="00307AF7">
            <w:pPr>
              <w:spacing w:before="60" w:after="60"/>
              <w:jc w:val="center"/>
              <w:rPr>
                <w:rFonts w:cs="Arial"/>
                <w:sz w:val="18"/>
                <w:szCs w:val="18"/>
              </w:rPr>
            </w:pPr>
            <w:r w:rsidRPr="00637E01">
              <w:rPr>
                <w:rFonts w:cs="Arial"/>
                <w:sz w:val="18"/>
                <w:szCs w:val="18"/>
              </w:rPr>
              <w:t>1 </w:t>
            </w:r>
            <w:r>
              <w:rPr>
                <w:rFonts w:cs="Arial"/>
                <w:sz w:val="18"/>
                <w:szCs w:val="18"/>
              </w:rPr>
              <w:t>134</w:t>
            </w:r>
          </w:p>
          <w:p w14:paraId="3095EEC1" w14:textId="77777777" w:rsidR="00150CEC" w:rsidRPr="00637E01" w:rsidRDefault="00150CEC" w:rsidP="00307AF7">
            <w:pPr>
              <w:spacing w:before="60" w:after="60"/>
              <w:jc w:val="center"/>
              <w:rPr>
                <w:rFonts w:cs="Arial"/>
                <w:sz w:val="18"/>
                <w:szCs w:val="18"/>
              </w:rPr>
            </w:pPr>
            <w:r w:rsidRPr="00637E01">
              <w:rPr>
                <w:rFonts w:cs="Arial"/>
                <w:sz w:val="18"/>
                <w:szCs w:val="18"/>
              </w:rPr>
              <w:t>(2016)</w:t>
            </w:r>
          </w:p>
        </w:tc>
        <w:tc>
          <w:tcPr>
            <w:tcW w:w="1857" w:type="dxa"/>
            <w:vAlign w:val="center"/>
          </w:tcPr>
          <w:p w14:paraId="02F52E2B" w14:textId="77777777" w:rsidR="00150CEC" w:rsidRDefault="00150CEC" w:rsidP="00307AF7">
            <w:pPr>
              <w:spacing w:before="60" w:after="60"/>
              <w:jc w:val="center"/>
              <w:rPr>
                <w:rFonts w:cs="Arial"/>
                <w:sz w:val="18"/>
                <w:szCs w:val="18"/>
              </w:rPr>
            </w:pPr>
            <w:r>
              <w:rPr>
                <w:rFonts w:cs="Arial"/>
                <w:sz w:val="18"/>
                <w:szCs w:val="18"/>
              </w:rPr>
              <w:t>1 062</w:t>
            </w:r>
          </w:p>
          <w:p w14:paraId="12F8E91D" w14:textId="77777777" w:rsidR="00150CEC" w:rsidRPr="00637E01" w:rsidRDefault="00150CEC" w:rsidP="00307AF7">
            <w:pPr>
              <w:spacing w:before="60" w:after="60"/>
              <w:jc w:val="center"/>
              <w:rPr>
                <w:rFonts w:cs="Arial"/>
                <w:sz w:val="18"/>
                <w:szCs w:val="18"/>
              </w:rPr>
            </w:pPr>
            <w:r>
              <w:rPr>
                <w:rFonts w:cs="Arial"/>
                <w:sz w:val="18"/>
                <w:szCs w:val="18"/>
              </w:rPr>
              <w:t>(2022)</w:t>
            </w:r>
          </w:p>
        </w:tc>
      </w:tr>
      <w:tr w:rsidR="00150CEC" w:rsidRPr="00637E01" w14:paraId="7296C81E" w14:textId="77777777" w:rsidTr="00150CEC">
        <w:trPr>
          <w:trHeight w:val="653"/>
        </w:trPr>
        <w:tc>
          <w:tcPr>
            <w:tcW w:w="739" w:type="dxa"/>
            <w:vAlign w:val="center"/>
          </w:tcPr>
          <w:p w14:paraId="7710790F" w14:textId="77777777" w:rsidR="00150CEC" w:rsidRPr="00637E01" w:rsidRDefault="00150CEC" w:rsidP="00307AF7">
            <w:pPr>
              <w:spacing w:before="120" w:after="120"/>
              <w:jc w:val="center"/>
              <w:rPr>
                <w:rFonts w:cs="Arial"/>
                <w:sz w:val="18"/>
                <w:szCs w:val="18"/>
              </w:rPr>
            </w:pPr>
            <w:r w:rsidRPr="00637E01">
              <w:rPr>
                <w:rFonts w:cs="Arial"/>
                <w:sz w:val="18"/>
                <w:szCs w:val="18"/>
              </w:rPr>
              <w:t>2</w:t>
            </w:r>
          </w:p>
        </w:tc>
        <w:tc>
          <w:tcPr>
            <w:tcW w:w="3059" w:type="dxa"/>
            <w:vAlign w:val="center"/>
          </w:tcPr>
          <w:p w14:paraId="4E011961" w14:textId="77777777" w:rsidR="00150CEC" w:rsidRPr="00637E01" w:rsidRDefault="00150CEC" w:rsidP="00307AF7">
            <w:pPr>
              <w:spacing w:before="60" w:after="60"/>
              <w:rPr>
                <w:rFonts w:cs="Arial"/>
                <w:sz w:val="18"/>
                <w:szCs w:val="18"/>
              </w:rPr>
            </w:pPr>
            <w:r w:rsidRPr="00637E01">
              <w:rPr>
                <w:rFonts w:cs="Arial"/>
                <w:sz w:val="18"/>
                <w:szCs w:val="18"/>
              </w:rPr>
              <w:t>Podíl žen na celkovém počtu výzkumných pracovníků (%)</w:t>
            </w:r>
          </w:p>
        </w:tc>
        <w:tc>
          <w:tcPr>
            <w:tcW w:w="1914" w:type="dxa"/>
            <w:vAlign w:val="center"/>
          </w:tcPr>
          <w:p w14:paraId="1B376B7E" w14:textId="77777777" w:rsidR="00150CEC" w:rsidRPr="00637E01" w:rsidRDefault="00150CEC" w:rsidP="00307AF7">
            <w:pPr>
              <w:spacing w:before="60" w:after="60"/>
              <w:jc w:val="center"/>
              <w:rPr>
                <w:rFonts w:cs="Arial"/>
                <w:sz w:val="18"/>
                <w:szCs w:val="18"/>
              </w:rPr>
            </w:pPr>
            <w:r w:rsidRPr="00637E01">
              <w:rPr>
                <w:rFonts w:cs="Arial"/>
                <w:sz w:val="18"/>
                <w:szCs w:val="18"/>
              </w:rPr>
              <w:t>25 %</w:t>
            </w:r>
          </w:p>
          <w:p w14:paraId="38237EAA" w14:textId="77777777" w:rsidR="00150CEC" w:rsidRPr="00637E01" w:rsidRDefault="00150CEC" w:rsidP="00307AF7">
            <w:pPr>
              <w:spacing w:before="60" w:after="60"/>
              <w:jc w:val="center"/>
              <w:rPr>
                <w:rFonts w:cs="Arial"/>
                <w:sz w:val="18"/>
                <w:szCs w:val="18"/>
              </w:rPr>
            </w:pPr>
            <w:r w:rsidRPr="00637E01">
              <w:rPr>
                <w:rFonts w:cs="Arial"/>
                <w:sz w:val="18"/>
                <w:szCs w:val="18"/>
              </w:rPr>
              <w:t>(2013)</w:t>
            </w:r>
          </w:p>
        </w:tc>
        <w:tc>
          <w:tcPr>
            <w:tcW w:w="1929" w:type="dxa"/>
            <w:vAlign w:val="center"/>
          </w:tcPr>
          <w:p w14:paraId="44BF1AF2" w14:textId="77777777" w:rsidR="00150CEC" w:rsidRPr="00637E01" w:rsidRDefault="00150CEC" w:rsidP="00307AF7">
            <w:pPr>
              <w:spacing w:before="60" w:after="60"/>
              <w:jc w:val="center"/>
              <w:rPr>
                <w:rFonts w:cs="Arial"/>
                <w:sz w:val="18"/>
                <w:szCs w:val="18"/>
              </w:rPr>
            </w:pPr>
            <w:r w:rsidRPr="00637E01">
              <w:rPr>
                <w:rFonts w:cs="Arial"/>
                <w:sz w:val="18"/>
                <w:szCs w:val="18"/>
              </w:rPr>
              <w:t>23,1 %</w:t>
            </w:r>
          </w:p>
          <w:p w14:paraId="727991EC" w14:textId="77777777" w:rsidR="00150CEC" w:rsidRPr="00637E01" w:rsidRDefault="00150CEC" w:rsidP="00307AF7">
            <w:pPr>
              <w:spacing w:before="60" w:after="60"/>
              <w:jc w:val="center"/>
              <w:rPr>
                <w:rFonts w:cs="Arial"/>
                <w:sz w:val="18"/>
                <w:szCs w:val="18"/>
              </w:rPr>
            </w:pPr>
            <w:r w:rsidRPr="00637E01">
              <w:rPr>
                <w:rFonts w:cs="Arial"/>
                <w:sz w:val="18"/>
                <w:szCs w:val="18"/>
              </w:rPr>
              <w:t>(2016)</w:t>
            </w:r>
          </w:p>
        </w:tc>
        <w:tc>
          <w:tcPr>
            <w:tcW w:w="1857" w:type="dxa"/>
            <w:vAlign w:val="center"/>
          </w:tcPr>
          <w:p w14:paraId="3CE00D09" w14:textId="77777777" w:rsidR="00150CEC" w:rsidRDefault="00150CEC" w:rsidP="00307AF7">
            <w:pPr>
              <w:spacing w:before="60" w:after="60"/>
              <w:jc w:val="center"/>
              <w:rPr>
                <w:rFonts w:cs="Arial"/>
                <w:sz w:val="18"/>
                <w:szCs w:val="18"/>
              </w:rPr>
            </w:pPr>
            <w:r>
              <w:rPr>
                <w:rFonts w:cs="Arial"/>
                <w:sz w:val="18"/>
                <w:szCs w:val="18"/>
              </w:rPr>
              <w:t>24,3 %</w:t>
            </w:r>
          </w:p>
          <w:p w14:paraId="7A60E74F" w14:textId="77777777" w:rsidR="00150CEC" w:rsidRPr="00637E01" w:rsidRDefault="00150CEC" w:rsidP="00307AF7">
            <w:pPr>
              <w:spacing w:before="60" w:after="60"/>
              <w:jc w:val="center"/>
              <w:rPr>
                <w:rFonts w:cs="Arial"/>
                <w:sz w:val="18"/>
                <w:szCs w:val="18"/>
              </w:rPr>
            </w:pPr>
            <w:r>
              <w:rPr>
                <w:rFonts w:cs="Arial"/>
                <w:sz w:val="18"/>
                <w:szCs w:val="18"/>
              </w:rPr>
              <w:t>(2023)</w:t>
            </w:r>
          </w:p>
        </w:tc>
      </w:tr>
      <w:tr w:rsidR="00150CEC" w:rsidRPr="00637E01" w14:paraId="78B6C5D0" w14:textId="77777777" w:rsidTr="00150CEC">
        <w:trPr>
          <w:trHeight w:val="833"/>
        </w:trPr>
        <w:tc>
          <w:tcPr>
            <w:tcW w:w="739" w:type="dxa"/>
            <w:vAlign w:val="center"/>
          </w:tcPr>
          <w:p w14:paraId="1D882202" w14:textId="77777777" w:rsidR="00150CEC" w:rsidRPr="00637E01" w:rsidRDefault="00150CEC" w:rsidP="00307AF7">
            <w:pPr>
              <w:spacing w:before="120" w:after="120"/>
              <w:jc w:val="center"/>
              <w:rPr>
                <w:rFonts w:cs="Arial"/>
                <w:sz w:val="18"/>
                <w:szCs w:val="18"/>
              </w:rPr>
            </w:pPr>
            <w:r w:rsidRPr="00637E01">
              <w:rPr>
                <w:rFonts w:cs="Arial"/>
                <w:sz w:val="18"/>
                <w:szCs w:val="18"/>
              </w:rPr>
              <w:t>3</w:t>
            </w:r>
          </w:p>
        </w:tc>
        <w:tc>
          <w:tcPr>
            <w:tcW w:w="3059" w:type="dxa"/>
            <w:vAlign w:val="center"/>
          </w:tcPr>
          <w:p w14:paraId="0A8D6AFD" w14:textId="77777777" w:rsidR="00150CEC" w:rsidRPr="00637E01" w:rsidRDefault="00150CEC" w:rsidP="00307AF7">
            <w:pPr>
              <w:spacing w:before="60" w:after="60"/>
              <w:rPr>
                <w:rFonts w:cs="Arial"/>
                <w:sz w:val="18"/>
                <w:szCs w:val="18"/>
              </w:rPr>
            </w:pPr>
            <w:r w:rsidRPr="00637E01">
              <w:rPr>
                <w:rFonts w:cs="Arial"/>
                <w:sz w:val="18"/>
                <w:szCs w:val="18"/>
              </w:rPr>
              <w:t>Podíl vědeckých publikací ve spoluautorství domácích a zahraničních výzkumníků (%)</w:t>
            </w:r>
            <w:r>
              <w:rPr>
                <w:rFonts w:cs="Arial"/>
                <w:sz w:val="18"/>
                <w:szCs w:val="18"/>
              </w:rPr>
              <w:t xml:space="preserve"> </w:t>
            </w:r>
            <w:r>
              <w:rPr>
                <w:rFonts w:cs="Arial"/>
                <w:sz w:val="18"/>
                <w:szCs w:val="18"/>
                <w:vertAlign w:val="superscript"/>
              </w:rPr>
              <w:t>1</w:t>
            </w:r>
          </w:p>
        </w:tc>
        <w:tc>
          <w:tcPr>
            <w:tcW w:w="1914" w:type="dxa"/>
            <w:vAlign w:val="center"/>
          </w:tcPr>
          <w:p w14:paraId="6E4E3197" w14:textId="77777777" w:rsidR="00150CEC" w:rsidRDefault="00150CEC" w:rsidP="00307AF7">
            <w:pPr>
              <w:spacing w:before="60" w:after="60"/>
              <w:jc w:val="center"/>
              <w:rPr>
                <w:rFonts w:cs="Arial"/>
                <w:sz w:val="18"/>
                <w:szCs w:val="18"/>
              </w:rPr>
            </w:pPr>
            <w:r>
              <w:rPr>
                <w:rFonts w:cs="Arial"/>
                <w:sz w:val="18"/>
                <w:szCs w:val="18"/>
              </w:rPr>
              <w:t>35,6</w:t>
            </w:r>
            <w:r w:rsidRPr="00E01293">
              <w:rPr>
                <w:rFonts w:cs="Arial"/>
                <w:sz w:val="18"/>
                <w:szCs w:val="18"/>
              </w:rPr>
              <w:t> %</w:t>
            </w:r>
            <w:r>
              <w:rPr>
                <w:rFonts w:cs="Arial"/>
                <w:sz w:val="18"/>
                <w:szCs w:val="18"/>
              </w:rPr>
              <w:t xml:space="preserve"> *</w:t>
            </w:r>
          </w:p>
          <w:p w14:paraId="48D16B36" w14:textId="77777777" w:rsidR="00150CEC" w:rsidRPr="00E01293" w:rsidRDefault="00150CEC" w:rsidP="00307AF7">
            <w:pPr>
              <w:spacing w:before="60" w:after="60"/>
              <w:jc w:val="center"/>
              <w:rPr>
                <w:rFonts w:cs="Arial"/>
                <w:sz w:val="18"/>
                <w:szCs w:val="18"/>
              </w:rPr>
            </w:pPr>
            <w:r>
              <w:rPr>
                <w:rFonts w:cs="Arial"/>
                <w:sz w:val="18"/>
                <w:szCs w:val="18"/>
              </w:rPr>
              <w:t>(2012)</w:t>
            </w:r>
          </w:p>
        </w:tc>
        <w:tc>
          <w:tcPr>
            <w:tcW w:w="1929" w:type="dxa"/>
            <w:vAlign w:val="center"/>
          </w:tcPr>
          <w:p w14:paraId="250ACC1D" w14:textId="77777777" w:rsidR="00150CEC" w:rsidRPr="00E01293" w:rsidRDefault="00150CEC" w:rsidP="00307AF7">
            <w:pPr>
              <w:spacing w:before="60" w:after="60"/>
              <w:jc w:val="center"/>
              <w:rPr>
                <w:rFonts w:cs="Arial"/>
                <w:sz w:val="18"/>
                <w:szCs w:val="18"/>
              </w:rPr>
            </w:pPr>
            <w:r>
              <w:rPr>
                <w:rFonts w:cs="Arial"/>
                <w:sz w:val="18"/>
                <w:szCs w:val="18"/>
              </w:rPr>
              <w:t>40,5</w:t>
            </w:r>
            <w:r w:rsidRPr="00E01293">
              <w:rPr>
                <w:rFonts w:cs="Arial"/>
                <w:sz w:val="18"/>
                <w:szCs w:val="18"/>
              </w:rPr>
              <w:t> %</w:t>
            </w:r>
            <w:r>
              <w:rPr>
                <w:rFonts w:cs="Arial"/>
                <w:sz w:val="18"/>
                <w:szCs w:val="18"/>
              </w:rPr>
              <w:t xml:space="preserve"> *</w:t>
            </w:r>
          </w:p>
          <w:p w14:paraId="2A4531AE" w14:textId="77777777" w:rsidR="00150CEC" w:rsidRPr="00E01293" w:rsidRDefault="00150CEC" w:rsidP="00307AF7">
            <w:pPr>
              <w:spacing w:before="60" w:after="60"/>
              <w:jc w:val="center"/>
              <w:rPr>
                <w:rFonts w:cs="Arial"/>
                <w:sz w:val="18"/>
                <w:szCs w:val="18"/>
              </w:rPr>
            </w:pPr>
            <w:r w:rsidRPr="00E01293">
              <w:rPr>
                <w:rFonts w:cs="Arial"/>
                <w:sz w:val="18"/>
                <w:szCs w:val="18"/>
              </w:rPr>
              <w:t>(2016)</w:t>
            </w:r>
          </w:p>
        </w:tc>
        <w:tc>
          <w:tcPr>
            <w:tcW w:w="1857" w:type="dxa"/>
            <w:vAlign w:val="center"/>
          </w:tcPr>
          <w:p w14:paraId="3B8F9C14" w14:textId="77777777" w:rsidR="00150CEC" w:rsidRDefault="00150CEC" w:rsidP="00307AF7">
            <w:pPr>
              <w:spacing w:before="60" w:after="60"/>
              <w:jc w:val="center"/>
              <w:rPr>
                <w:rFonts w:cs="Arial"/>
                <w:sz w:val="18"/>
                <w:szCs w:val="18"/>
              </w:rPr>
            </w:pPr>
            <w:r>
              <w:rPr>
                <w:rFonts w:cs="Arial"/>
                <w:sz w:val="18"/>
                <w:szCs w:val="18"/>
              </w:rPr>
              <w:t>61,1 % (2022)</w:t>
            </w:r>
          </w:p>
          <w:p w14:paraId="0F638A21" w14:textId="77777777" w:rsidR="00150CEC" w:rsidRPr="00637E01" w:rsidRDefault="00150CEC" w:rsidP="00307AF7">
            <w:pPr>
              <w:spacing w:before="60" w:after="60"/>
              <w:jc w:val="center"/>
              <w:rPr>
                <w:rFonts w:cs="Arial"/>
                <w:sz w:val="18"/>
                <w:szCs w:val="18"/>
              </w:rPr>
            </w:pPr>
            <w:r>
              <w:rPr>
                <w:rFonts w:cs="Arial"/>
                <w:sz w:val="18"/>
                <w:szCs w:val="18"/>
              </w:rPr>
              <w:t>63,7</w:t>
            </w:r>
            <w:r w:rsidRPr="00637E01">
              <w:rPr>
                <w:rFonts w:cs="Arial"/>
                <w:sz w:val="18"/>
                <w:szCs w:val="18"/>
              </w:rPr>
              <w:t> %</w:t>
            </w:r>
            <w:r>
              <w:rPr>
                <w:rFonts w:cs="Arial"/>
                <w:sz w:val="18"/>
                <w:szCs w:val="18"/>
              </w:rPr>
              <w:t xml:space="preserve"> (2023)</w:t>
            </w:r>
          </w:p>
        </w:tc>
      </w:tr>
      <w:tr w:rsidR="00150CEC" w:rsidRPr="00637E01" w14:paraId="3B45CF66" w14:textId="77777777" w:rsidTr="00150CEC">
        <w:trPr>
          <w:trHeight w:val="794"/>
        </w:trPr>
        <w:tc>
          <w:tcPr>
            <w:tcW w:w="739" w:type="dxa"/>
            <w:vAlign w:val="center"/>
          </w:tcPr>
          <w:p w14:paraId="16CFB4C0" w14:textId="77777777" w:rsidR="00150CEC" w:rsidRPr="00637E01" w:rsidRDefault="00150CEC" w:rsidP="00307AF7">
            <w:pPr>
              <w:spacing w:before="120" w:after="120"/>
              <w:jc w:val="center"/>
              <w:rPr>
                <w:rFonts w:cs="Arial"/>
                <w:sz w:val="18"/>
                <w:szCs w:val="18"/>
              </w:rPr>
            </w:pPr>
            <w:r w:rsidRPr="00637E01">
              <w:rPr>
                <w:rFonts w:cs="Arial"/>
                <w:sz w:val="18"/>
                <w:szCs w:val="18"/>
              </w:rPr>
              <w:t>4</w:t>
            </w:r>
          </w:p>
        </w:tc>
        <w:tc>
          <w:tcPr>
            <w:tcW w:w="3059" w:type="dxa"/>
            <w:vAlign w:val="center"/>
          </w:tcPr>
          <w:p w14:paraId="3955EAB7" w14:textId="77777777" w:rsidR="00150CEC" w:rsidRPr="00637E01" w:rsidRDefault="00150CEC" w:rsidP="00307AF7">
            <w:pPr>
              <w:spacing w:before="60" w:after="60"/>
              <w:rPr>
                <w:rFonts w:cs="Arial"/>
                <w:sz w:val="18"/>
                <w:szCs w:val="18"/>
              </w:rPr>
            </w:pPr>
            <w:r w:rsidRPr="00637E01">
              <w:rPr>
                <w:rFonts w:cs="Arial"/>
                <w:sz w:val="18"/>
                <w:szCs w:val="18"/>
              </w:rPr>
              <w:t xml:space="preserve">Podíl zahraničních výzkumníků v celkovém počtu výzkumníků </w:t>
            </w:r>
            <w:r>
              <w:rPr>
                <w:rFonts w:cs="Arial"/>
                <w:sz w:val="18"/>
                <w:szCs w:val="18"/>
              </w:rPr>
              <w:t xml:space="preserve">ve vládním a VŠ sektoru </w:t>
            </w:r>
            <w:r w:rsidRPr="00637E01">
              <w:rPr>
                <w:rFonts w:cs="Arial"/>
                <w:sz w:val="18"/>
                <w:szCs w:val="18"/>
              </w:rPr>
              <w:t>(%)</w:t>
            </w:r>
            <w:r>
              <w:rPr>
                <w:rFonts w:cs="Arial"/>
                <w:sz w:val="18"/>
                <w:szCs w:val="18"/>
              </w:rPr>
              <w:t xml:space="preserve"> </w:t>
            </w:r>
            <w:r>
              <w:rPr>
                <w:rFonts w:cs="Arial"/>
                <w:sz w:val="18"/>
                <w:szCs w:val="18"/>
                <w:vertAlign w:val="superscript"/>
              </w:rPr>
              <w:t>2</w:t>
            </w:r>
          </w:p>
        </w:tc>
        <w:tc>
          <w:tcPr>
            <w:tcW w:w="1914" w:type="dxa"/>
            <w:vAlign w:val="center"/>
          </w:tcPr>
          <w:p w14:paraId="301A3477" w14:textId="77777777" w:rsidR="00150CEC" w:rsidRPr="00637E01" w:rsidRDefault="00150CEC" w:rsidP="00307AF7">
            <w:pPr>
              <w:spacing w:before="60" w:after="60"/>
              <w:jc w:val="center"/>
              <w:rPr>
                <w:rFonts w:cs="Arial"/>
                <w:sz w:val="18"/>
                <w:szCs w:val="18"/>
              </w:rPr>
            </w:pPr>
            <w:r w:rsidRPr="00637E01">
              <w:rPr>
                <w:rFonts w:cs="Arial"/>
                <w:sz w:val="18"/>
                <w:szCs w:val="18"/>
              </w:rPr>
              <w:t>6 %</w:t>
            </w:r>
          </w:p>
          <w:p w14:paraId="785B85BB" w14:textId="77777777" w:rsidR="00150CEC" w:rsidRPr="00637E01" w:rsidRDefault="00150CEC" w:rsidP="00307AF7">
            <w:pPr>
              <w:spacing w:before="60" w:after="60"/>
              <w:jc w:val="center"/>
              <w:rPr>
                <w:rFonts w:cs="Arial"/>
                <w:sz w:val="18"/>
                <w:szCs w:val="18"/>
              </w:rPr>
            </w:pPr>
            <w:r w:rsidRPr="00637E01">
              <w:rPr>
                <w:rFonts w:cs="Arial"/>
                <w:sz w:val="18"/>
                <w:szCs w:val="18"/>
              </w:rPr>
              <w:t>(2011)</w:t>
            </w:r>
          </w:p>
        </w:tc>
        <w:tc>
          <w:tcPr>
            <w:tcW w:w="1929" w:type="dxa"/>
            <w:vAlign w:val="center"/>
          </w:tcPr>
          <w:p w14:paraId="6A26423B" w14:textId="77777777" w:rsidR="00150CEC" w:rsidRPr="00637E01" w:rsidRDefault="00150CEC" w:rsidP="00307AF7">
            <w:pPr>
              <w:spacing w:before="60" w:after="60"/>
              <w:jc w:val="center"/>
              <w:rPr>
                <w:rFonts w:cs="Arial"/>
                <w:sz w:val="18"/>
                <w:szCs w:val="18"/>
              </w:rPr>
            </w:pPr>
            <w:r w:rsidRPr="00637E01">
              <w:rPr>
                <w:rFonts w:cs="Arial"/>
                <w:sz w:val="18"/>
                <w:szCs w:val="18"/>
              </w:rPr>
              <w:t>9,</w:t>
            </w:r>
            <w:r>
              <w:rPr>
                <w:rFonts w:cs="Arial"/>
                <w:sz w:val="18"/>
                <w:szCs w:val="18"/>
              </w:rPr>
              <w:t>5</w:t>
            </w:r>
            <w:r w:rsidRPr="00637E01">
              <w:rPr>
                <w:rFonts w:cs="Arial"/>
                <w:sz w:val="18"/>
                <w:szCs w:val="18"/>
              </w:rPr>
              <w:t> %</w:t>
            </w:r>
          </w:p>
          <w:p w14:paraId="58C7AF78" w14:textId="77777777" w:rsidR="00150CEC" w:rsidRPr="00637E01" w:rsidRDefault="00150CEC" w:rsidP="00307AF7">
            <w:pPr>
              <w:spacing w:before="60" w:after="60"/>
              <w:jc w:val="center"/>
              <w:rPr>
                <w:rFonts w:cs="Arial"/>
                <w:sz w:val="18"/>
                <w:szCs w:val="18"/>
              </w:rPr>
            </w:pPr>
            <w:r w:rsidRPr="00637E01">
              <w:rPr>
                <w:rFonts w:cs="Arial"/>
                <w:sz w:val="18"/>
                <w:szCs w:val="18"/>
              </w:rPr>
              <w:t>(2015)</w:t>
            </w:r>
          </w:p>
        </w:tc>
        <w:tc>
          <w:tcPr>
            <w:tcW w:w="1857" w:type="dxa"/>
            <w:vAlign w:val="center"/>
          </w:tcPr>
          <w:p w14:paraId="7FA366DB" w14:textId="77777777" w:rsidR="00150CEC" w:rsidRDefault="00150CEC" w:rsidP="00307AF7">
            <w:pPr>
              <w:spacing w:before="60" w:after="60"/>
              <w:jc w:val="center"/>
              <w:rPr>
                <w:rFonts w:cs="Arial"/>
                <w:sz w:val="18"/>
                <w:szCs w:val="18"/>
              </w:rPr>
            </w:pPr>
            <w:r>
              <w:rPr>
                <w:rFonts w:cs="Arial"/>
                <w:sz w:val="18"/>
                <w:szCs w:val="18"/>
              </w:rPr>
              <w:t>15,1 %</w:t>
            </w:r>
          </w:p>
          <w:p w14:paraId="3AADDEB6" w14:textId="77777777" w:rsidR="00150CEC" w:rsidRPr="00637E01" w:rsidRDefault="00150CEC" w:rsidP="00307AF7">
            <w:pPr>
              <w:spacing w:before="60" w:after="60"/>
              <w:jc w:val="center"/>
              <w:rPr>
                <w:rFonts w:cs="Arial"/>
                <w:sz w:val="18"/>
                <w:szCs w:val="18"/>
              </w:rPr>
            </w:pPr>
            <w:r>
              <w:rPr>
                <w:rFonts w:cs="Arial"/>
                <w:sz w:val="18"/>
                <w:szCs w:val="18"/>
              </w:rPr>
              <w:t>(2023)</w:t>
            </w:r>
          </w:p>
        </w:tc>
      </w:tr>
      <w:tr w:rsidR="00150CEC" w:rsidRPr="00637E01" w14:paraId="077A9CE2" w14:textId="77777777" w:rsidTr="00150CEC">
        <w:trPr>
          <w:trHeight w:val="794"/>
        </w:trPr>
        <w:tc>
          <w:tcPr>
            <w:tcW w:w="739" w:type="dxa"/>
            <w:vAlign w:val="center"/>
          </w:tcPr>
          <w:p w14:paraId="00324963" w14:textId="77777777" w:rsidR="00150CEC" w:rsidRPr="00637E01" w:rsidRDefault="00150CEC" w:rsidP="00307AF7">
            <w:pPr>
              <w:spacing w:before="120" w:after="120"/>
              <w:jc w:val="center"/>
              <w:rPr>
                <w:rFonts w:cs="Arial"/>
                <w:sz w:val="18"/>
                <w:szCs w:val="18"/>
              </w:rPr>
            </w:pPr>
            <w:r w:rsidRPr="00637E01">
              <w:rPr>
                <w:rFonts w:cs="Arial"/>
                <w:sz w:val="18"/>
                <w:szCs w:val="18"/>
              </w:rPr>
              <w:lastRenderedPageBreak/>
              <w:t>5</w:t>
            </w:r>
          </w:p>
        </w:tc>
        <w:tc>
          <w:tcPr>
            <w:tcW w:w="3059" w:type="dxa"/>
            <w:vAlign w:val="center"/>
          </w:tcPr>
          <w:p w14:paraId="2435F976" w14:textId="77777777" w:rsidR="00150CEC" w:rsidRPr="00637E01" w:rsidRDefault="00150CEC" w:rsidP="00307AF7">
            <w:pPr>
              <w:spacing w:before="60" w:after="60"/>
              <w:rPr>
                <w:rFonts w:cs="Arial"/>
                <w:sz w:val="18"/>
                <w:szCs w:val="18"/>
              </w:rPr>
            </w:pPr>
            <w:r w:rsidRPr="00637E01">
              <w:rPr>
                <w:rFonts w:cs="Arial"/>
                <w:sz w:val="18"/>
                <w:szCs w:val="18"/>
              </w:rPr>
              <w:t>Počet účastí v programu Horizont 2020 na tisíc výzkumných pracovníků (FTE)</w:t>
            </w:r>
          </w:p>
        </w:tc>
        <w:tc>
          <w:tcPr>
            <w:tcW w:w="1914" w:type="dxa"/>
            <w:vAlign w:val="center"/>
          </w:tcPr>
          <w:p w14:paraId="45AFFAEF" w14:textId="77777777" w:rsidR="00150CEC" w:rsidRPr="00637E01" w:rsidRDefault="00150CEC" w:rsidP="00307AF7">
            <w:pPr>
              <w:pStyle w:val="Odstavecseseznamem"/>
              <w:spacing w:before="60" w:after="60"/>
              <w:contextualSpacing w:val="0"/>
              <w:jc w:val="center"/>
              <w:rPr>
                <w:rFonts w:cs="Arial"/>
                <w:sz w:val="18"/>
                <w:szCs w:val="18"/>
              </w:rPr>
            </w:pPr>
          </w:p>
        </w:tc>
        <w:tc>
          <w:tcPr>
            <w:tcW w:w="1929" w:type="dxa"/>
            <w:vAlign w:val="center"/>
          </w:tcPr>
          <w:p w14:paraId="0B3A8D9A" w14:textId="77777777" w:rsidR="00150CEC" w:rsidRPr="00637E01" w:rsidRDefault="00150CEC" w:rsidP="00307AF7">
            <w:pPr>
              <w:spacing w:before="60" w:after="60"/>
              <w:jc w:val="center"/>
              <w:rPr>
                <w:rFonts w:cs="Arial"/>
                <w:sz w:val="18"/>
                <w:szCs w:val="18"/>
              </w:rPr>
            </w:pPr>
            <w:r w:rsidRPr="00637E01">
              <w:rPr>
                <w:rFonts w:cs="Arial"/>
                <w:sz w:val="18"/>
                <w:szCs w:val="18"/>
              </w:rPr>
              <w:t>18,4</w:t>
            </w:r>
          </w:p>
          <w:p w14:paraId="6056FA33" w14:textId="77777777" w:rsidR="00150CEC" w:rsidRPr="00637E01" w:rsidRDefault="00150CEC" w:rsidP="00307AF7">
            <w:pPr>
              <w:spacing w:before="60" w:after="60"/>
              <w:jc w:val="center"/>
              <w:rPr>
                <w:rFonts w:cs="Arial"/>
                <w:sz w:val="18"/>
                <w:szCs w:val="18"/>
              </w:rPr>
            </w:pPr>
            <w:r w:rsidRPr="00637E01">
              <w:rPr>
                <w:rFonts w:cs="Arial"/>
                <w:sz w:val="18"/>
                <w:szCs w:val="18"/>
              </w:rPr>
              <w:t>(2016)</w:t>
            </w:r>
          </w:p>
        </w:tc>
        <w:tc>
          <w:tcPr>
            <w:tcW w:w="1857" w:type="dxa"/>
            <w:vAlign w:val="center"/>
          </w:tcPr>
          <w:p w14:paraId="03C96BA5" w14:textId="77777777" w:rsidR="00150CEC" w:rsidRDefault="00150CEC" w:rsidP="00307AF7">
            <w:pPr>
              <w:spacing w:before="60" w:after="60"/>
              <w:jc w:val="center"/>
              <w:rPr>
                <w:rFonts w:cs="Arial"/>
                <w:sz w:val="18"/>
                <w:szCs w:val="18"/>
              </w:rPr>
            </w:pPr>
            <w:r>
              <w:rPr>
                <w:rFonts w:cs="Arial"/>
                <w:sz w:val="18"/>
                <w:szCs w:val="18"/>
              </w:rPr>
              <w:t>39</w:t>
            </w:r>
            <w:r w:rsidRPr="00637E01">
              <w:rPr>
                <w:rFonts w:cs="Arial"/>
                <w:sz w:val="18"/>
                <w:szCs w:val="18"/>
              </w:rPr>
              <w:t>,</w:t>
            </w:r>
            <w:r>
              <w:rPr>
                <w:rFonts w:cs="Arial"/>
                <w:sz w:val="18"/>
                <w:szCs w:val="18"/>
              </w:rPr>
              <w:t xml:space="preserve">7 </w:t>
            </w:r>
            <w:r>
              <w:rPr>
                <w:rFonts w:cs="Arial"/>
                <w:sz w:val="18"/>
                <w:szCs w:val="18"/>
                <w:vertAlign w:val="superscript"/>
              </w:rPr>
              <w:t>3</w:t>
            </w:r>
          </w:p>
          <w:p w14:paraId="613348BE" w14:textId="77777777" w:rsidR="00150CEC" w:rsidRPr="00637E01" w:rsidRDefault="00150CEC" w:rsidP="00307AF7">
            <w:pPr>
              <w:spacing w:before="60" w:after="60"/>
              <w:jc w:val="center"/>
              <w:rPr>
                <w:rFonts w:cs="Arial"/>
                <w:sz w:val="18"/>
                <w:szCs w:val="18"/>
              </w:rPr>
            </w:pPr>
            <w:r>
              <w:rPr>
                <w:rFonts w:cs="Arial"/>
                <w:sz w:val="18"/>
                <w:szCs w:val="18"/>
              </w:rPr>
              <w:t>(2023)</w:t>
            </w:r>
          </w:p>
        </w:tc>
      </w:tr>
      <w:tr w:rsidR="00150CEC" w:rsidRPr="00637E01" w14:paraId="34331FA0" w14:textId="77777777" w:rsidTr="00150CEC">
        <w:trPr>
          <w:trHeight w:val="794"/>
        </w:trPr>
        <w:tc>
          <w:tcPr>
            <w:tcW w:w="739" w:type="dxa"/>
            <w:vAlign w:val="center"/>
          </w:tcPr>
          <w:p w14:paraId="05E1473F" w14:textId="77777777" w:rsidR="00150CEC" w:rsidRPr="00637E01" w:rsidRDefault="00150CEC" w:rsidP="00307AF7">
            <w:pPr>
              <w:spacing w:before="120" w:after="120"/>
              <w:jc w:val="center"/>
              <w:rPr>
                <w:rFonts w:cs="Arial"/>
                <w:sz w:val="18"/>
                <w:szCs w:val="18"/>
              </w:rPr>
            </w:pPr>
            <w:r>
              <w:rPr>
                <w:rFonts w:cs="Arial"/>
                <w:sz w:val="18"/>
                <w:szCs w:val="18"/>
              </w:rPr>
              <w:t>5.1</w:t>
            </w:r>
          </w:p>
        </w:tc>
        <w:tc>
          <w:tcPr>
            <w:tcW w:w="3059" w:type="dxa"/>
            <w:vAlign w:val="center"/>
          </w:tcPr>
          <w:p w14:paraId="2E76F7C1" w14:textId="77777777" w:rsidR="00150CEC" w:rsidRPr="00637E01" w:rsidRDefault="00150CEC" w:rsidP="00307AF7">
            <w:pPr>
              <w:spacing w:before="60" w:after="60"/>
              <w:rPr>
                <w:rFonts w:cs="Arial"/>
                <w:sz w:val="18"/>
                <w:szCs w:val="18"/>
              </w:rPr>
            </w:pPr>
            <w:r w:rsidRPr="00637E01">
              <w:rPr>
                <w:rFonts w:cs="Arial"/>
                <w:sz w:val="18"/>
                <w:szCs w:val="18"/>
              </w:rPr>
              <w:t xml:space="preserve">Počet účastí v programu Horizont </w:t>
            </w:r>
            <w:r>
              <w:rPr>
                <w:rFonts w:cs="Arial"/>
                <w:sz w:val="18"/>
                <w:szCs w:val="18"/>
              </w:rPr>
              <w:t>Evropa</w:t>
            </w:r>
            <w:r w:rsidRPr="00637E01">
              <w:rPr>
                <w:rFonts w:cs="Arial"/>
                <w:sz w:val="18"/>
                <w:szCs w:val="18"/>
              </w:rPr>
              <w:t xml:space="preserve"> na tisíc výzkumných pracovníků (FTE)</w:t>
            </w:r>
          </w:p>
        </w:tc>
        <w:tc>
          <w:tcPr>
            <w:tcW w:w="1914" w:type="dxa"/>
            <w:vAlign w:val="center"/>
          </w:tcPr>
          <w:p w14:paraId="250B85F9" w14:textId="77777777" w:rsidR="00150CEC" w:rsidRPr="00637E01" w:rsidRDefault="00150CEC" w:rsidP="00307AF7">
            <w:pPr>
              <w:pStyle w:val="Odstavecseseznamem"/>
              <w:spacing w:before="60" w:after="60"/>
              <w:contextualSpacing w:val="0"/>
              <w:jc w:val="center"/>
              <w:rPr>
                <w:rFonts w:cs="Arial"/>
                <w:sz w:val="18"/>
                <w:szCs w:val="18"/>
              </w:rPr>
            </w:pPr>
          </w:p>
        </w:tc>
        <w:tc>
          <w:tcPr>
            <w:tcW w:w="1929" w:type="dxa"/>
            <w:vAlign w:val="center"/>
          </w:tcPr>
          <w:p w14:paraId="461F79A6" w14:textId="77777777" w:rsidR="00150CEC" w:rsidRPr="00637E01" w:rsidRDefault="00150CEC" w:rsidP="00307AF7">
            <w:pPr>
              <w:spacing w:before="60" w:after="60"/>
              <w:jc w:val="center"/>
              <w:rPr>
                <w:rFonts w:cs="Arial"/>
                <w:sz w:val="18"/>
                <w:szCs w:val="18"/>
              </w:rPr>
            </w:pPr>
            <w:r>
              <w:rPr>
                <w:rFonts w:cs="Arial"/>
                <w:sz w:val="18"/>
                <w:szCs w:val="18"/>
              </w:rPr>
              <w:t>-</w:t>
            </w:r>
          </w:p>
        </w:tc>
        <w:tc>
          <w:tcPr>
            <w:tcW w:w="1857" w:type="dxa"/>
            <w:vAlign w:val="center"/>
          </w:tcPr>
          <w:p w14:paraId="408AA720" w14:textId="77777777" w:rsidR="00150CEC" w:rsidRDefault="00150CEC" w:rsidP="00307AF7">
            <w:pPr>
              <w:spacing w:before="60" w:after="60"/>
              <w:jc w:val="center"/>
              <w:rPr>
                <w:rFonts w:cs="Arial"/>
                <w:sz w:val="18"/>
                <w:szCs w:val="18"/>
              </w:rPr>
            </w:pPr>
            <w:r>
              <w:rPr>
                <w:rFonts w:cs="Arial"/>
                <w:sz w:val="18"/>
                <w:szCs w:val="18"/>
              </w:rPr>
              <w:t>20</w:t>
            </w:r>
            <w:r w:rsidRPr="00637E01">
              <w:rPr>
                <w:rFonts w:cs="Arial"/>
                <w:sz w:val="18"/>
                <w:szCs w:val="18"/>
              </w:rPr>
              <w:t>,</w:t>
            </w:r>
            <w:r>
              <w:rPr>
                <w:rFonts w:cs="Arial"/>
                <w:sz w:val="18"/>
                <w:szCs w:val="18"/>
              </w:rPr>
              <w:t xml:space="preserve">3 </w:t>
            </w:r>
            <w:r>
              <w:rPr>
                <w:rFonts w:cs="Arial"/>
                <w:sz w:val="18"/>
                <w:szCs w:val="18"/>
                <w:vertAlign w:val="superscript"/>
              </w:rPr>
              <w:t>4</w:t>
            </w:r>
          </w:p>
          <w:p w14:paraId="223A5DF4" w14:textId="77777777" w:rsidR="00150CEC" w:rsidRDefault="00150CEC" w:rsidP="00307AF7">
            <w:pPr>
              <w:spacing w:before="60" w:after="60"/>
              <w:jc w:val="center"/>
              <w:rPr>
                <w:rFonts w:cs="Arial"/>
                <w:sz w:val="18"/>
                <w:szCs w:val="18"/>
              </w:rPr>
            </w:pPr>
            <w:r>
              <w:rPr>
                <w:rFonts w:cs="Arial"/>
                <w:sz w:val="18"/>
                <w:szCs w:val="18"/>
              </w:rPr>
              <w:t>(2023)</w:t>
            </w:r>
          </w:p>
        </w:tc>
      </w:tr>
      <w:tr w:rsidR="00150CEC" w:rsidRPr="00637E01" w14:paraId="2C4C5AE0" w14:textId="77777777" w:rsidTr="00150CEC">
        <w:trPr>
          <w:trHeight w:val="794"/>
        </w:trPr>
        <w:tc>
          <w:tcPr>
            <w:tcW w:w="739" w:type="dxa"/>
            <w:vAlign w:val="center"/>
          </w:tcPr>
          <w:p w14:paraId="285109A1" w14:textId="77777777" w:rsidR="00150CEC" w:rsidRPr="00637E01" w:rsidRDefault="00150CEC" w:rsidP="00307AF7">
            <w:pPr>
              <w:spacing w:before="120" w:after="120"/>
              <w:jc w:val="center"/>
              <w:rPr>
                <w:rFonts w:cs="Arial"/>
                <w:sz w:val="18"/>
                <w:szCs w:val="18"/>
              </w:rPr>
            </w:pPr>
            <w:r w:rsidRPr="00637E01">
              <w:rPr>
                <w:rFonts w:cs="Arial"/>
                <w:sz w:val="18"/>
                <w:szCs w:val="18"/>
              </w:rPr>
              <w:t>6</w:t>
            </w:r>
          </w:p>
        </w:tc>
        <w:tc>
          <w:tcPr>
            <w:tcW w:w="3059" w:type="dxa"/>
            <w:vAlign w:val="center"/>
          </w:tcPr>
          <w:p w14:paraId="47EB2A6C" w14:textId="77777777" w:rsidR="00150CEC" w:rsidRPr="00637E01" w:rsidRDefault="00150CEC" w:rsidP="00307AF7">
            <w:pPr>
              <w:spacing w:before="60" w:after="60"/>
              <w:rPr>
                <w:rFonts w:cs="Arial"/>
                <w:sz w:val="18"/>
                <w:szCs w:val="18"/>
              </w:rPr>
            </w:pPr>
            <w:r w:rsidRPr="00637E01">
              <w:rPr>
                <w:rFonts w:cs="Arial"/>
                <w:sz w:val="18"/>
                <w:szCs w:val="18"/>
              </w:rPr>
              <w:t>Získaný finanční příspěvek v programu Horizont 2020 na mld. € HDP</w:t>
            </w:r>
          </w:p>
        </w:tc>
        <w:tc>
          <w:tcPr>
            <w:tcW w:w="1914" w:type="dxa"/>
            <w:vAlign w:val="center"/>
          </w:tcPr>
          <w:p w14:paraId="23C74F45" w14:textId="77777777" w:rsidR="00150CEC" w:rsidRPr="00637E01" w:rsidRDefault="00150CEC" w:rsidP="00307AF7">
            <w:pPr>
              <w:pStyle w:val="Odstavecseseznamem"/>
              <w:spacing w:before="60" w:after="60"/>
              <w:contextualSpacing w:val="0"/>
              <w:jc w:val="center"/>
              <w:rPr>
                <w:rFonts w:cs="Arial"/>
                <w:sz w:val="18"/>
                <w:szCs w:val="18"/>
              </w:rPr>
            </w:pPr>
          </w:p>
        </w:tc>
        <w:tc>
          <w:tcPr>
            <w:tcW w:w="1929" w:type="dxa"/>
            <w:vAlign w:val="center"/>
          </w:tcPr>
          <w:p w14:paraId="3038E255" w14:textId="77777777" w:rsidR="00150CEC" w:rsidRPr="00637E01" w:rsidRDefault="00150CEC" w:rsidP="00307AF7">
            <w:pPr>
              <w:spacing w:before="60" w:after="60"/>
              <w:jc w:val="center"/>
              <w:rPr>
                <w:rFonts w:cs="Arial"/>
                <w:sz w:val="18"/>
                <w:szCs w:val="18"/>
              </w:rPr>
            </w:pPr>
            <w:r w:rsidRPr="00637E01">
              <w:rPr>
                <w:rFonts w:cs="Arial"/>
                <w:sz w:val="18"/>
                <w:szCs w:val="18"/>
              </w:rPr>
              <w:t>-</w:t>
            </w:r>
          </w:p>
        </w:tc>
        <w:tc>
          <w:tcPr>
            <w:tcW w:w="1857" w:type="dxa"/>
            <w:vAlign w:val="center"/>
          </w:tcPr>
          <w:p w14:paraId="114FAFAC" w14:textId="77777777" w:rsidR="00150CEC" w:rsidRDefault="00150CEC" w:rsidP="00307AF7">
            <w:pPr>
              <w:spacing w:before="60" w:after="60"/>
              <w:jc w:val="center"/>
              <w:rPr>
                <w:rFonts w:cs="Arial"/>
                <w:sz w:val="18"/>
                <w:szCs w:val="18"/>
              </w:rPr>
            </w:pPr>
            <w:r>
              <w:rPr>
                <w:rFonts w:cs="Arial"/>
                <w:sz w:val="18"/>
                <w:szCs w:val="18"/>
              </w:rPr>
              <w:t xml:space="preserve">2,1 </w:t>
            </w:r>
            <w:r>
              <w:rPr>
                <w:rFonts w:cs="Arial"/>
                <w:sz w:val="18"/>
                <w:szCs w:val="18"/>
                <w:vertAlign w:val="superscript"/>
              </w:rPr>
              <w:t>5</w:t>
            </w:r>
          </w:p>
          <w:p w14:paraId="39131654" w14:textId="77777777" w:rsidR="00150CEC" w:rsidRPr="002B376C" w:rsidRDefault="00150CEC" w:rsidP="00307AF7">
            <w:pPr>
              <w:spacing w:before="60" w:after="60"/>
              <w:jc w:val="center"/>
              <w:rPr>
                <w:rFonts w:cs="Arial"/>
                <w:sz w:val="18"/>
                <w:szCs w:val="18"/>
              </w:rPr>
            </w:pPr>
            <w:r>
              <w:rPr>
                <w:rFonts w:cs="Arial"/>
                <w:sz w:val="18"/>
                <w:szCs w:val="18"/>
              </w:rPr>
              <w:t>(2023)</w:t>
            </w:r>
          </w:p>
        </w:tc>
      </w:tr>
      <w:tr w:rsidR="00150CEC" w:rsidRPr="00637E01" w14:paraId="16D7AFDE" w14:textId="77777777" w:rsidTr="00150CEC">
        <w:trPr>
          <w:trHeight w:val="794"/>
        </w:trPr>
        <w:tc>
          <w:tcPr>
            <w:tcW w:w="739" w:type="dxa"/>
            <w:vAlign w:val="center"/>
          </w:tcPr>
          <w:p w14:paraId="08470C5C" w14:textId="77777777" w:rsidR="00150CEC" w:rsidRPr="00637E01" w:rsidRDefault="00150CEC" w:rsidP="00307AF7">
            <w:pPr>
              <w:spacing w:before="120" w:after="120"/>
              <w:jc w:val="center"/>
              <w:rPr>
                <w:rFonts w:cs="Arial"/>
                <w:sz w:val="18"/>
                <w:szCs w:val="18"/>
              </w:rPr>
            </w:pPr>
            <w:r>
              <w:rPr>
                <w:rFonts w:cs="Arial"/>
                <w:sz w:val="18"/>
                <w:szCs w:val="18"/>
              </w:rPr>
              <w:t>6.1</w:t>
            </w:r>
          </w:p>
        </w:tc>
        <w:tc>
          <w:tcPr>
            <w:tcW w:w="3059" w:type="dxa"/>
            <w:vAlign w:val="center"/>
          </w:tcPr>
          <w:p w14:paraId="28B1D5C1" w14:textId="77777777" w:rsidR="00150CEC" w:rsidRPr="00637E01" w:rsidRDefault="00150CEC" w:rsidP="00307AF7">
            <w:pPr>
              <w:spacing w:before="60" w:after="60"/>
              <w:rPr>
                <w:rFonts w:cs="Arial"/>
                <w:sz w:val="18"/>
                <w:szCs w:val="18"/>
              </w:rPr>
            </w:pPr>
            <w:r w:rsidRPr="00637E01">
              <w:rPr>
                <w:rFonts w:cs="Arial"/>
                <w:sz w:val="18"/>
                <w:szCs w:val="18"/>
              </w:rPr>
              <w:t xml:space="preserve">Získaný finanční příspěvek v programu Horizont </w:t>
            </w:r>
            <w:r>
              <w:rPr>
                <w:rFonts w:cs="Arial"/>
                <w:sz w:val="18"/>
                <w:szCs w:val="18"/>
              </w:rPr>
              <w:t>Evropa</w:t>
            </w:r>
            <w:r w:rsidRPr="00637E01">
              <w:rPr>
                <w:rFonts w:cs="Arial"/>
                <w:sz w:val="18"/>
                <w:szCs w:val="18"/>
              </w:rPr>
              <w:t xml:space="preserve"> na mld. € HDP</w:t>
            </w:r>
          </w:p>
        </w:tc>
        <w:tc>
          <w:tcPr>
            <w:tcW w:w="1914" w:type="dxa"/>
            <w:vAlign w:val="center"/>
          </w:tcPr>
          <w:p w14:paraId="496206A8" w14:textId="77777777" w:rsidR="00150CEC" w:rsidRPr="00637E01" w:rsidRDefault="00150CEC" w:rsidP="00307AF7">
            <w:pPr>
              <w:pStyle w:val="Odstavecseseznamem"/>
              <w:spacing w:before="60" w:after="60"/>
              <w:contextualSpacing w:val="0"/>
              <w:jc w:val="center"/>
              <w:rPr>
                <w:rFonts w:cs="Arial"/>
                <w:sz w:val="18"/>
                <w:szCs w:val="18"/>
              </w:rPr>
            </w:pPr>
          </w:p>
        </w:tc>
        <w:tc>
          <w:tcPr>
            <w:tcW w:w="1929" w:type="dxa"/>
            <w:vAlign w:val="center"/>
          </w:tcPr>
          <w:p w14:paraId="50A6480D" w14:textId="77777777" w:rsidR="00150CEC" w:rsidRPr="00637E01" w:rsidRDefault="00150CEC" w:rsidP="00307AF7">
            <w:pPr>
              <w:spacing w:before="60" w:after="60"/>
              <w:jc w:val="center"/>
              <w:rPr>
                <w:rFonts w:cs="Arial"/>
                <w:sz w:val="18"/>
                <w:szCs w:val="18"/>
              </w:rPr>
            </w:pPr>
            <w:r>
              <w:rPr>
                <w:rFonts w:cs="Arial"/>
                <w:sz w:val="18"/>
                <w:szCs w:val="18"/>
              </w:rPr>
              <w:t>-</w:t>
            </w:r>
          </w:p>
        </w:tc>
        <w:tc>
          <w:tcPr>
            <w:tcW w:w="1857" w:type="dxa"/>
            <w:vAlign w:val="center"/>
          </w:tcPr>
          <w:p w14:paraId="1626FF94" w14:textId="77777777" w:rsidR="00150CEC" w:rsidRDefault="00150CEC" w:rsidP="00307AF7">
            <w:pPr>
              <w:spacing w:before="60" w:after="60"/>
              <w:jc w:val="center"/>
              <w:rPr>
                <w:rFonts w:cs="Arial"/>
                <w:sz w:val="18"/>
                <w:szCs w:val="18"/>
              </w:rPr>
            </w:pPr>
            <w:r>
              <w:rPr>
                <w:rFonts w:cs="Arial"/>
                <w:sz w:val="18"/>
                <w:szCs w:val="18"/>
              </w:rPr>
              <w:t xml:space="preserve">1,4 </w:t>
            </w:r>
            <w:r>
              <w:rPr>
                <w:rFonts w:cs="Arial"/>
                <w:sz w:val="18"/>
                <w:szCs w:val="18"/>
                <w:vertAlign w:val="superscript"/>
              </w:rPr>
              <w:t>6</w:t>
            </w:r>
          </w:p>
          <w:p w14:paraId="712796F9" w14:textId="77777777" w:rsidR="00150CEC" w:rsidDel="00E47333" w:rsidRDefault="00150CEC" w:rsidP="00307AF7">
            <w:pPr>
              <w:spacing w:before="60" w:after="60"/>
              <w:jc w:val="center"/>
              <w:rPr>
                <w:rFonts w:cs="Arial"/>
                <w:sz w:val="18"/>
                <w:szCs w:val="18"/>
              </w:rPr>
            </w:pPr>
            <w:r>
              <w:rPr>
                <w:rFonts w:cs="Arial"/>
                <w:sz w:val="18"/>
                <w:szCs w:val="18"/>
              </w:rPr>
              <w:t>(2023)</w:t>
            </w:r>
          </w:p>
        </w:tc>
      </w:tr>
      <w:tr w:rsidR="00150CEC" w:rsidRPr="00637E01" w14:paraId="4F108834" w14:textId="77777777" w:rsidTr="00150CEC">
        <w:trPr>
          <w:trHeight w:val="794"/>
        </w:trPr>
        <w:tc>
          <w:tcPr>
            <w:tcW w:w="739" w:type="dxa"/>
            <w:vAlign w:val="center"/>
          </w:tcPr>
          <w:p w14:paraId="6B829038" w14:textId="77777777" w:rsidR="00150CEC" w:rsidRPr="00637E01" w:rsidRDefault="00150CEC" w:rsidP="00307AF7">
            <w:pPr>
              <w:spacing w:before="120" w:after="120"/>
              <w:jc w:val="center"/>
              <w:rPr>
                <w:rFonts w:cs="Arial"/>
                <w:sz w:val="18"/>
                <w:szCs w:val="18"/>
                <w:highlight w:val="yellow"/>
              </w:rPr>
            </w:pPr>
            <w:r w:rsidRPr="00637E01">
              <w:rPr>
                <w:rFonts w:cs="Arial"/>
                <w:sz w:val="18"/>
                <w:szCs w:val="18"/>
              </w:rPr>
              <w:t>7</w:t>
            </w:r>
          </w:p>
        </w:tc>
        <w:tc>
          <w:tcPr>
            <w:tcW w:w="3059" w:type="dxa"/>
            <w:vAlign w:val="center"/>
          </w:tcPr>
          <w:p w14:paraId="0AE39382" w14:textId="77777777" w:rsidR="00150CEC" w:rsidRPr="00637E01" w:rsidRDefault="00150CEC" w:rsidP="00307AF7">
            <w:pPr>
              <w:spacing w:before="60" w:after="60"/>
              <w:rPr>
                <w:rFonts w:cs="Arial"/>
                <w:sz w:val="18"/>
                <w:szCs w:val="18"/>
                <w:highlight w:val="yellow"/>
              </w:rPr>
            </w:pPr>
            <w:r w:rsidRPr="00637E01">
              <w:rPr>
                <w:rFonts w:cs="Arial"/>
                <w:sz w:val="18"/>
                <w:szCs w:val="18"/>
              </w:rPr>
              <w:t xml:space="preserve">Celkový počet publikací registrovaných v databázi </w:t>
            </w:r>
            <w:proofErr w:type="spellStart"/>
            <w:r w:rsidRPr="00637E01">
              <w:rPr>
                <w:rFonts w:cs="Arial"/>
                <w:sz w:val="18"/>
                <w:szCs w:val="18"/>
              </w:rPr>
              <w:t>WoS</w:t>
            </w:r>
            <w:proofErr w:type="spellEnd"/>
            <w:r w:rsidRPr="00637E01">
              <w:rPr>
                <w:rFonts w:cs="Arial"/>
                <w:sz w:val="18"/>
                <w:szCs w:val="18"/>
              </w:rPr>
              <w:t xml:space="preserve"> na milion obyvatel</w:t>
            </w:r>
            <w:r>
              <w:rPr>
                <w:rFonts w:cs="Arial"/>
                <w:sz w:val="18"/>
                <w:szCs w:val="18"/>
              </w:rPr>
              <w:t xml:space="preserve"> </w:t>
            </w:r>
            <w:r>
              <w:rPr>
                <w:rFonts w:cs="Arial"/>
                <w:sz w:val="18"/>
                <w:szCs w:val="18"/>
                <w:vertAlign w:val="superscript"/>
              </w:rPr>
              <w:t>1</w:t>
            </w:r>
          </w:p>
        </w:tc>
        <w:tc>
          <w:tcPr>
            <w:tcW w:w="1914" w:type="dxa"/>
            <w:vAlign w:val="center"/>
          </w:tcPr>
          <w:p w14:paraId="579E89B6" w14:textId="77777777" w:rsidR="00150CEC" w:rsidRPr="00637E01" w:rsidRDefault="00150CEC" w:rsidP="00307AF7">
            <w:pPr>
              <w:spacing w:before="60" w:after="60"/>
              <w:jc w:val="center"/>
              <w:rPr>
                <w:rFonts w:cs="Arial"/>
                <w:sz w:val="18"/>
                <w:szCs w:val="18"/>
              </w:rPr>
            </w:pPr>
            <w:r w:rsidRPr="00637E01">
              <w:rPr>
                <w:rFonts w:cs="Arial"/>
                <w:sz w:val="18"/>
                <w:szCs w:val="18"/>
              </w:rPr>
              <w:t>1</w:t>
            </w:r>
            <w:r>
              <w:rPr>
                <w:rFonts w:cs="Arial"/>
                <w:sz w:val="18"/>
                <w:szCs w:val="18"/>
              </w:rPr>
              <w:t xml:space="preserve"> 971 </w:t>
            </w:r>
            <w:r w:rsidRPr="00637E01">
              <w:rPr>
                <w:rFonts w:cs="Arial"/>
                <w:sz w:val="18"/>
                <w:szCs w:val="18"/>
              </w:rPr>
              <w:t>*</w:t>
            </w:r>
          </w:p>
          <w:p w14:paraId="781600C0" w14:textId="77777777" w:rsidR="00150CEC" w:rsidRPr="00637E01" w:rsidRDefault="00150CEC" w:rsidP="00307AF7">
            <w:pPr>
              <w:spacing w:before="60" w:after="60"/>
              <w:jc w:val="center"/>
              <w:rPr>
                <w:rFonts w:cs="Arial"/>
                <w:sz w:val="18"/>
                <w:szCs w:val="18"/>
              </w:rPr>
            </w:pPr>
            <w:r w:rsidRPr="00637E01">
              <w:rPr>
                <w:rFonts w:cs="Arial"/>
                <w:sz w:val="18"/>
                <w:szCs w:val="18"/>
              </w:rPr>
              <w:t>(2014)</w:t>
            </w:r>
          </w:p>
        </w:tc>
        <w:tc>
          <w:tcPr>
            <w:tcW w:w="1929" w:type="dxa"/>
            <w:vAlign w:val="center"/>
          </w:tcPr>
          <w:p w14:paraId="7F27CCB1" w14:textId="77777777" w:rsidR="00150CEC" w:rsidRPr="00637E01" w:rsidRDefault="00150CEC" w:rsidP="00307AF7">
            <w:pPr>
              <w:spacing w:before="60" w:after="60"/>
              <w:jc w:val="center"/>
              <w:rPr>
                <w:rFonts w:cs="Arial"/>
                <w:sz w:val="18"/>
                <w:szCs w:val="18"/>
              </w:rPr>
            </w:pPr>
            <w:r>
              <w:rPr>
                <w:rFonts w:cs="Arial"/>
                <w:sz w:val="18"/>
                <w:szCs w:val="18"/>
              </w:rPr>
              <w:t>2 229 *</w:t>
            </w:r>
          </w:p>
          <w:p w14:paraId="34E4A7C0" w14:textId="77777777" w:rsidR="00150CEC" w:rsidRPr="00637E01" w:rsidRDefault="00150CEC" w:rsidP="00307AF7">
            <w:pPr>
              <w:spacing w:before="60" w:after="60"/>
              <w:jc w:val="center"/>
              <w:rPr>
                <w:rFonts w:cs="Arial"/>
                <w:sz w:val="18"/>
                <w:szCs w:val="18"/>
              </w:rPr>
            </w:pPr>
            <w:r w:rsidRPr="00637E01">
              <w:rPr>
                <w:rFonts w:cs="Arial"/>
                <w:sz w:val="18"/>
                <w:szCs w:val="18"/>
              </w:rPr>
              <w:t>(2016)</w:t>
            </w:r>
          </w:p>
        </w:tc>
        <w:tc>
          <w:tcPr>
            <w:tcW w:w="1857" w:type="dxa"/>
            <w:vAlign w:val="center"/>
          </w:tcPr>
          <w:p w14:paraId="4304378F" w14:textId="77777777" w:rsidR="00150CEC" w:rsidRDefault="00150CEC" w:rsidP="00307AF7">
            <w:pPr>
              <w:spacing w:before="60" w:after="60"/>
              <w:jc w:val="center"/>
              <w:rPr>
                <w:rFonts w:cs="Arial"/>
                <w:sz w:val="18"/>
                <w:szCs w:val="18"/>
              </w:rPr>
            </w:pPr>
            <w:r>
              <w:rPr>
                <w:rFonts w:cs="Arial"/>
                <w:sz w:val="18"/>
                <w:szCs w:val="18"/>
              </w:rPr>
              <w:t xml:space="preserve">2 078 </w:t>
            </w:r>
            <w:r w:rsidRPr="00637E01">
              <w:rPr>
                <w:rFonts w:cs="Arial"/>
                <w:sz w:val="18"/>
                <w:szCs w:val="18"/>
              </w:rPr>
              <w:t>(20</w:t>
            </w:r>
            <w:r>
              <w:rPr>
                <w:rFonts w:cs="Arial"/>
                <w:sz w:val="18"/>
                <w:szCs w:val="18"/>
              </w:rPr>
              <w:t>22</w:t>
            </w:r>
            <w:r w:rsidRPr="00637E01">
              <w:rPr>
                <w:rFonts w:cs="Arial"/>
                <w:sz w:val="18"/>
                <w:szCs w:val="18"/>
              </w:rPr>
              <w:t>)</w:t>
            </w:r>
          </w:p>
          <w:p w14:paraId="13D43561" w14:textId="77777777" w:rsidR="00150CEC" w:rsidRPr="00637E01" w:rsidRDefault="00150CEC" w:rsidP="00307AF7">
            <w:pPr>
              <w:spacing w:before="60" w:after="60"/>
              <w:jc w:val="center"/>
              <w:rPr>
                <w:rFonts w:cs="Arial"/>
                <w:sz w:val="18"/>
                <w:szCs w:val="18"/>
              </w:rPr>
            </w:pPr>
            <w:r>
              <w:rPr>
                <w:rFonts w:cs="Arial"/>
                <w:sz w:val="18"/>
                <w:szCs w:val="18"/>
              </w:rPr>
              <w:t>1 889 (2023)</w:t>
            </w:r>
          </w:p>
        </w:tc>
      </w:tr>
      <w:tr w:rsidR="00150CEC" w:rsidRPr="00637E01" w14:paraId="1F213197" w14:textId="77777777" w:rsidTr="00150CEC">
        <w:trPr>
          <w:trHeight w:val="794"/>
        </w:trPr>
        <w:tc>
          <w:tcPr>
            <w:tcW w:w="739" w:type="dxa"/>
            <w:vAlign w:val="center"/>
          </w:tcPr>
          <w:p w14:paraId="4846150C" w14:textId="77777777" w:rsidR="00150CEC" w:rsidRPr="00637E01" w:rsidRDefault="00150CEC" w:rsidP="00307AF7">
            <w:pPr>
              <w:spacing w:before="120" w:after="120"/>
              <w:jc w:val="center"/>
              <w:rPr>
                <w:rFonts w:cs="Arial"/>
                <w:sz w:val="18"/>
                <w:szCs w:val="18"/>
              </w:rPr>
            </w:pPr>
            <w:r w:rsidRPr="00637E01">
              <w:rPr>
                <w:rFonts w:cs="Arial"/>
                <w:sz w:val="18"/>
                <w:szCs w:val="18"/>
              </w:rPr>
              <w:t>8</w:t>
            </w:r>
          </w:p>
        </w:tc>
        <w:tc>
          <w:tcPr>
            <w:tcW w:w="3059" w:type="dxa"/>
            <w:vAlign w:val="center"/>
          </w:tcPr>
          <w:p w14:paraId="43A24540" w14:textId="77777777" w:rsidR="00150CEC" w:rsidRPr="00637E01" w:rsidRDefault="00150CEC" w:rsidP="00307AF7">
            <w:pPr>
              <w:spacing w:before="60" w:after="60"/>
              <w:rPr>
                <w:rFonts w:cs="Arial"/>
                <w:sz w:val="18"/>
                <w:szCs w:val="18"/>
              </w:rPr>
            </w:pPr>
            <w:r w:rsidRPr="00637E01">
              <w:rPr>
                <w:rFonts w:cs="Arial"/>
                <w:sz w:val="18"/>
                <w:szCs w:val="18"/>
              </w:rPr>
              <w:t>Počet PCT přihlášek na milion obyvatel</w:t>
            </w:r>
          </w:p>
        </w:tc>
        <w:tc>
          <w:tcPr>
            <w:tcW w:w="1914" w:type="dxa"/>
            <w:vAlign w:val="center"/>
          </w:tcPr>
          <w:p w14:paraId="43478490" w14:textId="77777777" w:rsidR="00150CEC" w:rsidRPr="00637E01" w:rsidRDefault="00150CEC" w:rsidP="00307AF7">
            <w:pPr>
              <w:spacing w:before="60" w:after="60"/>
              <w:jc w:val="center"/>
              <w:rPr>
                <w:rFonts w:cs="Arial"/>
                <w:sz w:val="18"/>
                <w:szCs w:val="18"/>
              </w:rPr>
            </w:pPr>
            <w:r w:rsidRPr="00637E01">
              <w:rPr>
                <w:rFonts w:cs="Arial"/>
                <w:sz w:val="18"/>
                <w:szCs w:val="18"/>
              </w:rPr>
              <w:t>16,</w:t>
            </w:r>
            <w:r>
              <w:rPr>
                <w:rFonts w:cs="Arial"/>
                <w:sz w:val="18"/>
                <w:szCs w:val="18"/>
              </w:rPr>
              <w:t>7</w:t>
            </w:r>
          </w:p>
          <w:p w14:paraId="29B559C3" w14:textId="77777777" w:rsidR="00150CEC" w:rsidRPr="00637E01" w:rsidRDefault="00150CEC" w:rsidP="00307AF7">
            <w:pPr>
              <w:spacing w:before="60" w:after="60"/>
              <w:jc w:val="center"/>
              <w:rPr>
                <w:rFonts w:cs="Arial"/>
                <w:sz w:val="18"/>
                <w:szCs w:val="18"/>
              </w:rPr>
            </w:pPr>
            <w:r w:rsidRPr="00637E01">
              <w:rPr>
                <w:rFonts w:cs="Arial"/>
                <w:sz w:val="18"/>
                <w:szCs w:val="18"/>
              </w:rPr>
              <w:t>(2012)</w:t>
            </w:r>
          </w:p>
        </w:tc>
        <w:tc>
          <w:tcPr>
            <w:tcW w:w="1929" w:type="dxa"/>
            <w:vAlign w:val="center"/>
          </w:tcPr>
          <w:p w14:paraId="2D415253" w14:textId="77777777" w:rsidR="00150CEC" w:rsidRPr="006068DE" w:rsidRDefault="00150CEC" w:rsidP="00307AF7">
            <w:pPr>
              <w:spacing w:before="60" w:after="60"/>
              <w:jc w:val="center"/>
              <w:rPr>
                <w:rFonts w:cs="Arial"/>
                <w:sz w:val="18"/>
                <w:szCs w:val="18"/>
              </w:rPr>
            </w:pPr>
            <w:r w:rsidRPr="006068DE">
              <w:rPr>
                <w:rFonts w:cs="Arial"/>
                <w:sz w:val="18"/>
                <w:szCs w:val="18"/>
              </w:rPr>
              <w:t>18,1</w:t>
            </w:r>
          </w:p>
          <w:p w14:paraId="3E0014BE" w14:textId="77777777" w:rsidR="00150CEC" w:rsidRPr="006068DE" w:rsidRDefault="00150CEC" w:rsidP="00307AF7">
            <w:pPr>
              <w:spacing w:before="60" w:after="60"/>
              <w:jc w:val="center"/>
              <w:rPr>
                <w:rFonts w:cs="Arial"/>
                <w:sz w:val="18"/>
                <w:szCs w:val="18"/>
              </w:rPr>
            </w:pPr>
            <w:r w:rsidRPr="006068DE">
              <w:rPr>
                <w:rFonts w:cs="Arial"/>
                <w:sz w:val="18"/>
                <w:szCs w:val="18"/>
              </w:rPr>
              <w:t>(2014)</w:t>
            </w:r>
          </w:p>
        </w:tc>
        <w:tc>
          <w:tcPr>
            <w:tcW w:w="1857" w:type="dxa"/>
            <w:vAlign w:val="center"/>
          </w:tcPr>
          <w:p w14:paraId="242887A7" w14:textId="77777777" w:rsidR="00150CEC" w:rsidRPr="006068DE" w:rsidRDefault="00150CEC" w:rsidP="00307AF7">
            <w:pPr>
              <w:spacing w:before="60" w:after="60"/>
              <w:jc w:val="center"/>
              <w:rPr>
                <w:rFonts w:cs="Arial"/>
                <w:sz w:val="18"/>
                <w:szCs w:val="18"/>
              </w:rPr>
            </w:pPr>
            <w:r>
              <w:rPr>
                <w:rFonts w:cs="Arial"/>
                <w:sz w:val="18"/>
                <w:szCs w:val="18"/>
              </w:rPr>
              <w:t>19,9</w:t>
            </w:r>
          </w:p>
          <w:p w14:paraId="41E8E836" w14:textId="77777777" w:rsidR="00150CEC" w:rsidRPr="006068DE" w:rsidRDefault="00150CEC" w:rsidP="00307AF7">
            <w:pPr>
              <w:spacing w:before="60" w:after="60"/>
              <w:jc w:val="center"/>
              <w:rPr>
                <w:rFonts w:cs="Arial"/>
                <w:sz w:val="18"/>
                <w:szCs w:val="18"/>
              </w:rPr>
            </w:pPr>
            <w:r w:rsidRPr="006068DE">
              <w:rPr>
                <w:rFonts w:cs="Arial"/>
                <w:sz w:val="18"/>
                <w:szCs w:val="18"/>
              </w:rPr>
              <w:t>(20</w:t>
            </w:r>
            <w:r>
              <w:rPr>
                <w:rFonts w:cs="Arial"/>
                <w:sz w:val="18"/>
                <w:szCs w:val="18"/>
              </w:rPr>
              <w:t>20</w:t>
            </w:r>
            <w:r w:rsidRPr="006068DE">
              <w:rPr>
                <w:rFonts w:cs="Arial"/>
                <w:sz w:val="18"/>
                <w:szCs w:val="18"/>
              </w:rPr>
              <w:t>)</w:t>
            </w:r>
          </w:p>
        </w:tc>
      </w:tr>
      <w:tr w:rsidR="00150CEC" w:rsidRPr="00637E01" w14:paraId="0314FCE4" w14:textId="77777777" w:rsidTr="00150CEC">
        <w:trPr>
          <w:trHeight w:val="794"/>
        </w:trPr>
        <w:tc>
          <w:tcPr>
            <w:tcW w:w="739" w:type="dxa"/>
            <w:vAlign w:val="center"/>
          </w:tcPr>
          <w:p w14:paraId="57783CC1" w14:textId="77777777" w:rsidR="00150CEC" w:rsidRPr="00637E01" w:rsidRDefault="00150CEC" w:rsidP="00307AF7">
            <w:pPr>
              <w:spacing w:before="120" w:after="120"/>
              <w:jc w:val="center"/>
              <w:rPr>
                <w:rFonts w:cs="Arial"/>
                <w:sz w:val="18"/>
                <w:szCs w:val="18"/>
              </w:rPr>
            </w:pPr>
            <w:r w:rsidRPr="00637E01">
              <w:rPr>
                <w:rFonts w:cs="Arial"/>
                <w:sz w:val="18"/>
                <w:szCs w:val="18"/>
              </w:rPr>
              <w:t>9</w:t>
            </w:r>
          </w:p>
        </w:tc>
        <w:tc>
          <w:tcPr>
            <w:tcW w:w="3059" w:type="dxa"/>
            <w:vAlign w:val="center"/>
          </w:tcPr>
          <w:p w14:paraId="3ABF9C38" w14:textId="77777777" w:rsidR="00150CEC" w:rsidRPr="00637E01" w:rsidRDefault="00150CEC" w:rsidP="00307AF7">
            <w:pPr>
              <w:spacing w:before="60" w:after="60"/>
              <w:rPr>
                <w:rFonts w:cs="Arial"/>
                <w:sz w:val="18"/>
                <w:szCs w:val="18"/>
              </w:rPr>
            </w:pPr>
            <w:r w:rsidRPr="00637E01">
              <w:rPr>
                <w:rFonts w:cs="Arial"/>
                <w:sz w:val="18"/>
                <w:szCs w:val="18"/>
              </w:rPr>
              <w:t>Výnosy z prodeje licencí patentů (včetně národních) v mil. Kč</w:t>
            </w:r>
          </w:p>
        </w:tc>
        <w:tc>
          <w:tcPr>
            <w:tcW w:w="1914" w:type="dxa"/>
            <w:vAlign w:val="center"/>
          </w:tcPr>
          <w:p w14:paraId="63D8DD98" w14:textId="77777777" w:rsidR="00150CEC" w:rsidRPr="00637E01" w:rsidRDefault="00150CEC" w:rsidP="00307AF7">
            <w:pPr>
              <w:spacing w:before="60" w:after="60"/>
              <w:jc w:val="center"/>
              <w:rPr>
                <w:rFonts w:cs="Arial"/>
                <w:sz w:val="18"/>
                <w:szCs w:val="18"/>
              </w:rPr>
            </w:pPr>
            <w:r w:rsidRPr="00637E01">
              <w:rPr>
                <w:rFonts w:cs="Arial"/>
                <w:sz w:val="18"/>
                <w:szCs w:val="18"/>
              </w:rPr>
              <w:t>2 726</w:t>
            </w:r>
          </w:p>
          <w:p w14:paraId="11B9F47A" w14:textId="77777777" w:rsidR="00150CEC" w:rsidRPr="00637E01" w:rsidRDefault="00150CEC" w:rsidP="00307AF7">
            <w:pPr>
              <w:spacing w:before="60" w:after="60"/>
              <w:jc w:val="center"/>
              <w:rPr>
                <w:rFonts w:cs="Arial"/>
                <w:sz w:val="18"/>
                <w:szCs w:val="18"/>
              </w:rPr>
            </w:pPr>
            <w:r w:rsidRPr="00637E01">
              <w:rPr>
                <w:rFonts w:cs="Arial"/>
                <w:sz w:val="18"/>
                <w:szCs w:val="18"/>
              </w:rPr>
              <w:t>(2014)</w:t>
            </w:r>
          </w:p>
        </w:tc>
        <w:tc>
          <w:tcPr>
            <w:tcW w:w="1929" w:type="dxa"/>
            <w:vAlign w:val="center"/>
          </w:tcPr>
          <w:p w14:paraId="25E4A126" w14:textId="77777777" w:rsidR="00150CEC" w:rsidRPr="006068DE" w:rsidRDefault="00150CEC" w:rsidP="00307AF7">
            <w:pPr>
              <w:spacing w:before="60" w:after="60"/>
              <w:jc w:val="center"/>
              <w:rPr>
                <w:rFonts w:cs="Arial"/>
                <w:sz w:val="18"/>
                <w:szCs w:val="18"/>
              </w:rPr>
            </w:pPr>
            <w:r w:rsidRPr="006068DE">
              <w:rPr>
                <w:rFonts w:cs="Arial"/>
                <w:sz w:val="18"/>
                <w:szCs w:val="18"/>
              </w:rPr>
              <w:t>3 356</w:t>
            </w:r>
          </w:p>
          <w:p w14:paraId="4F06E474" w14:textId="77777777" w:rsidR="00150CEC" w:rsidRPr="006068DE" w:rsidRDefault="00150CEC" w:rsidP="00307AF7">
            <w:pPr>
              <w:spacing w:before="60" w:after="60"/>
              <w:jc w:val="center"/>
              <w:rPr>
                <w:rFonts w:cs="Arial"/>
                <w:sz w:val="18"/>
                <w:szCs w:val="18"/>
              </w:rPr>
            </w:pPr>
            <w:r w:rsidRPr="006068DE">
              <w:rPr>
                <w:rFonts w:cs="Arial"/>
                <w:sz w:val="18"/>
                <w:szCs w:val="18"/>
              </w:rPr>
              <w:t>(2016)</w:t>
            </w:r>
          </w:p>
        </w:tc>
        <w:tc>
          <w:tcPr>
            <w:tcW w:w="1857" w:type="dxa"/>
            <w:vAlign w:val="center"/>
          </w:tcPr>
          <w:p w14:paraId="56771214" w14:textId="77777777" w:rsidR="00150CEC" w:rsidRPr="006068DE" w:rsidRDefault="00150CEC" w:rsidP="00307AF7">
            <w:pPr>
              <w:spacing w:before="60" w:after="60"/>
              <w:jc w:val="center"/>
              <w:rPr>
                <w:rFonts w:cs="Arial"/>
                <w:sz w:val="18"/>
                <w:szCs w:val="18"/>
              </w:rPr>
            </w:pPr>
            <w:r>
              <w:rPr>
                <w:rFonts w:cs="Arial"/>
                <w:sz w:val="18"/>
                <w:szCs w:val="18"/>
              </w:rPr>
              <w:t>3 546</w:t>
            </w:r>
          </w:p>
          <w:p w14:paraId="30FD5E3C" w14:textId="77777777" w:rsidR="00150CEC" w:rsidRPr="006068DE" w:rsidRDefault="00150CEC" w:rsidP="00307AF7">
            <w:pPr>
              <w:spacing w:before="60" w:after="60"/>
              <w:jc w:val="center"/>
              <w:rPr>
                <w:rFonts w:cs="Arial"/>
                <w:sz w:val="18"/>
                <w:szCs w:val="18"/>
              </w:rPr>
            </w:pPr>
            <w:r w:rsidRPr="006068DE">
              <w:rPr>
                <w:rFonts w:cs="Arial"/>
                <w:sz w:val="18"/>
                <w:szCs w:val="18"/>
              </w:rPr>
              <w:t>(20</w:t>
            </w:r>
            <w:r>
              <w:rPr>
                <w:rFonts w:cs="Arial"/>
                <w:sz w:val="18"/>
                <w:szCs w:val="18"/>
              </w:rPr>
              <w:t>23</w:t>
            </w:r>
            <w:r w:rsidRPr="006068DE">
              <w:rPr>
                <w:rFonts w:cs="Arial"/>
                <w:sz w:val="18"/>
                <w:szCs w:val="18"/>
              </w:rPr>
              <w:t>)</w:t>
            </w:r>
          </w:p>
        </w:tc>
      </w:tr>
      <w:tr w:rsidR="00150CEC" w:rsidRPr="00637E01" w14:paraId="448467EE" w14:textId="77777777" w:rsidTr="00150CEC">
        <w:trPr>
          <w:trHeight w:val="925"/>
        </w:trPr>
        <w:tc>
          <w:tcPr>
            <w:tcW w:w="739" w:type="dxa"/>
            <w:vAlign w:val="center"/>
          </w:tcPr>
          <w:p w14:paraId="5736692E" w14:textId="77777777" w:rsidR="00150CEC" w:rsidRPr="00637E01" w:rsidRDefault="00150CEC" w:rsidP="00307AF7">
            <w:pPr>
              <w:spacing w:before="120" w:after="120"/>
              <w:jc w:val="center"/>
              <w:rPr>
                <w:rFonts w:cs="Arial"/>
                <w:sz w:val="18"/>
                <w:szCs w:val="18"/>
              </w:rPr>
            </w:pPr>
            <w:r w:rsidRPr="00637E01">
              <w:rPr>
                <w:rFonts w:cs="Arial"/>
                <w:sz w:val="18"/>
                <w:szCs w:val="18"/>
              </w:rPr>
              <w:t>10</w:t>
            </w:r>
          </w:p>
        </w:tc>
        <w:tc>
          <w:tcPr>
            <w:tcW w:w="3059" w:type="dxa"/>
            <w:vAlign w:val="center"/>
          </w:tcPr>
          <w:p w14:paraId="5D6DE5F3" w14:textId="77777777" w:rsidR="00150CEC" w:rsidRPr="00637E01" w:rsidRDefault="00150CEC" w:rsidP="00307AF7">
            <w:pPr>
              <w:spacing w:before="60" w:after="60"/>
              <w:rPr>
                <w:rFonts w:cs="Arial"/>
                <w:sz w:val="18"/>
                <w:szCs w:val="18"/>
              </w:rPr>
            </w:pPr>
            <w:r w:rsidRPr="00637E01">
              <w:rPr>
                <w:rFonts w:cs="Arial"/>
                <w:sz w:val="18"/>
                <w:szCs w:val="18"/>
              </w:rPr>
              <w:t>Podíl vysoce citovaných publikací (podíl publikací v 10 % nejcitovanějších publikací v celkovém počtu)</w:t>
            </w:r>
            <w:r>
              <w:rPr>
                <w:rFonts w:cs="Arial"/>
                <w:sz w:val="18"/>
                <w:szCs w:val="18"/>
              </w:rPr>
              <w:t xml:space="preserve"> </w:t>
            </w:r>
            <w:r>
              <w:rPr>
                <w:rFonts w:cs="Arial"/>
                <w:sz w:val="18"/>
                <w:szCs w:val="18"/>
                <w:vertAlign w:val="superscript"/>
              </w:rPr>
              <w:t>1</w:t>
            </w:r>
          </w:p>
        </w:tc>
        <w:tc>
          <w:tcPr>
            <w:tcW w:w="1914" w:type="dxa"/>
            <w:vAlign w:val="center"/>
          </w:tcPr>
          <w:p w14:paraId="5C1B7CC2" w14:textId="77777777" w:rsidR="00150CEC" w:rsidRPr="00637E01" w:rsidRDefault="00150CEC" w:rsidP="00307AF7">
            <w:pPr>
              <w:spacing w:before="60" w:after="60"/>
              <w:jc w:val="center"/>
              <w:rPr>
                <w:rFonts w:cs="Arial"/>
                <w:sz w:val="18"/>
                <w:szCs w:val="18"/>
              </w:rPr>
            </w:pPr>
            <w:r>
              <w:rPr>
                <w:rFonts w:cs="Arial"/>
                <w:sz w:val="18"/>
                <w:szCs w:val="18"/>
              </w:rPr>
              <w:t>9,2</w:t>
            </w:r>
            <w:r w:rsidRPr="00637E01">
              <w:rPr>
                <w:rFonts w:cs="Arial"/>
                <w:sz w:val="18"/>
                <w:szCs w:val="18"/>
              </w:rPr>
              <w:t xml:space="preserve"> %</w:t>
            </w:r>
            <w:r>
              <w:rPr>
                <w:rFonts w:cs="Arial"/>
                <w:sz w:val="18"/>
                <w:szCs w:val="18"/>
              </w:rPr>
              <w:t xml:space="preserve"> </w:t>
            </w:r>
            <w:r w:rsidRPr="00637E01">
              <w:rPr>
                <w:rFonts w:cs="Arial"/>
                <w:sz w:val="18"/>
                <w:szCs w:val="18"/>
              </w:rPr>
              <w:t>*</w:t>
            </w:r>
          </w:p>
          <w:p w14:paraId="258E0462" w14:textId="77777777" w:rsidR="00150CEC" w:rsidRPr="00637E01" w:rsidRDefault="00150CEC" w:rsidP="00307AF7">
            <w:pPr>
              <w:spacing w:before="60" w:after="60"/>
              <w:jc w:val="center"/>
              <w:rPr>
                <w:rFonts w:cs="Arial"/>
                <w:sz w:val="18"/>
                <w:szCs w:val="18"/>
              </w:rPr>
            </w:pPr>
            <w:r w:rsidRPr="00637E01">
              <w:rPr>
                <w:rFonts w:cs="Arial"/>
                <w:sz w:val="18"/>
                <w:szCs w:val="18"/>
              </w:rPr>
              <w:t>(2012)</w:t>
            </w:r>
          </w:p>
        </w:tc>
        <w:tc>
          <w:tcPr>
            <w:tcW w:w="1929" w:type="dxa"/>
            <w:vAlign w:val="center"/>
          </w:tcPr>
          <w:p w14:paraId="544AD846" w14:textId="77777777" w:rsidR="00150CEC" w:rsidRPr="006068DE" w:rsidRDefault="00150CEC" w:rsidP="00307AF7">
            <w:pPr>
              <w:spacing w:before="60" w:after="60"/>
              <w:jc w:val="center"/>
              <w:rPr>
                <w:rFonts w:cs="Arial"/>
                <w:sz w:val="18"/>
                <w:szCs w:val="18"/>
              </w:rPr>
            </w:pPr>
            <w:r>
              <w:rPr>
                <w:rFonts w:cs="Arial"/>
                <w:sz w:val="18"/>
                <w:szCs w:val="18"/>
              </w:rPr>
              <w:t>9,5</w:t>
            </w:r>
            <w:r w:rsidRPr="006068DE">
              <w:rPr>
                <w:rFonts w:cs="Arial"/>
                <w:sz w:val="18"/>
                <w:szCs w:val="18"/>
              </w:rPr>
              <w:t> % *</w:t>
            </w:r>
          </w:p>
          <w:p w14:paraId="5657E9DE" w14:textId="77777777" w:rsidR="00150CEC" w:rsidRPr="006068DE" w:rsidRDefault="00150CEC" w:rsidP="00307AF7">
            <w:pPr>
              <w:spacing w:before="60" w:after="60"/>
              <w:jc w:val="center"/>
              <w:rPr>
                <w:rFonts w:cs="Arial"/>
                <w:sz w:val="18"/>
                <w:szCs w:val="18"/>
              </w:rPr>
            </w:pPr>
            <w:r w:rsidRPr="006068DE">
              <w:rPr>
                <w:rFonts w:cs="Arial"/>
                <w:sz w:val="18"/>
                <w:szCs w:val="18"/>
              </w:rPr>
              <w:t>(201</w:t>
            </w:r>
            <w:r>
              <w:rPr>
                <w:rFonts w:cs="Arial"/>
                <w:sz w:val="18"/>
                <w:szCs w:val="18"/>
              </w:rPr>
              <w:t>6</w:t>
            </w:r>
            <w:r w:rsidRPr="006068DE">
              <w:rPr>
                <w:rFonts w:cs="Arial"/>
                <w:sz w:val="18"/>
                <w:szCs w:val="18"/>
              </w:rPr>
              <w:t>)</w:t>
            </w:r>
          </w:p>
        </w:tc>
        <w:tc>
          <w:tcPr>
            <w:tcW w:w="1857" w:type="dxa"/>
            <w:vAlign w:val="center"/>
          </w:tcPr>
          <w:p w14:paraId="05B3CDD5" w14:textId="77777777" w:rsidR="00150CEC" w:rsidRPr="006068DE" w:rsidRDefault="00150CEC" w:rsidP="00307AF7">
            <w:pPr>
              <w:spacing w:before="60" w:after="60"/>
              <w:jc w:val="center"/>
              <w:rPr>
                <w:rFonts w:cs="Arial"/>
                <w:sz w:val="18"/>
                <w:szCs w:val="18"/>
              </w:rPr>
            </w:pPr>
            <w:r>
              <w:rPr>
                <w:rFonts w:cs="Arial"/>
                <w:sz w:val="18"/>
                <w:szCs w:val="18"/>
              </w:rPr>
              <w:t>11,0</w:t>
            </w:r>
            <w:r w:rsidRPr="006068DE">
              <w:rPr>
                <w:rFonts w:cs="Arial"/>
                <w:sz w:val="18"/>
                <w:szCs w:val="18"/>
              </w:rPr>
              <w:t> %</w:t>
            </w:r>
            <w:r w:rsidRPr="006068DE">
              <w:rPr>
                <w:rFonts w:cs="Arial"/>
                <w:sz w:val="18"/>
                <w:szCs w:val="18"/>
                <w:vertAlign w:val="superscript"/>
              </w:rPr>
              <w:t xml:space="preserve"> </w:t>
            </w:r>
            <w:r w:rsidRPr="006068DE">
              <w:rPr>
                <w:rFonts w:cs="Arial"/>
                <w:sz w:val="18"/>
                <w:szCs w:val="18"/>
              </w:rPr>
              <w:t>(20</w:t>
            </w:r>
            <w:r>
              <w:rPr>
                <w:rFonts w:cs="Arial"/>
                <w:sz w:val="18"/>
                <w:szCs w:val="18"/>
              </w:rPr>
              <w:t>22</w:t>
            </w:r>
            <w:r w:rsidRPr="006068DE">
              <w:rPr>
                <w:rFonts w:cs="Arial"/>
                <w:sz w:val="18"/>
                <w:szCs w:val="18"/>
              </w:rPr>
              <w:t>)</w:t>
            </w:r>
          </w:p>
          <w:p w14:paraId="5DEC123C" w14:textId="77777777" w:rsidR="00150CEC" w:rsidRPr="006068DE" w:rsidRDefault="00150CEC" w:rsidP="00307AF7">
            <w:pPr>
              <w:spacing w:before="60" w:after="60"/>
              <w:jc w:val="center"/>
              <w:rPr>
                <w:rFonts w:cs="Arial"/>
                <w:sz w:val="18"/>
                <w:szCs w:val="18"/>
              </w:rPr>
            </w:pPr>
            <w:r>
              <w:rPr>
                <w:rFonts w:cs="Arial"/>
                <w:sz w:val="18"/>
                <w:szCs w:val="18"/>
              </w:rPr>
              <w:t>10</w:t>
            </w:r>
            <w:r w:rsidRPr="006068DE">
              <w:rPr>
                <w:rFonts w:cs="Arial"/>
                <w:sz w:val="18"/>
                <w:szCs w:val="18"/>
              </w:rPr>
              <w:t>,</w:t>
            </w:r>
            <w:r>
              <w:rPr>
                <w:rFonts w:cs="Arial"/>
                <w:sz w:val="18"/>
                <w:szCs w:val="18"/>
              </w:rPr>
              <w:t>6</w:t>
            </w:r>
            <w:r w:rsidRPr="006068DE">
              <w:rPr>
                <w:rFonts w:cs="Arial"/>
                <w:sz w:val="18"/>
                <w:szCs w:val="18"/>
              </w:rPr>
              <w:t xml:space="preserve"> % (202</w:t>
            </w:r>
            <w:r>
              <w:rPr>
                <w:rFonts w:cs="Arial"/>
                <w:sz w:val="18"/>
                <w:szCs w:val="18"/>
              </w:rPr>
              <w:t>3</w:t>
            </w:r>
            <w:r w:rsidRPr="006068DE">
              <w:rPr>
                <w:rFonts w:cs="Arial"/>
                <w:sz w:val="18"/>
                <w:szCs w:val="18"/>
              </w:rPr>
              <w:t>)</w:t>
            </w:r>
          </w:p>
        </w:tc>
      </w:tr>
      <w:tr w:rsidR="00150CEC" w:rsidRPr="00637E01" w14:paraId="381AE133" w14:textId="77777777" w:rsidTr="00150CEC">
        <w:trPr>
          <w:trHeight w:val="852"/>
        </w:trPr>
        <w:tc>
          <w:tcPr>
            <w:tcW w:w="739" w:type="dxa"/>
            <w:vAlign w:val="center"/>
          </w:tcPr>
          <w:p w14:paraId="2693F106" w14:textId="77777777" w:rsidR="00150CEC" w:rsidRPr="00637E01" w:rsidRDefault="00150CEC" w:rsidP="00307AF7">
            <w:pPr>
              <w:spacing w:before="120" w:after="120"/>
              <w:jc w:val="center"/>
              <w:rPr>
                <w:rFonts w:cs="Arial"/>
                <w:sz w:val="18"/>
                <w:szCs w:val="18"/>
              </w:rPr>
            </w:pPr>
            <w:r w:rsidRPr="00637E01">
              <w:rPr>
                <w:rFonts w:cs="Arial"/>
                <w:sz w:val="18"/>
                <w:szCs w:val="18"/>
              </w:rPr>
              <w:t>11</w:t>
            </w:r>
          </w:p>
        </w:tc>
        <w:tc>
          <w:tcPr>
            <w:tcW w:w="3059" w:type="dxa"/>
            <w:vAlign w:val="center"/>
          </w:tcPr>
          <w:p w14:paraId="14924BAC" w14:textId="77777777" w:rsidR="00150CEC" w:rsidRPr="00637E01" w:rsidRDefault="00150CEC" w:rsidP="00307AF7">
            <w:pPr>
              <w:spacing w:before="60" w:after="60"/>
              <w:rPr>
                <w:rFonts w:cs="Arial"/>
                <w:sz w:val="18"/>
                <w:szCs w:val="18"/>
              </w:rPr>
            </w:pPr>
            <w:r w:rsidRPr="00637E01">
              <w:rPr>
                <w:rFonts w:cs="Arial"/>
                <w:sz w:val="18"/>
                <w:szCs w:val="18"/>
              </w:rPr>
              <w:t xml:space="preserve">Celkový počet ERC grantů </w:t>
            </w:r>
            <w:r>
              <w:rPr>
                <w:rFonts w:cs="Arial"/>
                <w:sz w:val="18"/>
                <w:szCs w:val="18"/>
              </w:rPr>
              <w:t xml:space="preserve">v programu Horizont 2020 </w:t>
            </w:r>
            <w:r w:rsidRPr="00637E01">
              <w:rPr>
                <w:rFonts w:cs="Arial"/>
                <w:sz w:val="18"/>
                <w:szCs w:val="18"/>
              </w:rPr>
              <w:t>na tisíc výzkumných pracovníků ve vládním a VŠ sektoru</w:t>
            </w:r>
          </w:p>
        </w:tc>
        <w:tc>
          <w:tcPr>
            <w:tcW w:w="1914" w:type="dxa"/>
            <w:vAlign w:val="center"/>
          </w:tcPr>
          <w:p w14:paraId="4B6DCCD1" w14:textId="77777777" w:rsidR="00150CEC" w:rsidRPr="00637E01" w:rsidRDefault="00150CEC" w:rsidP="00307AF7">
            <w:pPr>
              <w:spacing w:before="60" w:after="60"/>
              <w:jc w:val="center"/>
              <w:rPr>
                <w:rFonts w:cs="Arial"/>
                <w:sz w:val="18"/>
                <w:szCs w:val="18"/>
              </w:rPr>
            </w:pPr>
            <w:r w:rsidRPr="00637E01">
              <w:rPr>
                <w:rFonts w:cs="Arial"/>
                <w:sz w:val="18"/>
                <w:szCs w:val="18"/>
              </w:rPr>
              <w:t>0,17</w:t>
            </w:r>
          </w:p>
          <w:p w14:paraId="4E5744C4" w14:textId="77777777" w:rsidR="00150CEC" w:rsidRPr="00637E01" w:rsidRDefault="00150CEC" w:rsidP="00307AF7">
            <w:pPr>
              <w:spacing w:before="60" w:after="60"/>
              <w:jc w:val="center"/>
              <w:rPr>
                <w:rFonts w:cs="Arial"/>
                <w:sz w:val="18"/>
                <w:szCs w:val="18"/>
              </w:rPr>
            </w:pPr>
            <w:r w:rsidRPr="00637E01">
              <w:rPr>
                <w:rFonts w:cs="Arial"/>
                <w:sz w:val="18"/>
                <w:szCs w:val="18"/>
              </w:rPr>
              <w:t>(2013)</w:t>
            </w:r>
          </w:p>
        </w:tc>
        <w:tc>
          <w:tcPr>
            <w:tcW w:w="1929" w:type="dxa"/>
            <w:vAlign w:val="center"/>
          </w:tcPr>
          <w:p w14:paraId="04F6010D" w14:textId="77777777" w:rsidR="00150CEC" w:rsidRPr="006068DE" w:rsidRDefault="00150CEC" w:rsidP="00307AF7">
            <w:pPr>
              <w:spacing w:before="60" w:after="60"/>
              <w:jc w:val="center"/>
              <w:rPr>
                <w:rFonts w:cs="Arial"/>
                <w:sz w:val="18"/>
                <w:szCs w:val="18"/>
              </w:rPr>
            </w:pPr>
            <w:r w:rsidRPr="006068DE">
              <w:rPr>
                <w:rFonts w:cs="Arial"/>
                <w:sz w:val="18"/>
                <w:szCs w:val="18"/>
              </w:rPr>
              <w:t>0,33</w:t>
            </w:r>
          </w:p>
          <w:p w14:paraId="6C930E23" w14:textId="77777777" w:rsidR="00150CEC" w:rsidRPr="006068DE" w:rsidRDefault="00150CEC" w:rsidP="00307AF7">
            <w:pPr>
              <w:spacing w:before="60" w:after="60"/>
              <w:jc w:val="center"/>
              <w:rPr>
                <w:rFonts w:cs="Arial"/>
                <w:sz w:val="18"/>
                <w:szCs w:val="18"/>
              </w:rPr>
            </w:pPr>
            <w:r w:rsidRPr="006068DE">
              <w:rPr>
                <w:rFonts w:cs="Arial"/>
                <w:sz w:val="18"/>
                <w:szCs w:val="18"/>
              </w:rPr>
              <w:t>(2016)</w:t>
            </w:r>
          </w:p>
        </w:tc>
        <w:tc>
          <w:tcPr>
            <w:tcW w:w="1857" w:type="dxa"/>
            <w:vAlign w:val="center"/>
          </w:tcPr>
          <w:p w14:paraId="60923A51" w14:textId="77777777" w:rsidR="00150CEC" w:rsidRPr="006068DE" w:rsidRDefault="00150CEC" w:rsidP="00307AF7">
            <w:pPr>
              <w:spacing w:before="60" w:after="60"/>
              <w:jc w:val="center"/>
              <w:rPr>
                <w:rFonts w:cs="Arial"/>
                <w:sz w:val="18"/>
                <w:szCs w:val="18"/>
              </w:rPr>
            </w:pPr>
            <w:r w:rsidRPr="006068DE">
              <w:rPr>
                <w:rFonts w:cs="Arial"/>
                <w:sz w:val="18"/>
                <w:szCs w:val="18"/>
              </w:rPr>
              <w:t>1,</w:t>
            </w:r>
            <w:r>
              <w:rPr>
                <w:rFonts w:cs="Arial"/>
                <w:sz w:val="18"/>
                <w:szCs w:val="18"/>
              </w:rPr>
              <w:t>7</w:t>
            </w:r>
            <w:r w:rsidRPr="006068DE">
              <w:rPr>
                <w:rFonts w:cs="Arial"/>
                <w:sz w:val="18"/>
                <w:szCs w:val="18"/>
              </w:rPr>
              <w:t xml:space="preserve"> </w:t>
            </w:r>
            <w:r>
              <w:rPr>
                <w:rFonts w:cs="Arial"/>
                <w:sz w:val="18"/>
                <w:szCs w:val="18"/>
                <w:vertAlign w:val="superscript"/>
              </w:rPr>
              <w:t>7</w:t>
            </w:r>
          </w:p>
          <w:p w14:paraId="64D41AF4" w14:textId="77777777" w:rsidR="00150CEC" w:rsidRPr="006068DE" w:rsidRDefault="00150CEC" w:rsidP="00307AF7">
            <w:pPr>
              <w:spacing w:before="60" w:after="60"/>
              <w:jc w:val="center"/>
              <w:rPr>
                <w:rFonts w:cs="Arial"/>
                <w:sz w:val="18"/>
                <w:szCs w:val="18"/>
              </w:rPr>
            </w:pPr>
            <w:r w:rsidRPr="006068DE">
              <w:rPr>
                <w:rFonts w:cs="Arial"/>
                <w:sz w:val="18"/>
                <w:szCs w:val="18"/>
              </w:rPr>
              <w:t>(202</w:t>
            </w:r>
            <w:r>
              <w:rPr>
                <w:rFonts w:cs="Arial"/>
                <w:sz w:val="18"/>
                <w:szCs w:val="18"/>
              </w:rPr>
              <w:t>3</w:t>
            </w:r>
            <w:r w:rsidRPr="006068DE">
              <w:rPr>
                <w:rFonts w:cs="Arial"/>
                <w:sz w:val="18"/>
                <w:szCs w:val="18"/>
              </w:rPr>
              <w:t>)</w:t>
            </w:r>
          </w:p>
        </w:tc>
      </w:tr>
      <w:tr w:rsidR="00150CEC" w:rsidRPr="00637E01" w14:paraId="2789C6A7" w14:textId="77777777" w:rsidTr="00150CEC">
        <w:trPr>
          <w:trHeight w:val="852"/>
        </w:trPr>
        <w:tc>
          <w:tcPr>
            <w:tcW w:w="739" w:type="dxa"/>
            <w:vAlign w:val="center"/>
          </w:tcPr>
          <w:p w14:paraId="7A3E4434" w14:textId="77777777" w:rsidR="00150CEC" w:rsidRPr="00637E01" w:rsidRDefault="00150CEC" w:rsidP="00307AF7">
            <w:pPr>
              <w:spacing w:before="120" w:after="120"/>
              <w:jc w:val="center"/>
              <w:rPr>
                <w:rFonts w:cs="Arial"/>
                <w:sz w:val="18"/>
                <w:szCs w:val="18"/>
              </w:rPr>
            </w:pPr>
            <w:r>
              <w:rPr>
                <w:rFonts w:cs="Arial"/>
                <w:sz w:val="18"/>
                <w:szCs w:val="18"/>
              </w:rPr>
              <w:t>11.1</w:t>
            </w:r>
          </w:p>
        </w:tc>
        <w:tc>
          <w:tcPr>
            <w:tcW w:w="3059" w:type="dxa"/>
            <w:vAlign w:val="center"/>
          </w:tcPr>
          <w:p w14:paraId="41CB878F" w14:textId="77777777" w:rsidR="00150CEC" w:rsidRPr="00637E01" w:rsidRDefault="00150CEC" w:rsidP="00307AF7">
            <w:pPr>
              <w:spacing w:before="60" w:after="60"/>
              <w:rPr>
                <w:rFonts w:cs="Arial"/>
                <w:sz w:val="18"/>
                <w:szCs w:val="18"/>
              </w:rPr>
            </w:pPr>
            <w:r w:rsidRPr="00637E01">
              <w:rPr>
                <w:rFonts w:cs="Arial"/>
                <w:sz w:val="18"/>
                <w:szCs w:val="18"/>
              </w:rPr>
              <w:t xml:space="preserve">Celkový počet ERC grantů </w:t>
            </w:r>
            <w:r>
              <w:rPr>
                <w:rFonts w:cs="Arial"/>
                <w:sz w:val="18"/>
                <w:szCs w:val="18"/>
              </w:rPr>
              <w:t xml:space="preserve">v programu Horizont 2020 </w:t>
            </w:r>
            <w:r w:rsidRPr="00637E01">
              <w:rPr>
                <w:rFonts w:cs="Arial"/>
                <w:sz w:val="18"/>
                <w:szCs w:val="18"/>
              </w:rPr>
              <w:t>na tisíc výzkumných pracovníků ve vládním a VŠ sektoru</w:t>
            </w:r>
          </w:p>
        </w:tc>
        <w:tc>
          <w:tcPr>
            <w:tcW w:w="1914" w:type="dxa"/>
            <w:vAlign w:val="center"/>
          </w:tcPr>
          <w:p w14:paraId="381C5EC7" w14:textId="77777777" w:rsidR="00150CEC" w:rsidRPr="00637E01" w:rsidRDefault="00150CEC" w:rsidP="00307AF7">
            <w:pPr>
              <w:spacing w:before="60" w:after="60"/>
              <w:jc w:val="center"/>
              <w:rPr>
                <w:rFonts w:cs="Arial"/>
                <w:sz w:val="18"/>
                <w:szCs w:val="18"/>
              </w:rPr>
            </w:pPr>
            <w:r>
              <w:rPr>
                <w:rFonts w:cs="Arial"/>
                <w:sz w:val="18"/>
                <w:szCs w:val="18"/>
              </w:rPr>
              <w:t>-</w:t>
            </w:r>
          </w:p>
        </w:tc>
        <w:tc>
          <w:tcPr>
            <w:tcW w:w="1929" w:type="dxa"/>
            <w:vAlign w:val="center"/>
          </w:tcPr>
          <w:p w14:paraId="336CCC5D" w14:textId="77777777" w:rsidR="00150CEC" w:rsidRPr="006068DE" w:rsidRDefault="00150CEC" w:rsidP="00307AF7">
            <w:pPr>
              <w:spacing w:before="60" w:after="60"/>
              <w:jc w:val="center"/>
              <w:rPr>
                <w:rFonts w:cs="Arial"/>
                <w:sz w:val="18"/>
                <w:szCs w:val="18"/>
              </w:rPr>
            </w:pPr>
            <w:r>
              <w:rPr>
                <w:rFonts w:cs="Arial"/>
                <w:sz w:val="18"/>
                <w:szCs w:val="18"/>
              </w:rPr>
              <w:t>-</w:t>
            </w:r>
          </w:p>
        </w:tc>
        <w:tc>
          <w:tcPr>
            <w:tcW w:w="1857" w:type="dxa"/>
            <w:vAlign w:val="center"/>
          </w:tcPr>
          <w:p w14:paraId="6FE8DDFB" w14:textId="77777777" w:rsidR="00150CEC" w:rsidRPr="006068DE" w:rsidRDefault="00150CEC" w:rsidP="00307AF7">
            <w:pPr>
              <w:spacing w:before="60" w:after="60"/>
              <w:jc w:val="center"/>
              <w:rPr>
                <w:rFonts w:cs="Arial"/>
                <w:sz w:val="18"/>
                <w:szCs w:val="18"/>
              </w:rPr>
            </w:pPr>
            <w:r w:rsidRPr="006068DE">
              <w:rPr>
                <w:rFonts w:cs="Arial"/>
                <w:sz w:val="18"/>
                <w:szCs w:val="18"/>
              </w:rPr>
              <w:t>1,</w:t>
            </w:r>
            <w:r>
              <w:rPr>
                <w:rFonts w:cs="Arial"/>
                <w:sz w:val="18"/>
                <w:szCs w:val="18"/>
              </w:rPr>
              <w:t xml:space="preserve">4 </w:t>
            </w:r>
            <w:r w:rsidRPr="00085101">
              <w:rPr>
                <w:rFonts w:cs="Arial"/>
                <w:sz w:val="18"/>
                <w:szCs w:val="18"/>
                <w:vertAlign w:val="superscript"/>
              </w:rPr>
              <w:t>8</w:t>
            </w:r>
          </w:p>
          <w:p w14:paraId="5398C9FD" w14:textId="77777777" w:rsidR="00150CEC" w:rsidRPr="006068DE" w:rsidRDefault="00150CEC" w:rsidP="00307AF7">
            <w:pPr>
              <w:spacing w:before="60" w:after="60"/>
              <w:jc w:val="center"/>
              <w:rPr>
                <w:rFonts w:cs="Arial"/>
                <w:sz w:val="18"/>
                <w:szCs w:val="18"/>
              </w:rPr>
            </w:pPr>
            <w:r w:rsidRPr="006068DE">
              <w:rPr>
                <w:rFonts w:cs="Arial"/>
                <w:sz w:val="18"/>
                <w:szCs w:val="18"/>
              </w:rPr>
              <w:t>(202</w:t>
            </w:r>
            <w:r>
              <w:rPr>
                <w:rFonts w:cs="Arial"/>
                <w:sz w:val="18"/>
                <w:szCs w:val="18"/>
              </w:rPr>
              <w:t>3</w:t>
            </w:r>
            <w:r w:rsidRPr="006068DE">
              <w:rPr>
                <w:rFonts w:cs="Arial"/>
                <w:sz w:val="18"/>
                <w:szCs w:val="18"/>
              </w:rPr>
              <w:t>)</w:t>
            </w:r>
          </w:p>
        </w:tc>
      </w:tr>
      <w:tr w:rsidR="00150CEC" w:rsidRPr="00637E01" w14:paraId="4AE1BD45" w14:textId="77777777" w:rsidTr="00150CEC">
        <w:trPr>
          <w:trHeight w:val="794"/>
        </w:trPr>
        <w:tc>
          <w:tcPr>
            <w:tcW w:w="739" w:type="dxa"/>
            <w:vAlign w:val="center"/>
          </w:tcPr>
          <w:p w14:paraId="6B96C30A" w14:textId="77777777" w:rsidR="00150CEC" w:rsidRPr="00637E01" w:rsidRDefault="00150CEC" w:rsidP="00307AF7">
            <w:pPr>
              <w:spacing w:before="120" w:after="120"/>
              <w:jc w:val="center"/>
              <w:rPr>
                <w:rFonts w:cs="Arial"/>
                <w:sz w:val="18"/>
                <w:szCs w:val="18"/>
              </w:rPr>
            </w:pPr>
            <w:r w:rsidRPr="00637E01">
              <w:rPr>
                <w:rFonts w:cs="Arial"/>
                <w:sz w:val="18"/>
                <w:szCs w:val="18"/>
              </w:rPr>
              <w:t>12</w:t>
            </w:r>
          </w:p>
        </w:tc>
        <w:tc>
          <w:tcPr>
            <w:tcW w:w="3059" w:type="dxa"/>
            <w:vAlign w:val="center"/>
          </w:tcPr>
          <w:p w14:paraId="11C556B0" w14:textId="77777777" w:rsidR="00150CEC" w:rsidRPr="00637E01" w:rsidRDefault="00150CEC" w:rsidP="00307AF7">
            <w:pPr>
              <w:spacing w:before="60" w:after="60"/>
              <w:rPr>
                <w:rFonts w:cs="Arial"/>
                <w:sz w:val="18"/>
                <w:szCs w:val="18"/>
              </w:rPr>
            </w:pPr>
            <w:r w:rsidRPr="00637E01">
              <w:rPr>
                <w:rFonts w:cs="Arial"/>
                <w:sz w:val="18"/>
                <w:szCs w:val="18"/>
              </w:rPr>
              <w:t>Podíl publikací ve spoluautorství veřejného a soukromého sektoru v celkovém počtu publikací (%)</w:t>
            </w:r>
            <w:r>
              <w:rPr>
                <w:rFonts w:cs="Arial"/>
                <w:sz w:val="18"/>
                <w:szCs w:val="18"/>
              </w:rPr>
              <w:t xml:space="preserve"> </w:t>
            </w:r>
            <w:r>
              <w:rPr>
                <w:rFonts w:cs="Arial"/>
                <w:sz w:val="18"/>
                <w:szCs w:val="18"/>
                <w:vertAlign w:val="superscript"/>
              </w:rPr>
              <w:t>1</w:t>
            </w:r>
          </w:p>
        </w:tc>
        <w:tc>
          <w:tcPr>
            <w:tcW w:w="1914" w:type="dxa"/>
            <w:vAlign w:val="center"/>
          </w:tcPr>
          <w:p w14:paraId="5A9B61BF" w14:textId="77777777" w:rsidR="00150CEC" w:rsidRDefault="00150CEC" w:rsidP="00307AF7">
            <w:pPr>
              <w:spacing w:before="60" w:after="60"/>
              <w:jc w:val="center"/>
              <w:rPr>
                <w:rFonts w:cs="Arial"/>
                <w:sz w:val="18"/>
                <w:szCs w:val="18"/>
              </w:rPr>
            </w:pPr>
            <w:r>
              <w:rPr>
                <w:rFonts w:cs="Arial"/>
                <w:sz w:val="18"/>
                <w:szCs w:val="18"/>
              </w:rPr>
              <w:t>3,1</w:t>
            </w:r>
            <w:r w:rsidRPr="00637E01">
              <w:rPr>
                <w:rFonts w:cs="Arial"/>
                <w:sz w:val="18"/>
                <w:szCs w:val="18"/>
              </w:rPr>
              <w:t xml:space="preserve"> %</w:t>
            </w:r>
            <w:r>
              <w:rPr>
                <w:rFonts w:cs="Arial"/>
                <w:sz w:val="18"/>
                <w:szCs w:val="18"/>
              </w:rPr>
              <w:t xml:space="preserve"> *</w:t>
            </w:r>
          </w:p>
          <w:p w14:paraId="1601C4FD" w14:textId="77777777" w:rsidR="00150CEC" w:rsidRPr="00637E01" w:rsidRDefault="00150CEC" w:rsidP="00307AF7">
            <w:pPr>
              <w:spacing w:before="60" w:after="60"/>
              <w:jc w:val="center"/>
              <w:rPr>
                <w:rFonts w:cs="Arial"/>
                <w:sz w:val="18"/>
                <w:szCs w:val="18"/>
              </w:rPr>
            </w:pPr>
            <w:r>
              <w:rPr>
                <w:rFonts w:cs="Arial"/>
                <w:sz w:val="18"/>
                <w:szCs w:val="18"/>
              </w:rPr>
              <w:t>(2013)</w:t>
            </w:r>
          </w:p>
        </w:tc>
        <w:tc>
          <w:tcPr>
            <w:tcW w:w="1929" w:type="dxa"/>
            <w:vAlign w:val="center"/>
          </w:tcPr>
          <w:p w14:paraId="5CEEE743" w14:textId="77777777" w:rsidR="00150CEC" w:rsidRPr="006068DE" w:rsidRDefault="00150CEC" w:rsidP="00307AF7">
            <w:pPr>
              <w:spacing w:before="60" w:after="60"/>
              <w:jc w:val="center"/>
              <w:rPr>
                <w:rFonts w:cs="Arial"/>
                <w:sz w:val="18"/>
                <w:szCs w:val="18"/>
              </w:rPr>
            </w:pPr>
            <w:r>
              <w:rPr>
                <w:rFonts w:cs="Arial"/>
                <w:sz w:val="18"/>
                <w:szCs w:val="18"/>
              </w:rPr>
              <w:t>3,4</w:t>
            </w:r>
            <w:r w:rsidRPr="006068DE">
              <w:rPr>
                <w:rFonts w:cs="Arial"/>
                <w:sz w:val="18"/>
                <w:szCs w:val="18"/>
              </w:rPr>
              <w:t> % *</w:t>
            </w:r>
          </w:p>
          <w:p w14:paraId="542AEEDF" w14:textId="77777777" w:rsidR="00150CEC" w:rsidRPr="006068DE" w:rsidRDefault="00150CEC" w:rsidP="00307AF7">
            <w:pPr>
              <w:spacing w:before="60" w:after="60"/>
              <w:jc w:val="center"/>
              <w:rPr>
                <w:rFonts w:cs="Arial"/>
                <w:sz w:val="18"/>
                <w:szCs w:val="18"/>
              </w:rPr>
            </w:pPr>
            <w:r w:rsidRPr="006068DE">
              <w:rPr>
                <w:rFonts w:cs="Arial"/>
                <w:sz w:val="18"/>
                <w:szCs w:val="18"/>
              </w:rPr>
              <w:t>(2016)</w:t>
            </w:r>
          </w:p>
        </w:tc>
        <w:tc>
          <w:tcPr>
            <w:tcW w:w="1857" w:type="dxa"/>
            <w:vAlign w:val="center"/>
          </w:tcPr>
          <w:p w14:paraId="0E1AD2AE" w14:textId="77777777" w:rsidR="00150CEC" w:rsidRPr="006068DE" w:rsidRDefault="00150CEC" w:rsidP="00307AF7">
            <w:pPr>
              <w:spacing w:before="60" w:after="60"/>
              <w:jc w:val="center"/>
              <w:rPr>
                <w:rFonts w:cs="Arial"/>
                <w:sz w:val="18"/>
                <w:szCs w:val="18"/>
              </w:rPr>
            </w:pPr>
            <w:r>
              <w:rPr>
                <w:rFonts w:cs="Arial"/>
                <w:sz w:val="18"/>
                <w:szCs w:val="18"/>
              </w:rPr>
              <w:t>3,4</w:t>
            </w:r>
            <w:r w:rsidRPr="006068DE">
              <w:rPr>
                <w:rFonts w:cs="Arial"/>
                <w:sz w:val="18"/>
                <w:szCs w:val="18"/>
              </w:rPr>
              <w:t> % (20</w:t>
            </w:r>
            <w:r>
              <w:rPr>
                <w:rFonts w:cs="Arial"/>
                <w:sz w:val="18"/>
                <w:szCs w:val="18"/>
              </w:rPr>
              <w:t>22</w:t>
            </w:r>
            <w:r w:rsidRPr="006068DE">
              <w:rPr>
                <w:rFonts w:cs="Arial"/>
                <w:sz w:val="18"/>
                <w:szCs w:val="18"/>
              </w:rPr>
              <w:t>)</w:t>
            </w:r>
          </w:p>
          <w:p w14:paraId="361125BE" w14:textId="77777777" w:rsidR="00150CEC" w:rsidRPr="006068DE" w:rsidRDefault="00150CEC" w:rsidP="00307AF7">
            <w:pPr>
              <w:spacing w:before="60" w:after="60"/>
              <w:jc w:val="center"/>
              <w:rPr>
                <w:rFonts w:cs="Arial"/>
                <w:sz w:val="18"/>
                <w:szCs w:val="18"/>
              </w:rPr>
            </w:pPr>
            <w:r>
              <w:rPr>
                <w:rFonts w:cs="Arial"/>
                <w:sz w:val="18"/>
                <w:szCs w:val="18"/>
              </w:rPr>
              <w:t>3,3</w:t>
            </w:r>
            <w:r w:rsidRPr="006068DE">
              <w:rPr>
                <w:rFonts w:cs="Arial"/>
                <w:sz w:val="18"/>
                <w:szCs w:val="18"/>
              </w:rPr>
              <w:t xml:space="preserve"> % (202</w:t>
            </w:r>
            <w:r>
              <w:rPr>
                <w:rFonts w:cs="Arial"/>
                <w:sz w:val="18"/>
                <w:szCs w:val="18"/>
              </w:rPr>
              <w:t>3</w:t>
            </w:r>
            <w:r w:rsidRPr="006068DE">
              <w:rPr>
                <w:rFonts w:cs="Arial"/>
                <w:sz w:val="18"/>
                <w:szCs w:val="18"/>
              </w:rPr>
              <w:t>)</w:t>
            </w:r>
          </w:p>
        </w:tc>
      </w:tr>
      <w:tr w:rsidR="00150CEC" w:rsidRPr="00637E01" w14:paraId="02F545E7" w14:textId="77777777" w:rsidTr="00150CEC">
        <w:trPr>
          <w:trHeight w:val="749"/>
        </w:trPr>
        <w:tc>
          <w:tcPr>
            <w:tcW w:w="739" w:type="dxa"/>
            <w:vAlign w:val="center"/>
          </w:tcPr>
          <w:p w14:paraId="5126D256" w14:textId="77777777" w:rsidR="00150CEC" w:rsidRPr="00637E01" w:rsidRDefault="00150CEC" w:rsidP="00307AF7">
            <w:pPr>
              <w:spacing w:before="120" w:after="120"/>
              <w:jc w:val="center"/>
              <w:rPr>
                <w:rFonts w:cs="Arial"/>
                <w:sz w:val="18"/>
                <w:szCs w:val="18"/>
              </w:rPr>
            </w:pPr>
            <w:r w:rsidRPr="00637E01">
              <w:rPr>
                <w:rFonts w:cs="Arial"/>
                <w:sz w:val="18"/>
                <w:szCs w:val="18"/>
              </w:rPr>
              <w:t>13</w:t>
            </w:r>
          </w:p>
        </w:tc>
        <w:tc>
          <w:tcPr>
            <w:tcW w:w="3059" w:type="dxa"/>
            <w:vAlign w:val="center"/>
          </w:tcPr>
          <w:p w14:paraId="59601804" w14:textId="77777777" w:rsidR="00150CEC" w:rsidRPr="00637E01" w:rsidRDefault="00150CEC" w:rsidP="00307AF7">
            <w:pPr>
              <w:spacing w:before="60" w:after="60"/>
              <w:rPr>
                <w:rFonts w:cs="Arial"/>
                <w:sz w:val="18"/>
                <w:szCs w:val="18"/>
              </w:rPr>
            </w:pPr>
            <w:r w:rsidRPr="00637E01">
              <w:rPr>
                <w:rFonts w:cs="Arial"/>
                <w:sz w:val="18"/>
                <w:szCs w:val="18"/>
              </w:rPr>
              <w:t xml:space="preserve">Podíl zdrojů z podnikatelského sektoru ve výdajích vládního a VŠ sektoru na </w:t>
            </w:r>
            <w:proofErr w:type="spellStart"/>
            <w:r w:rsidRPr="00637E01">
              <w:rPr>
                <w:rFonts w:cs="Arial"/>
                <w:sz w:val="18"/>
                <w:szCs w:val="18"/>
              </w:rPr>
              <w:t>VaV</w:t>
            </w:r>
            <w:proofErr w:type="spellEnd"/>
            <w:r w:rsidRPr="00637E01">
              <w:rPr>
                <w:rFonts w:cs="Arial"/>
                <w:sz w:val="18"/>
                <w:szCs w:val="18"/>
              </w:rPr>
              <w:t xml:space="preserve"> (%)</w:t>
            </w:r>
          </w:p>
        </w:tc>
        <w:tc>
          <w:tcPr>
            <w:tcW w:w="1914" w:type="dxa"/>
            <w:vAlign w:val="center"/>
          </w:tcPr>
          <w:p w14:paraId="56862512" w14:textId="77777777" w:rsidR="00150CEC" w:rsidRPr="00637E01" w:rsidRDefault="00150CEC" w:rsidP="00307AF7">
            <w:pPr>
              <w:spacing w:before="60" w:after="60"/>
              <w:jc w:val="center"/>
              <w:rPr>
                <w:rFonts w:cs="Arial"/>
                <w:sz w:val="18"/>
                <w:szCs w:val="18"/>
              </w:rPr>
            </w:pPr>
            <w:r w:rsidRPr="00637E01">
              <w:rPr>
                <w:rFonts w:cs="Arial"/>
                <w:sz w:val="18"/>
                <w:szCs w:val="18"/>
              </w:rPr>
              <w:t>6,8 %</w:t>
            </w:r>
          </w:p>
          <w:p w14:paraId="734918A6" w14:textId="77777777" w:rsidR="00150CEC" w:rsidRPr="00637E01" w:rsidRDefault="00150CEC" w:rsidP="00307AF7">
            <w:pPr>
              <w:spacing w:before="60" w:after="60"/>
              <w:jc w:val="center"/>
              <w:rPr>
                <w:rFonts w:cs="Arial"/>
                <w:sz w:val="18"/>
                <w:szCs w:val="18"/>
              </w:rPr>
            </w:pPr>
            <w:r w:rsidRPr="00637E01">
              <w:rPr>
                <w:rFonts w:cs="Arial"/>
                <w:sz w:val="18"/>
                <w:szCs w:val="18"/>
              </w:rPr>
              <w:t>(2013)</w:t>
            </w:r>
          </w:p>
        </w:tc>
        <w:tc>
          <w:tcPr>
            <w:tcW w:w="1929" w:type="dxa"/>
            <w:vAlign w:val="center"/>
          </w:tcPr>
          <w:p w14:paraId="564394D6" w14:textId="77777777" w:rsidR="00150CEC" w:rsidRPr="006068DE" w:rsidRDefault="00150CEC" w:rsidP="00307AF7">
            <w:pPr>
              <w:spacing w:before="60" w:after="60"/>
              <w:jc w:val="center"/>
              <w:rPr>
                <w:rFonts w:cs="Arial"/>
                <w:sz w:val="18"/>
                <w:szCs w:val="18"/>
              </w:rPr>
            </w:pPr>
            <w:r w:rsidRPr="006068DE">
              <w:rPr>
                <w:rFonts w:cs="Arial"/>
                <w:sz w:val="18"/>
                <w:szCs w:val="18"/>
              </w:rPr>
              <w:t>9,2 %</w:t>
            </w:r>
          </w:p>
          <w:p w14:paraId="79B1AB62" w14:textId="77777777" w:rsidR="00150CEC" w:rsidRPr="006068DE" w:rsidRDefault="00150CEC" w:rsidP="00307AF7">
            <w:pPr>
              <w:spacing w:before="60" w:after="60"/>
              <w:jc w:val="center"/>
              <w:rPr>
                <w:rFonts w:cs="Arial"/>
                <w:sz w:val="18"/>
                <w:szCs w:val="18"/>
              </w:rPr>
            </w:pPr>
            <w:r w:rsidRPr="006068DE">
              <w:rPr>
                <w:rFonts w:cs="Arial"/>
                <w:sz w:val="18"/>
                <w:szCs w:val="18"/>
              </w:rPr>
              <w:t>(2016)</w:t>
            </w:r>
          </w:p>
        </w:tc>
        <w:tc>
          <w:tcPr>
            <w:tcW w:w="1857" w:type="dxa"/>
            <w:vAlign w:val="center"/>
          </w:tcPr>
          <w:p w14:paraId="3008C00B" w14:textId="77777777" w:rsidR="00150CEC" w:rsidRPr="006068DE" w:rsidRDefault="00150CEC" w:rsidP="00307AF7">
            <w:pPr>
              <w:spacing w:before="60" w:after="60"/>
              <w:jc w:val="center"/>
              <w:rPr>
                <w:rFonts w:cs="Arial"/>
                <w:sz w:val="18"/>
                <w:szCs w:val="18"/>
              </w:rPr>
            </w:pPr>
            <w:r>
              <w:rPr>
                <w:rFonts w:cs="Arial"/>
                <w:sz w:val="18"/>
                <w:szCs w:val="18"/>
              </w:rPr>
              <w:t>8,3</w:t>
            </w:r>
            <w:r w:rsidRPr="006068DE">
              <w:rPr>
                <w:rFonts w:cs="Arial"/>
                <w:sz w:val="18"/>
                <w:szCs w:val="18"/>
              </w:rPr>
              <w:t xml:space="preserve"> %</w:t>
            </w:r>
          </w:p>
          <w:p w14:paraId="5ABC4022" w14:textId="77777777" w:rsidR="00150CEC" w:rsidRPr="006068DE" w:rsidRDefault="00150CEC" w:rsidP="00307AF7">
            <w:pPr>
              <w:spacing w:before="60" w:after="60"/>
              <w:jc w:val="center"/>
              <w:rPr>
                <w:rFonts w:cs="Arial"/>
                <w:sz w:val="18"/>
                <w:szCs w:val="18"/>
              </w:rPr>
            </w:pPr>
            <w:r w:rsidRPr="006068DE">
              <w:rPr>
                <w:rFonts w:cs="Arial"/>
                <w:sz w:val="18"/>
                <w:szCs w:val="18"/>
              </w:rPr>
              <w:t>(20</w:t>
            </w:r>
            <w:r>
              <w:rPr>
                <w:rFonts w:cs="Arial"/>
                <w:sz w:val="18"/>
                <w:szCs w:val="18"/>
              </w:rPr>
              <w:t>23</w:t>
            </w:r>
            <w:r w:rsidRPr="006068DE">
              <w:rPr>
                <w:rFonts w:cs="Arial"/>
                <w:sz w:val="18"/>
                <w:szCs w:val="18"/>
              </w:rPr>
              <w:t>)</w:t>
            </w:r>
          </w:p>
        </w:tc>
      </w:tr>
      <w:tr w:rsidR="00150CEC" w:rsidRPr="00637E01" w14:paraId="5401ED81" w14:textId="77777777" w:rsidTr="00150CEC">
        <w:trPr>
          <w:trHeight w:val="831"/>
        </w:trPr>
        <w:tc>
          <w:tcPr>
            <w:tcW w:w="739" w:type="dxa"/>
            <w:vAlign w:val="center"/>
          </w:tcPr>
          <w:p w14:paraId="16875176" w14:textId="77777777" w:rsidR="00150CEC" w:rsidRPr="00637E01" w:rsidRDefault="00150CEC" w:rsidP="00307AF7">
            <w:pPr>
              <w:spacing w:before="120" w:after="120"/>
              <w:jc w:val="center"/>
              <w:rPr>
                <w:rFonts w:cs="Arial"/>
                <w:sz w:val="18"/>
                <w:szCs w:val="18"/>
              </w:rPr>
            </w:pPr>
            <w:r w:rsidRPr="00637E01">
              <w:rPr>
                <w:rFonts w:cs="Arial"/>
                <w:sz w:val="18"/>
                <w:szCs w:val="18"/>
              </w:rPr>
              <w:t>14</w:t>
            </w:r>
          </w:p>
        </w:tc>
        <w:tc>
          <w:tcPr>
            <w:tcW w:w="3059" w:type="dxa"/>
            <w:vAlign w:val="center"/>
          </w:tcPr>
          <w:p w14:paraId="604CEB97" w14:textId="77777777" w:rsidR="00150CEC" w:rsidRPr="00637E01" w:rsidRDefault="00150CEC" w:rsidP="00307AF7">
            <w:pPr>
              <w:spacing w:before="60" w:after="60"/>
              <w:rPr>
                <w:rFonts w:cs="Arial"/>
                <w:sz w:val="18"/>
                <w:szCs w:val="18"/>
              </w:rPr>
            </w:pPr>
            <w:r w:rsidRPr="00637E01">
              <w:rPr>
                <w:rFonts w:cs="Arial"/>
                <w:sz w:val="18"/>
                <w:szCs w:val="18"/>
              </w:rPr>
              <w:t xml:space="preserve">Podíl zaměstnanosti v </w:t>
            </w:r>
            <w:proofErr w:type="spellStart"/>
            <w:proofErr w:type="gramStart"/>
            <w:r w:rsidRPr="00637E01">
              <w:rPr>
                <w:rFonts w:cs="Arial"/>
                <w:sz w:val="18"/>
                <w:szCs w:val="18"/>
              </w:rPr>
              <w:t>high</w:t>
            </w:r>
            <w:proofErr w:type="spellEnd"/>
            <w:r w:rsidRPr="00637E01">
              <w:rPr>
                <w:rFonts w:cs="Arial"/>
                <w:sz w:val="18"/>
                <w:szCs w:val="18"/>
              </w:rPr>
              <w:t>- a</w:t>
            </w:r>
            <w:proofErr w:type="gramEnd"/>
            <w:r w:rsidRPr="00637E01">
              <w:rPr>
                <w:rFonts w:cs="Arial"/>
                <w:sz w:val="18"/>
                <w:szCs w:val="18"/>
              </w:rPr>
              <w:t> medium high-tech zpracovatelském průmyslu (%)</w:t>
            </w:r>
          </w:p>
        </w:tc>
        <w:tc>
          <w:tcPr>
            <w:tcW w:w="1914" w:type="dxa"/>
            <w:vAlign w:val="center"/>
          </w:tcPr>
          <w:p w14:paraId="01F6FAE4" w14:textId="77777777" w:rsidR="00150CEC" w:rsidRPr="00637E01" w:rsidRDefault="00150CEC" w:rsidP="00307AF7">
            <w:pPr>
              <w:spacing w:before="60" w:after="60"/>
              <w:jc w:val="center"/>
              <w:rPr>
                <w:rFonts w:cs="Arial"/>
                <w:sz w:val="18"/>
                <w:szCs w:val="18"/>
              </w:rPr>
            </w:pPr>
            <w:r w:rsidRPr="00637E01">
              <w:rPr>
                <w:rFonts w:cs="Arial"/>
                <w:sz w:val="18"/>
                <w:szCs w:val="18"/>
              </w:rPr>
              <w:t>11</w:t>
            </w:r>
            <w:r>
              <w:rPr>
                <w:rFonts w:cs="Arial"/>
                <w:sz w:val="18"/>
                <w:szCs w:val="18"/>
              </w:rPr>
              <w:t>,2</w:t>
            </w:r>
            <w:r w:rsidRPr="00637E01">
              <w:rPr>
                <w:rFonts w:cs="Arial"/>
                <w:sz w:val="18"/>
                <w:szCs w:val="18"/>
              </w:rPr>
              <w:t xml:space="preserve"> %</w:t>
            </w:r>
          </w:p>
          <w:p w14:paraId="7B03BA0B" w14:textId="77777777" w:rsidR="00150CEC" w:rsidRPr="00637E01" w:rsidRDefault="00150CEC" w:rsidP="00307AF7">
            <w:pPr>
              <w:spacing w:before="60" w:after="60"/>
              <w:jc w:val="center"/>
              <w:rPr>
                <w:rFonts w:cs="Arial"/>
                <w:sz w:val="18"/>
                <w:szCs w:val="18"/>
              </w:rPr>
            </w:pPr>
            <w:r w:rsidRPr="00637E01">
              <w:rPr>
                <w:rFonts w:cs="Arial"/>
                <w:sz w:val="18"/>
                <w:szCs w:val="18"/>
              </w:rPr>
              <w:t>(2014)</w:t>
            </w:r>
          </w:p>
        </w:tc>
        <w:tc>
          <w:tcPr>
            <w:tcW w:w="1929" w:type="dxa"/>
            <w:vAlign w:val="center"/>
          </w:tcPr>
          <w:p w14:paraId="59052132" w14:textId="77777777" w:rsidR="00150CEC" w:rsidRPr="006068DE" w:rsidRDefault="00150CEC" w:rsidP="00307AF7">
            <w:pPr>
              <w:spacing w:before="60" w:after="60"/>
              <w:jc w:val="center"/>
              <w:rPr>
                <w:rFonts w:cs="Arial"/>
                <w:sz w:val="18"/>
                <w:szCs w:val="18"/>
              </w:rPr>
            </w:pPr>
            <w:r w:rsidRPr="006068DE">
              <w:rPr>
                <w:rFonts w:cs="Arial"/>
                <w:sz w:val="18"/>
                <w:szCs w:val="18"/>
              </w:rPr>
              <w:t>11,5 %</w:t>
            </w:r>
          </w:p>
          <w:p w14:paraId="34D76CFB" w14:textId="77777777" w:rsidR="00150CEC" w:rsidRPr="006068DE" w:rsidRDefault="00150CEC" w:rsidP="00307AF7">
            <w:pPr>
              <w:spacing w:before="60" w:after="60"/>
              <w:jc w:val="center"/>
              <w:rPr>
                <w:rFonts w:cs="Arial"/>
                <w:sz w:val="18"/>
                <w:szCs w:val="18"/>
              </w:rPr>
            </w:pPr>
            <w:r w:rsidRPr="006068DE">
              <w:rPr>
                <w:rFonts w:cs="Arial"/>
                <w:sz w:val="18"/>
                <w:szCs w:val="18"/>
              </w:rPr>
              <w:t>(2016)</w:t>
            </w:r>
          </w:p>
        </w:tc>
        <w:tc>
          <w:tcPr>
            <w:tcW w:w="1857" w:type="dxa"/>
            <w:vAlign w:val="center"/>
          </w:tcPr>
          <w:p w14:paraId="477CAFA7" w14:textId="77777777" w:rsidR="00150CEC" w:rsidRPr="006068DE" w:rsidRDefault="00150CEC" w:rsidP="00307AF7">
            <w:pPr>
              <w:spacing w:before="60" w:after="60"/>
              <w:jc w:val="center"/>
              <w:rPr>
                <w:rFonts w:cs="Arial"/>
                <w:sz w:val="18"/>
                <w:szCs w:val="18"/>
              </w:rPr>
            </w:pPr>
            <w:r>
              <w:rPr>
                <w:rFonts w:cs="Arial"/>
                <w:sz w:val="18"/>
                <w:szCs w:val="18"/>
              </w:rPr>
              <w:t>10,7</w:t>
            </w:r>
            <w:r w:rsidRPr="006068DE">
              <w:rPr>
                <w:rFonts w:cs="Arial"/>
                <w:sz w:val="18"/>
                <w:szCs w:val="18"/>
              </w:rPr>
              <w:t> %</w:t>
            </w:r>
          </w:p>
          <w:p w14:paraId="156B64AD" w14:textId="77777777" w:rsidR="00150CEC" w:rsidRPr="006068DE" w:rsidRDefault="00150CEC" w:rsidP="00307AF7">
            <w:pPr>
              <w:spacing w:before="60" w:after="60"/>
              <w:jc w:val="center"/>
              <w:rPr>
                <w:rFonts w:cs="Arial"/>
                <w:sz w:val="18"/>
                <w:szCs w:val="18"/>
              </w:rPr>
            </w:pPr>
            <w:r w:rsidRPr="006068DE">
              <w:rPr>
                <w:rFonts w:cs="Arial"/>
                <w:sz w:val="18"/>
                <w:szCs w:val="18"/>
              </w:rPr>
              <w:t>(202</w:t>
            </w:r>
            <w:r>
              <w:rPr>
                <w:rFonts w:cs="Arial"/>
                <w:sz w:val="18"/>
                <w:szCs w:val="18"/>
              </w:rPr>
              <w:t>3</w:t>
            </w:r>
            <w:r w:rsidRPr="006068DE">
              <w:rPr>
                <w:rFonts w:cs="Arial"/>
                <w:sz w:val="18"/>
                <w:szCs w:val="18"/>
              </w:rPr>
              <w:t>)</w:t>
            </w:r>
          </w:p>
        </w:tc>
      </w:tr>
      <w:tr w:rsidR="00150CEC" w:rsidRPr="00637E01" w14:paraId="0C7FE6BE" w14:textId="77777777" w:rsidTr="00150CEC">
        <w:trPr>
          <w:trHeight w:val="794"/>
        </w:trPr>
        <w:tc>
          <w:tcPr>
            <w:tcW w:w="739" w:type="dxa"/>
            <w:vAlign w:val="center"/>
          </w:tcPr>
          <w:p w14:paraId="69015197" w14:textId="77777777" w:rsidR="00150CEC" w:rsidRPr="00637E01" w:rsidRDefault="00150CEC" w:rsidP="00307AF7">
            <w:pPr>
              <w:spacing w:before="120" w:after="120"/>
              <w:jc w:val="center"/>
              <w:rPr>
                <w:rFonts w:cs="Arial"/>
                <w:sz w:val="18"/>
                <w:szCs w:val="18"/>
              </w:rPr>
            </w:pPr>
            <w:r w:rsidRPr="00637E01">
              <w:rPr>
                <w:rFonts w:cs="Arial"/>
                <w:sz w:val="18"/>
                <w:szCs w:val="18"/>
              </w:rPr>
              <w:t>15</w:t>
            </w:r>
          </w:p>
        </w:tc>
        <w:tc>
          <w:tcPr>
            <w:tcW w:w="3059" w:type="dxa"/>
            <w:vAlign w:val="center"/>
          </w:tcPr>
          <w:p w14:paraId="72A404FD" w14:textId="77777777" w:rsidR="00150CEC" w:rsidRPr="00637E01" w:rsidRDefault="00150CEC" w:rsidP="00307AF7">
            <w:pPr>
              <w:spacing w:before="60" w:after="60"/>
              <w:rPr>
                <w:rFonts w:cs="Arial"/>
                <w:sz w:val="18"/>
                <w:szCs w:val="18"/>
              </w:rPr>
            </w:pPr>
            <w:r w:rsidRPr="00637E01">
              <w:rPr>
                <w:rFonts w:cs="Arial"/>
                <w:sz w:val="18"/>
                <w:szCs w:val="18"/>
              </w:rPr>
              <w:t xml:space="preserve">Podíl zaměstnanosti ve znalostně intenzivních </w:t>
            </w:r>
            <w:r>
              <w:rPr>
                <w:rFonts w:cs="Arial"/>
                <w:sz w:val="18"/>
                <w:szCs w:val="18"/>
              </w:rPr>
              <w:t>aktivitách</w:t>
            </w:r>
            <w:r w:rsidRPr="00637E01">
              <w:rPr>
                <w:rFonts w:cs="Arial"/>
                <w:sz w:val="18"/>
                <w:szCs w:val="18"/>
              </w:rPr>
              <w:t xml:space="preserve"> (%)</w:t>
            </w:r>
            <w:r>
              <w:rPr>
                <w:rFonts w:cs="Arial"/>
                <w:sz w:val="18"/>
                <w:szCs w:val="18"/>
              </w:rPr>
              <w:t xml:space="preserve"> </w:t>
            </w:r>
            <w:r>
              <w:rPr>
                <w:rFonts w:cs="Arial"/>
                <w:sz w:val="18"/>
                <w:szCs w:val="18"/>
                <w:vertAlign w:val="superscript"/>
              </w:rPr>
              <w:t>9</w:t>
            </w:r>
          </w:p>
        </w:tc>
        <w:tc>
          <w:tcPr>
            <w:tcW w:w="1914" w:type="dxa"/>
            <w:vAlign w:val="center"/>
          </w:tcPr>
          <w:p w14:paraId="196056C6" w14:textId="77777777" w:rsidR="00150CEC" w:rsidRPr="00637E01" w:rsidRDefault="00150CEC" w:rsidP="00307AF7">
            <w:pPr>
              <w:spacing w:before="60" w:after="60"/>
              <w:jc w:val="center"/>
              <w:rPr>
                <w:rFonts w:cs="Arial"/>
                <w:sz w:val="18"/>
                <w:szCs w:val="18"/>
              </w:rPr>
            </w:pPr>
            <w:r w:rsidRPr="00637E01">
              <w:rPr>
                <w:rFonts w:cs="Arial"/>
                <w:sz w:val="18"/>
                <w:szCs w:val="18"/>
              </w:rPr>
              <w:t>3</w:t>
            </w:r>
            <w:r>
              <w:rPr>
                <w:rFonts w:cs="Arial"/>
                <w:sz w:val="18"/>
                <w:szCs w:val="18"/>
              </w:rPr>
              <w:t>2,6</w:t>
            </w:r>
            <w:r w:rsidRPr="00637E01">
              <w:rPr>
                <w:rFonts w:cs="Arial"/>
                <w:sz w:val="18"/>
                <w:szCs w:val="18"/>
              </w:rPr>
              <w:t xml:space="preserve"> %</w:t>
            </w:r>
          </w:p>
          <w:p w14:paraId="1FED9CF5" w14:textId="77777777" w:rsidR="00150CEC" w:rsidRPr="00637E01" w:rsidRDefault="00150CEC" w:rsidP="00307AF7">
            <w:pPr>
              <w:spacing w:before="60" w:after="60"/>
              <w:jc w:val="center"/>
              <w:rPr>
                <w:rFonts w:cs="Arial"/>
                <w:sz w:val="18"/>
                <w:szCs w:val="18"/>
              </w:rPr>
            </w:pPr>
            <w:r w:rsidRPr="00637E01">
              <w:rPr>
                <w:rFonts w:cs="Arial"/>
                <w:sz w:val="18"/>
                <w:szCs w:val="18"/>
              </w:rPr>
              <w:t>(2013)</w:t>
            </w:r>
          </w:p>
        </w:tc>
        <w:tc>
          <w:tcPr>
            <w:tcW w:w="1929" w:type="dxa"/>
            <w:vAlign w:val="center"/>
          </w:tcPr>
          <w:p w14:paraId="79AB313A" w14:textId="77777777" w:rsidR="00150CEC" w:rsidRPr="006068DE" w:rsidRDefault="00150CEC" w:rsidP="00307AF7">
            <w:pPr>
              <w:spacing w:before="60" w:after="60"/>
              <w:jc w:val="center"/>
              <w:rPr>
                <w:rFonts w:cs="Arial"/>
                <w:sz w:val="18"/>
                <w:szCs w:val="18"/>
              </w:rPr>
            </w:pPr>
            <w:r w:rsidRPr="006068DE">
              <w:rPr>
                <w:rFonts w:cs="Arial"/>
                <w:sz w:val="18"/>
                <w:szCs w:val="18"/>
              </w:rPr>
              <w:t>3</w:t>
            </w:r>
            <w:r>
              <w:rPr>
                <w:rFonts w:cs="Arial"/>
                <w:sz w:val="18"/>
                <w:szCs w:val="18"/>
              </w:rPr>
              <w:t>2</w:t>
            </w:r>
            <w:r w:rsidRPr="006068DE">
              <w:rPr>
                <w:rFonts w:cs="Arial"/>
                <w:sz w:val="18"/>
                <w:szCs w:val="18"/>
              </w:rPr>
              <w:t>,</w:t>
            </w:r>
            <w:r>
              <w:rPr>
                <w:rFonts w:cs="Arial"/>
                <w:sz w:val="18"/>
                <w:szCs w:val="18"/>
              </w:rPr>
              <w:t>9</w:t>
            </w:r>
            <w:r w:rsidRPr="006068DE">
              <w:rPr>
                <w:rFonts w:cs="Arial"/>
                <w:sz w:val="18"/>
                <w:szCs w:val="18"/>
              </w:rPr>
              <w:t> %</w:t>
            </w:r>
            <w:r>
              <w:rPr>
                <w:rFonts w:cs="Arial"/>
                <w:sz w:val="18"/>
                <w:szCs w:val="18"/>
              </w:rPr>
              <w:t xml:space="preserve"> </w:t>
            </w:r>
            <w:r w:rsidRPr="006068DE">
              <w:rPr>
                <w:rFonts w:cs="Arial"/>
                <w:sz w:val="18"/>
                <w:szCs w:val="18"/>
              </w:rPr>
              <w:t>*</w:t>
            </w:r>
          </w:p>
          <w:p w14:paraId="378C7030" w14:textId="77777777" w:rsidR="00150CEC" w:rsidRPr="006068DE" w:rsidRDefault="00150CEC" w:rsidP="00307AF7">
            <w:pPr>
              <w:spacing w:before="60" w:after="60"/>
              <w:jc w:val="center"/>
              <w:rPr>
                <w:rFonts w:cs="Arial"/>
                <w:sz w:val="18"/>
                <w:szCs w:val="18"/>
              </w:rPr>
            </w:pPr>
            <w:r w:rsidRPr="006068DE">
              <w:rPr>
                <w:rFonts w:cs="Arial"/>
                <w:sz w:val="18"/>
                <w:szCs w:val="18"/>
              </w:rPr>
              <w:t>(2016)</w:t>
            </w:r>
          </w:p>
        </w:tc>
        <w:tc>
          <w:tcPr>
            <w:tcW w:w="1857" w:type="dxa"/>
            <w:vAlign w:val="center"/>
          </w:tcPr>
          <w:p w14:paraId="21B8AD7E" w14:textId="77777777" w:rsidR="00150CEC" w:rsidRPr="006068DE" w:rsidRDefault="00150CEC" w:rsidP="00307AF7">
            <w:pPr>
              <w:spacing w:before="60" w:after="60"/>
              <w:jc w:val="center"/>
              <w:rPr>
                <w:rFonts w:cs="Arial"/>
                <w:sz w:val="18"/>
                <w:szCs w:val="18"/>
              </w:rPr>
            </w:pPr>
            <w:r>
              <w:rPr>
                <w:rFonts w:cs="Arial"/>
                <w:sz w:val="18"/>
                <w:szCs w:val="18"/>
              </w:rPr>
              <w:t>36,3</w:t>
            </w:r>
            <w:r w:rsidRPr="006068DE">
              <w:rPr>
                <w:rFonts w:cs="Arial"/>
                <w:sz w:val="18"/>
                <w:szCs w:val="18"/>
              </w:rPr>
              <w:t> %</w:t>
            </w:r>
          </w:p>
          <w:p w14:paraId="44E47C43" w14:textId="77777777" w:rsidR="00150CEC" w:rsidRPr="006068DE" w:rsidRDefault="00150CEC" w:rsidP="00307AF7">
            <w:pPr>
              <w:spacing w:before="60" w:after="60"/>
              <w:jc w:val="center"/>
              <w:rPr>
                <w:rFonts w:cs="Arial"/>
                <w:sz w:val="18"/>
                <w:szCs w:val="18"/>
              </w:rPr>
            </w:pPr>
            <w:r w:rsidRPr="006068DE">
              <w:rPr>
                <w:rFonts w:cs="Arial"/>
                <w:sz w:val="18"/>
                <w:szCs w:val="18"/>
              </w:rPr>
              <w:t>(202</w:t>
            </w:r>
            <w:r>
              <w:rPr>
                <w:rFonts w:cs="Arial"/>
                <w:sz w:val="18"/>
                <w:szCs w:val="18"/>
              </w:rPr>
              <w:t>3</w:t>
            </w:r>
            <w:r w:rsidRPr="006068DE">
              <w:rPr>
                <w:rFonts w:cs="Arial"/>
                <w:sz w:val="18"/>
                <w:szCs w:val="18"/>
              </w:rPr>
              <w:t>)</w:t>
            </w:r>
          </w:p>
        </w:tc>
      </w:tr>
      <w:tr w:rsidR="00150CEC" w:rsidRPr="00637E01" w14:paraId="62E26D74" w14:textId="77777777" w:rsidTr="00150CEC">
        <w:trPr>
          <w:trHeight w:val="794"/>
        </w:trPr>
        <w:tc>
          <w:tcPr>
            <w:tcW w:w="739" w:type="dxa"/>
            <w:vAlign w:val="center"/>
          </w:tcPr>
          <w:p w14:paraId="21C3B6AE" w14:textId="77777777" w:rsidR="00150CEC" w:rsidRPr="00637E01" w:rsidRDefault="00150CEC" w:rsidP="00307AF7">
            <w:pPr>
              <w:spacing w:before="120" w:after="120"/>
              <w:jc w:val="center"/>
              <w:rPr>
                <w:rFonts w:cs="Arial"/>
                <w:sz w:val="18"/>
                <w:szCs w:val="18"/>
              </w:rPr>
            </w:pPr>
            <w:r w:rsidRPr="00637E01">
              <w:rPr>
                <w:rFonts w:cs="Arial"/>
                <w:sz w:val="18"/>
                <w:szCs w:val="18"/>
              </w:rPr>
              <w:t>16</w:t>
            </w:r>
          </w:p>
        </w:tc>
        <w:tc>
          <w:tcPr>
            <w:tcW w:w="3059" w:type="dxa"/>
            <w:vAlign w:val="center"/>
          </w:tcPr>
          <w:p w14:paraId="6C43F8C4" w14:textId="77777777" w:rsidR="00150CEC" w:rsidRPr="00637E01" w:rsidRDefault="00150CEC" w:rsidP="00307AF7">
            <w:pPr>
              <w:spacing w:before="60" w:after="60"/>
              <w:rPr>
                <w:rFonts w:cs="Arial"/>
                <w:sz w:val="18"/>
                <w:szCs w:val="18"/>
              </w:rPr>
            </w:pPr>
            <w:r w:rsidRPr="00637E01">
              <w:rPr>
                <w:rFonts w:cs="Arial"/>
                <w:sz w:val="18"/>
                <w:szCs w:val="18"/>
              </w:rPr>
              <w:t>Podíl zdrojů z podnikatelského sektoru v GERD (%)</w:t>
            </w:r>
          </w:p>
        </w:tc>
        <w:tc>
          <w:tcPr>
            <w:tcW w:w="1914" w:type="dxa"/>
            <w:vAlign w:val="center"/>
          </w:tcPr>
          <w:p w14:paraId="06AB62F4" w14:textId="77777777" w:rsidR="00150CEC" w:rsidRPr="00637E01" w:rsidRDefault="00150CEC" w:rsidP="00307AF7">
            <w:pPr>
              <w:spacing w:before="60" w:after="60"/>
              <w:jc w:val="center"/>
              <w:rPr>
                <w:rFonts w:cs="Arial"/>
                <w:sz w:val="18"/>
                <w:szCs w:val="18"/>
              </w:rPr>
            </w:pPr>
            <w:r>
              <w:rPr>
                <w:rFonts w:cs="Arial"/>
                <w:sz w:val="18"/>
                <w:szCs w:val="18"/>
              </w:rPr>
              <w:t>48,6</w:t>
            </w:r>
            <w:r w:rsidRPr="00637E01">
              <w:rPr>
                <w:rFonts w:cs="Arial"/>
                <w:sz w:val="18"/>
                <w:szCs w:val="18"/>
              </w:rPr>
              <w:t xml:space="preserve"> %</w:t>
            </w:r>
            <w:r>
              <w:rPr>
                <w:rFonts w:cs="Arial"/>
                <w:sz w:val="18"/>
                <w:szCs w:val="18"/>
              </w:rPr>
              <w:t xml:space="preserve"> *</w:t>
            </w:r>
          </w:p>
          <w:p w14:paraId="77FFE5E8" w14:textId="77777777" w:rsidR="00150CEC" w:rsidRPr="00637E01" w:rsidRDefault="00150CEC" w:rsidP="00307AF7">
            <w:pPr>
              <w:spacing w:before="60" w:after="60"/>
              <w:jc w:val="center"/>
              <w:rPr>
                <w:rFonts w:cs="Arial"/>
                <w:sz w:val="18"/>
                <w:szCs w:val="18"/>
              </w:rPr>
            </w:pPr>
            <w:r w:rsidRPr="00637E01">
              <w:rPr>
                <w:rFonts w:cs="Arial"/>
                <w:sz w:val="18"/>
                <w:szCs w:val="18"/>
              </w:rPr>
              <w:t>(2013)</w:t>
            </w:r>
          </w:p>
        </w:tc>
        <w:tc>
          <w:tcPr>
            <w:tcW w:w="1929" w:type="dxa"/>
            <w:vAlign w:val="center"/>
          </w:tcPr>
          <w:p w14:paraId="2F23E91F" w14:textId="77777777" w:rsidR="00150CEC" w:rsidRPr="006068DE" w:rsidRDefault="00150CEC" w:rsidP="00307AF7">
            <w:pPr>
              <w:spacing w:before="60" w:after="60"/>
              <w:jc w:val="center"/>
              <w:rPr>
                <w:rFonts w:cs="Arial"/>
                <w:sz w:val="18"/>
                <w:szCs w:val="18"/>
              </w:rPr>
            </w:pPr>
            <w:r w:rsidRPr="006068DE">
              <w:rPr>
                <w:rFonts w:cs="Arial"/>
                <w:sz w:val="18"/>
                <w:szCs w:val="18"/>
              </w:rPr>
              <w:t>60,2 %</w:t>
            </w:r>
          </w:p>
          <w:p w14:paraId="0FB31D36" w14:textId="77777777" w:rsidR="00150CEC" w:rsidRPr="006068DE" w:rsidRDefault="00150CEC" w:rsidP="00307AF7">
            <w:pPr>
              <w:spacing w:before="60" w:after="60"/>
              <w:jc w:val="center"/>
              <w:rPr>
                <w:rFonts w:cs="Arial"/>
                <w:sz w:val="18"/>
                <w:szCs w:val="18"/>
              </w:rPr>
            </w:pPr>
            <w:r w:rsidRPr="006068DE">
              <w:rPr>
                <w:rFonts w:cs="Arial"/>
                <w:sz w:val="18"/>
                <w:szCs w:val="18"/>
              </w:rPr>
              <w:t>(2016)</w:t>
            </w:r>
          </w:p>
        </w:tc>
        <w:tc>
          <w:tcPr>
            <w:tcW w:w="1857" w:type="dxa"/>
            <w:vAlign w:val="center"/>
          </w:tcPr>
          <w:p w14:paraId="65745703" w14:textId="77777777" w:rsidR="00150CEC" w:rsidRPr="006068DE" w:rsidRDefault="00150CEC" w:rsidP="00307AF7">
            <w:pPr>
              <w:spacing w:before="60" w:after="60"/>
              <w:jc w:val="center"/>
              <w:rPr>
                <w:rFonts w:cs="Arial"/>
                <w:sz w:val="18"/>
                <w:szCs w:val="18"/>
              </w:rPr>
            </w:pPr>
            <w:r>
              <w:rPr>
                <w:rFonts w:cs="Arial"/>
                <w:sz w:val="18"/>
                <w:szCs w:val="18"/>
              </w:rPr>
              <w:t>62</w:t>
            </w:r>
            <w:r w:rsidRPr="006068DE">
              <w:rPr>
                <w:rFonts w:cs="Arial"/>
                <w:sz w:val="18"/>
                <w:szCs w:val="18"/>
              </w:rPr>
              <w:t>,</w:t>
            </w:r>
            <w:r>
              <w:rPr>
                <w:rFonts w:cs="Arial"/>
                <w:sz w:val="18"/>
                <w:szCs w:val="18"/>
              </w:rPr>
              <w:t>7</w:t>
            </w:r>
            <w:r w:rsidRPr="006068DE">
              <w:rPr>
                <w:rFonts w:cs="Arial"/>
                <w:sz w:val="18"/>
                <w:szCs w:val="18"/>
              </w:rPr>
              <w:t xml:space="preserve"> %</w:t>
            </w:r>
          </w:p>
          <w:p w14:paraId="3B3B0959" w14:textId="77777777" w:rsidR="00150CEC" w:rsidRPr="006068DE" w:rsidRDefault="00150CEC" w:rsidP="00307AF7">
            <w:pPr>
              <w:spacing w:before="60" w:after="60"/>
              <w:jc w:val="center"/>
              <w:rPr>
                <w:rFonts w:cs="Arial"/>
                <w:sz w:val="18"/>
                <w:szCs w:val="18"/>
              </w:rPr>
            </w:pPr>
            <w:r w:rsidRPr="006068DE">
              <w:rPr>
                <w:rFonts w:cs="Arial"/>
                <w:sz w:val="18"/>
                <w:szCs w:val="18"/>
              </w:rPr>
              <w:t>(20</w:t>
            </w:r>
            <w:r>
              <w:rPr>
                <w:rFonts w:cs="Arial"/>
                <w:sz w:val="18"/>
                <w:szCs w:val="18"/>
              </w:rPr>
              <w:t>23</w:t>
            </w:r>
            <w:r w:rsidRPr="006068DE">
              <w:rPr>
                <w:rFonts w:cs="Arial"/>
                <w:sz w:val="18"/>
                <w:szCs w:val="18"/>
              </w:rPr>
              <w:t>)</w:t>
            </w:r>
          </w:p>
        </w:tc>
      </w:tr>
      <w:tr w:rsidR="00150CEC" w:rsidRPr="00637E01" w14:paraId="34B86632" w14:textId="77777777" w:rsidTr="00150CEC">
        <w:trPr>
          <w:trHeight w:val="794"/>
        </w:trPr>
        <w:tc>
          <w:tcPr>
            <w:tcW w:w="739" w:type="dxa"/>
            <w:vAlign w:val="center"/>
          </w:tcPr>
          <w:p w14:paraId="238DD7FB" w14:textId="77777777" w:rsidR="00150CEC" w:rsidRPr="00637E01" w:rsidRDefault="00150CEC" w:rsidP="00307AF7">
            <w:pPr>
              <w:spacing w:before="120" w:after="120"/>
              <w:jc w:val="center"/>
              <w:rPr>
                <w:rFonts w:cs="Arial"/>
                <w:sz w:val="18"/>
                <w:szCs w:val="18"/>
              </w:rPr>
            </w:pPr>
            <w:r w:rsidRPr="00637E01">
              <w:rPr>
                <w:rFonts w:cs="Arial"/>
                <w:sz w:val="18"/>
                <w:szCs w:val="18"/>
              </w:rPr>
              <w:t>17</w:t>
            </w:r>
          </w:p>
        </w:tc>
        <w:tc>
          <w:tcPr>
            <w:tcW w:w="3059" w:type="dxa"/>
            <w:vAlign w:val="center"/>
          </w:tcPr>
          <w:p w14:paraId="13A36DAF" w14:textId="77777777" w:rsidR="00150CEC" w:rsidRPr="00637E01" w:rsidRDefault="00150CEC" w:rsidP="00307AF7">
            <w:pPr>
              <w:spacing w:before="60" w:after="60"/>
              <w:rPr>
                <w:rFonts w:cs="Arial"/>
                <w:sz w:val="18"/>
                <w:szCs w:val="18"/>
              </w:rPr>
            </w:pPr>
            <w:r w:rsidRPr="00637E01">
              <w:rPr>
                <w:rFonts w:cs="Arial"/>
                <w:sz w:val="18"/>
                <w:szCs w:val="18"/>
              </w:rPr>
              <w:t>Early-</w:t>
            </w:r>
            <w:proofErr w:type="spellStart"/>
            <w:r w:rsidRPr="00637E01">
              <w:rPr>
                <w:rFonts w:cs="Arial"/>
                <w:sz w:val="18"/>
                <w:szCs w:val="18"/>
              </w:rPr>
              <w:t>stage</w:t>
            </w:r>
            <w:proofErr w:type="spellEnd"/>
            <w:r w:rsidRPr="00637E01">
              <w:rPr>
                <w:rFonts w:cs="Arial"/>
                <w:sz w:val="18"/>
                <w:szCs w:val="18"/>
              </w:rPr>
              <w:t xml:space="preserve"> investice rizikového kapitálu (% HDP)</w:t>
            </w:r>
            <w:r>
              <w:rPr>
                <w:rFonts w:cs="Arial"/>
                <w:sz w:val="18"/>
                <w:szCs w:val="18"/>
              </w:rPr>
              <w:t xml:space="preserve"> </w:t>
            </w:r>
            <w:r>
              <w:rPr>
                <w:rFonts w:cs="Arial"/>
                <w:sz w:val="18"/>
                <w:szCs w:val="18"/>
                <w:vertAlign w:val="superscript"/>
              </w:rPr>
              <w:t>10</w:t>
            </w:r>
          </w:p>
        </w:tc>
        <w:tc>
          <w:tcPr>
            <w:tcW w:w="1914" w:type="dxa"/>
            <w:vAlign w:val="center"/>
          </w:tcPr>
          <w:p w14:paraId="7FB3A092" w14:textId="77777777" w:rsidR="00150CEC" w:rsidRPr="00637E01" w:rsidRDefault="00150CEC" w:rsidP="00307AF7">
            <w:pPr>
              <w:spacing w:before="60" w:after="60"/>
              <w:jc w:val="center"/>
              <w:rPr>
                <w:rFonts w:cs="Arial"/>
                <w:sz w:val="18"/>
                <w:szCs w:val="18"/>
              </w:rPr>
            </w:pPr>
            <w:r w:rsidRPr="00637E01">
              <w:rPr>
                <w:rFonts w:cs="Arial"/>
                <w:sz w:val="18"/>
                <w:szCs w:val="18"/>
              </w:rPr>
              <w:t>0,00</w:t>
            </w:r>
            <w:r>
              <w:rPr>
                <w:rFonts w:cs="Arial"/>
                <w:sz w:val="18"/>
                <w:szCs w:val="18"/>
              </w:rPr>
              <w:t>2</w:t>
            </w:r>
            <w:r w:rsidRPr="00637E01">
              <w:rPr>
                <w:rFonts w:cs="Arial"/>
                <w:sz w:val="18"/>
                <w:szCs w:val="18"/>
              </w:rPr>
              <w:t xml:space="preserve"> %</w:t>
            </w:r>
          </w:p>
          <w:p w14:paraId="2924049D" w14:textId="77777777" w:rsidR="00150CEC" w:rsidRPr="00637E01" w:rsidRDefault="00150CEC" w:rsidP="00307AF7">
            <w:pPr>
              <w:spacing w:before="60" w:after="60"/>
              <w:jc w:val="center"/>
              <w:rPr>
                <w:rFonts w:cs="Arial"/>
                <w:sz w:val="18"/>
                <w:szCs w:val="18"/>
              </w:rPr>
            </w:pPr>
            <w:r w:rsidRPr="00637E01">
              <w:rPr>
                <w:rFonts w:cs="Arial"/>
                <w:sz w:val="18"/>
                <w:szCs w:val="18"/>
              </w:rPr>
              <w:t>(2013)</w:t>
            </w:r>
          </w:p>
        </w:tc>
        <w:tc>
          <w:tcPr>
            <w:tcW w:w="1929" w:type="dxa"/>
            <w:vAlign w:val="center"/>
          </w:tcPr>
          <w:p w14:paraId="65D1D360" w14:textId="77777777" w:rsidR="00150CEC" w:rsidRPr="006068DE" w:rsidRDefault="00150CEC" w:rsidP="00307AF7">
            <w:pPr>
              <w:spacing w:before="60" w:after="60"/>
              <w:jc w:val="center"/>
              <w:rPr>
                <w:rFonts w:cs="Arial"/>
                <w:sz w:val="18"/>
                <w:szCs w:val="18"/>
              </w:rPr>
            </w:pPr>
            <w:r w:rsidRPr="006068DE">
              <w:rPr>
                <w:rFonts w:cs="Arial"/>
                <w:sz w:val="18"/>
                <w:szCs w:val="18"/>
              </w:rPr>
              <w:t>0,003 %</w:t>
            </w:r>
          </w:p>
          <w:p w14:paraId="3DA6E9A2" w14:textId="77777777" w:rsidR="00150CEC" w:rsidRPr="006068DE" w:rsidRDefault="00150CEC" w:rsidP="00307AF7">
            <w:pPr>
              <w:spacing w:before="60" w:after="60"/>
              <w:jc w:val="center"/>
              <w:rPr>
                <w:rFonts w:cs="Arial"/>
                <w:sz w:val="18"/>
                <w:szCs w:val="18"/>
              </w:rPr>
            </w:pPr>
            <w:r w:rsidRPr="006068DE">
              <w:rPr>
                <w:rFonts w:cs="Arial"/>
                <w:sz w:val="18"/>
                <w:szCs w:val="18"/>
              </w:rPr>
              <w:t>(2016)</w:t>
            </w:r>
          </w:p>
        </w:tc>
        <w:tc>
          <w:tcPr>
            <w:tcW w:w="1857" w:type="dxa"/>
            <w:vAlign w:val="center"/>
          </w:tcPr>
          <w:p w14:paraId="475DCAEF" w14:textId="77777777" w:rsidR="00150CEC" w:rsidRPr="006068DE" w:rsidRDefault="00150CEC" w:rsidP="00307AF7">
            <w:pPr>
              <w:spacing w:before="60" w:after="60"/>
              <w:jc w:val="center"/>
              <w:rPr>
                <w:rFonts w:cs="Arial"/>
                <w:sz w:val="18"/>
                <w:szCs w:val="18"/>
              </w:rPr>
            </w:pPr>
            <w:r w:rsidRPr="006068DE">
              <w:rPr>
                <w:rFonts w:cs="Arial"/>
                <w:sz w:val="18"/>
                <w:szCs w:val="18"/>
              </w:rPr>
              <w:t>0,0</w:t>
            </w:r>
            <w:r>
              <w:rPr>
                <w:rFonts w:cs="Arial"/>
                <w:sz w:val="18"/>
                <w:szCs w:val="18"/>
              </w:rPr>
              <w:t>12</w:t>
            </w:r>
            <w:r w:rsidRPr="006068DE">
              <w:rPr>
                <w:rFonts w:cs="Arial"/>
                <w:sz w:val="18"/>
                <w:szCs w:val="18"/>
              </w:rPr>
              <w:t>%</w:t>
            </w:r>
          </w:p>
          <w:p w14:paraId="743F1FEB" w14:textId="77777777" w:rsidR="00150CEC" w:rsidRPr="006068DE" w:rsidRDefault="00150CEC" w:rsidP="00307AF7">
            <w:pPr>
              <w:spacing w:before="60" w:after="60"/>
              <w:jc w:val="center"/>
              <w:rPr>
                <w:rFonts w:cs="Arial"/>
                <w:sz w:val="18"/>
                <w:szCs w:val="18"/>
              </w:rPr>
            </w:pPr>
            <w:r w:rsidRPr="006068DE">
              <w:rPr>
                <w:rFonts w:cs="Arial"/>
                <w:sz w:val="18"/>
                <w:szCs w:val="18"/>
              </w:rPr>
              <w:t>(202</w:t>
            </w:r>
            <w:r>
              <w:rPr>
                <w:rFonts w:cs="Arial"/>
                <w:sz w:val="18"/>
                <w:szCs w:val="18"/>
              </w:rPr>
              <w:t>3</w:t>
            </w:r>
            <w:r w:rsidRPr="006068DE">
              <w:rPr>
                <w:rFonts w:cs="Arial"/>
                <w:sz w:val="18"/>
                <w:szCs w:val="18"/>
              </w:rPr>
              <w:t>)</w:t>
            </w:r>
          </w:p>
        </w:tc>
      </w:tr>
      <w:tr w:rsidR="00150CEC" w:rsidRPr="00637E01" w14:paraId="615E1AF0" w14:textId="77777777" w:rsidTr="00150CEC">
        <w:trPr>
          <w:trHeight w:val="551"/>
        </w:trPr>
        <w:tc>
          <w:tcPr>
            <w:tcW w:w="739" w:type="dxa"/>
            <w:vAlign w:val="center"/>
          </w:tcPr>
          <w:p w14:paraId="21354E54" w14:textId="77777777" w:rsidR="00150CEC" w:rsidRPr="00637E01" w:rsidRDefault="00150CEC" w:rsidP="00307AF7">
            <w:pPr>
              <w:spacing w:before="120" w:after="120"/>
              <w:jc w:val="center"/>
              <w:rPr>
                <w:rFonts w:cs="Arial"/>
                <w:sz w:val="18"/>
                <w:szCs w:val="18"/>
              </w:rPr>
            </w:pPr>
            <w:r w:rsidRPr="00637E01">
              <w:rPr>
                <w:rFonts w:cs="Arial"/>
                <w:sz w:val="18"/>
                <w:szCs w:val="18"/>
              </w:rPr>
              <w:lastRenderedPageBreak/>
              <w:t>18</w:t>
            </w:r>
          </w:p>
        </w:tc>
        <w:tc>
          <w:tcPr>
            <w:tcW w:w="3059" w:type="dxa"/>
            <w:vAlign w:val="center"/>
          </w:tcPr>
          <w:p w14:paraId="150AAEE8" w14:textId="77777777" w:rsidR="00150CEC" w:rsidRPr="00637E01" w:rsidRDefault="00150CEC" w:rsidP="00307AF7">
            <w:pPr>
              <w:spacing w:before="60" w:after="60"/>
              <w:rPr>
                <w:rFonts w:cs="Arial"/>
                <w:sz w:val="18"/>
                <w:szCs w:val="18"/>
              </w:rPr>
            </w:pPr>
            <w:r w:rsidRPr="00637E01">
              <w:rPr>
                <w:rFonts w:cs="Arial"/>
                <w:sz w:val="18"/>
                <w:szCs w:val="18"/>
              </w:rPr>
              <w:t>Podíl domácí přidané hodnoty v celkovém exportu (%)</w:t>
            </w:r>
            <w:r>
              <w:rPr>
                <w:rFonts w:cs="Arial"/>
                <w:sz w:val="18"/>
                <w:szCs w:val="18"/>
              </w:rPr>
              <w:t xml:space="preserve"> </w:t>
            </w:r>
          </w:p>
        </w:tc>
        <w:tc>
          <w:tcPr>
            <w:tcW w:w="1914" w:type="dxa"/>
            <w:vAlign w:val="center"/>
          </w:tcPr>
          <w:p w14:paraId="55E4AB35" w14:textId="77777777" w:rsidR="00150CEC" w:rsidRPr="00637E01" w:rsidRDefault="00150CEC" w:rsidP="00307AF7">
            <w:pPr>
              <w:spacing w:before="60" w:after="60"/>
              <w:jc w:val="center"/>
              <w:rPr>
                <w:rFonts w:cs="Arial"/>
                <w:sz w:val="18"/>
                <w:szCs w:val="18"/>
              </w:rPr>
            </w:pPr>
            <w:r>
              <w:rPr>
                <w:rFonts w:cs="Arial"/>
                <w:sz w:val="18"/>
                <w:szCs w:val="18"/>
              </w:rPr>
              <w:t>59,7</w:t>
            </w:r>
            <w:r w:rsidRPr="00637E01">
              <w:rPr>
                <w:rFonts w:cs="Arial"/>
                <w:sz w:val="18"/>
                <w:szCs w:val="18"/>
              </w:rPr>
              <w:t xml:space="preserve"> %</w:t>
            </w:r>
            <w:r>
              <w:rPr>
                <w:rFonts w:cs="Arial"/>
                <w:sz w:val="18"/>
                <w:szCs w:val="18"/>
              </w:rPr>
              <w:t xml:space="preserve"> *</w:t>
            </w:r>
          </w:p>
          <w:p w14:paraId="4089018C" w14:textId="77777777" w:rsidR="00150CEC" w:rsidRPr="00637E01" w:rsidRDefault="00150CEC" w:rsidP="00307AF7">
            <w:pPr>
              <w:spacing w:before="60" w:after="60"/>
              <w:jc w:val="center"/>
              <w:rPr>
                <w:rFonts w:cs="Arial"/>
                <w:sz w:val="18"/>
                <w:szCs w:val="18"/>
              </w:rPr>
            </w:pPr>
            <w:r w:rsidRPr="00637E01">
              <w:rPr>
                <w:rFonts w:cs="Arial"/>
                <w:sz w:val="18"/>
                <w:szCs w:val="18"/>
              </w:rPr>
              <w:t>(2011)</w:t>
            </w:r>
          </w:p>
        </w:tc>
        <w:tc>
          <w:tcPr>
            <w:tcW w:w="1929" w:type="dxa"/>
            <w:vAlign w:val="center"/>
          </w:tcPr>
          <w:p w14:paraId="630D23E9" w14:textId="77777777" w:rsidR="00150CEC" w:rsidRPr="006068DE" w:rsidRDefault="00150CEC" w:rsidP="00307AF7">
            <w:pPr>
              <w:spacing w:before="60" w:after="60"/>
              <w:jc w:val="center"/>
              <w:rPr>
                <w:rFonts w:cs="Arial"/>
                <w:sz w:val="18"/>
                <w:szCs w:val="18"/>
              </w:rPr>
            </w:pPr>
            <w:r>
              <w:rPr>
                <w:rFonts w:cs="Arial"/>
                <w:sz w:val="18"/>
                <w:szCs w:val="18"/>
              </w:rPr>
              <w:t>58,8</w:t>
            </w:r>
            <w:r w:rsidRPr="006068DE">
              <w:rPr>
                <w:rFonts w:cs="Arial"/>
                <w:sz w:val="18"/>
                <w:szCs w:val="18"/>
              </w:rPr>
              <w:t> %</w:t>
            </w:r>
            <w:r>
              <w:rPr>
                <w:rFonts w:cs="Arial"/>
                <w:sz w:val="18"/>
                <w:szCs w:val="18"/>
              </w:rPr>
              <w:t xml:space="preserve"> *</w:t>
            </w:r>
          </w:p>
          <w:p w14:paraId="0A278980" w14:textId="77777777" w:rsidR="00150CEC" w:rsidRPr="006068DE" w:rsidRDefault="00150CEC" w:rsidP="00307AF7">
            <w:pPr>
              <w:spacing w:before="60" w:after="60"/>
              <w:jc w:val="center"/>
              <w:rPr>
                <w:rFonts w:cs="Arial"/>
                <w:sz w:val="18"/>
                <w:szCs w:val="18"/>
              </w:rPr>
            </w:pPr>
            <w:r w:rsidRPr="006068DE">
              <w:rPr>
                <w:rFonts w:cs="Arial"/>
                <w:sz w:val="18"/>
                <w:szCs w:val="18"/>
              </w:rPr>
              <w:t>(2014)</w:t>
            </w:r>
          </w:p>
        </w:tc>
        <w:tc>
          <w:tcPr>
            <w:tcW w:w="1857" w:type="dxa"/>
            <w:vAlign w:val="center"/>
          </w:tcPr>
          <w:p w14:paraId="29D29D89" w14:textId="77777777" w:rsidR="00150CEC" w:rsidRPr="006068DE" w:rsidRDefault="00150CEC" w:rsidP="00307AF7">
            <w:pPr>
              <w:spacing w:before="60" w:after="60"/>
              <w:jc w:val="center"/>
              <w:rPr>
                <w:rFonts w:cs="Arial"/>
                <w:sz w:val="18"/>
                <w:szCs w:val="18"/>
              </w:rPr>
            </w:pPr>
            <w:r>
              <w:rPr>
                <w:rFonts w:cs="Arial"/>
                <w:sz w:val="18"/>
                <w:szCs w:val="18"/>
              </w:rPr>
              <w:t>62,3</w:t>
            </w:r>
            <w:r w:rsidRPr="006068DE">
              <w:rPr>
                <w:rFonts w:cs="Arial"/>
                <w:sz w:val="18"/>
                <w:szCs w:val="18"/>
              </w:rPr>
              <w:t xml:space="preserve"> %</w:t>
            </w:r>
          </w:p>
          <w:p w14:paraId="0FF266CA" w14:textId="77777777" w:rsidR="00150CEC" w:rsidRPr="006068DE" w:rsidRDefault="00150CEC" w:rsidP="00307AF7">
            <w:pPr>
              <w:spacing w:before="60" w:after="60"/>
              <w:jc w:val="center"/>
              <w:rPr>
                <w:rFonts w:cs="Arial"/>
                <w:sz w:val="18"/>
                <w:szCs w:val="18"/>
              </w:rPr>
            </w:pPr>
            <w:r w:rsidRPr="006068DE">
              <w:rPr>
                <w:rFonts w:cs="Arial"/>
                <w:sz w:val="18"/>
                <w:szCs w:val="18"/>
              </w:rPr>
              <w:t>(20</w:t>
            </w:r>
            <w:r>
              <w:rPr>
                <w:rFonts w:cs="Arial"/>
                <w:sz w:val="18"/>
                <w:szCs w:val="18"/>
              </w:rPr>
              <w:t>20</w:t>
            </w:r>
            <w:r w:rsidRPr="006068DE">
              <w:rPr>
                <w:rFonts w:cs="Arial"/>
                <w:sz w:val="18"/>
                <w:szCs w:val="18"/>
              </w:rPr>
              <w:t>)</w:t>
            </w:r>
          </w:p>
        </w:tc>
      </w:tr>
    </w:tbl>
    <w:p w14:paraId="55BF3945" w14:textId="77777777" w:rsidR="004A4B96" w:rsidRDefault="004A4B96" w:rsidP="004A4B96">
      <w:pPr>
        <w:pStyle w:val="Odstavecseseznamem"/>
        <w:spacing w:before="120"/>
        <w:ind w:left="0"/>
        <w:jc w:val="both"/>
        <w:rPr>
          <w:rFonts w:cs="Arial"/>
          <w:i/>
          <w:sz w:val="18"/>
          <w:szCs w:val="18"/>
        </w:rPr>
      </w:pPr>
      <w:r w:rsidRPr="00637E01">
        <w:rPr>
          <w:rFonts w:cs="Arial"/>
          <w:sz w:val="18"/>
          <w:szCs w:val="18"/>
        </w:rPr>
        <w:t>*</w:t>
      </w:r>
      <w:r>
        <w:rPr>
          <w:rFonts w:cs="Arial"/>
          <w:i/>
          <w:sz w:val="18"/>
          <w:szCs w:val="18"/>
        </w:rPr>
        <w:t>U</w:t>
      </w:r>
      <w:r w:rsidRPr="00637E01">
        <w:rPr>
          <w:rFonts w:cs="Arial"/>
          <w:i/>
          <w:sz w:val="18"/>
          <w:szCs w:val="18"/>
        </w:rPr>
        <w:t xml:space="preserve"> indikátoru byl</w:t>
      </w:r>
      <w:r>
        <w:rPr>
          <w:rFonts w:cs="Arial"/>
          <w:i/>
          <w:sz w:val="18"/>
          <w:szCs w:val="18"/>
        </w:rPr>
        <w:t>a</w:t>
      </w:r>
      <w:r w:rsidRPr="00637E01">
        <w:rPr>
          <w:rFonts w:cs="Arial"/>
          <w:i/>
          <w:sz w:val="18"/>
          <w:szCs w:val="18"/>
        </w:rPr>
        <w:t xml:space="preserve"> proveden</w:t>
      </w:r>
      <w:r>
        <w:rPr>
          <w:rFonts w:cs="Arial"/>
          <w:i/>
          <w:sz w:val="18"/>
          <w:szCs w:val="18"/>
        </w:rPr>
        <w:t>a úprava výchozí hodnoty s využitím aktuálních dat.</w:t>
      </w:r>
    </w:p>
    <w:p w14:paraId="6BDD9C7A" w14:textId="77777777" w:rsidR="004A4B96" w:rsidRPr="00637E01" w:rsidRDefault="004A4B96" w:rsidP="004A4B96">
      <w:pPr>
        <w:spacing w:before="240"/>
        <w:rPr>
          <w:rFonts w:cs="Arial"/>
          <w:u w:val="single"/>
        </w:rPr>
      </w:pPr>
      <w:r w:rsidRPr="00637E01">
        <w:rPr>
          <w:rFonts w:cs="Arial"/>
          <w:u w:val="single"/>
        </w:rPr>
        <w:t>Poznámky k indikátorům:</w:t>
      </w:r>
    </w:p>
    <w:p w14:paraId="51EA3A19" w14:textId="77777777" w:rsidR="00150CEC" w:rsidRPr="00B6217F" w:rsidRDefault="00150CEC" w:rsidP="00150CEC">
      <w:pPr>
        <w:spacing w:after="120"/>
        <w:ind w:left="284" w:hanging="284"/>
        <w:jc w:val="both"/>
        <w:rPr>
          <w:rFonts w:cs="Arial"/>
          <w:sz w:val="18"/>
          <w:szCs w:val="18"/>
        </w:rPr>
      </w:pPr>
      <w:r>
        <w:rPr>
          <w:rFonts w:cs="Arial"/>
          <w:sz w:val="18"/>
          <w:szCs w:val="18"/>
          <w:vertAlign w:val="superscript"/>
        </w:rPr>
        <w:t>1</w:t>
      </w:r>
      <w:r w:rsidRPr="00637E01">
        <w:rPr>
          <w:rFonts w:cs="Arial"/>
          <w:sz w:val="18"/>
          <w:szCs w:val="18"/>
        </w:rPr>
        <w:tab/>
      </w:r>
      <w:r w:rsidRPr="00B6217F">
        <w:rPr>
          <w:rFonts w:cs="Arial"/>
          <w:sz w:val="18"/>
          <w:szCs w:val="18"/>
        </w:rPr>
        <w:t xml:space="preserve">Údaj stanoven z Web </w:t>
      </w:r>
      <w:proofErr w:type="spellStart"/>
      <w:r w:rsidRPr="00B6217F">
        <w:rPr>
          <w:rFonts w:cs="Arial"/>
          <w:sz w:val="18"/>
          <w:szCs w:val="18"/>
        </w:rPr>
        <w:t>of</w:t>
      </w:r>
      <w:proofErr w:type="spellEnd"/>
      <w:r w:rsidRPr="00B6217F">
        <w:rPr>
          <w:rFonts w:cs="Arial"/>
          <w:sz w:val="18"/>
          <w:szCs w:val="18"/>
        </w:rPr>
        <w:t xml:space="preserve"> Science </w:t>
      </w:r>
      <w:proofErr w:type="spellStart"/>
      <w:r w:rsidRPr="00B6217F">
        <w:rPr>
          <w:rFonts w:cs="Arial"/>
          <w:sz w:val="18"/>
          <w:szCs w:val="18"/>
        </w:rPr>
        <w:t>InCites</w:t>
      </w:r>
      <w:proofErr w:type="spellEnd"/>
      <w:r w:rsidRPr="00B6217F">
        <w:rPr>
          <w:rFonts w:cs="Arial"/>
          <w:sz w:val="18"/>
          <w:szCs w:val="18"/>
        </w:rPr>
        <w:t xml:space="preserve"> pro publikace typu '</w:t>
      </w:r>
      <w:proofErr w:type="spellStart"/>
      <w:r w:rsidRPr="00B6217F">
        <w:rPr>
          <w:rFonts w:cs="Arial"/>
          <w:sz w:val="18"/>
          <w:szCs w:val="18"/>
        </w:rPr>
        <w:t>article</w:t>
      </w:r>
      <w:proofErr w:type="spellEnd"/>
      <w:r w:rsidRPr="00B6217F">
        <w:rPr>
          <w:rFonts w:cs="Arial"/>
          <w:sz w:val="18"/>
          <w:szCs w:val="18"/>
        </w:rPr>
        <w:t>', '</w:t>
      </w:r>
      <w:proofErr w:type="spellStart"/>
      <w:r w:rsidRPr="00B6217F">
        <w:rPr>
          <w:rFonts w:cs="Arial"/>
          <w:sz w:val="18"/>
          <w:szCs w:val="18"/>
        </w:rPr>
        <w:t>review</w:t>
      </w:r>
      <w:proofErr w:type="spellEnd"/>
      <w:r w:rsidRPr="00B6217F">
        <w:rPr>
          <w:rFonts w:cs="Arial"/>
          <w:sz w:val="18"/>
          <w:szCs w:val="18"/>
        </w:rPr>
        <w:t>', '</w:t>
      </w:r>
      <w:proofErr w:type="spellStart"/>
      <w:r w:rsidRPr="00B6217F">
        <w:rPr>
          <w:rFonts w:cs="Arial"/>
          <w:sz w:val="18"/>
          <w:szCs w:val="18"/>
        </w:rPr>
        <w:t>letter</w:t>
      </w:r>
      <w:proofErr w:type="spellEnd"/>
      <w:r w:rsidRPr="00B6217F">
        <w:rPr>
          <w:rFonts w:cs="Arial"/>
          <w:sz w:val="18"/>
          <w:szCs w:val="18"/>
        </w:rPr>
        <w:t>',</w:t>
      </w:r>
      <w:r>
        <w:rPr>
          <w:rFonts w:cs="Arial"/>
          <w:sz w:val="18"/>
          <w:szCs w:val="18"/>
        </w:rPr>
        <w:t xml:space="preserve"> </w:t>
      </w:r>
      <w:r w:rsidRPr="00B6217F">
        <w:rPr>
          <w:rFonts w:cs="Arial"/>
          <w:sz w:val="18"/>
          <w:szCs w:val="18"/>
        </w:rPr>
        <w:t>'</w:t>
      </w:r>
      <w:proofErr w:type="spellStart"/>
      <w:r w:rsidRPr="00B6217F">
        <w:rPr>
          <w:rFonts w:cs="Arial"/>
          <w:sz w:val="18"/>
          <w:szCs w:val="18"/>
        </w:rPr>
        <w:t>proceedings</w:t>
      </w:r>
      <w:proofErr w:type="spellEnd"/>
      <w:r w:rsidRPr="00B6217F">
        <w:rPr>
          <w:rFonts w:cs="Arial"/>
          <w:sz w:val="18"/>
          <w:szCs w:val="18"/>
        </w:rPr>
        <w:t xml:space="preserve"> </w:t>
      </w:r>
      <w:proofErr w:type="spellStart"/>
      <w:r w:rsidRPr="00B6217F">
        <w:rPr>
          <w:rFonts w:cs="Arial"/>
          <w:sz w:val="18"/>
          <w:szCs w:val="18"/>
        </w:rPr>
        <w:t>paper</w:t>
      </w:r>
      <w:proofErr w:type="spellEnd"/>
      <w:r w:rsidRPr="00B6217F">
        <w:rPr>
          <w:rFonts w:cs="Arial"/>
          <w:sz w:val="18"/>
          <w:szCs w:val="18"/>
        </w:rPr>
        <w:t>'. Vzhledem k tomu, že v uvedené databázi došlo k aktualizaci údajů, byly s jejich využitím zpětně vypočteny i</w:t>
      </w:r>
      <w:r>
        <w:rPr>
          <w:rFonts w:cs="Arial"/>
          <w:sz w:val="18"/>
          <w:szCs w:val="18"/>
        </w:rPr>
        <w:t> </w:t>
      </w:r>
      <w:r w:rsidRPr="00B6217F">
        <w:rPr>
          <w:rFonts w:cs="Arial"/>
          <w:sz w:val="18"/>
          <w:szCs w:val="18"/>
        </w:rPr>
        <w:t>hodnoty indikátoru v předcházejících letech. Jelikož údaje z roku 202</w:t>
      </w:r>
      <w:r>
        <w:rPr>
          <w:rFonts w:cs="Arial"/>
          <w:sz w:val="18"/>
          <w:szCs w:val="18"/>
        </w:rPr>
        <w:t>3</w:t>
      </w:r>
      <w:r w:rsidRPr="00B6217F">
        <w:rPr>
          <w:rFonts w:cs="Arial"/>
          <w:sz w:val="18"/>
          <w:szCs w:val="18"/>
        </w:rPr>
        <w:t xml:space="preserve"> nejsou ještě kompletní, je v tabulce uveden i údaj pro rok 202</w:t>
      </w:r>
      <w:r>
        <w:rPr>
          <w:rFonts w:cs="Arial"/>
          <w:sz w:val="18"/>
          <w:szCs w:val="18"/>
        </w:rPr>
        <w:t>2</w:t>
      </w:r>
      <w:r w:rsidRPr="00B6217F">
        <w:rPr>
          <w:rFonts w:cs="Arial"/>
          <w:sz w:val="18"/>
          <w:szCs w:val="18"/>
        </w:rPr>
        <w:t>.</w:t>
      </w:r>
    </w:p>
    <w:p w14:paraId="21C3B1F8" w14:textId="77777777" w:rsidR="00150CEC" w:rsidRPr="00B6217F" w:rsidRDefault="00150CEC" w:rsidP="00150CEC">
      <w:pPr>
        <w:spacing w:after="120"/>
        <w:ind w:left="284" w:hanging="284"/>
        <w:jc w:val="both"/>
        <w:rPr>
          <w:rFonts w:cs="Arial"/>
          <w:sz w:val="18"/>
          <w:szCs w:val="18"/>
        </w:rPr>
      </w:pPr>
      <w:r w:rsidRPr="00B6217F">
        <w:rPr>
          <w:rFonts w:cs="Arial"/>
          <w:sz w:val="18"/>
          <w:szCs w:val="18"/>
          <w:vertAlign w:val="superscript"/>
        </w:rPr>
        <w:t>2</w:t>
      </w:r>
      <w:r w:rsidRPr="00B6217F">
        <w:rPr>
          <w:rFonts w:cs="Arial"/>
          <w:sz w:val="18"/>
          <w:szCs w:val="18"/>
        </w:rPr>
        <w:tab/>
        <w:t xml:space="preserve">Název indikátoru byl přeformulován tak, aby odpovídal definici uvedené v NP </w:t>
      </w:r>
      <w:proofErr w:type="spellStart"/>
      <w:r w:rsidRPr="00B6217F">
        <w:rPr>
          <w:rFonts w:cs="Arial"/>
          <w:sz w:val="18"/>
          <w:szCs w:val="18"/>
        </w:rPr>
        <w:t>VaVaI</w:t>
      </w:r>
      <w:proofErr w:type="spellEnd"/>
      <w:r w:rsidRPr="00B6217F">
        <w:rPr>
          <w:rFonts w:cs="Arial"/>
          <w:sz w:val="18"/>
          <w:szCs w:val="18"/>
        </w:rPr>
        <w:t xml:space="preserve"> </w:t>
      </w:r>
    </w:p>
    <w:p w14:paraId="6B8F33A2" w14:textId="77777777" w:rsidR="00150CEC" w:rsidRDefault="00150CEC" w:rsidP="00150CEC">
      <w:pPr>
        <w:spacing w:after="120"/>
        <w:ind w:left="284" w:hanging="284"/>
        <w:jc w:val="both"/>
        <w:rPr>
          <w:rFonts w:cs="Arial"/>
          <w:sz w:val="18"/>
          <w:szCs w:val="18"/>
        </w:rPr>
      </w:pPr>
      <w:r w:rsidRPr="00B6217F">
        <w:rPr>
          <w:rFonts w:cs="Arial"/>
          <w:sz w:val="18"/>
          <w:szCs w:val="18"/>
          <w:vertAlign w:val="superscript"/>
        </w:rPr>
        <w:t>3</w:t>
      </w:r>
      <w:r w:rsidRPr="00B6217F">
        <w:rPr>
          <w:rFonts w:cs="Arial"/>
          <w:sz w:val="18"/>
          <w:szCs w:val="18"/>
        </w:rPr>
        <w:tab/>
        <w:t xml:space="preserve">Hodnota </w:t>
      </w:r>
      <w:r>
        <w:rPr>
          <w:rFonts w:cs="Arial"/>
          <w:sz w:val="18"/>
          <w:szCs w:val="18"/>
        </w:rPr>
        <w:t xml:space="preserve">pro Horizont 2020 (H2020) </w:t>
      </w:r>
      <w:r w:rsidRPr="00B6217F">
        <w:rPr>
          <w:rFonts w:cs="Arial"/>
          <w:sz w:val="18"/>
          <w:szCs w:val="18"/>
        </w:rPr>
        <w:t xml:space="preserve">byla stanovena z údajů v databázi </w:t>
      </w:r>
      <w:proofErr w:type="spellStart"/>
      <w:r w:rsidRPr="00B6217F">
        <w:rPr>
          <w:rFonts w:cs="Arial"/>
          <w:sz w:val="18"/>
          <w:szCs w:val="18"/>
        </w:rPr>
        <w:t>eCORDA</w:t>
      </w:r>
      <w:proofErr w:type="spellEnd"/>
      <w:r w:rsidRPr="00B6217F">
        <w:rPr>
          <w:rFonts w:cs="Arial"/>
          <w:sz w:val="18"/>
          <w:szCs w:val="18"/>
        </w:rPr>
        <w:t xml:space="preserve"> z</w:t>
      </w:r>
      <w:r>
        <w:rPr>
          <w:rFonts w:cs="Arial"/>
          <w:sz w:val="18"/>
          <w:szCs w:val="18"/>
        </w:rPr>
        <w:t> konce roku 2022.</w:t>
      </w:r>
      <w:r w:rsidRPr="00B6217F">
        <w:rPr>
          <w:rFonts w:cs="Arial"/>
          <w:sz w:val="18"/>
          <w:szCs w:val="18"/>
        </w:rPr>
        <w:t xml:space="preserve"> Do výpočtu byly zahrnuty běžící a ukončené projekty. V údajích nejsou zahrnuti účastníci, kteří se projektů účastnili jako třetí strany.</w:t>
      </w:r>
      <w:r>
        <w:rPr>
          <w:rFonts w:cs="Arial"/>
          <w:sz w:val="18"/>
          <w:szCs w:val="18"/>
        </w:rPr>
        <w:t xml:space="preserve"> H</w:t>
      </w:r>
      <w:r w:rsidRPr="00B6217F">
        <w:rPr>
          <w:rFonts w:cs="Arial"/>
          <w:sz w:val="18"/>
          <w:szCs w:val="18"/>
        </w:rPr>
        <w:t>odnota indikátoru pro EU-28</w:t>
      </w:r>
      <w:r>
        <w:rPr>
          <w:rFonts w:cs="Arial"/>
          <w:sz w:val="18"/>
          <w:szCs w:val="18"/>
        </w:rPr>
        <w:t xml:space="preserve"> (EU-27 a Spojené království) činila 65</w:t>
      </w:r>
      <w:r w:rsidRPr="00B6217F">
        <w:rPr>
          <w:rFonts w:cs="Arial"/>
          <w:sz w:val="18"/>
          <w:szCs w:val="18"/>
        </w:rPr>
        <w:t>,</w:t>
      </w:r>
      <w:r>
        <w:rPr>
          <w:rFonts w:cs="Arial"/>
          <w:sz w:val="18"/>
          <w:szCs w:val="18"/>
        </w:rPr>
        <w:t>6. Počty účastí pro ČR a EU-28 jsou vztaženy na počet výzkumníků ve FTE v roce 2019</w:t>
      </w:r>
      <w:r w:rsidRPr="00B6217F">
        <w:rPr>
          <w:rFonts w:cs="Arial"/>
          <w:sz w:val="18"/>
          <w:szCs w:val="18"/>
        </w:rPr>
        <w:t>.</w:t>
      </w:r>
      <w:r>
        <w:rPr>
          <w:rFonts w:cs="Arial"/>
          <w:sz w:val="18"/>
          <w:szCs w:val="18"/>
        </w:rPr>
        <w:t xml:space="preserve"> </w:t>
      </w:r>
    </w:p>
    <w:p w14:paraId="6FBCC50F" w14:textId="02FA3C4D" w:rsidR="00150CEC" w:rsidRDefault="00150CEC" w:rsidP="00150CEC">
      <w:pPr>
        <w:spacing w:after="120"/>
        <w:ind w:left="284" w:hanging="284"/>
        <w:jc w:val="both"/>
        <w:rPr>
          <w:rFonts w:cs="Arial"/>
          <w:sz w:val="18"/>
          <w:szCs w:val="18"/>
        </w:rPr>
      </w:pPr>
      <w:r w:rsidRPr="00085101">
        <w:rPr>
          <w:rFonts w:cs="Arial"/>
          <w:sz w:val="18"/>
          <w:szCs w:val="18"/>
          <w:vertAlign w:val="superscript"/>
        </w:rPr>
        <w:t>4</w:t>
      </w:r>
      <w:r>
        <w:rPr>
          <w:rFonts w:cs="Arial"/>
          <w:sz w:val="18"/>
          <w:szCs w:val="18"/>
        </w:rPr>
        <w:tab/>
        <w:t xml:space="preserve">Hodnota pro dosavadní průběh programu Horizont Evropa (HE) byla stanovena z údajů v databázi </w:t>
      </w:r>
      <w:proofErr w:type="spellStart"/>
      <w:r>
        <w:rPr>
          <w:rFonts w:cs="Arial"/>
          <w:sz w:val="18"/>
          <w:szCs w:val="18"/>
        </w:rPr>
        <w:t>eCORDA</w:t>
      </w:r>
      <w:proofErr w:type="spellEnd"/>
      <w:r>
        <w:rPr>
          <w:rFonts w:cs="Arial"/>
          <w:sz w:val="18"/>
          <w:szCs w:val="18"/>
        </w:rPr>
        <w:t xml:space="preserve"> ze srpna 2024. </w:t>
      </w:r>
      <w:r w:rsidRPr="00B6217F">
        <w:rPr>
          <w:rFonts w:cs="Arial"/>
          <w:sz w:val="18"/>
          <w:szCs w:val="18"/>
        </w:rPr>
        <w:t>Do výpočtu byly zahrnuty běžící a ukončené projekty.</w:t>
      </w:r>
      <w:r>
        <w:rPr>
          <w:rFonts w:cs="Arial"/>
          <w:sz w:val="18"/>
          <w:szCs w:val="18"/>
        </w:rPr>
        <w:t xml:space="preserve"> </w:t>
      </w:r>
      <w:r w:rsidRPr="00B6217F">
        <w:rPr>
          <w:rFonts w:cs="Arial"/>
          <w:sz w:val="18"/>
          <w:szCs w:val="18"/>
        </w:rPr>
        <w:t>V údajích nejsou zahrnuti účastníci, kteří se</w:t>
      </w:r>
      <w:r>
        <w:rPr>
          <w:rFonts w:cs="Arial"/>
          <w:sz w:val="18"/>
          <w:szCs w:val="18"/>
        </w:rPr>
        <w:t> </w:t>
      </w:r>
      <w:r w:rsidRPr="00B6217F">
        <w:rPr>
          <w:rFonts w:cs="Arial"/>
          <w:sz w:val="18"/>
          <w:szCs w:val="18"/>
        </w:rPr>
        <w:t xml:space="preserve">projektů účastnili jako třetí strany. </w:t>
      </w:r>
      <w:r>
        <w:rPr>
          <w:rFonts w:cs="Arial"/>
          <w:sz w:val="18"/>
          <w:szCs w:val="18"/>
        </w:rPr>
        <w:t>H</w:t>
      </w:r>
      <w:r w:rsidRPr="00B6217F">
        <w:rPr>
          <w:rFonts w:cs="Arial"/>
          <w:sz w:val="18"/>
          <w:szCs w:val="18"/>
        </w:rPr>
        <w:t xml:space="preserve">odnota indikátoru </w:t>
      </w:r>
      <w:r>
        <w:rPr>
          <w:rFonts w:cs="Arial"/>
          <w:sz w:val="18"/>
          <w:szCs w:val="18"/>
        </w:rPr>
        <w:t>pro</w:t>
      </w:r>
      <w:r w:rsidRPr="00B6217F">
        <w:rPr>
          <w:rFonts w:cs="Arial"/>
          <w:sz w:val="18"/>
          <w:szCs w:val="18"/>
        </w:rPr>
        <w:t xml:space="preserve"> EU-2</w:t>
      </w:r>
      <w:r>
        <w:rPr>
          <w:rFonts w:cs="Arial"/>
          <w:sz w:val="18"/>
          <w:szCs w:val="18"/>
        </w:rPr>
        <w:t>7 činila 30,6</w:t>
      </w:r>
      <w:r w:rsidRPr="00B6217F">
        <w:rPr>
          <w:rFonts w:cs="Arial"/>
          <w:sz w:val="18"/>
          <w:szCs w:val="18"/>
        </w:rPr>
        <w:t>.</w:t>
      </w:r>
      <w:r>
        <w:rPr>
          <w:rFonts w:cs="Arial"/>
          <w:sz w:val="18"/>
          <w:szCs w:val="18"/>
        </w:rPr>
        <w:t xml:space="preserve"> Počty účastí pro ČR a EU-27 jsou vztaženy na počet výzkumníků ve FTE v roce 2022</w:t>
      </w:r>
      <w:r w:rsidRPr="00B6217F">
        <w:rPr>
          <w:rFonts w:cs="Arial"/>
          <w:sz w:val="18"/>
          <w:szCs w:val="18"/>
        </w:rPr>
        <w:t>.</w:t>
      </w:r>
    </w:p>
    <w:p w14:paraId="37E0D05A" w14:textId="77777777" w:rsidR="00150CEC" w:rsidRDefault="00150CEC" w:rsidP="00150CEC">
      <w:pPr>
        <w:spacing w:after="120"/>
        <w:ind w:left="284" w:hanging="284"/>
        <w:jc w:val="both"/>
        <w:rPr>
          <w:rFonts w:cs="Arial"/>
          <w:sz w:val="18"/>
          <w:szCs w:val="18"/>
        </w:rPr>
      </w:pPr>
      <w:r>
        <w:rPr>
          <w:rFonts w:cs="Arial"/>
          <w:sz w:val="18"/>
          <w:szCs w:val="18"/>
          <w:vertAlign w:val="superscript"/>
        </w:rPr>
        <w:t>5</w:t>
      </w:r>
      <w:r w:rsidRPr="00B6217F">
        <w:rPr>
          <w:rFonts w:cs="Arial"/>
          <w:sz w:val="18"/>
          <w:szCs w:val="18"/>
        </w:rPr>
        <w:tab/>
        <w:t>Hodnot</w:t>
      </w:r>
      <w:r>
        <w:rPr>
          <w:rFonts w:cs="Arial"/>
          <w:sz w:val="18"/>
          <w:szCs w:val="18"/>
        </w:rPr>
        <w:t>a</w:t>
      </w:r>
      <w:r w:rsidRPr="00B6217F">
        <w:rPr>
          <w:rFonts w:cs="Arial"/>
          <w:sz w:val="18"/>
          <w:szCs w:val="18"/>
        </w:rPr>
        <w:t xml:space="preserve"> </w:t>
      </w:r>
      <w:r>
        <w:rPr>
          <w:rFonts w:cs="Arial"/>
          <w:sz w:val="18"/>
          <w:szCs w:val="18"/>
        </w:rPr>
        <w:t xml:space="preserve">indikátoru pro H2020 </w:t>
      </w:r>
      <w:r w:rsidRPr="00B6217F">
        <w:rPr>
          <w:rFonts w:cs="Arial"/>
          <w:sz w:val="18"/>
          <w:szCs w:val="18"/>
        </w:rPr>
        <w:t>byl</w:t>
      </w:r>
      <w:r>
        <w:rPr>
          <w:rFonts w:cs="Arial"/>
          <w:sz w:val="18"/>
          <w:szCs w:val="18"/>
        </w:rPr>
        <w:t>a</w:t>
      </w:r>
      <w:r w:rsidRPr="00B6217F">
        <w:rPr>
          <w:rFonts w:cs="Arial"/>
          <w:sz w:val="18"/>
          <w:szCs w:val="18"/>
        </w:rPr>
        <w:t xml:space="preserve"> stanoven</w:t>
      </w:r>
      <w:r>
        <w:rPr>
          <w:rFonts w:cs="Arial"/>
          <w:sz w:val="18"/>
          <w:szCs w:val="18"/>
        </w:rPr>
        <w:t>a</w:t>
      </w:r>
      <w:r w:rsidRPr="00B6217F">
        <w:rPr>
          <w:rFonts w:cs="Arial"/>
          <w:sz w:val="18"/>
          <w:szCs w:val="18"/>
        </w:rPr>
        <w:t xml:space="preserve"> z údajů v databázi </w:t>
      </w:r>
      <w:proofErr w:type="spellStart"/>
      <w:r w:rsidRPr="00B6217F">
        <w:rPr>
          <w:rFonts w:cs="Arial"/>
          <w:sz w:val="18"/>
          <w:szCs w:val="18"/>
        </w:rPr>
        <w:t>eCORDA</w:t>
      </w:r>
      <w:proofErr w:type="spellEnd"/>
      <w:r w:rsidRPr="00B6217F">
        <w:rPr>
          <w:rFonts w:cs="Arial"/>
          <w:sz w:val="18"/>
          <w:szCs w:val="18"/>
        </w:rPr>
        <w:t xml:space="preserve"> z</w:t>
      </w:r>
      <w:r>
        <w:rPr>
          <w:rFonts w:cs="Arial"/>
          <w:sz w:val="18"/>
          <w:szCs w:val="18"/>
        </w:rPr>
        <w:t> konce roku 2022.</w:t>
      </w:r>
      <w:r w:rsidRPr="00B6217F">
        <w:rPr>
          <w:rFonts w:cs="Arial"/>
          <w:sz w:val="18"/>
          <w:szCs w:val="18"/>
        </w:rPr>
        <w:t xml:space="preserve"> Do výpočtu byly zahrnuty běžící a ukončené projekty</w:t>
      </w:r>
      <w:r>
        <w:rPr>
          <w:rFonts w:cs="Arial"/>
          <w:sz w:val="18"/>
          <w:szCs w:val="18"/>
        </w:rPr>
        <w:t>.</w:t>
      </w:r>
      <w:r w:rsidRPr="00B6217F">
        <w:rPr>
          <w:rFonts w:cs="Arial"/>
          <w:sz w:val="18"/>
          <w:szCs w:val="18"/>
        </w:rPr>
        <w:t xml:space="preserve"> V údajích není zahrnut příspěvek získaný účastníky, kteří se projektů účastnili jako třetí strany. </w:t>
      </w:r>
      <w:r>
        <w:rPr>
          <w:rFonts w:cs="Arial"/>
          <w:sz w:val="18"/>
          <w:szCs w:val="18"/>
        </w:rPr>
        <w:t>H</w:t>
      </w:r>
      <w:r w:rsidRPr="00B6217F">
        <w:rPr>
          <w:rFonts w:cs="Arial"/>
          <w:sz w:val="18"/>
          <w:szCs w:val="18"/>
        </w:rPr>
        <w:t>odnota indikátoru pro EU-28</w:t>
      </w:r>
      <w:r>
        <w:rPr>
          <w:rFonts w:cs="Arial"/>
          <w:sz w:val="18"/>
          <w:szCs w:val="18"/>
        </w:rPr>
        <w:t xml:space="preserve"> (EU-27 a Spojené království) činila </w:t>
      </w:r>
      <w:r w:rsidRPr="00B6217F">
        <w:rPr>
          <w:rFonts w:cs="Arial"/>
          <w:sz w:val="18"/>
          <w:szCs w:val="18"/>
        </w:rPr>
        <w:t>3,</w:t>
      </w:r>
      <w:r>
        <w:rPr>
          <w:rFonts w:cs="Arial"/>
          <w:sz w:val="18"/>
          <w:szCs w:val="18"/>
        </w:rPr>
        <w:t>6. P</w:t>
      </w:r>
      <w:r w:rsidRPr="00B6217F">
        <w:rPr>
          <w:rFonts w:cs="Arial"/>
          <w:sz w:val="18"/>
          <w:szCs w:val="18"/>
        </w:rPr>
        <w:t xml:space="preserve">říspěvek </w:t>
      </w:r>
      <w:r>
        <w:rPr>
          <w:rFonts w:cs="Arial"/>
          <w:sz w:val="18"/>
          <w:szCs w:val="18"/>
        </w:rPr>
        <w:t xml:space="preserve">na řešení projektů </w:t>
      </w:r>
      <w:r w:rsidRPr="00B6217F">
        <w:rPr>
          <w:rFonts w:cs="Arial"/>
          <w:sz w:val="18"/>
          <w:szCs w:val="18"/>
        </w:rPr>
        <w:t>získaný týmy z ČR</w:t>
      </w:r>
      <w:r>
        <w:rPr>
          <w:rFonts w:cs="Arial"/>
          <w:sz w:val="18"/>
          <w:szCs w:val="18"/>
        </w:rPr>
        <w:t xml:space="preserve"> a EU-28 byl vztažen na hrubý domácí produkt v roce 2019.</w:t>
      </w:r>
    </w:p>
    <w:p w14:paraId="46A5E8EF" w14:textId="77777777" w:rsidR="00150CEC" w:rsidRPr="00085101" w:rsidRDefault="00150CEC" w:rsidP="00150CEC">
      <w:pPr>
        <w:spacing w:after="120"/>
        <w:ind w:left="284" w:hanging="284"/>
        <w:jc w:val="both"/>
        <w:rPr>
          <w:rFonts w:cs="Arial"/>
          <w:sz w:val="18"/>
          <w:szCs w:val="18"/>
          <w:vertAlign w:val="superscript"/>
        </w:rPr>
      </w:pPr>
      <w:r w:rsidRPr="00085101">
        <w:rPr>
          <w:rFonts w:cs="Arial"/>
          <w:sz w:val="18"/>
          <w:szCs w:val="18"/>
          <w:vertAlign w:val="superscript"/>
        </w:rPr>
        <w:t>6</w:t>
      </w:r>
      <w:r w:rsidRPr="00AC18EC">
        <w:rPr>
          <w:rFonts w:cs="Arial"/>
          <w:sz w:val="18"/>
          <w:szCs w:val="18"/>
        </w:rPr>
        <w:t xml:space="preserve"> </w:t>
      </w:r>
      <w:r>
        <w:rPr>
          <w:rFonts w:cs="Arial"/>
          <w:sz w:val="18"/>
          <w:szCs w:val="18"/>
        </w:rPr>
        <w:tab/>
      </w:r>
      <w:r w:rsidRPr="00B6217F">
        <w:rPr>
          <w:rFonts w:cs="Arial"/>
          <w:sz w:val="18"/>
          <w:szCs w:val="18"/>
        </w:rPr>
        <w:t>Hodnot</w:t>
      </w:r>
      <w:r>
        <w:rPr>
          <w:rFonts w:cs="Arial"/>
          <w:sz w:val="18"/>
          <w:szCs w:val="18"/>
        </w:rPr>
        <w:t>a</w:t>
      </w:r>
      <w:r w:rsidRPr="00B6217F">
        <w:rPr>
          <w:rFonts w:cs="Arial"/>
          <w:sz w:val="18"/>
          <w:szCs w:val="18"/>
        </w:rPr>
        <w:t xml:space="preserve"> </w:t>
      </w:r>
      <w:r>
        <w:rPr>
          <w:rFonts w:cs="Arial"/>
          <w:sz w:val="18"/>
          <w:szCs w:val="18"/>
        </w:rPr>
        <w:t xml:space="preserve">indikátoru pro dosavadní průběh programu HE </w:t>
      </w:r>
      <w:r w:rsidRPr="00B6217F">
        <w:rPr>
          <w:rFonts w:cs="Arial"/>
          <w:sz w:val="18"/>
          <w:szCs w:val="18"/>
        </w:rPr>
        <w:t>byl</w:t>
      </w:r>
      <w:r>
        <w:rPr>
          <w:rFonts w:cs="Arial"/>
          <w:sz w:val="18"/>
          <w:szCs w:val="18"/>
        </w:rPr>
        <w:t>a</w:t>
      </w:r>
      <w:r w:rsidRPr="00B6217F">
        <w:rPr>
          <w:rFonts w:cs="Arial"/>
          <w:sz w:val="18"/>
          <w:szCs w:val="18"/>
        </w:rPr>
        <w:t xml:space="preserve"> stanoven</w:t>
      </w:r>
      <w:r>
        <w:rPr>
          <w:rFonts w:cs="Arial"/>
          <w:sz w:val="18"/>
          <w:szCs w:val="18"/>
        </w:rPr>
        <w:t>a</w:t>
      </w:r>
      <w:r w:rsidRPr="00B6217F">
        <w:rPr>
          <w:rFonts w:cs="Arial"/>
          <w:sz w:val="18"/>
          <w:szCs w:val="18"/>
        </w:rPr>
        <w:t xml:space="preserve"> z údajů v databázi </w:t>
      </w:r>
      <w:proofErr w:type="spellStart"/>
      <w:r w:rsidRPr="00B6217F">
        <w:rPr>
          <w:rFonts w:cs="Arial"/>
          <w:sz w:val="18"/>
          <w:szCs w:val="18"/>
        </w:rPr>
        <w:t>eCORDA</w:t>
      </w:r>
      <w:proofErr w:type="spellEnd"/>
      <w:r w:rsidRPr="00B6217F">
        <w:rPr>
          <w:rFonts w:cs="Arial"/>
          <w:sz w:val="18"/>
          <w:szCs w:val="18"/>
        </w:rPr>
        <w:t xml:space="preserve"> z</w:t>
      </w:r>
      <w:r>
        <w:rPr>
          <w:rFonts w:cs="Arial"/>
          <w:sz w:val="18"/>
          <w:szCs w:val="18"/>
        </w:rPr>
        <w:t>e srpna 2024.</w:t>
      </w:r>
      <w:r w:rsidRPr="00B6217F">
        <w:rPr>
          <w:rFonts w:cs="Arial"/>
          <w:sz w:val="18"/>
          <w:szCs w:val="18"/>
        </w:rPr>
        <w:t xml:space="preserve"> Do výpočtu byly zahrnuty běžící a ukončené projekty</w:t>
      </w:r>
      <w:r>
        <w:rPr>
          <w:rFonts w:cs="Arial"/>
          <w:sz w:val="18"/>
          <w:szCs w:val="18"/>
        </w:rPr>
        <w:t>.</w:t>
      </w:r>
      <w:r w:rsidRPr="00B6217F">
        <w:rPr>
          <w:rFonts w:cs="Arial"/>
          <w:sz w:val="18"/>
          <w:szCs w:val="18"/>
        </w:rPr>
        <w:t xml:space="preserve"> V údajích není zahrnut příspěvek získaný účastníky, kteří se projektů účastnili jako třetí strany. </w:t>
      </w:r>
      <w:r>
        <w:rPr>
          <w:rFonts w:cs="Arial"/>
          <w:sz w:val="18"/>
          <w:szCs w:val="18"/>
        </w:rPr>
        <w:t>H</w:t>
      </w:r>
      <w:r w:rsidRPr="00B6217F">
        <w:rPr>
          <w:rFonts w:cs="Arial"/>
          <w:sz w:val="18"/>
          <w:szCs w:val="18"/>
        </w:rPr>
        <w:t>odnota indikátoru pro EU-2</w:t>
      </w:r>
      <w:r>
        <w:rPr>
          <w:rFonts w:cs="Arial"/>
          <w:sz w:val="18"/>
          <w:szCs w:val="18"/>
        </w:rPr>
        <w:t>7 činila 2</w:t>
      </w:r>
      <w:r w:rsidRPr="00B6217F">
        <w:rPr>
          <w:rFonts w:cs="Arial"/>
          <w:sz w:val="18"/>
          <w:szCs w:val="18"/>
        </w:rPr>
        <w:t>,</w:t>
      </w:r>
      <w:r>
        <w:rPr>
          <w:rFonts w:cs="Arial"/>
          <w:sz w:val="18"/>
          <w:szCs w:val="18"/>
        </w:rPr>
        <w:t>0. P</w:t>
      </w:r>
      <w:r w:rsidRPr="00B6217F">
        <w:rPr>
          <w:rFonts w:cs="Arial"/>
          <w:sz w:val="18"/>
          <w:szCs w:val="18"/>
        </w:rPr>
        <w:t xml:space="preserve">říspěvek </w:t>
      </w:r>
      <w:r>
        <w:rPr>
          <w:rFonts w:cs="Arial"/>
          <w:sz w:val="18"/>
          <w:szCs w:val="18"/>
        </w:rPr>
        <w:t xml:space="preserve">na řešení projektů </w:t>
      </w:r>
      <w:r w:rsidRPr="00B6217F">
        <w:rPr>
          <w:rFonts w:cs="Arial"/>
          <w:sz w:val="18"/>
          <w:szCs w:val="18"/>
        </w:rPr>
        <w:t>získaný týmy z ČR</w:t>
      </w:r>
      <w:r>
        <w:rPr>
          <w:rFonts w:cs="Arial"/>
          <w:sz w:val="18"/>
          <w:szCs w:val="18"/>
        </w:rPr>
        <w:t xml:space="preserve"> a EU-2 byl vztažen na hrubý domácí produkt v roce 2022.</w:t>
      </w:r>
    </w:p>
    <w:p w14:paraId="65E5E34D" w14:textId="77777777" w:rsidR="00150CEC" w:rsidRDefault="00150CEC" w:rsidP="00150CEC">
      <w:pPr>
        <w:spacing w:after="120"/>
        <w:ind w:left="284" w:hanging="284"/>
        <w:jc w:val="both"/>
        <w:rPr>
          <w:rFonts w:cs="Arial"/>
          <w:sz w:val="18"/>
          <w:szCs w:val="18"/>
        </w:rPr>
      </w:pPr>
      <w:r>
        <w:rPr>
          <w:rFonts w:cs="Arial"/>
          <w:sz w:val="18"/>
          <w:szCs w:val="18"/>
          <w:vertAlign w:val="superscript"/>
        </w:rPr>
        <w:t>7</w:t>
      </w:r>
      <w:r w:rsidRPr="00B6217F">
        <w:rPr>
          <w:rFonts w:cs="Arial"/>
          <w:sz w:val="18"/>
          <w:szCs w:val="18"/>
        </w:rPr>
        <w:tab/>
        <w:t xml:space="preserve">Hodnota </w:t>
      </w:r>
      <w:r>
        <w:rPr>
          <w:rFonts w:cs="Arial"/>
          <w:sz w:val="18"/>
          <w:szCs w:val="18"/>
        </w:rPr>
        <w:t xml:space="preserve">indikátoru pro program H2020 </w:t>
      </w:r>
      <w:r w:rsidRPr="00B6217F">
        <w:rPr>
          <w:rFonts w:cs="Arial"/>
          <w:sz w:val="18"/>
          <w:szCs w:val="18"/>
        </w:rPr>
        <w:t xml:space="preserve">byla stanovena z údajů v databázi </w:t>
      </w:r>
      <w:proofErr w:type="spellStart"/>
      <w:r w:rsidRPr="00B6217F">
        <w:rPr>
          <w:rFonts w:cs="Arial"/>
          <w:sz w:val="18"/>
          <w:szCs w:val="18"/>
        </w:rPr>
        <w:t>eCORDA</w:t>
      </w:r>
      <w:proofErr w:type="spellEnd"/>
      <w:r w:rsidRPr="00B6217F">
        <w:rPr>
          <w:rFonts w:cs="Arial"/>
          <w:sz w:val="18"/>
          <w:szCs w:val="18"/>
        </w:rPr>
        <w:t xml:space="preserve"> z</w:t>
      </w:r>
      <w:r>
        <w:rPr>
          <w:rFonts w:cs="Arial"/>
          <w:sz w:val="18"/>
          <w:szCs w:val="18"/>
        </w:rPr>
        <w:t> konce roku 2022.</w:t>
      </w:r>
      <w:r w:rsidRPr="00B6217F">
        <w:rPr>
          <w:rFonts w:cs="Arial"/>
          <w:sz w:val="18"/>
          <w:szCs w:val="18"/>
        </w:rPr>
        <w:t xml:space="preserve"> Do</w:t>
      </w:r>
      <w:r>
        <w:rPr>
          <w:rFonts w:cs="Arial"/>
          <w:sz w:val="18"/>
          <w:szCs w:val="18"/>
        </w:rPr>
        <w:t> </w:t>
      </w:r>
      <w:r w:rsidRPr="00B6217F">
        <w:rPr>
          <w:rFonts w:cs="Arial"/>
          <w:sz w:val="18"/>
          <w:szCs w:val="18"/>
        </w:rPr>
        <w:t xml:space="preserve">výpočtu byly zahrnuty běžící a ukončené projekty. </w:t>
      </w:r>
      <w:r>
        <w:rPr>
          <w:rFonts w:cs="Arial"/>
          <w:sz w:val="18"/>
          <w:szCs w:val="18"/>
        </w:rPr>
        <w:t>H</w:t>
      </w:r>
      <w:r w:rsidRPr="00B6217F">
        <w:rPr>
          <w:rFonts w:cs="Arial"/>
          <w:sz w:val="18"/>
          <w:szCs w:val="18"/>
        </w:rPr>
        <w:t>odnota indikátoru pro EU-28</w:t>
      </w:r>
      <w:r>
        <w:rPr>
          <w:rFonts w:cs="Arial"/>
          <w:sz w:val="18"/>
          <w:szCs w:val="18"/>
        </w:rPr>
        <w:t xml:space="preserve"> (EU-27 a Spojené království) činila 6,7. Počty grantů pro ČR a EU-28 jsou vztaženy na počet výzkumníků ve vládním a VŠ sektoru ve FTE v roce 2019</w:t>
      </w:r>
      <w:r w:rsidRPr="00B6217F">
        <w:rPr>
          <w:rFonts w:cs="Arial"/>
          <w:sz w:val="18"/>
          <w:szCs w:val="18"/>
        </w:rPr>
        <w:t>.</w:t>
      </w:r>
    </w:p>
    <w:p w14:paraId="3F4DEFF1" w14:textId="77777777" w:rsidR="00150CEC" w:rsidRDefault="00150CEC" w:rsidP="00150CEC">
      <w:pPr>
        <w:spacing w:after="120"/>
        <w:ind w:left="284" w:hanging="284"/>
        <w:jc w:val="both"/>
        <w:rPr>
          <w:rFonts w:cs="Arial"/>
          <w:sz w:val="18"/>
          <w:szCs w:val="18"/>
        </w:rPr>
      </w:pPr>
      <w:r w:rsidRPr="00085101">
        <w:rPr>
          <w:rFonts w:cs="Arial"/>
          <w:sz w:val="18"/>
          <w:szCs w:val="18"/>
          <w:vertAlign w:val="superscript"/>
        </w:rPr>
        <w:t>8</w:t>
      </w:r>
      <w:r w:rsidRPr="00085101">
        <w:rPr>
          <w:rFonts w:cs="Arial"/>
          <w:sz w:val="18"/>
          <w:szCs w:val="18"/>
          <w:vertAlign w:val="superscript"/>
        </w:rPr>
        <w:tab/>
      </w:r>
      <w:r w:rsidRPr="00B6217F">
        <w:rPr>
          <w:rFonts w:cs="Arial"/>
          <w:sz w:val="18"/>
          <w:szCs w:val="18"/>
        </w:rPr>
        <w:t xml:space="preserve">Hodnota </w:t>
      </w:r>
      <w:r>
        <w:rPr>
          <w:rFonts w:cs="Arial"/>
          <w:sz w:val="18"/>
          <w:szCs w:val="18"/>
        </w:rPr>
        <w:t xml:space="preserve">indikátoru pro dosavadní průběh programu HE </w:t>
      </w:r>
      <w:r w:rsidRPr="00B6217F">
        <w:rPr>
          <w:rFonts w:cs="Arial"/>
          <w:sz w:val="18"/>
          <w:szCs w:val="18"/>
        </w:rPr>
        <w:t xml:space="preserve">byla stanovena z údajů v databázi </w:t>
      </w:r>
      <w:proofErr w:type="spellStart"/>
      <w:r w:rsidRPr="00B6217F">
        <w:rPr>
          <w:rFonts w:cs="Arial"/>
          <w:sz w:val="18"/>
          <w:szCs w:val="18"/>
        </w:rPr>
        <w:t>eCORDA</w:t>
      </w:r>
      <w:proofErr w:type="spellEnd"/>
      <w:r w:rsidRPr="00B6217F">
        <w:rPr>
          <w:rFonts w:cs="Arial"/>
          <w:sz w:val="18"/>
          <w:szCs w:val="18"/>
        </w:rPr>
        <w:t xml:space="preserve"> z</w:t>
      </w:r>
      <w:r>
        <w:rPr>
          <w:rFonts w:cs="Arial"/>
          <w:sz w:val="18"/>
          <w:szCs w:val="18"/>
        </w:rPr>
        <w:t>e srpna 2024.</w:t>
      </w:r>
      <w:r w:rsidRPr="00B6217F">
        <w:rPr>
          <w:rFonts w:cs="Arial"/>
          <w:sz w:val="18"/>
          <w:szCs w:val="18"/>
        </w:rPr>
        <w:t xml:space="preserve"> Do výpočtu byly zahrnuty běžící a ukončené projekty. </w:t>
      </w:r>
      <w:r>
        <w:rPr>
          <w:rFonts w:cs="Arial"/>
          <w:sz w:val="18"/>
          <w:szCs w:val="18"/>
        </w:rPr>
        <w:t>H</w:t>
      </w:r>
      <w:r w:rsidRPr="00B6217F">
        <w:rPr>
          <w:rFonts w:cs="Arial"/>
          <w:sz w:val="18"/>
          <w:szCs w:val="18"/>
        </w:rPr>
        <w:t xml:space="preserve">odnota indikátoru pro </w:t>
      </w:r>
      <w:r>
        <w:rPr>
          <w:rFonts w:cs="Arial"/>
          <w:sz w:val="18"/>
          <w:szCs w:val="18"/>
        </w:rPr>
        <w:t>EU-27 činila 3,6. Počty grantů pro ČR a EU-27 jsou vztaženy na počet výzkumníků ve vládním a VŠ sektoru ve FTE v roce 2022</w:t>
      </w:r>
      <w:r w:rsidRPr="00B6217F">
        <w:rPr>
          <w:rFonts w:cs="Arial"/>
          <w:sz w:val="18"/>
          <w:szCs w:val="18"/>
        </w:rPr>
        <w:t>.</w:t>
      </w:r>
    </w:p>
    <w:p w14:paraId="2BFACAC4" w14:textId="77777777" w:rsidR="00150CEC" w:rsidRPr="00496E3A" w:rsidRDefault="00150CEC" w:rsidP="00150CEC">
      <w:pPr>
        <w:spacing w:after="120"/>
        <w:ind w:left="284" w:hanging="284"/>
        <w:jc w:val="both"/>
        <w:rPr>
          <w:rFonts w:cs="Arial"/>
          <w:sz w:val="18"/>
          <w:szCs w:val="18"/>
        </w:rPr>
      </w:pPr>
      <w:r>
        <w:rPr>
          <w:rFonts w:cs="Arial"/>
          <w:sz w:val="18"/>
          <w:szCs w:val="18"/>
          <w:vertAlign w:val="superscript"/>
        </w:rPr>
        <w:t>9</w:t>
      </w:r>
      <w:r>
        <w:rPr>
          <w:rFonts w:cs="Arial"/>
          <w:sz w:val="18"/>
          <w:szCs w:val="18"/>
        </w:rPr>
        <w:tab/>
        <w:t xml:space="preserve">Název indikátoru je upraven v souladu s názvem používaným v databázi </w:t>
      </w:r>
      <w:proofErr w:type="spellStart"/>
      <w:r>
        <w:rPr>
          <w:rFonts w:cs="Arial"/>
          <w:sz w:val="18"/>
          <w:szCs w:val="18"/>
        </w:rPr>
        <w:t>Eurostat</w:t>
      </w:r>
      <w:proofErr w:type="spellEnd"/>
      <w:r>
        <w:rPr>
          <w:rFonts w:cs="Arial"/>
          <w:sz w:val="18"/>
          <w:szCs w:val="18"/>
        </w:rPr>
        <w:t>. Zároveň byla podle údajů z </w:t>
      </w:r>
      <w:proofErr w:type="spellStart"/>
      <w:r>
        <w:rPr>
          <w:rFonts w:cs="Arial"/>
          <w:sz w:val="18"/>
          <w:szCs w:val="18"/>
        </w:rPr>
        <w:t>Eurostatu</w:t>
      </w:r>
      <w:proofErr w:type="spellEnd"/>
      <w:r>
        <w:rPr>
          <w:rFonts w:cs="Arial"/>
          <w:sz w:val="18"/>
          <w:szCs w:val="18"/>
        </w:rPr>
        <w:t xml:space="preserve"> upravena výchozí hodnota indikátoru z roku 2016.</w:t>
      </w:r>
    </w:p>
    <w:p w14:paraId="0217C747" w14:textId="188CE971" w:rsidR="00150CEC" w:rsidRDefault="00150CEC" w:rsidP="00150CEC">
      <w:pPr>
        <w:spacing w:after="120"/>
        <w:ind w:left="284" w:hanging="284"/>
        <w:jc w:val="both"/>
      </w:pPr>
      <w:r>
        <w:rPr>
          <w:rFonts w:cs="Arial"/>
          <w:sz w:val="18"/>
          <w:szCs w:val="18"/>
          <w:vertAlign w:val="superscript"/>
        </w:rPr>
        <w:t>10</w:t>
      </w:r>
      <w:r w:rsidRPr="00B6217F">
        <w:rPr>
          <w:rFonts w:cs="Arial"/>
          <w:sz w:val="18"/>
          <w:szCs w:val="18"/>
        </w:rPr>
        <w:tab/>
        <w:t xml:space="preserve">Údaje byly převzaty ze zpráv Invest </w:t>
      </w:r>
      <w:proofErr w:type="spellStart"/>
      <w:r w:rsidRPr="00B6217F">
        <w:rPr>
          <w:rFonts w:cs="Arial"/>
          <w:sz w:val="18"/>
          <w:szCs w:val="18"/>
        </w:rPr>
        <w:t>Europe</w:t>
      </w:r>
      <w:proofErr w:type="spellEnd"/>
      <w:r w:rsidRPr="00B6217F">
        <w:rPr>
          <w:rFonts w:cs="Arial"/>
          <w:sz w:val="18"/>
          <w:szCs w:val="18"/>
        </w:rPr>
        <w:t xml:space="preserve"> z června 202</w:t>
      </w:r>
      <w:r>
        <w:rPr>
          <w:rFonts w:cs="Arial"/>
          <w:sz w:val="18"/>
          <w:szCs w:val="18"/>
        </w:rPr>
        <w:t>4</w:t>
      </w:r>
      <w:r w:rsidRPr="00B6217F">
        <w:rPr>
          <w:rFonts w:cs="Arial"/>
          <w:sz w:val="18"/>
          <w:szCs w:val="18"/>
        </w:rPr>
        <w:t>. Za early-</w:t>
      </w:r>
      <w:proofErr w:type="spellStart"/>
      <w:r w:rsidRPr="00B6217F">
        <w:rPr>
          <w:rFonts w:cs="Arial"/>
          <w:sz w:val="18"/>
          <w:szCs w:val="18"/>
        </w:rPr>
        <w:t>stage</w:t>
      </w:r>
      <w:proofErr w:type="spellEnd"/>
      <w:r w:rsidRPr="00B6217F">
        <w:rPr>
          <w:rFonts w:cs="Arial"/>
          <w:sz w:val="18"/>
          <w:szCs w:val="18"/>
        </w:rPr>
        <w:t xml:space="preserve"> investice byly považovány </w:t>
      </w:r>
      <w:r>
        <w:rPr>
          <w:rFonts w:cs="Arial"/>
          <w:sz w:val="18"/>
          <w:szCs w:val="18"/>
        </w:rPr>
        <w:t>„</w:t>
      </w:r>
      <w:proofErr w:type="spellStart"/>
      <w:r w:rsidRPr="00B6217F">
        <w:rPr>
          <w:rFonts w:cs="Arial"/>
          <w:sz w:val="18"/>
          <w:szCs w:val="18"/>
        </w:rPr>
        <w:t>seed</w:t>
      </w:r>
      <w:proofErr w:type="spellEnd"/>
      <w:r>
        <w:rPr>
          <w:rFonts w:cs="Arial"/>
          <w:sz w:val="18"/>
          <w:szCs w:val="18"/>
        </w:rPr>
        <w:t>“</w:t>
      </w:r>
      <w:r w:rsidRPr="00B6217F">
        <w:rPr>
          <w:rFonts w:cs="Arial"/>
          <w:sz w:val="18"/>
          <w:szCs w:val="18"/>
        </w:rPr>
        <w:t xml:space="preserve"> a</w:t>
      </w:r>
      <w:r>
        <w:rPr>
          <w:rFonts w:cs="Arial"/>
          <w:sz w:val="18"/>
          <w:szCs w:val="18"/>
        </w:rPr>
        <w:t> „</w:t>
      </w:r>
      <w:r w:rsidRPr="00B6217F">
        <w:rPr>
          <w:rFonts w:cs="Arial"/>
          <w:sz w:val="18"/>
          <w:szCs w:val="18"/>
        </w:rPr>
        <w:t>start-up</w:t>
      </w:r>
      <w:r>
        <w:rPr>
          <w:rFonts w:cs="Arial"/>
          <w:sz w:val="18"/>
          <w:szCs w:val="18"/>
        </w:rPr>
        <w:t>“</w:t>
      </w:r>
      <w:r w:rsidRPr="00B6217F">
        <w:rPr>
          <w:rFonts w:cs="Arial"/>
          <w:sz w:val="18"/>
          <w:szCs w:val="18"/>
        </w:rPr>
        <w:t xml:space="preserve"> investice</w:t>
      </w:r>
      <w:r>
        <w:rPr>
          <w:rFonts w:cs="Arial"/>
          <w:sz w:val="18"/>
          <w:szCs w:val="18"/>
        </w:rPr>
        <w:t>.</w:t>
      </w:r>
      <w:r w:rsidRPr="00637E01">
        <w:rPr>
          <w:rFonts w:cs="Arial"/>
          <w:sz w:val="18"/>
          <w:szCs w:val="18"/>
        </w:rPr>
        <w:tab/>
      </w:r>
    </w:p>
    <w:p w14:paraId="13006BC8" w14:textId="77777777" w:rsidR="00BF5BAE" w:rsidRDefault="00BF5BAE" w:rsidP="00FD145F">
      <w:pPr>
        <w:spacing w:before="60" w:after="60"/>
        <w:ind w:left="425" w:hanging="425"/>
        <w:jc w:val="both"/>
        <w:rPr>
          <w:rFonts w:cs="Arial"/>
          <w:sz w:val="18"/>
          <w:szCs w:val="18"/>
          <w:highlight w:val="yellow"/>
        </w:rPr>
      </w:pPr>
    </w:p>
    <w:p w14:paraId="5EF624FE" w14:textId="5AB9550B" w:rsidR="009A4B85" w:rsidRPr="00ED79BC" w:rsidRDefault="009A4B85" w:rsidP="00FD145F">
      <w:pPr>
        <w:spacing w:before="60" w:after="60"/>
        <w:ind w:left="425" w:hanging="425"/>
        <w:jc w:val="both"/>
        <w:rPr>
          <w:rFonts w:cs="Arial"/>
          <w:sz w:val="18"/>
          <w:szCs w:val="18"/>
          <w:highlight w:val="yellow"/>
        </w:rPr>
      </w:pPr>
      <w:r w:rsidRPr="00ED79BC">
        <w:rPr>
          <w:rFonts w:cs="Arial"/>
          <w:sz w:val="18"/>
          <w:szCs w:val="18"/>
          <w:highlight w:val="yellow"/>
        </w:rPr>
        <w:br w:type="page"/>
      </w:r>
    </w:p>
    <w:p w14:paraId="23F6126C" w14:textId="32950E1F" w:rsidR="000C39F7" w:rsidRPr="00B41F10" w:rsidRDefault="00D7788A" w:rsidP="008A7C6F">
      <w:pPr>
        <w:pStyle w:val="Plohanadpis"/>
      </w:pPr>
      <w:bookmarkStart w:id="56" w:name="_Toc87340802"/>
      <w:bookmarkStart w:id="57" w:name="_Toc215589322"/>
      <w:r w:rsidRPr="00B41F10">
        <w:lastRenderedPageBreak/>
        <w:t>P.</w:t>
      </w:r>
      <w:r w:rsidR="005011E3" w:rsidRPr="00B41F10">
        <w:t xml:space="preserve"> </w:t>
      </w:r>
      <w:r w:rsidRPr="00B41F10">
        <w:t xml:space="preserve">2 </w:t>
      </w:r>
      <w:r w:rsidR="00A67D78" w:rsidRPr="00B41F10">
        <w:t>Vybrané d</w:t>
      </w:r>
      <w:r w:rsidR="000C39F7" w:rsidRPr="00B41F10">
        <w:t xml:space="preserve">atové zdroje ve </w:t>
      </w:r>
      <w:bookmarkEnd w:id="56"/>
      <w:proofErr w:type="spellStart"/>
      <w:r w:rsidR="00D05DDA">
        <w:t>VaVaI</w:t>
      </w:r>
      <w:bookmarkEnd w:id="57"/>
      <w:proofErr w:type="spellEnd"/>
    </w:p>
    <w:p w14:paraId="7C34F9D6" w14:textId="77777777" w:rsidR="00A02BDB" w:rsidRPr="00B41F10" w:rsidRDefault="00A02BDB" w:rsidP="00A02BDB">
      <w:pPr>
        <w:keepNext/>
        <w:pBdr>
          <w:top w:val="nil"/>
          <w:left w:val="nil"/>
          <w:bottom w:val="nil"/>
          <w:right w:val="nil"/>
          <w:between w:val="nil"/>
        </w:pBdr>
        <w:spacing w:before="120" w:after="240" w:line="240" w:lineRule="auto"/>
        <w:jc w:val="both"/>
        <w:rPr>
          <w:rFonts w:eastAsia="Arial" w:cs="Arial"/>
          <w:b/>
          <w:color w:val="000000"/>
        </w:rPr>
      </w:pPr>
      <w:r w:rsidRPr="00B41F10">
        <w:rPr>
          <w:rFonts w:eastAsia="Arial" w:cs="Arial"/>
          <w:b/>
          <w:color w:val="000000"/>
        </w:rPr>
        <w:t>Tabulka P.</w:t>
      </w:r>
      <w:r w:rsidRPr="00B41F10">
        <w:rPr>
          <w:rFonts w:eastAsia="Arial" w:cs="Arial"/>
          <w:b/>
        </w:rPr>
        <w:t>2</w:t>
      </w:r>
      <w:r w:rsidRPr="00B41F10">
        <w:rPr>
          <w:rFonts w:eastAsia="Arial" w:cs="Arial"/>
          <w:b/>
          <w:color w:val="000000"/>
        </w:rPr>
        <w:t xml:space="preserve">: Datové zdroje </w:t>
      </w:r>
      <w:proofErr w:type="spellStart"/>
      <w:r w:rsidRPr="00B41F10">
        <w:rPr>
          <w:rFonts w:eastAsia="Arial" w:cs="Arial"/>
          <w:b/>
          <w:color w:val="000000"/>
        </w:rPr>
        <w:t>VaVaI</w:t>
      </w:r>
      <w:proofErr w:type="spellEnd"/>
    </w:p>
    <w:tbl>
      <w:tblPr>
        <w:tblW w:w="9210" w:type="dxa"/>
        <w:jc w:val="center"/>
        <w:tblLayout w:type="fixed"/>
        <w:tblLook w:val="0400" w:firstRow="0" w:lastRow="0" w:firstColumn="0" w:lastColumn="0" w:noHBand="0" w:noVBand="1"/>
      </w:tblPr>
      <w:tblGrid>
        <w:gridCol w:w="398"/>
        <w:gridCol w:w="948"/>
        <w:gridCol w:w="733"/>
        <w:gridCol w:w="1535"/>
        <w:gridCol w:w="5596"/>
      </w:tblGrid>
      <w:tr w:rsidR="0021475A" w:rsidRPr="00B41F10" w14:paraId="3FD6D033" w14:textId="77777777" w:rsidTr="00EC7ED5">
        <w:trPr>
          <w:trHeight w:val="280"/>
          <w:tblHeader/>
          <w:jc w:val="center"/>
        </w:trPr>
        <w:tc>
          <w:tcPr>
            <w:tcW w:w="398" w:type="dxa"/>
            <w:tcBorders>
              <w:top w:val="nil"/>
              <w:left w:val="nil"/>
              <w:bottom w:val="nil"/>
              <w:right w:val="nil"/>
            </w:tcBorders>
            <w:vAlign w:val="center"/>
          </w:tcPr>
          <w:p w14:paraId="2791CD52" w14:textId="77777777" w:rsidR="0021475A" w:rsidRPr="00B41F10" w:rsidRDefault="0021475A" w:rsidP="0090442B">
            <w:pPr>
              <w:spacing w:after="0" w:line="240" w:lineRule="auto"/>
              <w:rPr>
                <w:rFonts w:eastAsia="Arial" w:cs="Arial"/>
                <w:color w:val="000000"/>
                <w:sz w:val="17"/>
                <w:szCs w:val="17"/>
              </w:rPr>
            </w:pPr>
          </w:p>
        </w:tc>
        <w:tc>
          <w:tcPr>
            <w:tcW w:w="948" w:type="dxa"/>
            <w:tcBorders>
              <w:top w:val="nil"/>
              <w:left w:val="nil"/>
              <w:bottom w:val="single" w:sz="8" w:space="0" w:color="000000"/>
              <w:right w:val="single" w:sz="8" w:space="0" w:color="000000"/>
            </w:tcBorders>
            <w:vAlign w:val="center"/>
          </w:tcPr>
          <w:p w14:paraId="1F7E7837" w14:textId="77777777" w:rsidR="0021475A" w:rsidRPr="00B41F10" w:rsidRDefault="0021475A" w:rsidP="0090442B">
            <w:pPr>
              <w:spacing w:after="0" w:line="240" w:lineRule="auto"/>
              <w:jc w:val="center"/>
              <w:rPr>
                <w:rFonts w:eastAsia="Arial" w:cs="Arial"/>
                <w:b/>
                <w:color w:val="000000"/>
                <w:sz w:val="17"/>
                <w:szCs w:val="17"/>
              </w:rPr>
            </w:pPr>
            <w:r w:rsidRPr="00B41F10">
              <w:rPr>
                <w:rFonts w:eastAsia="Arial" w:cs="Arial"/>
                <w:b/>
                <w:color w:val="000000"/>
                <w:sz w:val="17"/>
                <w:szCs w:val="17"/>
              </w:rPr>
              <w:t> </w:t>
            </w:r>
          </w:p>
        </w:tc>
        <w:tc>
          <w:tcPr>
            <w:tcW w:w="2268" w:type="dxa"/>
            <w:gridSpan w:val="2"/>
            <w:tcBorders>
              <w:top w:val="single" w:sz="8" w:space="0" w:color="000000"/>
              <w:left w:val="nil"/>
              <w:bottom w:val="single" w:sz="8" w:space="0" w:color="000000"/>
              <w:right w:val="single" w:sz="8" w:space="0" w:color="000000"/>
            </w:tcBorders>
            <w:vAlign w:val="center"/>
          </w:tcPr>
          <w:p w14:paraId="51D69D03" w14:textId="77777777" w:rsidR="0021475A" w:rsidRPr="00B41F10" w:rsidRDefault="0021475A" w:rsidP="0090442B">
            <w:pPr>
              <w:spacing w:after="0" w:line="240" w:lineRule="auto"/>
              <w:jc w:val="center"/>
              <w:rPr>
                <w:rFonts w:eastAsia="Arial" w:cs="Arial"/>
                <w:b/>
                <w:color w:val="000000"/>
                <w:sz w:val="17"/>
                <w:szCs w:val="17"/>
              </w:rPr>
            </w:pPr>
            <w:r w:rsidRPr="00B41F10">
              <w:rPr>
                <w:rFonts w:eastAsia="Arial" w:cs="Arial"/>
                <w:b/>
                <w:color w:val="000000"/>
                <w:sz w:val="17"/>
                <w:szCs w:val="17"/>
              </w:rPr>
              <w:t>Data</w:t>
            </w:r>
          </w:p>
        </w:tc>
        <w:tc>
          <w:tcPr>
            <w:tcW w:w="5596" w:type="dxa"/>
            <w:tcBorders>
              <w:top w:val="single" w:sz="8" w:space="0" w:color="000000"/>
              <w:left w:val="nil"/>
              <w:bottom w:val="single" w:sz="8" w:space="0" w:color="000000"/>
              <w:right w:val="single" w:sz="8" w:space="0" w:color="000000"/>
            </w:tcBorders>
            <w:vAlign w:val="center"/>
          </w:tcPr>
          <w:p w14:paraId="31525D6C" w14:textId="77777777" w:rsidR="0021475A" w:rsidRPr="00B41F10" w:rsidRDefault="0021475A" w:rsidP="0090442B">
            <w:pPr>
              <w:spacing w:after="0" w:line="240" w:lineRule="auto"/>
              <w:jc w:val="center"/>
              <w:rPr>
                <w:rFonts w:eastAsia="Arial" w:cs="Arial"/>
                <w:b/>
                <w:color w:val="000000"/>
                <w:sz w:val="17"/>
                <w:szCs w:val="17"/>
              </w:rPr>
            </w:pPr>
            <w:r w:rsidRPr="00B41F10">
              <w:rPr>
                <w:rFonts w:eastAsia="Arial" w:cs="Arial"/>
                <w:b/>
                <w:color w:val="000000"/>
                <w:sz w:val="17"/>
                <w:szCs w:val="17"/>
              </w:rPr>
              <w:t>Poznámka</w:t>
            </w:r>
          </w:p>
        </w:tc>
      </w:tr>
      <w:tr w:rsidR="0021475A" w:rsidRPr="00B41F10" w14:paraId="49ED796D" w14:textId="77777777" w:rsidTr="00EC7ED5">
        <w:trPr>
          <w:trHeight w:val="460"/>
          <w:jc w:val="center"/>
        </w:trPr>
        <w:tc>
          <w:tcPr>
            <w:tcW w:w="398" w:type="dxa"/>
            <w:vMerge w:val="restart"/>
            <w:tcBorders>
              <w:top w:val="single" w:sz="8" w:space="0" w:color="000000"/>
              <w:left w:val="single" w:sz="8" w:space="0" w:color="000000"/>
              <w:bottom w:val="single" w:sz="8" w:space="0" w:color="000000"/>
              <w:right w:val="single" w:sz="8" w:space="0" w:color="000000"/>
            </w:tcBorders>
            <w:textDirection w:val="btLr"/>
            <w:vAlign w:val="center"/>
          </w:tcPr>
          <w:p w14:paraId="2EFE17CF" w14:textId="77777777" w:rsidR="0021475A" w:rsidRPr="00B41F10" w:rsidRDefault="0021475A" w:rsidP="0090442B">
            <w:pPr>
              <w:spacing w:after="0" w:line="240" w:lineRule="auto"/>
              <w:ind w:left="113" w:right="113"/>
              <w:jc w:val="center"/>
              <w:rPr>
                <w:rFonts w:eastAsia="Arial" w:cs="Arial"/>
                <w:color w:val="000000"/>
                <w:sz w:val="17"/>
                <w:szCs w:val="17"/>
              </w:rPr>
            </w:pPr>
            <w:r w:rsidRPr="00B41F10">
              <w:rPr>
                <w:rFonts w:eastAsia="Arial" w:cs="Arial"/>
                <w:color w:val="000000"/>
                <w:sz w:val="17"/>
                <w:szCs w:val="17"/>
              </w:rPr>
              <w:t>NÁRODNÍ</w:t>
            </w:r>
          </w:p>
        </w:tc>
        <w:tc>
          <w:tcPr>
            <w:tcW w:w="948" w:type="dxa"/>
            <w:vMerge w:val="restart"/>
            <w:tcBorders>
              <w:top w:val="nil"/>
              <w:left w:val="single" w:sz="8" w:space="0" w:color="000000"/>
              <w:bottom w:val="single" w:sz="8" w:space="0" w:color="000000"/>
              <w:right w:val="single" w:sz="8" w:space="0" w:color="000000"/>
            </w:tcBorders>
            <w:vAlign w:val="center"/>
          </w:tcPr>
          <w:p w14:paraId="20B358E8" w14:textId="4E793415"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RVVI</w:t>
            </w:r>
            <w:r w:rsidR="00A86023">
              <w:rPr>
                <w:rFonts w:eastAsia="Arial" w:cs="Arial"/>
                <w:color w:val="000000"/>
                <w:sz w:val="17"/>
                <w:szCs w:val="17"/>
              </w:rPr>
              <w:t xml:space="preserve"> </w:t>
            </w:r>
            <w:r w:rsidRPr="00B41F10">
              <w:rPr>
                <w:rFonts w:eastAsia="Arial" w:cs="Arial"/>
                <w:color w:val="000000"/>
                <w:sz w:val="17"/>
                <w:szCs w:val="17"/>
              </w:rPr>
              <w:t>/</w:t>
            </w:r>
          </w:p>
          <w:p w14:paraId="1B666CFD"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ÚV ČR</w:t>
            </w:r>
          </w:p>
        </w:tc>
        <w:tc>
          <w:tcPr>
            <w:tcW w:w="733" w:type="dxa"/>
            <w:vMerge w:val="restart"/>
            <w:tcBorders>
              <w:top w:val="nil"/>
              <w:left w:val="single" w:sz="8" w:space="0" w:color="000000"/>
              <w:bottom w:val="single" w:sz="8" w:space="0" w:color="000000"/>
              <w:right w:val="single" w:sz="8" w:space="0" w:color="000000"/>
            </w:tcBorders>
            <w:vAlign w:val="center"/>
          </w:tcPr>
          <w:p w14:paraId="436FDBEF"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 xml:space="preserve">IS </w:t>
            </w:r>
            <w:proofErr w:type="spellStart"/>
            <w:r w:rsidRPr="00B41F10">
              <w:rPr>
                <w:rFonts w:eastAsia="Arial" w:cs="Arial"/>
                <w:color w:val="000000"/>
                <w:sz w:val="17"/>
                <w:szCs w:val="17"/>
              </w:rPr>
              <w:t>VaVaI</w:t>
            </w:r>
            <w:proofErr w:type="spellEnd"/>
          </w:p>
        </w:tc>
        <w:tc>
          <w:tcPr>
            <w:tcW w:w="1535" w:type="dxa"/>
            <w:tcBorders>
              <w:top w:val="nil"/>
              <w:left w:val="nil"/>
              <w:bottom w:val="single" w:sz="8" w:space="0" w:color="000000"/>
              <w:right w:val="single" w:sz="8" w:space="0" w:color="000000"/>
            </w:tcBorders>
            <w:vAlign w:val="center"/>
          </w:tcPr>
          <w:p w14:paraId="3555383E"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CEA</w:t>
            </w:r>
          </w:p>
        </w:tc>
        <w:tc>
          <w:tcPr>
            <w:tcW w:w="5596" w:type="dxa"/>
            <w:tcBorders>
              <w:top w:val="nil"/>
              <w:left w:val="nil"/>
              <w:bottom w:val="single" w:sz="8" w:space="0" w:color="000000"/>
              <w:right w:val="single" w:sz="8" w:space="0" w:color="000000"/>
            </w:tcBorders>
            <w:vAlign w:val="center"/>
          </w:tcPr>
          <w:p w14:paraId="215B62E4" w14:textId="77777777" w:rsidR="0021475A" w:rsidRPr="00B41F10" w:rsidRDefault="0021475A" w:rsidP="0090442B">
            <w:pPr>
              <w:spacing w:after="0" w:line="240" w:lineRule="auto"/>
              <w:jc w:val="both"/>
              <w:rPr>
                <w:rFonts w:eastAsia="Arial" w:cs="Arial"/>
                <w:color w:val="000000"/>
                <w:sz w:val="17"/>
                <w:szCs w:val="17"/>
              </w:rPr>
            </w:pPr>
            <w:r w:rsidRPr="00B41F10">
              <w:rPr>
                <w:rFonts w:eastAsia="Arial" w:cs="Arial"/>
                <w:color w:val="000000"/>
                <w:sz w:val="17"/>
                <w:szCs w:val="17"/>
              </w:rPr>
              <w:t xml:space="preserve">Informace o poskytovatelích podpory </w:t>
            </w:r>
            <w:proofErr w:type="spellStart"/>
            <w:r w:rsidRPr="00B41F10">
              <w:rPr>
                <w:rFonts w:eastAsia="Arial" w:cs="Arial"/>
                <w:color w:val="000000"/>
                <w:sz w:val="17"/>
                <w:szCs w:val="17"/>
              </w:rPr>
              <w:t>VaVaI</w:t>
            </w:r>
            <w:proofErr w:type="spellEnd"/>
            <w:r w:rsidRPr="00B41F10">
              <w:rPr>
                <w:rFonts w:eastAsia="Arial" w:cs="Arial"/>
                <w:color w:val="000000"/>
                <w:sz w:val="17"/>
                <w:szCs w:val="17"/>
              </w:rPr>
              <w:t xml:space="preserve">, o programech </w:t>
            </w:r>
            <w:proofErr w:type="spellStart"/>
            <w:r w:rsidRPr="00B41F10">
              <w:rPr>
                <w:rFonts w:eastAsia="Arial" w:cs="Arial"/>
                <w:color w:val="000000"/>
                <w:sz w:val="17"/>
                <w:szCs w:val="17"/>
              </w:rPr>
              <w:t>VaVaI</w:t>
            </w:r>
            <w:proofErr w:type="spellEnd"/>
            <w:r w:rsidRPr="00B41F10">
              <w:rPr>
                <w:rFonts w:eastAsia="Arial" w:cs="Arial"/>
                <w:color w:val="000000"/>
                <w:sz w:val="17"/>
                <w:szCs w:val="17"/>
              </w:rPr>
              <w:t xml:space="preserve"> </w:t>
            </w:r>
            <w:r w:rsidRPr="00B41F10">
              <w:rPr>
                <w:rFonts w:eastAsia="Arial" w:cs="Arial"/>
                <w:color w:val="000000"/>
                <w:sz w:val="17"/>
                <w:szCs w:val="17"/>
              </w:rPr>
              <w:br/>
              <w:t xml:space="preserve">a subjektech ve </w:t>
            </w:r>
            <w:proofErr w:type="spellStart"/>
            <w:r w:rsidRPr="00B41F10">
              <w:rPr>
                <w:rFonts w:eastAsia="Arial" w:cs="Arial"/>
                <w:color w:val="000000"/>
                <w:sz w:val="17"/>
                <w:szCs w:val="17"/>
              </w:rPr>
              <w:t>VaVaI</w:t>
            </w:r>
            <w:proofErr w:type="spellEnd"/>
            <w:r w:rsidRPr="00B41F10">
              <w:rPr>
                <w:rFonts w:eastAsia="Arial" w:cs="Arial"/>
                <w:color w:val="000000"/>
                <w:sz w:val="17"/>
                <w:szCs w:val="17"/>
              </w:rPr>
              <w:t xml:space="preserve"> (od roku 2010)</w:t>
            </w:r>
          </w:p>
        </w:tc>
      </w:tr>
      <w:tr w:rsidR="0021475A" w:rsidRPr="00B41F10" w14:paraId="22C6D439" w14:textId="77777777" w:rsidTr="00EC7ED5">
        <w:trPr>
          <w:trHeight w:val="280"/>
          <w:jc w:val="center"/>
        </w:trPr>
        <w:tc>
          <w:tcPr>
            <w:tcW w:w="398" w:type="dxa"/>
            <w:vMerge/>
            <w:tcBorders>
              <w:top w:val="single" w:sz="8" w:space="0" w:color="000000"/>
              <w:left w:val="single" w:sz="8" w:space="0" w:color="000000"/>
              <w:bottom w:val="single" w:sz="8" w:space="0" w:color="000000"/>
              <w:right w:val="single" w:sz="8" w:space="0" w:color="000000"/>
            </w:tcBorders>
            <w:vAlign w:val="center"/>
          </w:tcPr>
          <w:p w14:paraId="36583812"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948" w:type="dxa"/>
            <w:vMerge/>
            <w:tcBorders>
              <w:top w:val="nil"/>
              <w:left w:val="single" w:sz="8" w:space="0" w:color="000000"/>
              <w:bottom w:val="single" w:sz="8" w:space="0" w:color="000000"/>
              <w:right w:val="single" w:sz="8" w:space="0" w:color="000000"/>
            </w:tcBorders>
            <w:vAlign w:val="center"/>
          </w:tcPr>
          <w:p w14:paraId="716BCC79"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733" w:type="dxa"/>
            <w:vMerge/>
            <w:tcBorders>
              <w:top w:val="nil"/>
              <w:left w:val="single" w:sz="8" w:space="0" w:color="000000"/>
              <w:bottom w:val="single" w:sz="8" w:space="0" w:color="000000"/>
              <w:right w:val="single" w:sz="8" w:space="0" w:color="000000"/>
            </w:tcBorders>
            <w:vAlign w:val="center"/>
          </w:tcPr>
          <w:p w14:paraId="4F90382A"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1535" w:type="dxa"/>
            <w:tcBorders>
              <w:top w:val="nil"/>
              <w:left w:val="nil"/>
              <w:bottom w:val="single" w:sz="8" w:space="0" w:color="000000"/>
              <w:right w:val="single" w:sz="8" w:space="0" w:color="000000"/>
            </w:tcBorders>
            <w:vAlign w:val="center"/>
          </w:tcPr>
          <w:p w14:paraId="6AC786FC"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VES</w:t>
            </w:r>
          </w:p>
        </w:tc>
        <w:tc>
          <w:tcPr>
            <w:tcW w:w="5596" w:type="dxa"/>
            <w:tcBorders>
              <w:top w:val="nil"/>
              <w:left w:val="nil"/>
              <w:bottom w:val="single" w:sz="8" w:space="0" w:color="000000"/>
              <w:right w:val="single" w:sz="8" w:space="0" w:color="000000"/>
            </w:tcBorders>
            <w:vAlign w:val="center"/>
          </w:tcPr>
          <w:p w14:paraId="039268B0" w14:textId="77777777" w:rsidR="0021475A" w:rsidRPr="00B41F10" w:rsidRDefault="0021475A" w:rsidP="0090442B">
            <w:pPr>
              <w:spacing w:after="0" w:line="240" w:lineRule="auto"/>
              <w:jc w:val="both"/>
              <w:rPr>
                <w:rFonts w:eastAsia="Arial" w:cs="Arial"/>
                <w:color w:val="000000"/>
                <w:sz w:val="17"/>
                <w:szCs w:val="17"/>
              </w:rPr>
            </w:pPr>
            <w:r w:rsidRPr="00B41F10">
              <w:rPr>
                <w:rFonts w:eastAsia="Arial" w:cs="Arial"/>
                <w:color w:val="000000"/>
                <w:sz w:val="17"/>
                <w:szCs w:val="17"/>
              </w:rPr>
              <w:t xml:space="preserve">Informace o veřejných soutěžích ve </w:t>
            </w:r>
            <w:proofErr w:type="spellStart"/>
            <w:r w:rsidRPr="00B41F10">
              <w:rPr>
                <w:rFonts w:eastAsia="Arial" w:cs="Arial"/>
                <w:color w:val="000000"/>
                <w:sz w:val="17"/>
                <w:szCs w:val="17"/>
              </w:rPr>
              <w:t>VaVaI</w:t>
            </w:r>
            <w:proofErr w:type="spellEnd"/>
            <w:r w:rsidRPr="00B41F10">
              <w:rPr>
                <w:rFonts w:eastAsia="Arial" w:cs="Arial"/>
                <w:color w:val="000000"/>
                <w:sz w:val="17"/>
                <w:szCs w:val="17"/>
              </w:rPr>
              <w:t xml:space="preserve"> (od roku 2000)</w:t>
            </w:r>
          </w:p>
        </w:tc>
      </w:tr>
      <w:tr w:rsidR="0021475A" w:rsidRPr="00B41F10" w14:paraId="71D166A3" w14:textId="77777777" w:rsidTr="00EC7ED5">
        <w:trPr>
          <w:trHeight w:val="280"/>
          <w:jc w:val="center"/>
        </w:trPr>
        <w:tc>
          <w:tcPr>
            <w:tcW w:w="398" w:type="dxa"/>
            <w:vMerge/>
            <w:tcBorders>
              <w:top w:val="single" w:sz="8" w:space="0" w:color="000000"/>
              <w:left w:val="single" w:sz="8" w:space="0" w:color="000000"/>
              <w:bottom w:val="single" w:sz="8" w:space="0" w:color="000000"/>
              <w:right w:val="single" w:sz="8" w:space="0" w:color="000000"/>
            </w:tcBorders>
            <w:vAlign w:val="center"/>
          </w:tcPr>
          <w:p w14:paraId="40C84F98"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948" w:type="dxa"/>
            <w:vMerge/>
            <w:tcBorders>
              <w:top w:val="nil"/>
              <w:left w:val="single" w:sz="8" w:space="0" w:color="000000"/>
              <w:bottom w:val="single" w:sz="8" w:space="0" w:color="000000"/>
              <w:right w:val="single" w:sz="8" w:space="0" w:color="000000"/>
            </w:tcBorders>
            <w:vAlign w:val="center"/>
          </w:tcPr>
          <w:p w14:paraId="5FA25F98"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733" w:type="dxa"/>
            <w:vMerge/>
            <w:tcBorders>
              <w:top w:val="nil"/>
              <w:left w:val="single" w:sz="8" w:space="0" w:color="000000"/>
              <w:bottom w:val="single" w:sz="8" w:space="0" w:color="000000"/>
              <w:right w:val="single" w:sz="8" w:space="0" w:color="000000"/>
            </w:tcBorders>
            <w:vAlign w:val="center"/>
          </w:tcPr>
          <w:p w14:paraId="733A4134"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1535" w:type="dxa"/>
            <w:tcBorders>
              <w:top w:val="nil"/>
              <w:left w:val="nil"/>
              <w:bottom w:val="single" w:sz="8" w:space="0" w:color="000000"/>
              <w:right w:val="single" w:sz="8" w:space="0" w:color="000000"/>
            </w:tcBorders>
            <w:vAlign w:val="center"/>
          </w:tcPr>
          <w:p w14:paraId="1CE452D1"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CEP</w:t>
            </w:r>
          </w:p>
        </w:tc>
        <w:tc>
          <w:tcPr>
            <w:tcW w:w="5596" w:type="dxa"/>
            <w:tcBorders>
              <w:top w:val="nil"/>
              <w:left w:val="nil"/>
              <w:bottom w:val="single" w:sz="8" w:space="0" w:color="000000"/>
              <w:right w:val="single" w:sz="8" w:space="0" w:color="000000"/>
            </w:tcBorders>
            <w:vAlign w:val="center"/>
          </w:tcPr>
          <w:p w14:paraId="7E49D731" w14:textId="77777777" w:rsidR="0021475A" w:rsidRPr="00B41F10" w:rsidRDefault="0021475A" w:rsidP="0090442B">
            <w:pPr>
              <w:spacing w:after="0" w:line="240" w:lineRule="auto"/>
              <w:jc w:val="both"/>
              <w:rPr>
                <w:rFonts w:eastAsia="Arial" w:cs="Arial"/>
                <w:color w:val="000000"/>
                <w:sz w:val="17"/>
                <w:szCs w:val="17"/>
              </w:rPr>
            </w:pPr>
            <w:r w:rsidRPr="00B41F10">
              <w:rPr>
                <w:rFonts w:eastAsia="Arial" w:cs="Arial"/>
                <w:color w:val="000000"/>
                <w:sz w:val="17"/>
                <w:szCs w:val="17"/>
              </w:rPr>
              <w:t xml:space="preserve">Informace o projektech </w:t>
            </w:r>
            <w:proofErr w:type="spellStart"/>
            <w:r w:rsidRPr="00B41F10">
              <w:rPr>
                <w:rFonts w:eastAsia="Arial" w:cs="Arial"/>
                <w:color w:val="000000"/>
                <w:sz w:val="17"/>
                <w:szCs w:val="17"/>
              </w:rPr>
              <w:t>VaVaI</w:t>
            </w:r>
            <w:proofErr w:type="spellEnd"/>
            <w:r w:rsidRPr="00B41F10">
              <w:rPr>
                <w:rFonts w:eastAsia="Arial" w:cs="Arial"/>
                <w:color w:val="000000"/>
                <w:sz w:val="17"/>
                <w:szCs w:val="17"/>
              </w:rPr>
              <w:t xml:space="preserve"> (od roku 1994)</w:t>
            </w:r>
          </w:p>
        </w:tc>
      </w:tr>
      <w:tr w:rsidR="0021475A" w:rsidRPr="00B41F10" w14:paraId="454A970A" w14:textId="77777777" w:rsidTr="00EC7ED5">
        <w:trPr>
          <w:trHeight w:val="280"/>
          <w:jc w:val="center"/>
        </w:trPr>
        <w:tc>
          <w:tcPr>
            <w:tcW w:w="398" w:type="dxa"/>
            <w:vMerge/>
            <w:tcBorders>
              <w:top w:val="single" w:sz="8" w:space="0" w:color="000000"/>
              <w:left w:val="single" w:sz="8" w:space="0" w:color="000000"/>
              <w:bottom w:val="single" w:sz="8" w:space="0" w:color="000000"/>
              <w:right w:val="single" w:sz="8" w:space="0" w:color="000000"/>
            </w:tcBorders>
            <w:vAlign w:val="center"/>
          </w:tcPr>
          <w:p w14:paraId="095B7487"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948" w:type="dxa"/>
            <w:vMerge/>
            <w:tcBorders>
              <w:top w:val="nil"/>
              <w:left w:val="single" w:sz="8" w:space="0" w:color="000000"/>
              <w:bottom w:val="single" w:sz="8" w:space="0" w:color="000000"/>
              <w:right w:val="single" w:sz="8" w:space="0" w:color="000000"/>
            </w:tcBorders>
            <w:vAlign w:val="center"/>
          </w:tcPr>
          <w:p w14:paraId="14921585"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733" w:type="dxa"/>
            <w:vMerge/>
            <w:tcBorders>
              <w:top w:val="nil"/>
              <w:left w:val="single" w:sz="8" w:space="0" w:color="000000"/>
              <w:bottom w:val="single" w:sz="8" w:space="0" w:color="000000"/>
              <w:right w:val="single" w:sz="8" w:space="0" w:color="000000"/>
            </w:tcBorders>
            <w:vAlign w:val="center"/>
          </w:tcPr>
          <w:p w14:paraId="435044D1"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1535" w:type="dxa"/>
            <w:tcBorders>
              <w:top w:val="nil"/>
              <w:left w:val="nil"/>
              <w:bottom w:val="single" w:sz="8" w:space="0" w:color="000000"/>
              <w:right w:val="single" w:sz="8" w:space="0" w:color="000000"/>
            </w:tcBorders>
            <w:vAlign w:val="center"/>
          </w:tcPr>
          <w:p w14:paraId="796CD3EC"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CEZ</w:t>
            </w:r>
          </w:p>
        </w:tc>
        <w:tc>
          <w:tcPr>
            <w:tcW w:w="5596" w:type="dxa"/>
            <w:tcBorders>
              <w:top w:val="nil"/>
              <w:left w:val="nil"/>
              <w:bottom w:val="single" w:sz="8" w:space="0" w:color="000000"/>
              <w:right w:val="single" w:sz="8" w:space="0" w:color="000000"/>
            </w:tcBorders>
            <w:vAlign w:val="center"/>
          </w:tcPr>
          <w:p w14:paraId="5F0B084F" w14:textId="77777777" w:rsidR="0021475A" w:rsidRPr="00B41F10" w:rsidRDefault="0021475A" w:rsidP="0090442B">
            <w:pPr>
              <w:spacing w:after="0" w:line="240" w:lineRule="auto"/>
              <w:jc w:val="both"/>
              <w:rPr>
                <w:rFonts w:eastAsia="Arial" w:cs="Arial"/>
                <w:color w:val="000000"/>
                <w:sz w:val="17"/>
                <w:szCs w:val="17"/>
              </w:rPr>
            </w:pPr>
            <w:r w:rsidRPr="00B41F10">
              <w:rPr>
                <w:rFonts w:eastAsia="Arial" w:cs="Arial"/>
                <w:color w:val="000000"/>
                <w:sz w:val="17"/>
                <w:szCs w:val="17"/>
              </w:rPr>
              <w:t>Informace o výzkumných záměrech (do roku 2009, nyní zakonzervovaný modul)</w:t>
            </w:r>
          </w:p>
        </w:tc>
      </w:tr>
      <w:tr w:rsidR="0021475A" w:rsidRPr="00B41F10" w14:paraId="261F0AC9" w14:textId="77777777" w:rsidTr="00EC7ED5">
        <w:trPr>
          <w:trHeight w:val="280"/>
          <w:jc w:val="center"/>
        </w:trPr>
        <w:tc>
          <w:tcPr>
            <w:tcW w:w="398" w:type="dxa"/>
            <w:vMerge/>
            <w:tcBorders>
              <w:top w:val="single" w:sz="8" w:space="0" w:color="000000"/>
              <w:left w:val="single" w:sz="8" w:space="0" w:color="000000"/>
              <w:bottom w:val="single" w:sz="8" w:space="0" w:color="000000"/>
              <w:right w:val="single" w:sz="8" w:space="0" w:color="000000"/>
            </w:tcBorders>
            <w:vAlign w:val="center"/>
          </w:tcPr>
          <w:p w14:paraId="59913A64"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948" w:type="dxa"/>
            <w:vMerge/>
            <w:tcBorders>
              <w:top w:val="nil"/>
              <w:left w:val="single" w:sz="8" w:space="0" w:color="000000"/>
              <w:bottom w:val="single" w:sz="8" w:space="0" w:color="000000"/>
              <w:right w:val="single" w:sz="8" w:space="0" w:color="000000"/>
            </w:tcBorders>
            <w:vAlign w:val="center"/>
          </w:tcPr>
          <w:p w14:paraId="3379ED6A"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733" w:type="dxa"/>
            <w:vMerge/>
            <w:tcBorders>
              <w:top w:val="nil"/>
              <w:left w:val="single" w:sz="8" w:space="0" w:color="000000"/>
              <w:bottom w:val="single" w:sz="8" w:space="0" w:color="000000"/>
              <w:right w:val="single" w:sz="8" w:space="0" w:color="000000"/>
            </w:tcBorders>
            <w:vAlign w:val="center"/>
          </w:tcPr>
          <w:p w14:paraId="6795C23D"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1535" w:type="dxa"/>
            <w:tcBorders>
              <w:top w:val="nil"/>
              <w:left w:val="nil"/>
              <w:bottom w:val="single" w:sz="8" w:space="0" w:color="000000"/>
              <w:right w:val="single" w:sz="8" w:space="0" w:color="000000"/>
            </w:tcBorders>
            <w:vAlign w:val="center"/>
          </w:tcPr>
          <w:p w14:paraId="774989FB"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RIV</w:t>
            </w:r>
          </w:p>
        </w:tc>
        <w:tc>
          <w:tcPr>
            <w:tcW w:w="5596" w:type="dxa"/>
            <w:tcBorders>
              <w:top w:val="nil"/>
              <w:left w:val="nil"/>
              <w:bottom w:val="single" w:sz="8" w:space="0" w:color="000000"/>
              <w:right w:val="single" w:sz="8" w:space="0" w:color="000000"/>
            </w:tcBorders>
            <w:vAlign w:val="center"/>
          </w:tcPr>
          <w:p w14:paraId="5B3F4AA2" w14:textId="77777777" w:rsidR="0021475A" w:rsidRPr="00B41F10" w:rsidRDefault="0021475A" w:rsidP="0090442B">
            <w:pPr>
              <w:spacing w:after="0" w:line="240" w:lineRule="auto"/>
              <w:jc w:val="both"/>
              <w:rPr>
                <w:rFonts w:eastAsia="Arial" w:cs="Arial"/>
                <w:color w:val="000000"/>
                <w:sz w:val="17"/>
                <w:szCs w:val="17"/>
              </w:rPr>
            </w:pPr>
            <w:r w:rsidRPr="00B41F10">
              <w:rPr>
                <w:rFonts w:eastAsia="Arial" w:cs="Arial"/>
                <w:color w:val="000000"/>
                <w:sz w:val="17"/>
                <w:szCs w:val="17"/>
              </w:rPr>
              <w:t xml:space="preserve">Informace o výsledcích </w:t>
            </w:r>
            <w:proofErr w:type="spellStart"/>
            <w:r w:rsidRPr="00B41F10">
              <w:rPr>
                <w:rFonts w:eastAsia="Arial" w:cs="Arial"/>
                <w:color w:val="000000"/>
                <w:sz w:val="17"/>
                <w:szCs w:val="17"/>
              </w:rPr>
              <w:t>VaVaI</w:t>
            </w:r>
            <w:proofErr w:type="spellEnd"/>
            <w:r w:rsidRPr="00B41F10">
              <w:rPr>
                <w:rFonts w:eastAsia="Arial" w:cs="Arial"/>
                <w:color w:val="000000"/>
                <w:sz w:val="17"/>
                <w:szCs w:val="17"/>
              </w:rPr>
              <w:t xml:space="preserve"> uplatněných od roku 1993</w:t>
            </w:r>
          </w:p>
        </w:tc>
      </w:tr>
      <w:tr w:rsidR="0021475A" w:rsidRPr="00B41F10" w14:paraId="3E7DA8C4" w14:textId="77777777" w:rsidTr="00EC7ED5">
        <w:trPr>
          <w:trHeight w:val="280"/>
          <w:jc w:val="center"/>
        </w:trPr>
        <w:tc>
          <w:tcPr>
            <w:tcW w:w="398" w:type="dxa"/>
            <w:vMerge/>
            <w:tcBorders>
              <w:top w:val="single" w:sz="8" w:space="0" w:color="000000"/>
              <w:left w:val="single" w:sz="8" w:space="0" w:color="000000"/>
              <w:bottom w:val="single" w:sz="8" w:space="0" w:color="000000"/>
              <w:right w:val="single" w:sz="8" w:space="0" w:color="000000"/>
            </w:tcBorders>
            <w:vAlign w:val="center"/>
          </w:tcPr>
          <w:p w14:paraId="0FED8402"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948" w:type="dxa"/>
            <w:vMerge w:val="restart"/>
            <w:tcBorders>
              <w:top w:val="nil"/>
              <w:left w:val="single" w:sz="8" w:space="0" w:color="000000"/>
              <w:bottom w:val="single" w:sz="8" w:space="0" w:color="000000"/>
              <w:right w:val="single" w:sz="8" w:space="0" w:color="000000"/>
            </w:tcBorders>
            <w:vAlign w:val="center"/>
          </w:tcPr>
          <w:p w14:paraId="25EE030A"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ČSÚ</w:t>
            </w:r>
          </w:p>
        </w:tc>
        <w:tc>
          <w:tcPr>
            <w:tcW w:w="2268" w:type="dxa"/>
            <w:gridSpan w:val="2"/>
            <w:tcBorders>
              <w:top w:val="single" w:sz="8" w:space="0" w:color="000000"/>
              <w:left w:val="nil"/>
              <w:bottom w:val="single" w:sz="8" w:space="0" w:color="000000"/>
              <w:right w:val="single" w:sz="8" w:space="0" w:color="000000"/>
            </w:tcBorders>
            <w:vAlign w:val="center"/>
          </w:tcPr>
          <w:p w14:paraId="36F766F5" w14:textId="12642DCC" w:rsidR="0021475A" w:rsidRPr="00B41F10" w:rsidRDefault="0021475A" w:rsidP="0090442B">
            <w:pPr>
              <w:spacing w:after="0" w:line="240" w:lineRule="auto"/>
              <w:rPr>
                <w:rFonts w:eastAsia="Arial" w:cs="Arial"/>
                <w:color w:val="000000"/>
                <w:sz w:val="17"/>
                <w:szCs w:val="17"/>
              </w:rPr>
            </w:pPr>
            <w:r w:rsidRPr="00B41F10">
              <w:rPr>
                <w:rFonts w:eastAsia="Arial" w:cs="Arial"/>
                <w:color w:val="000000"/>
                <w:sz w:val="17"/>
                <w:szCs w:val="17"/>
              </w:rPr>
              <w:t xml:space="preserve">Ukazatele </w:t>
            </w:r>
            <w:proofErr w:type="spellStart"/>
            <w:r w:rsidR="00D05DDA">
              <w:rPr>
                <w:rFonts w:eastAsia="Arial" w:cs="Arial"/>
                <w:color w:val="000000"/>
                <w:sz w:val="17"/>
                <w:szCs w:val="17"/>
              </w:rPr>
              <w:t>VaV</w:t>
            </w:r>
            <w:proofErr w:type="spellEnd"/>
          </w:p>
        </w:tc>
        <w:tc>
          <w:tcPr>
            <w:tcW w:w="5596" w:type="dxa"/>
            <w:tcBorders>
              <w:top w:val="nil"/>
              <w:left w:val="nil"/>
              <w:bottom w:val="single" w:sz="8" w:space="0" w:color="000000"/>
              <w:right w:val="single" w:sz="8" w:space="0" w:color="000000"/>
            </w:tcBorders>
            <w:vAlign w:val="center"/>
          </w:tcPr>
          <w:p w14:paraId="4C35940E" w14:textId="77777777" w:rsidR="0021475A" w:rsidRPr="00B41F10" w:rsidRDefault="0021475A" w:rsidP="0090442B">
            <w:pPr>
              <w:spacing w:after="0" w:line="240" w:lineRule="auto"/>
              <w:jc w:val="both"/>
              <w:rPr>
                <w:rFonts w:eastAsia="Arial" w:cs="Arial"/>
                <w:color w:val="000000"/>
                <w:sz w:val="17"/>
                <w:szCs w:val="17"/>
              </w:rPr>
            </w:pPr>
            <w:r w:rsidRPr="00B41F10">
              <w:rPr>
                <w:rFonts w:eastAsia="Arial" w:cs="Arial"/>
                <w:color w:val="000000"/>
                <w:sz w:val="17"/>
                <w:szCs w:val="17"/>
              </w:rPr>
              <w:t>Pravidelné roční dotazníkové šetření (VTR 5-01)</w:t>
            </w:r>
          </w:p>
        </w:tc>
      </w:tr>
      <w:tr w:rsidR="0021475A" w:rsidRPr="00B41F10" w14:paraId="18AAF51A" w14:textId="77777777" w:rsidTr="00EC7ED5">
        <w:trPr>
          <w:trHeight w:val="280"/>
          <w:jc w:val="center"/>
        </w:trPr>
        <w:tc>
          <w:tcPr>
            <w:tcW w:w="398" w:type="dxa"/>
            <w:vMerge/>
            <w:tcBorders>
              <w:top w:val="single" w:sz="8" w:space="0" w:color="000000"/>
              <w:left w:val="single" w:sz="8" w:space="0" w:color="000000"/>
              <w:bottom w:val="single" w:sz="8" w:space="0" w:color="000000"/>
              <w:right w:val="single" w:sz="8" w:space="0" w:color="000000"/>
            </w:tcBorders>
            <w:vAlign w:val="center"/>
          </w:tcPr>
          <w:p w14:paraId="75C02C36"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948" w:type="dxa"/>
            <w:vMerge/>
            <w:tcBorders>
              <w:top w:val="nil"/>
              <w:left w:val="single" w:sz="8" w:space="0" w:color="000000"/>
              <w:bottom w:val="single" w:sz="8" w:space="0" w:color="000000"/>
              <w:right w:val="single" w:sz="8" w:space="0" w:color="000000"/>
            </w:tcBorders>
            <w:vAlign w:val="center"/>
          </w:tcPr>
          <w:p w14:paraId="686CF89E"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2268" w:type="dxa"/>
            <w:gridSpan w:val="2"/>
            <w:tcBorders>
              <w:top w:val="single" w:sz="8" w:space="0" w:color="000000"/>
              <w:left w:val="nil"/>
              <w:bottom w:val="single" w:sz="8" w:space="0" w:color="000000"/>
              <w:right w:val="single" w:sz="8" w:space="0" w:color="000000"/>
            </w:tcBorders>
            <w:vAlign w:val="center"/>
          </w:tcPr>
          <w:p w14:paraId="378ABFE8" w14:textId="5FED6280" w:rsidR="0021475A" w:rsidRPr="00B41F10" w:rsidRDefault="0021475A" w:rsidP="0090442B">
            <w:pPr>
              <w:spacing w:after="0" w:line="240" w:lineRule="auto"/>
              <w:rPr>
                <w:rFonts w:eastAsia="Arial" w:cs="Arial"/>
                <w:color w:val="000000"/>
                <w:sz w:val="17"/>
                <w:szCs w:val="17"/>
              </w:rPr>
            </w:pPr>
            <w:r w:rsidRPr="00B41F10">
              <w:rPr>
                <w:rFonts w:eastAsia="Arial" w:cs="Arial"/>
                <w:color w:val="000000"/>
                <w:sz w:val="17"/>
                <w:szCs w:val="17"/>
              </w:rPr>
              <w:t>Nepřímá veřejná podpora </w:t>
            </w:r>
            <w:proofErr w:type="spellStart"/>
            <w:r w:rsidR="00D05DDA">
              <w:rPr>
                <w:rFonts w:eastAsia="Arial" w:cs="Arial"/>
                <w:color w:val="000000"/>
                <w:sz w:val="17"/>
                <w:szCs w:val="17"/>
              </w:rPr>
              <w:t>VaV</w:t>
            </w:r>
            <w:proofErr w:type="spellEnd"/>
            <w:r w:rsidRPr="00B41F10">
              <w:rPr>
                <w:rFonts w:eastAsia="Arial" w:cs="Arial"/>
                <w:color w:val="000000"/>
                <w:sz w:val="17"/>
                <w:szCs w:val="17"/>
              </w:rPr>
              <w:t xml:space="preserve"> v ČR</w:t>
            </w:r>
          </w:p>
        </w:tc>
        <w:tc>
          <w:tcPr>
            <w:tcW w:w="5596" w:type="dxa"/>
            <w:tcBorders>
              <w:top w:val="nil"/>
              <w:left w:val="nil"/>
              <w:bottom w:val="single" w:sz="8" w:space="0" w:color="000000"/>
              <w:right w:val="single" w:sz="8" w:space="0" w:color="000000"/>
            </w:tcBorders>
            <w:vAlign w:val="center"/>
          </w:tcPr>
          <w:p w14:paraId="60F10072" w14:textId="77777777" w:rsidR="0021475A" w:rsidRPr="00B41F10" w:rsidRDefault="0021475A" w:rsidP="0090442B">
            <w:pPr>
              <w:spacing w:after="0" w:line="240" w:lineRule="auto"/>
              <w:jc w:val="both"/>
              <w:rPr>
                <w:rFonts w:eastAsia="Arial" w:cs="Arial"/>
                <w:color w:val="000000"/>
                <w:sz w:val="17"/>
                <w:szCs w:val="17"/>
              </w:rPr>
            </w:pPr>
            <w:r w:rsidRPr="00B41F10">
              <w:rPr>
                <w:rFonts w:eastAsia="Arial" w:cs="Arial"/>
                <w:color w:val="000000"/>
                <w:sz w:val="17"/>
                <w:szCs w:val="17"/>
              </w:rPr>
              <w:t>Metadata z databáze GFŘ – MF</w:t>
            </w:r>
          </w:p>
        </w:tc>
      </w:tr>
      <w:tr w:rsidR="0021475A" w:rsidRPr="00B41F10" w14:paraId="57EBFCC6" w14:textId="77777777" w:rsidTr="00EC7ED5">
        <w:trPr>
          <w:trHeight w:val="489"/>
          <w:jc w:val="center"/>
        </w:trPr>
        <w:tc>
          <w:tcPr>
            <w:tcW w:w="398" w:type="dxa"/>
            <w:vMerge/>
            <w:tcBorders>
              <w:top w:val="single" w:sz="8" w:space="0" w:color="000000"/>
              <w:left w:val="single" w:sz="8" w:space="0" w:color="000000"/>
              <w:bottom w:val="single" w:sz="8" w:space="0" w:color="000000"/>
              <w:right w:val="single" w:sz="8" w:space="0" w:color="000000"/>
            </w:tcBorders>
            <w:vAlign w:val="center"/>
          </w:tcPr>
          <w:p w14:paraId="71899832"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948" w:type="dxa"/>
            <w:vMerge/>
            <w:tcBorders>
              <w:top w:val="nil"/>
              <w:left w:val="single" w:sz="8" w:space="0" w:color="000000"/>
              <w:bottom w:val="single" w:sz="8" w:space="0" w:color="000000"/>
              <w:right w:val="single" w:sz="8" w:space="0" w:color="000000"/>
            </w:tcBorders>
            <w:vAlign w:val="center"/>
          </w:tcPr>
          <w:p w14:paraId="46A0A761"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2268" w:type="dxa"/>
            <w:gridSpan w:val="2"/>
            <w:tcBorders>
              <w:top w:val="single" w:sz="8" w:space="0" w:color="000000"/>
              <w:left w:val="nil"/>
              <w:bottom w:val="single" w:sz="8" w:space="0" w:color="000000"/>
              <w:right w:val="single" w:sz="8" w:space="0" w:color="000000"/>
            </w:tcBorders>
            <w:vAlign w:val="center"/>
          </w:tcPr>
          <w:p w14:paraId="1C421FC3" w14:textId="77777777" w:rsidR="0021475A" w:rsidRPr="00B41F10" w:rsidRDefault="0021475A" w:rsidP="0090442B">
            <w:pPr>
              <w:spacing w:after="0" w:line="240" w:lineRule="auto"/>
              <w:rPr>
                <w:rFonts w:eastAsia="Arial" w:cs="Arial"/>
                <w:color w:val="000000"/>
                <w:sz w:val="17"/>
                <w:szCs w:val="17"/>
              </w:rPr>
            </w:pPr>
            <w:r w:rsidRPr="00B41F10">
              <w:rPr>
                <w:rFonts w:eastAsia="Arial" w:cs="Arial"/>
                <w:color w:val="000000"/>
                <w:sz w:val="17"/>
                <w:szCs w:val="17"/>
              </w:rPr>
              <w:t>Statistické šetření o inovacích</w:t>
            </w:r>
          </w:p>
        </w:tc>
        <w:tc>
          <w:tcPr>
            <w:tcW w:w="5596" w:type="dxa"/>
            <w:tcBorders>
              <w:top w:val="nil"/>
              <w:left w:val="nil"/>
              <w:bottom w:val="single" w:sz="8" w:space="0" w:color="000000"/>
              <w:right w:val="single" w:sz="8" w:space="0" w:color="000000"/>
            </w:tcBorders>
            <w:vAlign w:val="center"/>
          </w:tcPr>
          <w:p w14:paraId="2FC9486B" w14:textId="77777777" w:rsidR="0021475A" w:rsidRPr="00B41F10" w:rsidRDefault="0021475A" w:rsidP="0090442B">
            <w:pPr>
              <w:spacing w:after="0" w:line="240" w:lineRule="auto"/>
              <w:jc w:val="both"/>
              <w:rPr>
                <w:rFonts w:eastAsia="Arial" w:cs="Arial"/>
                <w:color w:val="000000"/>
                <w:sz w:val="17"/>
                <w:szCs w:val="17"/>
              </w:rPr>
            </w:pPr>
            <w:r w:rsidRPr="00B41F10">
              <w:rPr>
                <w:rFonts w:eastAsia="Arial" w:cs="Arial"/>
                <w:color w:val="000000"/>
                <w:sz w:val="17"/>
                <w:szCs w:val="17"/>
              </w:rPr>
              <w:t>Poslední zveřejněné šetření (TI2018) se vztahuje k období v letech 2016–2018</w:t>
            </w:r>
          </w:p>
        </w:tc>
      </w:tr>
      <w:tr w:rsidR="0021475A" w:rsidRPr="00B41F10" w14:paraId="7E26EAF8" w14:textId="77777777" w:rsidTr="00EC7ED5">
        <w:trPr>
          <w:trHeight w:val="681"/>
          <w:jc w:val="center"/>
        </w:trPr>
        <w:tc>
          <w:tcPr>
            <w:tcW w:w="398" w:type="dxa"/>
            <w:vMerge/>
            <w:tcBorders>
              <w:top w:val="single" w:sz="8" w:space="0" w:color="000000"/>
              <w:left w:val="single" w:sz="8" w:space="0" w:color="000000"/>
              <w:bottom w:val="single" w:sz="8" w:space="0" w:color="000000"/>
              <w:right w:val="single" w:sz="8" w:space="0" w:color="000000"/>
            </w:tcBorders>
            <w:vAlign w:val="center"/>
          </w:tcPr>
          <w:p w14:paraId="134D11D9"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948" w:type="dxa"/>
            <w:vMerge/>
            <w:tcBorders>
              <w:top w:val="nil"/>
              <w:left w:val="single" w:sz="8" w:space="0" w:color="000000"/>
              <w:bottom w:val="single" w:sz="8" w:space="0" w:color="000000"/>
              <w:right w:val="single" w:sz="8" w:space="0" w:color="000000"/>
            </w:tcBorders>
            <w:vAlign w:val="center"/>
          </w:tcPr>
          <w:p w14:paraId="0EB2641D"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2268" w:type="dxa"/>
            <w:gridSpan w:val="2"/>
            <w:tcBorders>
              <w:top w:val="single" w:sz="8" w:space="0" w:color="000000"/>
              <w:left w:val="nil"/>
              <w:right w:val="single" w:sz="8" w:space="0" w:color="000000"/>
            </w:tcBorders>
            <w:vAlign w:val="center"/>
          </w:tcPr>
          <w:p w14:paraId="6CB75B70" w14:textId="0D51B88F" w:rsidR="0021475A" w:rsidRPr="00B41F10" w:rsidRDefault="0021475A" w:rsidP="0090442B">
            <w:pPr>
              <w:spacing w:after="0" w:line="240" w:lineRule="auto"/>
              <w:rPr>
                <w:rFonts w:eastAsia="Arial" w:cs="Arial"/>
                <w:color w:val="000000"/>
                <w:sz w:val="17"/>
                <w:szCs w:val="17"/>
              </w:rPr>
            </w:pPr>
            <w:r w:rsidRPr="00B41F10">
              <w:rPr>
                <w:rFonts w:eastAsia="Arial" w:cs="Arial"/>
                <w:color w:val="000000"/>
                <w:sz w:val="17"/>
                <w:szCs w:val="17"/>
              </w:rPr>
              <w:t>Přímá veřejná podpora </w:t>
            </w:r>
            <w:proofErr w:type="spellStart"/>
            <w:r w:rsidR="00D05DDA">
              <w:rPr>
                <w:rFonts w:eastAsia="Arial" w:cs="Arial"/>
                <w:color w:val="000000"/>
                <w:sz w:val="17"/>
                <w:szCs w:val="17"/>
              </w:rPr>
              <w:t>VaV</w:t>
            </w:r>
            <w:proofErr w:type="spellEnd"/>
            <w:r w:rsidRPr="00B41F10">
              <w:rPr>
                <w:rFonts w:eastAsia="Arial" w:cs="Arial"/>
                <w:color w:val="000000"/>
                <w:sz w:val="17"/>
                <w:szCs w:val="17"/>
              </w:rPr>
              <w:t xml:space="preserve"> v České republice</w:t>
            </w:r>
          </w:p>
        </w:tc>
        <w:tc>
          <w:tcPr>
            <w:tcW w:w="5596" w:type="dxa"/>
            <w:tcBorders>
              <w:top w:val="nil"/>
              <w:left w:val="nil"/>
              <w:bottom w:val="single" w:sz="4" w:space="0" w:color="000000"/>
              <w:right w:val="single" w:sz="8" w:space="0" w:color="000000"/>
            </w:tcBorders>
            <w:vAlign w:val="center"/>
          </w:tcPr>
          <w:p w14:paraId="513BCCA6" w14:textId="77777777" w:rsidR="0021475A" w:rsidRPr="00B41F10" w:rsidRDefault="0021475A" w:rsidP="0090442B">
            <w:pPr>
              <w:spacing w:after="0" w:line="240" w:lineRule="auto"/>
              <w:jc w:val="both"/>
              <w:rPr>
                <w:rFonts w:eastAsia="Arial" w:cs="Arial"/>
                <w:color w:val="000000"/>
                <w:sz w:val="17"/>
                <w:szCs w:val="17"/>
              </w:rPr>
            </w:pPr>
            <w:r w:rsidRPr="00B41F10">
              <w:rPr>
                <w:rFonts w:eastAsia="Arial" w:cs="Arial"/>
                <w:color w:val="000000"/>
                <w:sz w:val="17"/>
                <w:szCs w:val="17"/>
              </w:rPr>
              <w:t>Vychází z výdajů schválených v zákoně o státním rozpočtu pro dané fiskální období (předběžné údaje) a výdajů státního závěrečného</w:t>
            </w:r>
            <w:r w:rsidRPr="00B41F10" w:rsidDel="00057F70">
              <w:rPr>
                <w:rFonts w:eastAsia="Arial" w:cs="Arial"/>
                <w:color w:val="000000"/>
                <w:sz w:val="17"/>
                <w:szCs w:val="17"/>
              </w:rPr>
              <w:t xml:space="preserve"> </w:t>
            </w:r>
            <w:r w:rsidRPr="00B41F10">
              <w:rPr>
                <w:rFonts w:eastAsia="Arial" w:cs="Arial"/>
                <w:color w:val="000000"/>
                <w:sz w:val="17"/>
                <w:szCs w:val="17"/>
              </w:rPr>
              <w:t xml:space="preserve">účtu pro oblast </w:t>
            </w:r>
            <w:proofErr w:type="spellStart"/>
            <w:r w:rsidRPr="00B41F10">
              <w:rPr>
                <w:rFonts w:eastAsia="Arial" w:cs="Arial"/>
                <w:color w:val="000000"/>
                <w:sz w:val="17"/>
                <w:szCs w:val="17"/>
              </w:rPr>
              <w:t>VaV</w:t>
            </w:r>
            <w:proofErr w:type="spellEnd"/>
            <w:r w:rsidRPr="00B41F10">
              <w:rPr>
                <w:rFonts w:eastAsia="Arial" w:cs="Arial"/>
                <w:color w:val="000000"/>
                <w:sz w:val="17"/>
                <w:szCs w:val="17"/>
              </w:rPr>
              <w:t> (konečné údaje)</w:t>
            </w:r>
          </w:p>
        </w:tc>
      </w:tr>
      <w:tr w:rsidR="0021475A" w:rsidRPr="00B41F10" w14:paraId="3DC60953" w14:textId="77777777" w:rsidTr="00EC7ED5">
        <w:trPr>
          <w:trHeight w:val="280"/>
          <w:jc w:val="center"/>
        </w:trPr>
        <w:tc>
          <w:tcPr>
            <w:tcW w:w="398" w:type="dxa"/>
            <w:vMerge/>
            <w:tcBorders>
              <w:top w:val="single" w:sz="8" w:space="0" w:color="000000"/>
              <w:left w:val="single" w:sz="8" w:space="0" w:color="000000"/>
              <w:bottom w:val="single" w:sz="8" w:space="0" w:color="000000"/>
              <w:right w:val="single" w:sz="8" w:space="0" w:color="000000"/>
            </w:tcBorders>
            <w:vAlign w:val="center"/>
          </w:tcPr>
          <w:p w14:paraId="36113729"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948" w:type="dxa"/>
            <w:vMerge/>
            <w:tcBorders>
              <w:top w:val="nil"/>
              <w:left w:val="single" w:sz="8" w:space="0" w:color="000000"/>
              <w:bottom w:val="single" w:sz="8" w:space="0" w:color="000000"/>
              <w:right w:val="single" w:sz="8" w:space="0" w:color="000000"/>
            </w:tcBorders>
            <w:vAlign w:val="center"/>
          </w:tcPr>
          <w:p w14:paraId="4D7DFE87"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2268" w:type="dxa"/>
            <w:gridSpan w:val="2"/>
            <w:tcBorders>
              <w:top w:val="single" w:sz="8" w:space="0" w:color="000000"/>
              <w:left w:val="nil"/>
              <w:bottom w:val="single" w:sz="8" w:space="0" w:color="000000"/>
              <w:right w:val="single" w:sz="4" w:space="0" w:color="000000"/>
            </w:tcBorders>
            <w:vAlign w:val="center"/>
          </w:tcPr>
          <w:p w14:paraId="759A6AB0" w14:textId="77777777" w:rsidR="0021475A" w:rsidRPr="00B41F10" w:rsidRDefault="0021475A" w:rsidP="0090442B">
            <w:pPr>
              <w:spacing w:after="0" w:line="240" w:lineRule="auto"/>
              <w:rPr>
                <w:rFonts w:eastAsia="Arial" w:cs="Arial"/>
                <w:color w:val="000000"/>
                <w:sz w:val="17"/>
                <w:szCs w:val="17"/>
              </w:rPr>
            </w:pPr>
            <w:r w:rsidRPr="00B41F10">
              <w:rPr>
                <w:rFonts w:eastAsia="Arial" w:cs="Arial"/>
                <w:color w:val="000000"/>
                <w:sz w:val="17"/>
                <w:szCs w:val="17"/>
              </w:rPr>
              <w:t>Patentová statistika</w:t>
            </w:r>
          </w:p>
        </w:tc>
        <w:tc>
          <w:tcPr>
            <w:tcW w:w="5596" w:type="dxa"/>
            <w:tcBorders>
              <w:top w:val="single" w:sz="4" w:space="0" w:color="000000"/>
              <w:left w:val="single" w:sz="4" w:space="0" w:color="000000"/>
              <w:bottom w:val="single" w:sz="4" w:space="0" w:color="000000"/>
              <w:right w:val="single" w:sz="4" w:space="0" w:color="000000"/>
            </w:tcBorders>
            <w:vAlign w:val="center"/>
          </w:tcPr>
          <w:p w14:paraId="3FFBE67C" w14:textId="18CD3ECD" w:rsidR="0021475A" w:rsidRPr="00B41F10" w:rsidRDefault="0021475A" w:rsidP="0090442B">
            <w:pPr>
              <w:spacing w:after="0" w:line="240" w:lineRule="auto"/>
              <w:jc w:val="both"/>
              <w:rPr>
                <w:rFonts w:eastAsia="Arial" w:cs="Arial"/>
                <w:color w:val="000000"/>
                <w:sz w:val="17"/>
                <w:szCs w:val="17"/>
              </w:rPr>
            </w:pPr>
            <w:r w:rsidRPr="00B41F10">
              <w:rPr>
                <w:rFonts w:eastAsia="Arial" w:cs="Arial"/>
                <w:color w:val="000000"/>
                <w:sz w:val="17"/>
                <w:szCs w:val="17"/>
              </w:rPr>
              <w:t>Metadata ÚPV</w:t>
            </w:r>
            <w:r w:rsidR="00CF3CB4">
              <w:rPr>
                <w:rFonts w:eastAsia="Arial" w:cs="Arial"/>
                <w:color w:val="000000"/>
                <w:sz w:val="17"/>
                <w:szCs w:val="17"/>
              </w:rPr>
              <w:t xml:space="preserve"> </w:t>
            </w:r>
            <w:r w:rsidRPr="00B41F10">
              <w:rPr>
                <w:rFonts w:eastAsia="Arial" w:cs="Arial"/>
                <w:color w:val="000000"/>
                <w:sz w:val="17"/>
                <w:szCs w:val="17"/>
              </w:rPr>
              <w:t>a EPO</w:t>
            </w:r>
          </w:p>
        </w:tc>
      </w:tr>
      <w:tr w:rsidR="0021475A" w:rsidRPr="00B41F10" w14:paraId="593D93AA" w14:textId="77777777" w:rsidTr="00EC7ED5">
        <w:trPr>
          <w:trHeight w:val="280"/>
          <w:jc w:val="center"/>
        </w:trPr>
        <w:tc>
          <w:tcPr>
            <w:tcW w:w="398" w:type="dxa"/>
            <w:vMerge/>
            <w:tcBorders>
              <w:top w:val="single" w:sz="8" w:space="0" w:color="000000"/>
              <w:left w:val="single" w:sz="8" w:space="0" w:color="000000"/>
              <w:bottom w:val="single" w:sz="8" w:space="0" w:color="000000"/>
              <w:right w:val="single" w:sz="8" w:space="0" w:color="000000"/>
            </w:tcBorders>
            <w:vAlign w:val="center"/>
          </w:tcPr>
          <w:p w14:paraId="71608CAA"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948" w:type="dxa"/>
            <w:vMerge/>
            <w:tcBorders>
              <w:top w:val="nil"/>
              <w:left w:val="single" w:sz="8" w:space="0" w:color="000000"/>
              <w:bottom w:val="single" w:sz="8" w:space="0" w:color="000000"/>
              <w:right w:val="single" w:sz="8" w:space="0" w:color="000000"/>
            </w:tcBorders>
            <w:vAlign w:val="center"/>
          </w:tcPr>
          <w:p w14:paraId="20015BF5"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2268" w:type="dxa"/>
            <w:gridSpan w:val="2"/>
            <w:tcBorders>
              <w:top w:val="single" w:sz="8" w:space="0" w:color="000000"/>
              <w:left w:val="nil"/>
              <w:bottom w:val="single" w:sz="8" w:space="0" w:color="000000"/>
              <w:right w:val="single" w:sz="8" w:space="0" w:color="000000"/>
            </w:tcBorders>
            <w:vAlign w:val="center"/>
          </w:tcPr>
          <w:p w14:paraId="6F3185C4" w14:textId="77777777" w:rsidR="0021475A" w:rsidRPr="00B41F10" w:rsidRDefault="0021475A" w:rsidP="0090442B">
            <w:pPr>
              <w:spacing w:after="0" w:line="240" w:lineRule="auto"/>
              <w:rPr>
                <w:rFonts w:eastAsia="Arial" w:cs="Arial"/>
                <w:color w:val="000000"/>
                <w:sz w:val="17"/>
                <w:szCs w:val="17"/>
              </w:rPr>
            </w:pPr>
            <w:r w:rsidRPr="00B41F10">
              <w:rPr>
                <w:rFonts w:eastAsia="Arial" w:cs="Arial"/>
                <w:color w:val="000000"/>
                <w:sz w:val="17"/>
                <w:szCs w:val="17"/>
              </w:rPr>
              <w:t>Licence</w:t>
            </w:r>
          </w:p>
        </w:tc>
        <w:tc>
          <w:tcPr>
            <w:tcW w:w="5596" w:type="dxa"/>
            <w:tcBorders>
              <w:top w:val="single" w:sz="4" w:space="0" w:color="000000"/>
              <w:left w:val="nil"/>
              <w:bottom w:val="single" w:sz="8" w:space="0" w:color="000000"/>
              <w:right w:val="single" w:sz="8" w:space="0" w:color="000000"/>
            </w:tcBorders>
            <w:vAlign w:val="center"/>
          </w:tcPr>
          <w:p w14:paraId="59E5A025" w14:textId="77777777" w:rsidR="0021475A" w:rsidRPr="00B41F10" w:rsidRDefault="0021475A" w:rsidP="0090442B">
            <w:pPr>
              <w:spacing w:after="0" w:line="240" w:lineRule="auto"/>
              <w:jc w:val="both"/>
              <w:rPr>
                <w:rFonts w:eastAsia="Arial" w:cs="Arial"/>
                <w:color w:val="000000"/>
                <w:sz w:val="17"/>
                <w:szCs w:val="17"/>
              </w:rPr>
            </w:pPr>
            <w:r w:rsidRPr="00B41F10">
              <w:rPr>
                <w:rFonts w:eastAsia="Arial" w:cs="Arial"/>
                <w:color w:val="000000"/>
                <w:sz w:val="17"/>
                <w:szCs w:val="17"/>
              </w:rPr>
              <w:t>Pravidelné roční statistické šetření (LIC 5-01)</w:t>
            </w:r>
          </w:p>
        </w:tc>
      </w:tr>
      <w:tr w:rsidR="0021475A" w:rsidRPr="00B41F10" w14:paraId="54D366B2" w14:textId="77777777" w:rsidTr="00EC7ED5">
        <w:trPr>
          <w:trHeight w:val="280"/>
          <w:jc w:val="center"/>
        </w:trPr>
        <w:tc>
          <w:tcPr>
            <w:tcW w:w="398" w:type="dxa"/>
            <w:vMerge/>
            <w:tcBorders>
              <w:top w:val="single" w:sz="8" w:space="0" w:color="000000"/>
              <w:left w:val="single" w:sz="8" w:space="0" w:color="000000"/>
              <w:bottom w:val="single" w:sz="8" w:space="0" w:color="000000"/>
              <w:right w:val="single" w:sz="8" w:space="0" w:color="000000"/>
            </w:tcBorders>
            <w:vAlign w:val="center"/>
          </w:tcPr>
          <w:p w14:paraId="2A56D400"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948" w:type="dxa"/>
            <w:vMerge/>
            <w:tcBorders>
              <w:top w:val="nil"/>
              <w:left w:val="single" w:sz="8" w:space="0" w:color="000000"/>
              <w:bottom w:val="single" w:sz="8" w:space="0" w:color="000000"/>
              <w:right w:val="single" w:sz="8" w:space="0" w:color="000000"/>
            </w:tcBorders>
            <w:vAlign w:val="center"/>
          </w:tcPr>
          <w:p w14:paraId="600FC569"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2268" w:type="dxa"/>
            <w:gridSpan w:val="2"/>
            <w:tcBorders>
              <w:top w:val="single" w:sz="8" w:space="0" w:color="000000"/>
              <w:left w:val="nil"/>
              <w:bottom w:val="single" w:sz="8" w:space="0" w:color="000000"/>
              <w:right w:val="single" w:sz="8" w:space="0" w:color="000000"/>
            </w:tcBorders>
            <w:vAlign w:val="center"/>
          </w:tcPr>
          <w:p w14:paraId="58153CF0" w14:textId="77777777" w:rsidR="0021475A" w:rsidRPr="00B41F10" w:rsidRDefault="0021475A" w:rsidP="0090442B">
            <w:pPr>
              <w:spacing w:after="0" w:line="240" w:lineRule="auto"/>
              <w:rPr>
                <w:rFonts w:eastAsia="Arial" w:cs="Arial"/>
                <w:color w:val="000000"/>
                <w:sz w:val="17"/>
                <w:szCs w:val="17"/>
              </w:rPr>
            </w:pPr>
            <w:r w:rsidRPr="00B41F10">
              <w:rPr>
                <w:rFonts w:eastAsia="Arial" w:cs="Arial"/>
                <w:color w:val="000000"/>
                <w:sz w:val="17"/>
                <w:szCs w:val="17"/>
              </w:rPr>
              <w:t>Zahraniční obchod s high-tech zbožím</w:t>
            </w:r>
          </w:p>
        </w:tc>
        <w:tc>
          <w:tcPr>
            <w:tcW w:w="5596" w:type="dxa"/>
            <w:tcBorders>
              <w:top w:val="nil"/>
              <w:left w:val="nil"/>
              <w:bottom w:val="single" w:sz="8" w:space="0" w:color="000000"/>
              <w:right w:val="single" w:sz="8" w:space="0" w:color="000000"/>
            </w:tcBorders>
            <w:vAlign w:val="center"/>
          </w:tcPr>
          <w:p w14:paraId="41CF9D54" w14:textId="77777777" w:rsidR="0021475A" w:rsidRPr="00B41F10" w:rsidRDefault="0021475A" w:rsidP="0090442B">
            <w:pPr>
              <w:spacing w:after="0" w:line="240" w:lineRule="auto"/>
              <w:jc w:val="both"/>
              <w:rPr>
                <w:rFonts w:eastAsia="Arial" w:cs="Arial"/>
                <w:color w:val="000000"/>
                <w:sz w:val="17"/>
                <w:szCs w:val="17"/>
              </w:rPr>
            </w:pPr>
            <w:r w:rsidRPr="00B41F10">
              <w:rPr>
                <w:rFonts w:eastAsia="Arial" w:cs="Arial"/>
                <w:color w:val="000000"/>
                <w:sz w:val="17"/>
                <w:szCs w:val="17"/>
              </w:rPr>
              <w:t>Databáze zahraničního obchodu a metadata z </w:t>
            </w:r>
            <w:proofErr w:type="spellStart"/>
            <w:r w:rsidRPr="00B41F10">
              <w:rPr>
                <w:rFonts w:eastAsia="Arial" w:cs="Arial"/>
                <w:color w:val="000000"/>
                <w:sz w:val="17"/>
                <w:szCs w:val="17"/>
              </w:rPr>
              <w:t>Eurostatu</w:t>
            </w:r>
            <w:proofErr w:type="spellEnd"/>
          </w:p>
        </w:tc>
      </w:tr>
      <w:tr w:rsidR="0021475A" w:rsidRPr="00B41F10" w14:paraId="5DA50E8C" w14:textId="77777777" w:rsidTr="00EC7ED5">
        <w:trPr>
          <w:trHeight w:val="280"/>
          <w:jc w:val="center"/>
        </w:trPr>
        <w:tc>
          <w:tcPr>
            <w:tcW w:w="398" w:type="dxa"/>
            <w:vMerge/>
            <w:tcBorders>
              <w:top w:val="single" w:sz="8" w:space="0" w:color="000000"/>
              <w:left w:val="single" w:sz="8" w:space="0" w:color="000000"/>
              <w:bottom w:val="single" w:sz="8" w:space="0" w:color="000000"/>
              <w:right w:val="single" w:sz="8" w:space="0" w:color="000000"/>
            </w:tcBorders>
            <w:vAlign w:val="center"/>
          </w:tcPr>
          <w:p w14:paraId="4D17A9EF"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948" w:type="dxa"/>
            <w:vMerge/>
            <w:tcBorders>
              <w:top w:val="nil"/>
              <w:left w:val="single" w:sz="8" w:space="0" w:color="000000"/>
              <w:bottom w:val="single" w:sz="8" w:space="0" w:color="000000"/>
              <w:right w:val="single" w:sz="8" w:space="0" w:color="000000"/>
            </w:tcBorders>
            <w:vAlign w:val="center"/>
          </w:tcPr>
          <w:p w14:paraId="1FDF058D"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2268" w:type="dxa"/>
            <w:gridSpan w:val="2"/>
            <w:tcBorders>
              <w:top w:val="single" w:sz="8" w:space="0" w:color="000000"/>
              <w:left w:val="nil"/>
              <w:bottom w:val="single" w:sz="8" w:space="0" w:color="000000"/>
              <w:right w:val="single" w:sz="8" w:space="0" w:color="000000"/>
            </w:tcBorders>
            <w:vAlign w:val="center"/>
          </w:tcPr>
          <w:p w14:paraId="49E4AFE3" w14:textId="77777777" w:rsidR="0021475A" w:rsidRPr="00B41F10" w:rsidRDefault="0021475A" w:rsidP="0090442B">
            <w:pPr>
              <w:spacing w:after="0" w:line="240" w:lineRule="auto"/>
              <w:rPr>
                <w:rFonts w:eastAsia="Arial" w:cs="Arial"/>
                <w:color w:val="000000"/>
                <w:sz w:val="17"/>
                <w:szCs w:val="17"/>
              </w:rPr>
            </w:pPr>
            <w:r w:rsidRPr="00B41F10">
              <w:rPr>
                <w:rFonts w:eastAsia="Arial" w:cs="Arial"/>
                <w:color w:val="000000"/>
                <w:sz w:val="17"/>
                <w:szCs w:val="17"/>
              </w:rPr>
              <w:t>Technologická platební bilance – zahraniční obchod s technologickými službami</w:t>
            </w:r>
          </w:p>
        </w:tc>
        <w:tc>
          <w:tcPr>
            <w:tcW w:w="5596" w:type="dxa"/>
            <w:tcBorders>
              <w:top w:val="nil"/>
              <w:left w:val="nil"/>
              <w:bottom w:val="single" w:sz="8" w:space="0" w:color="000000"/>
              <w:right w:val="single" w:sz="8" w:space="0" w:color="000000"/>
            </w:tcBorders>
            <w:vAlign w:val="center"/>
          </w:tcPr>
          <w:p w14:paraId="653C841C" w14:textId="0D4C1B4F" w:rsidR="0021475A" w:rsidRPr="00B41F10" w:rsidRDefault="0021475A" w:rsidP="0090442B">
            <w:pPr>
              <w:spacing w:after="0" w:line="240" w:lineRule="auto"/>
              <w:jc w:val="both"/>
              <w:rPr>
                <w:rFonts w:eastAsia="Arial" w:cs="Arial"/>
                <w:color w:val="000000"/>
                <w:sz w:val="17"/>
                <w:szCs w:val="17"/>
              </w:rPr>
            </w:pPr>
            <w:r w:rsidRPr="00B41F10">
              <w:rPr>
                <w:rFonts w:eastAsia="Arial" w:cs="Arial"/>
                <w:color w:val="000000"/>
                <w:sz w:val="17"/>
                <w:szCs w:val="17"/>
              </w:rPr>
              <w:t>Čtvrtletní výkaz o dovozu a vývozu služeb (ZO 1-04) a metadata </w:t>
            </w:r>
            <w:r w:rsidRPr="00B41F10">
              <w:rPr>
                <w:rFonts w:eastAsia="Arial" w:cs="Arial"/>
                <w:color w:val="000000"/>
                <w:sz w:val="17"/>
                <w:szCs w:val="17"/>
              </w:rPr>
              <w:br/>
              <w:t>z Č</w:t>
            </w:r>
            <w:r w:rsidR="00C73BD4" w:rsidRPr="00B41F10">
              <w:rPr>
                <w:rFonts w:eastAsia="Arial" w:cs="Arial"/>
                <w:color w:val="000000"/>
                <w:sz w:val="17"/>
                <w:szCs w:val="17"/>
              </w:rPr>
              <w:t>eské národní banky</w:t>
            </w:r>
          </w:p>
        </w:tc>
      </w:tr>
      <w:tr w:rsidR="0021475A" w:rsidRPr="00B41F10" w14:paraId="5DA7DFA1" w14:textId="77777777" w:rsidTr="00EC7ED5">
        <w:trPr>
          <w:trHeight w:val="280"/>
          <w:jc w:val="center"/>
        </w:trPr>
        <w:tc>
          <w:tcPr>
            <w:tcW w:w="398" w:type="dxa"/>
            <w:vMerge/>
            <w:tcBorders>
              <w:top w:val="single" w:sz="8" w:space="0" w:color="000000"/>
              <w:left w:val="single" w:sz="8" w:space="0" w:color="000000"/>
              <w:bottom w:val="single" w:sz="8" w:space="0" w:color="000000"/>
              <w:right w:val="single" w:sz="8" w:space="0" w:color="000000"/>
            </w:tcBorders>
            <w:vAlign w:val="center"/>
          </w:tcPr>
          <w:p w14:paraId="202BEBAD"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948" w:type="dxa"/>
            <w:vMerge w:val="restart"/>
            <w:tcBorders>
              <w:top w:val="nil"/>
              <w:left w:val="single" w:sz="8" w:space="0" w:color="000000"/>
              <w:bottom w:val="single" w:sz="8" w:space="0" w:color="000000"/>
              <w:right w:val="single" w:sz="8" w:space="0" w:color="000000"/>
            </w:tcBorders>
            <w:vAlign w:val="center"/>
          </w:tcPr>
          <w:p w14:paraId="4FFD0504"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MMR</w:t>
            </w:r>
          </w:p>
        </w:tc>
        <w:tc>
          <w:tcPr>
            <w:tcW w:w="2268" w:type="dxa"/>
            <w:gridSpan w:val="2"/>
            <w:tcBorders>
              <w:top w:val="nil"/>
              <w:left w:val="nil"/>
              <w:bottom w:val="single" w:sz="8" w:space="0" w:color="000000"/>
              <w:right w:val="single" w:sz="8" w:space="0" w:color="000000"/>
            </w:tcBorders>
            <w:vAlign w:val="center"/>
          </w:tcPr>
          <w:p w14:paraId="38B65AFF"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MSC2007</w:t>
            </w:r>
          </w:p>
        </w:tc>
        <w:tc>
          <w:tcPr>
            <w:tcW w:w="5596" w:type="dxa"/>
            <w:tcBorders>
              <w:top w:val="nil"/>
              <w:left w:val="single" w:sz="8" w:space="0" w:color="000000"/>
              <w:bottom w:val="single" w:sz="8" w:space="0" w:color="000000"/>
              <w:right w:val="single" w:sz="8" w:space="0" w:color="000000"/>
            </w:tcBorders>
            <w:vAlign w:val="center"/>
          </w:tcPr>
          <w:p w14:paraId="46CDBBBB" w14:textId="77777777" w:rsidR="0021475A" w:rsidRPr="00B41F10" w:rsidRDefault="0021475A" w:rsidP="0090442B">
            <w:pPr>
              <w:spacing w:after="0" w:line="240" w:lineRule="auto"/>
              <w:jc w:val="both"/>
              <w:rPr>
                <w:rFonts w:eastAsia="Arial" w:cs="Arial"/>
                <w:color w:val="000000"/>
                <w:sz w:val="17"/>
                <w:szCs w:val="17"/>
              </w:rPr>
            </w:pPr>
            <w:r w:rsidRPr="00B41F10">
              <w:rPr>
                <w:rFonts w:eastAsia="Arial" w:cs="Arial"/>
                <w:sz w:val="17"/>
                <w:szCs w:val="17"/>
              </w:rPr>
              <w:t>V</w:t>
            </w:r>
            <w:r w:rsidRPr="00B41F10">
              <w:rPr>
                <w:rFonts w:eastAsia="Arial" w:cs="Arial"/>
                <w:color w:val="000000"/>
                <w:sz w:val="17"/>
                <w:szCs w:val="17"/>
              </w:rPr>
              <w:t>ěcný a finanční monitoring programů a projektů hrazených z fondů EU 2007–2013</w:t>
            </w:r>
          </w:p>
        </w:tc>
      </w:tr>
      <w:tr w:rsidR="0021475A" w:rsidRPr="00B41F10" w14:paraId="40049842" w14:textId="77777777" w:rsidTr="00EC7ED5">
        <w:trPr>
          <w:trHeight w:val="280"/>
          <w:jc w:val="center"/>
        </w:trPr>
        <w:tc>
          <w:tcPr>
            <w:tcW w:w="398" w:type="dxa"/>
            <w:vMerge/>
            <w:tcBorders>
              <w:top w:val="single" w:sz="8" w:space="0" w:color="000000"/>
              <w:left w:val="single" w:sz="8" w:space="0" w:color="000000"/>
              <w:bottom w:val="single" w:sz="8" w:space="0" w:color="000000"/>
              <w:right w:val="single" w:sz="8" w:space="0" w:color="000000"/>
            </w:tcBorders>
            <w:vAlign w:val="center"/>
          </w:tcPr>
          <w:p w14:paraId="0C3B1682"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948" w:type="dxa"/>
            <w:vMerge/>
            <w:tcBorders>
              <w:top w:val="nil"/>
              <w:left w:val="single" w:sz="8" w:space="0" w:color="000000"/>
              <w:bottom w:val="single" w:sz="8" w:space="0" w:color="000000"/>
              <w:right w:val="single" w:sz="8" w:space="0" w:color="000000"/>
            </w:tcBorders>
            <w:vAlign w:val="center"/>
          </w:tcPr>
          <w:p w14:paraId="51DB25BC"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2268" w:type="dxa"/>
            <w:gridSpan w:val="2"/>
            <w:tcBorders>
              <w:top w:val="nil"/>
              <w:left w:val="nil"/>
              <w:bottom w:val="single" w:sz="8" w:space="0" w:color="000000"/>
              <w:right w:val="single" w:sz="8" w:space="0" w:color="000000"/>
            </w:tcBorders>
            <w:vAlign w:val="center"/>
          </w:tcPr>
          <w:p w14:paraId="5F437317"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MS2014+</w:t>
            </w:r>
          </w:p>
        </w:tc>
        <w:tc>
          <w:tcPr>
            <w:tcW w:w="5596" w:type="dxa"/>
            <w:tcBorders>
              <w:top w:val="nil"/>
              <w:left w:val="single" w:sz="8" w:space="0" w:color="000000"/>
              <w:bottom w:val="single" w:sz="8" w:space="0" w:color="000000"/>
              <w:right w:val="single" w:sz="8" w:space="0" w:color="000000"/>
            </w:tcBorders>
            <w:vAlign w:val="center"/>
          </w:tcPr>
          <w:p w14:paraId="39A3125F" w14:textId="77777777" w:rsidR="0021475A" w:rsidRPr="00B41F10" w:rsidRDefault="0021475A" w:rsidP="0090442B">
            <w:pPr>
              <w:spacing w:after="0" w:line="240" w:lineRule="auto"/>
              <w:jc w:val="both"/>
              <w:rPr>
                <w:rFonts w:eastAsia="Arial" w:cs="Arial"/>
                <w:color w:val="000000"/>
                <w:sz w:val="17"/>
                <w:szCs w:val="17"/>
              </w:rPr>
            </w:pPr>
            <w:r w:rsidRPr="00B41F10">
              <w:rPr>
                <w:rFonts w:eastAsia="Arial" w:cs="Arial"/>
                <w:sz w:val="17"/>
                <w:szCs w:val="17"/>
              </w:rPr>
              <w:t>V</w:t>
            </w:r>
            <w:r w:rsidRPr="00B41F10">
              <w:rPr>
                <w:rFonts w:eastAsia="Arial" w:cs="Arial"/>
                <w:color w:val="000000"/>
                <w:sz w:val="17"/>
                <w:szCs w:val="17"/>
              </w:rPr>
              <w:t>ěcný a finanční monitoring programů a projektů hrazených z fondů EU 2014–2020</w:t>
            </w:r>
          </w:p>
        </w:tc>
      </w:tr>
      <w:tr w:rsidR="0021475A" w:rsidRPr="00B41F10" w14:paraId="536E466E" w14:textId="77777777" w:rsidTr="00EC7ED5">
        <w:trPr>
          <w:trHeight w:val="280"/>
          <w:jc w:val="center"/>
        </w:trPr>
        <w:tc>
          <w:tcPr>
            <w:tcW w:w="398" w:type="dxa"/>
            <w:vMerge/>
            <w:tcBorders>
              <w:top w:val="single" w:sz="8" w:space="0" w:color="000000"/>
              <w:left w:val="single" w:sz="8" w:space="0" w:color="000000"/>
              <w:bottom w:val="single" w:sz="8" w:space="0" w:color="000000"/>
              <w:right w:val="single" w:sz="8" w:space="0" w:color="000000"/>
            </w:tcBorders>
            <w:vAlign w:val="center"/>
          </w:tcPr>
          <w:p w14:paraId="0B51FC56"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948" w:type="dxa"/>
            <w:tcBorders>
              <w:top w:val="nil"/>
              <w:left w:val="single" w:sz="8" w:space="0" w:color="000000"/>
              <w:bottom w:val="single" w:sz="8" w:space="0" w:color="000000"/>
              <w:right w:val="single" w:sz="8" w:space="0" w:color="000000"/>
            </w:tcBorders>
            <w:vAlign w:val="center"/>
          </w:tcPr>
          <w:p w14:paraId="634A3958"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MF</w:t>
            </w:r>
          </w:p>
        </w:tc>
        <w:tc>
          <w:tcPr>
            <w:tcW w:w="2268" w:type="dxa"/>
            <w:gridSpan w:val="2"/>
            <w:tcBorders>
              <w:top w:val="nil"/>
              <w:left w:val="nil"/>
              <w:bottom w:val="single" w:sz="8" w:space="0" w:color="000000"/>
              <w:right w:val="single" w:sz="8" w:space="0" w:color="000000"/>
            </w:tcBorders>
            <w:vAlign w:val="center"/>
          </w:tcPr>
          <w:p w14:paraId="3186D776"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CEDR</w:t>
            </w:r>
          </w:p>
        </w:tc>
        <w:tc>
          <w:tcPr>
            <w:tcW w:w="5596" w:type="dxa"/>
            <w:tcBorders>
              <w:top w:val="nil"/>
              <w:left w:val="single" w:sz="8" w:space="0" w:color="000000"/>
              <w:bottom w:val="single" w:sz="8" w:space="0" w:color="000000"/>
              <w:right w:val="single" w:sz="8" w:space="0" w:color="000000"/>
            </w:tcBorders>
            <w:vAlign w:val="center"/>
          </w:tcPr>
          <w:p w14:paraId="1D049253" w14:textId="77777777" w:rsidR="0021475A" w:rsidRPr="00B41F10" w:rsidRDefault="0021475A" w:rsidP="0090442B">
            <w:pPr>
              <w:spacing w:after="0" w:line="240" w:lineRule="auto"/>
              <w:jc w:val="both"/>
              <w:rPr>
                <w:rFonts w:eastAsia="Arial" w:cs="Arial"/>
                <w:color w:val="000000"/>
                <w:sz w:val="17"/>
                <w:szCs w:val="17"/>
              </w:rPr>
            </w:pPr>
            <w:r w:rsidRPr="00B41F10">
              <w:rPr>
                <w:rFonts w:eastAsia="Arial" w:cs="Arial"/>
                <w:color w:val="000000"/>
                <w:sz w:val="17"/>
                <w:szCs w:val="17"/>
              </w:rPr>
              <w:t>Centrální evidence dotací z rozpočtu (informace o poskytnutých účelových dotacích ze státního rozpočtu, prostředků EU a dalších finančních zdrojů)</w:t>
            </w:r>
          </w:p>
        </w:tc>
      </w:tr>
      <w:tr w:rsidR="0021475A" w:rsidRPr="00B41F10" w14:paraId="0487D109" w14:textId="77777777" w:rsidTr="00EC7ED5">
        <w:trPr>
          <w:trHeight w:val="280"/>
          <w:jc w:val="center"/>
        </w:trPr>
        <w:tc>
          <w:tcPr>
            <w:tcW w:w="398" w:type="dxa"/>
            <w:vMerge/>
            <w:tcBorders>
              <w:top w:val="single" w:sz="8" w:space="0" w:color="000000"/>
              <w:left w:val="single" w:sz="8" w:space="0" w:color="000000"/>
              <w:bottom w:val="single" w:sz="8" w:space="0" w:color="000000"/>
              <w:right w:val="single" w:sz="8" w:space="0" w:color="000000"/>
            </w:tcBorders>
            <w:vAlign w:val="center"/>
          </w:tcPr>
          <w:p w14:paraId="4890C05A"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948" w:type="dxa"/>
            <w:vMerge w:val="restart"/>
            <w:tcBorders>
              <w:top w:val="nil"/>
              <w:left w:val="single" w:sz="8" w:space="0" w:color="000000"/>
              <w:right w:val="single" w:sz="8" w:space="0" w:color="000000"/>
            </w:tcBorders>
            <w:vAlign w:val="center"/>
          </w:tcPr>
          <w:p w14:paraId="74302717" w14:textId="77777777" w:rsidR="0021475A" w:rsidRPr="00B41F10" w:rsidRDefault="0021475A" w:rsidP="0090442B">
            <w:pPr>
              <w:widowControl w:val="0"/>
              <w:pBdr>
                <w:top w:val="nil"/>
                <w:left w:val="nil"/>
                <w:bottom w:val="nil"/>
                <w:right w:val="nil"/>
                <w:between w:val="nil"/>
              </w:pBdr>
              <w:spacing w:after="0"/>
              <w:jc w:val="center"/>
              <w:rPr>
                <w:rFonts w:eastAsia="Arial" w:cs="Arial"/>
                <w:color w:val="000000"/>
                <w:sz w:val="17"/>
                <w:szCs w:val="17"/>
              </w:rPr>
            </w:pPr>
            <w:r w:rsidRPr="00B41F10">
              <w:rPr>
                <w:rFonts w:eastAsia="Arial" w:cs="Arial"/>
                <w:color w:val="000000"/>
                <w:sz w:val="17"/>
                <w:szCs w:val="17"/>
              </w:rPr>
              <w:t>TA ČR</w:t>
            </w:r>
          </w:p>
        </w:tc>
        <w:tc>
          <w:tcPr>
            <w:tcW w:w="2268" w:type="dxa"/>
            <w:gridSpan w:val="2"/>
            <w:tcBorders>
              <w:top w:val="nil"/>
              <w:left w:val="nil"/>
              <w:bottom w:val="single" w:sz="8" w:space="0" w:color="000000"/>
              <w:right w:val="single" w:sz="8" w:space="0" w:color="000000"/>
            </w:tcBorders>
            <w:vAlign w:val="center"/>
          </w:tcPr>
          <w:p w14:paraId="76589ADB"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INKA</w:t>
            </w:r>
          </w:p>
        </w:tc>
        <w:tc>
          <w:tcPr>
            <w:tcW w:w="5596" w:type="dxa"/>
            <w:tcBorders>
              <w:top w:val="nil"/>
              <w:left w:val="single" w:sz="8" w:space="0" w:color="000000"/>
              <w:bottom w:val="single" w:sz="8" w:space="0" w:color="000000"/>
              <w:right w:val="single" w:sz="8" w:space="0" w:color="000000"/>
            </w:tcBorders>
            <w:vAlign w:val="center"/>
          </w:tcPr>
          <w:p w14:paraId="4039CD5A" w14:textId="77777777" w:rsidR="0021475A" w:rsidRPr="00B41F10" w:rsidRDefault="0021475A" w:rsidP="0090442B">
            <w:pPr>
              <w:spacing w:after="0" w:line="240" w:lineRule="auto"/>
              <w:jc w:val="both"/>
              <w:rPr>
                <w:rFonts w:eastAsia="Arial" w:cs="Arial"/>
                <w:color w:val="000000"/>
                <w:sz w:val="17"/>
                <w:szCs w:val="17"/>
              </w:rPr>
            </w:pPr>
            <w:r w:rsidRPr="00B41F10">
              <w:rPr>
                <w:rFonts w:eastAsia="Arial" w:cs="Arial"/>
                <w:color w:val="000000"/>
                <w:sz w:val="17"/>
                <w:szCs w:val="17"/>
              </w:rPr>
              <w:t>Mapování inovační kapacity ČR: software pro online prezentaci dat z projektu INKA – Inovační kapacity 2014+</w:t>
            </w:r>
          </w:p>
        </w:tc>
      </w:tr>
      <w:tr w:rsidR="0021475A" w:rsidRPr="00B41F10" w14:paraId="4B9AECF7" w14:textId="77777777" w:rsidTr="00EC7ED5">
        <w:trPr>
          <w:trHeight w:val="280"/>
          <w:jc w:val="center"/>
        </w:trPr>
        <w:tc>
          <w:tcPr>
            <w:tcW w:w="398" w:type="dxa"/>
            <w:vMerge/>
            <w:tcBorders>
              <w:top w:val="single" w:sz="8" w:space="0" w:color="000000"/>
              <w:left w:val="single" w:sz="8" w:space="0" w:color="000000"/>
              <w:bottom w:val="single" w:sz="8" w:space="0" w:color="000000"/>
              <w:right w:val="single" w:sz="8" w:space="0" w:color="000000"/>
            </w:tcBorders>
            <w:vAlign w:val="center"/>
          </w:tcPr>
          <w:p w14:paraId="696B09DA"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948" w:type="dxa"/>
            <w:vMerge/>
            <w:tcBorders>
              <w:left w:val="single" w:sz="8" w:space="0" w:color="000000"/>
              <w:bottom w:val="single" w:sz="8" w:space="0" w:color="000000"/>
              <w:right w:val="single" w:sz="8" w:space="0" w:color="000000"/>
            </w:tcBorders>
            <w:vAlign w:val="center"/>
          </w:tcPr>
          <w:p w14:paraId="4A65EA41"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2268" w:type="dxa"/>
            <w:gridSpan w:val="2"/>
            <w:tcBorders>
              <w:top w:val="nil"/>
              <w:left w:val="nil"/>
              <w:bottom w:val="single" w:sz="8" w:space="0" w:color="000000"/>
              <w:right w:val="single" w:sz="8" w:space="0" w:color="000000"/>
            </w:tcBorders>
            <w:vAlign w:val="center"/>
          </w:tcPr>
          <w:p w14:paraId="42D89555"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STARFOS</w:t>
            </w:r>
          </w:p>
        </w:tc>
        <w:tc>
          <w:tcPr>
            <w:tcW w:w="5596" w:type="dxa"/>
            <w:tcBorders>
              <w:top w:val="nil"/>
              <w:left w:val="single" w:sz="8" w:space="0" w:color="000000"/>
              <w:bottom w:val="single" w:sz="8" w:space="0" w:color="000000"/>
              <w:right w:val="single" w:sz="8" w:space="0" w:color="000000"/>
            </w:tcBorders>
            <w:vAlign w:val="center"/>
          </w:tcPr>
          <w:p w14:paraId="09E5AFEE" w14:textId="77777777" w:rsidR="0021475A" w:rsidRPr="00B41F10" w:rsidRDefault="0021475A" w:rsidP="0090442B">
            <w:pPr>
              <w:spacing w:after="0" w:line="240" w:lineRule="auto"/>
              <w:jc w:val="both"/>
              <w:rPr>
                <w:rFonts w:eastAsia="Arial" w:cs="Arial"/>
                <w:color w:val="000000"/>
                <w:sz w:val="17"/>
                <w:szCs w:val="17"/>
              </w:rPr>
            </w:pPr>
            <w:r w:rsidRPr="00B41F10">
              <w:rPr>
                <w:rFonts w:eastAsia="Arial" w:cs="Arial"/>
                <w:color w:val="000000"/>
                <w:sz w:val="17"/>
                <w:szCs w:val="17"/>
              </w:rPr>
              <w:t xml:space="preserve">Vyhledávač projektů a výsledků </w:t>
            </w:r>
            <w:proofErr w:type="spellStart"/>
            <w:r w:rsidRPr="00B41F10">
              <w:rPr>
                <w:rFonts w:eastAsia="Arial" w:cs="Arial"/>
                <w:color w:val="000000"/>
                <w:sz w:val="17"/>
                <w:szCs w:val="17"/>
              </w:rPr>
              <w:t>VaVaI</w:t>
            </w:r>
            <w:proofErr w:type="spellEnd"/>
            <w:r w:rsidRPr="00B41F10">
              <w:rPr>
                <w:rFonts w:eastAsia="Arial" w:cs="Arial"/>
                <w:color w:val="000000"/>
                <w:sz w:val="17"/>
                <w:szCs w:val="17"/>
              </w:rPr>
              <w:t xml:space="preserve"> podpořených z veřejných prostředků</w:t>
            </w:r>
          </w:p>
        </w:tc>
      </w:tr>
      <w:tr w:rsidR="0021475A" w:rsidRPr="00B41F10" w14:paraId="5AB16926" w14:textId="77777777" w:rsidTr="00EC7ED5">
        <w:trPr>
          <w:trHeight w:val="280"/>
          <w:jc w:val="center"/>
        </w:trPr>
        <w:tc>
          <w:tcPr>
            <w:tcW w:w="398" w:type="dxa"/>
            <w:vMerge/>
            <w:tcBorders>
              <w:top w:val="single" w:sz="8" w:space="0" w:color="000000"/>
              <w:left w:val="single" w:sz="8" w:space="0" w:color="000000"/>
              <w:bottom w:val="single" w:sz="8" w:space="0" w:color="000000"/>
              <w:right w:val="single" w:sz="8" w:space="0" w:color="000000"/>
            </w:tcBorders>
            <w:vAlign w:val="center"/>
          </w:tcPr>
          <w:p w14:paraId="11819FB7"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948" w:type="dxa"/>
            <w:tcBorders>
              <w:top w:val="nil"/>
              <w:left w:val="single" w:sz="8" w:space="0" w:color="000000"/>
              <w:bottom w:val="single" w:sz="8" w:space="0" w:color="000000"/>
              <w:right w:val="single" w:sz="8" w:space="0" w:color="000000"/>
            </w:tcBorders>
            <w:vAlign w:val="center"/>
          </w:tcPr>
          <w:p w14:paraId="34D8FD1B" w14:textId="77777777" w:rsidR="0021475A" w:rsidRPr="00B41F10" w:rsidRDefault="0021475A" w:rsidP="0090442B">
            <w:pPr>
              <w:spacing w:after="0" w:line="240" w:lineRule="auto"/>
              <w:rPr>
                <w:rFonts w:eastAsia="Arial" w:cs="Arial"/>
                <w:color w:val="000000"/>
                <w:sz w:val="17"/>
                <w:szCs w:val="17"/>
              </w:rPr>
            </w:pPr>
            <w:r w:rsidRPr="00B41F10">
              <w:rPr>
                <w:rFonts w:eastAsia="Arial" w:cs="Arial"/>
                <w:color w:val="000000"/>
                <w:sz w:val="17"/>
                <w:szCs w:val="17"/>
              </w:rPr>
              <w:t>MPO/ CI</w:t>
            </w:r>
          </w:p>
        </w:tc>
        <w:tc>
          <w:tcPr>
            <w:tcW w:w="2268" w:type="dxa"/>
            <w:gridSpan w:val="2"/>
            <w:tcBorders>
              <w:top w:val="nil"/>
              <w:left w:val="nil"/>
              <w:bottom w:val="single" w:sz="8" w:space="0" w:color="000000"/>
              <w:right w:val="single" w:sz="8" w:space="0" w:color="000000"/>
            </w:tcBorders>
            <w:vAlign w:val="center"/>
          </w:tcPr>
          <w:p w14:paraId="0372D58C"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Udělené investiční pobídky</w:t>
            </w:r>
          </w:p>
        </w:tc>
        <w:tc>
          <w:tcPr>
            <w:tcW w:w="5596" w:type="dxa"/>
            <w:tcBorders>
              <w:top w:val="nil"/>
              <w:left w:val="single" w:sz="8" w:space="0" w:color="000000"/>
              <w:bottom w:val="single" w:sz="8" w:space="0" w:color="000000"/>
              <w:right w:val="single" w:sz="8" w:space="0" w:color="000000"/>
            </w:tcBorders>
            <w:vAlign w:val="center"/>
          </w:tcPr>
          <w:p w14:paraId="6776FC14" w14:textId="77777777" w:rsidR="0021475A" w:rsidRPr="00B41F10" w:rsidRDefault="0021475A" w:rsidP="0090442B">
            <w:pPr>
              <w:spacing w:after="0" w:line="240" w:lineRule="auto"/>
              <w:jc w:val="both"/>
              <w:rPr>
                <w:rFonts w:eastAsia="Arial" w:cs="Arial"/>
                <w:color w:val="000000"/>
                <w:sz w:val="17"/>
                <w:szCs w:val="17"/>
              </w:rPr>
            </w:pPr>
            <w:r w:rsidRPr="00B41F10">
              <w:rPr>
                <w:rFonts w:eastAsia="Arial" w:cs="Arial"/>
                <w:color w:val="000000"/>
                <w:sz w:val="17"/>
                <w:szCs w:val="17"/>
              </w:rPr>
              <w:t xml:space="preserve">Přehled udělených investičních podmínek do zpracovatelského průmyslu, </w:t>
            </w:r>
            <w:proofErr w:type="spellStart"/>
            <w:r w:rsidRPr="00B41F10">
              <w:rPr>
                <w:rFonts w:eastAsia="Arial" w:cs="Arial"/>
                <w:color w:val="000000"/>
                <w:sz w:val="17"/>
                <w:szCs w:val="17"/>
              </w:rPr>
              <w:t>VaV</w:t>
            </w:r>
            <w:proofErr w:type="spellEnd"/>
            <w:r w:rsidRPr="00B41F10">
              <w:rPr>
                <w:rFonts w:eastAsia="Arial" w:cs="Arial"/>
                <w:color w:val="000000"/>
                <w:sz w:val="17"/>
                <w:szCs w:val="17"/>
              </w:rPr>
              <w:t> a vybraných podporovaných oborů služeb</w:t>
            </w:r>
          </w:p>
        </w:tc>
      </w:tr>
      <w:tr w:rsidR="0021475A" w:rsidRPr="00B41F10" w14:paraId="72C28005" w14:textId="77777777" w:rsidTr="00EC7ED5">
        <w:trPr>
          <w:trHeight w:val="280"/>
          <w:jc w:val="center"/>
        </w:trPr>
        <w:tc>
          <w:tcPr>
            <w:tcW w:w="398" w:type="dxa"/>
            <w:vMerge/>
            <w:tcBorders>
              <w:top w:val="single" w:sz="8" w:space="0" w:color="000000"/>
              <w:left w:val="single" w:sz="8" w:space="0" w:color="000000"/>
              <w:bottom w:val="single" w:sz="8" w:space="0" w:color="000000"/>
              <w:right w:val="single" w:sz="8" w:space="0" w:color="000000"/>
            </w:tcBorders>
            <w:vAlign w:val="center"/>
          </w:tcPr>
          <w:p w14:paraId="631BC77F"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948" w:type="dxa"/>
            <w:tcBorders>
              <w:top w:val="nil"/>
              <w:left w:val="single" w:sz="8" w:space="0" w:color="000000"/>
              <w:bottom w:val="single" w:sz="8" w:space="0" w:color="000000"/>
              <w:right w:val="single" w:sz="8" w:space="0" w:color="000000"/>
            </w:tcBorders>
            <w:vAlign w:val="center"/>
          </w:tcPr>
          <w:p w14:paraId="3BC1342B" w14:textId="77777777" w:rsidR="0021475A" w:rsidRPr="00B41F10" w:rsidRDefault="0021475A" w:rsidP="0090442B">
            <w:pPr>
              <w:spacing w:after="0" w:line="240" w:lineRule="auto"/>
              <w:rPr>
                <w:rFonts w:eastAsia="Arial" w:cs="Arial"/>
                <w:color w:val="000000"/>
                <w:sz w:val="17"/>
                <w:szCs w:val="17"/>
              </w:rPr>
            </w:pPr>
            <w:r w:rsidRPr="00B41F10">
              <w:rPr>
                <w:rFonts w:eastAsia="Arial" w:cs="Arial"/>
                <w:color w:val="000000"/>
                <w:sz w:val="17"/>
                <w:szCs w:val="17"/>
              </w:rPr>
              <w:t>CZINV</w:t>
            </w:r>
          </w:p>
        </w:tc>
        <w:tc>
          <w:tcPr>
            <w:tcW w:w="2268" w:type="dxa"/>
            <w:gridSpan w:val="2"/>
            <w:tcBorders>
              <w:top w:val="nil"/>
              <w:left w:val="nil"/>
              <w:bottom w:val="single" w:sz="8" w:space="0" w:color="000000"/>
              <w:right w:val="single" w:sz="8" w:space="0" w:color="000000"/>
            </w:tcBorders>
            <w:vAlign w:val="center"/>
          </w:tcPr>
          <w:p w14:paraId="7DFB3813"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 xml:space="preserve">Mapové vrstvy </w:t>
            </w:r>
            <w:proofErr w:type="spellStart"/>
            <w:r w:rsidRPr="00B41F10">
              <w:rPr>
                <w:rFonts w:eastAsia="Arial" w:cs="Arial"/>
                <w:color w:val="000000"/>
                <w:sz w:val="17"/>
                <w:szCs w:val="17"/>
              </w:rPr>
              <w:t>CzechInvestu</w:t>
            </w:r>
            <w:proofErr w:type="spellEnd"/>
          </w:p>
        </w:tc>
        <w:tc>
          <w:tcPr>
            <w:tcW w:w="5596" w:type="dxa"/>
            <w:tcBorders>
              <w:top w:val="nil"/>
              <w:left w:val="single" w:sz="8" w:space="0" w:color="000000"/>
              <w:bottom w:val="single" w:sz="8" w:space="0" w:color="000000"/>
              <w:right w:val="single" w:sz="8" w:space="0" w:color="000000"/>
            </w:tcBorders>
            <w:vAlign w:val="center"/>
          </w:tcPr>
          <w:p w14:paraId="29A324AB" w14:textId="77777777" w:rsidR="0021475A" w:rsidRPr="00B41F10" w:rsidRDefault="0021475A" w:rsidP="0090442B">
            <w:pPr>
              <w:spacing w:after="0" w:line="240" w:lineRule="auto"/>
              <w:jc w:val="both"/>
              <w:rPr>
                <w:rFonts w:eastAsia="Arial" w:cs="Arial"/>
                <w:color w:val="000000"/>
                <w:sz w:val="17"/>
                <w:szCs w:val="17"/>
              </w:rPr>
            </w:pPr>
            <w:r w:rsidRPr="00B41F10">
              <w:rPr>
                <w:rFonts w:eastAsia="Arial" w:cs="Arial"/>
                <w:color w:val="000000"/>
                <w:sz w:val="17"/>
                <w:szCs w:val="17"/>
              </w:rPr>
              <w:t xml:space="preserve">Mapování regionálních inovačních kapacit a infrastruktury (doprava, podnikatelská infrastruktura, </w:t>
            </w:r>
            <w:proofErr w:type="spellStart"/>
            <w:r w:rsidRPr="00B41F10">
              <w:rPr>
                <w:rFonts w:eastAsia="Arial" w:cs="Arial"/>
                <w:color w:val="000000"/>
                <w:sz w:val="17"/>
                <w:szCs w:val="17"/>
              </w:rPr>
              <w:t>VaVaI</w:t>
            </w:r>
            <w:proofErr w:type="spellEnd"/>
            <w:r w:rsidRPr="00B41F10">
              <w:rPr>
                <w:rFonts w:eastAsia="Arial" w:cs="Arial"/>
                <w:color w:val="000000"/>
                <w:sz w:val="17"/>
                <w:szCs w:val="17"/>
              </w:rPr>
              <w:t>, vzdělávání, veřejná podpora, nemovitosti, socioekonomické ukazatele)</w:t>
            </w:r>
            <w:r w:rsidRPr="00B41F10">
              <w:rPr>
                <w:rStyle w:val="Odkaznakoment"/>
              </w:rPr>
              <w:t xml:space="preserve"> </w:t>
            </w:r>
          </w:p>
        </w:tc>
      </w:tr>
      <w:tr w:rsidR="0021475A" w:rsidRPr="00B41F10" w14:paraId="54A16D26" w14:textId="77777777" w:rsidTr="00EC7ED5">
        <w:trPr>
          <w:trHeight w:val="280"/>
          <w:jc w:val="center"/>
        </w:trPr>
        <w:tc>
          <w:tcPr>
            <w:tcW w:w="398" w:type="dxa"/>
            <w:vMerge/>
            <w:tcBorders>
              <w:top w:val="single" w:sz="8" w:space="0" w:color="000000"/>
              <w:left w:val="single" w:sz="8" w:space="0" w:color="000000"/>
              <w:bottom w:val="single" w:sz="8" w:space="0" w:color="000000"/>
              <w:right w:val="single" w:sz="8" w:space="0" w:color="000000"/>
            </w:tcBorders>
            <w:vAlign w:val="center"/>
          </w:tcPr>
          <w:p w14:paraId="2AB64018"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948" w:type="dxa"/>
            <w:tcBorders>
              <w:top w:val="nil"/>
              <w:left w:val="single" w:sz="8" w:space="0" w:color="000000"/>
              <w:bottom w:val="single" w:sz="8" w:space="0" w:color="000000"/>
              <w:right w:val="single" w:sz="8" w:space="0" w:color="000000"/>
            </w:tcBorders>
            <w:vAlign w:val="center"/>
          </w:tcPr>
          <w:p w14:paraId="2CC5B15C" w14:textId="77777777" w:rsidR="0021475A" w:rsidRPr="00B41F10" w:rsidRDefault="0021475A" w:rsidP="0090442B">
            <w:pPr>
              <w:spacing w:after="0" w:line="240" w:lineRule="auto"/>
              <w:rPr>
                <w:rFonts w:eastAsia="Arial" w:cs="Arial"/>
                <w:color w:val="000000"/>
                <w:sz w:val="17"/>
                <w:szCs w:val="17"/>
              </w:rPr>
            </w:pPr>
            <w:r w:rsidRPr="00B41F10">
              <w:rPr>
                <w:rFonts w:eastAsia="Arial" w:cs="Arial"/>
                <w:color w:val="000000"/>
                <w:sz w:val="17"/>
                <w:szCs w:val="17"/>
              </w:rPr>
              <w:t>ASEP</w:t>
            </w:r>
          </w:p>
        </w:tc>
        <w:tc>
          <w:tcPr>
            <w:tcW w:w="2268" w:type="dxa"/>
            <w:gridSpan w:val="2"/>
            <w:tcBorders>
              <w:top w:val="nil"/>
              <w:left w:val="nil"/>
              <w:bottom w:val="single" w:sz="8" w:space="0" w:color="000000"/>
              <w:right w:val="single" w:sz="8" w:space="0" w:color="000000"/>
            </w:tcBorders>
            <w:vAlign w:val="center"/>
          </w:tcPr>
          <w:p w14:paraId="3731EBB1"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Evidence výsledků vědecké práce v AV ČR</w:t>
            </w:r>
          </w:p>
        </w:tc>
        <w:tc>
          <w:tcPr>
            <w:tcW w:w="5596" w:type="dxa"/>
            <w:tcBorders>
              <w:top w:val="nil"/>
              <w:left w:val="single" w:sz="8" w:space="0" w:color="000000"/>
              <w:bottom w:val="single" w:sz="8" w:space="0" w:color="000000"/>
              <w:right w:val="single" w:sz="8" w:space="0" w:color="000000"/>
            </w:tcBorders>
            <w:vAlign w:val="center"/>
          </w:tcPr>
          <w:p w14:paraId="112BB3E7" w14:textId="77777777" w:rsidR="0021475A" w:rsidRPr="00B41F10" w:rsidRDefault="0021475A" w:rsidP="0090442B">
            <w:pPr>
              <w:spacing w:after="0" w:line="240" w:lineRule="auto"/>
              <w:jc w:val="both"/>
              <w:rPr>
                <w:rFonts w:eastAsia="Arial" w:cs="Arial"/>
                <w:color w:val="000000"/>
                <w:sz w:val="17"/>
                <w:szCs w:val="17"/>
              </w:rPr>
            </w:pPr>
            <w:r w:rsidRPr="00B41F10">
              <w:rPr>
                <w:rFonts w:eastAsia="Arial" w:cs="Arial"/>
                <w:color w:val="000000"/>
                <w:sz w:val="17"/>
                <w:szCs w:val="17"/>
              </w:rPr>
              <w:t>Bibliografické záznamy jsou dostupné s retrospektivou až do roku 1985, v úplnosti pak od roku 1993. V některých případech mohou záznamy obsahovat také plné texty publikovaných dokumentů.</w:t>
            </w:r>
          </w:p>
        </w:tc>
      </w:tr>
      <w:tr w:rsidR="0021475A" w:rsidRPr="00B41F10" w14:paraId="3334A5BD" w14:textId="77777777" w:rsidTr="00982EF1">
        <w:trPr>
          <w:trHeight w:val="280"/>
          <w:jc w:val="center"/>
        </w:trPr>
        <w:tc>
          <w:tcPr>
            <w:tcW w:w="398" w:type="dxa"/>
            <w:vMerge/>
            <w:tcBorders>
              <w:top w:val="single" w:sz="8" w:space="0" w:color="000000"/>
              <w:left w:val="single" w:sz="8" w:space="0" w:color="000000"/>
              <w:bottom w:val="single" w:sz="8" w:space="0" w:color="000000"/>
              <w:right w:val="single" w:sz="8" w:space="0" w:color="000000"/>
            </w:tcBorders>
            <w:vAlign w:val="center"/>
          </w:tcPr>
          <w:p w14:paraId="4FE5288A"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8812" w:type="dxa"/>
            <w:gridSpan w:val="4"/>
            <w:tcBorders>
              <w:top w:val="single" w:sz="8" w:space="0" w:color="000000"/>
              <w:left w:val="nil"/>
              <w:bottom w:val="single" w:sz="8" w:space="0" w:color="000000"/>
              <w:right w:val="single" w:sz="8" w:space="0" w:color="000000"/>
            </w:tcBorders>
            <w:vAlign w:val="center"/>
          </w:tcPr>
          <w:p w14:paraId="255118E4"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Další dokumenty a statistiky poskytovatelů nebo resortů a dalších organizací*</w:t>
            </w:r>
          </w:p>
        </w:tc>
      </w:tr>
      <w:tr w:rsidR="0021475A" w:rsidRPr="00B41F10" w14:paraId="2CE9B464" w14:textId="77777777" w:rsidTr="00190851">
        <w:trPr>
          <w:trHeight w:val="280"/>
          <w:jc w:val="center"/>
        </w:trPr>
        <w:tc>
          <w:tcPr>
            <w:tcW w:w="398" w:type="dxa"/>
            <w:vMerge w:val="restart"/>
            <w:tcBorders>
              <w:top w:val="single" w:sz="8" w:space="0" w:color="000000"/>
              <w:left w:val="single" w:sz="8" w:space="0" w:color="000000"/>
              <w:bottom w:val="single" w:sz="4" w:space="0" w:color="auto"/>
              <w:right w:val="single" w:sz="8" w:space="0" w:color="000000"/>
            </w:tcBorders>
            <w:textDirection w:val="btLr"/>
            <w:vAlign w:val="center"/>
          </w:tcPr>
          <w:p w14:paraId="05C7255F" w14:textId="77777777" w:rsidR="0021475A" w:rsidRPr="00B41F10" w:rsidRDefault="0021475A" w:rsidP="0090442B">
            <w:pPr>
              <w:spacing w:after="0" w:line="240" w:lineRule="auto"/>
              <w:ind w:left="113" w:right="113"/>
              <w:jc w:val="center"/>
              <w:rPr>
                <w:rFonts w:eastAsia="Arial" w:cs="Arial"/>
                <w:color w:val="000000"/>
                <w:sz w:val="17"/>
                <w:szCs w:val="17"/>
              </w:rPr>
            </w:pPr>
            <w:r w:rsidRPr="00B41F10">
              <w:rPr>
                <w:rFonts w:eastAsia="Arial" w:cs="Arial"/>
                <w:color w:val="000000"/>
                <w:sz w:val="17"/>
                <w:szCs w:val="17"/>
              </w:rPr>
              <w:t>ZAHRANIČNÍ</w:t>
            </w:r>
          </w:p>
        </w:tc>
        <w:tc>
          <w:tcPr>
            <w:tcW w:w="3216" w:type="dxa"/>
            <w:gridSpan w:val="3"/>
            <w:tcBorders>
              <w:top w:val="single" w:sz="8" w:space="0" w:color="000000"/>
              <w:left w:val="single" w:sz="8" w:space="0" w:color="000000"/>
              <w:bottom w:val="single" w:sz="8" w:space="0" w:color="000000"/>
              <w:right w:val="single" w:sz="8" w:space="0" w:color="000000"/>
            </w:tcBorders>
            <w:vAlign w:val="center"/>
          </w:tcPr>
          <w:p w14:paraId="43F15B98" w14:textId="77777777" w:rsidR="0021475A" w:rsidRPr="00B41F10" w:rsidRDefault="0021475A" w:rsidP="0090442B">
            <w:pPr>
              <w:spacing w:after="0" w:line="240" w:lineRule="auto"/>
              <w:jc w:val="center"/>
              <w:rPr>
                <w:rFonts w:eastAsia="Arial" w:cs="Arial"/>
                <w:b/>
                <w:color w:val="000000"/>
                <w:sz w:val="17"/>
                <w:szCs w:val="17"/>
              </w:rPr>
            </w:pPr>
            <w:r w:rsidRPr="00B41F10">
              <w:rPr>
                <w:rFonts w:eastAsia="Arial" w:cs="Arial"/>
                <w:color w:val="000000"/>
                <w:sz w:val="17"/>
                <w:szCs w:val="17"/>
              </w:rPr>
              <w:t>EUROSTAT</w:t>
            </w:r>
          </w:p>
        </w:tc>
        <w:tc>
          <w:tcPr>
            <w:tcW w:w="5596" w:type="dxa"/>
            <w:tcBorders>
              <w:top w:val="nil"/>
              <w:left w:val="nil"/>
              <w:bottom w:val="single" w:sz="8" w:space="0" w:color="000000"/>
              <w:right w:val="single" w:sz="8" w:space="0" w:color="000000"/>
            </w:tcBorders>
            <w:vAlign w:val="center"/>
          </w:tcPr>
          <w:p w14:paraId="1D53A4E5" w14:textId="77777777" w:rsidR="0021475A" w:rsidRPr="00B41F10" w:rsidRDefault="0021475A" w:rsidP="0090442B">
            <w:pPr>
              <w:spacing w:after="0" w:line="240" w:lineRule="auto"/>
              <w:rPr>
                <w:rFonts w:eastAsia="Arial" w:cs="Arial"/>
                <w:b/>
                <w:color w:val="000000"/>
                <w:sz w:val="17"/>
                <w:szCs w:val="17"/>
              </w:rPr>
            </w:pPr>
            <w:proofErr w:type="spellStart"/>
            <w:r w:rsidRPr="00B41F10">
              <w:rPr>
                <w:rFonts w:eastAsia="Arial" w:cs="Arial"/>
                <w:color w:val="000000"/>
                <w:sz w:val="17"/>
                <w:szCs w:val="17"/>
              </w:rPr>
              <w:t>Government</w:t>
            </w:r>
            <w:proofErr w:type="spellEnd"/>
            <w:r w:rsidRPr="00B41F10">
              <w:rPr>
                <w:rFonts w:eastAsia="Arial" w:cs="Arial"/>
                <w:color w:val="000000"/>
                <w:sz w:val="17"/>
                <w:szCs w:val="17"/>
              </w:rPr>
              <w:t xml:space="preserve"> budget </w:t>
            </w:r>
            <w:proofErr w:type="spellStart"/>
            <w:r w:rsidRPr="00B41F10">
              <w:rPr>
                <w:rFonts w:eastAsia="Arial" w:cs="Arial"/>
                <w:color w:val="000000"/>
                <w:sz w:val="17"/>
                <w:szCs w:val="17"/>
              </w:rPr>
              <w:t>appropriations</w:t>
            </w:r>
            <w:proofErr w:type="spellEnd"/>
            <w:r w:rsidRPr="00B41F10">
              <w:rPr>
                <w:rFonts w:eastAsia="Arial" w:cs="Arial"/>
                <w:color w:val="000000"/>
                <w:sz w:val="17"/>
                <w:szCs w:val="17"/>
              </w:rPr>
              <w:t xml:space="preserve"> </w:t>
            </w:r>
            <w:proofErr w:type="spellStart"/>
            <w:r w:rsidRPr="00B41F10">
              <w:rPr>
                <w:rFonts w:eastAsia="Arial" w:cs="Arial"/>
                <w:color w:val="000000"/>
                <w:sz w:val="17"/>
                <w:szCs w:val="17"/>
              </w:rPr>
              <w:t>or</w:t>
            </w:r>
            <w:proofErr w:type="spellEnd"/>
            <w:r w:rsidRPr="00B41F10">
              <w:rPr>
                <w:rFonts w:eastAsia="Arial" w:cs="Arial"/>
                <w:color w:val="000000"/>
                <w:sz w:val="17"/>
                <w:szCs w:val="17"/>
              </w:rPr>
              <w:t xml:space="preserve"> </w:t>
            </w:r>
            <w:proofErr w:type="spellStart"/>
            <w:r w:rsidRPr="00B41F10">
              <w:rPr>
                <w:rFonts w:eastAsia="Arial" w:cs="Arial"/>
                <w:color w:val="000000"/>
                <w:sz w:val="17"/>
                <w:szCs w:val="17"/>
              </w:rPr>
              <w:t>outlays</w:t>
            </w:r>
            <w:proofErr w:type="spellEnd"/>
            <w:r w:rsidRPr="00B41F10">
              <w:rPr>
                <w:rFonts w:eastAsia="Arial" w:cs="Arial"/>
                <w:color w:val="000000"/>
                <w:sz w:val="17"/>
                <w:szCs w:val="17"/>
              </w:rPr>
              <w:t xml:space="preserve"> </w:t>
            </w:r>
            <w:proofErr w:type="spellStart"/>
            <w:r w:rsidRPr="00B41F10">
              <w:rPr>
                <w:rFonts w:eastAsia="Arial" w:cs="Arial"/>
                <w:color w:val="000000"/>
                <w:sz w:val="17"/>
                <w:szCs w:val="17"/>
              </w:rPr>
              <w:t>for</w:t>
            </w:r>
            <w:proofErr w:type="spellEnd"/>
            <w:r w:rsidRPr="00B41F10">
              <w:rPr>
                <w:rFonts w:eastAsia="Arial" w:cs="Arial"/>
                <w:color w:val="000000"/>
                <w:sz w:val="17"/>
                <w:szCs w:val="17"/>
              </w:rPr>
              <w:t xml:space="preserve"> R&amp;D </w:t>
            </w:r>
            <w:proofErr w:type="spellStart"/>
            <w:r w:rsidRPr="00B41F10">
              <w:rPr>
                <w:rFonts w:eastAsia="Arial" w:cs="Arial"/>
                <w:color w:val="000000"/>
                <w:sz w:val="17"/>
                <w:szCs w:val="17"/>
              </w:rPr>
              <w:t>statistics</w:t>
            </w:r>
            <w:proofErr w:type="spellEnd"/>
          </w:p>
        </w:tc>
      </w:tr>
      <w:tr w:rsidR="0021475A" w:rsidRPr="00B41F10" w14:paraId="50C292B2" w14:textId="77777777" w:rsidTr="00190851">
        <w:trPr>
          <w:trHeight w:val="280"/>
          <w:jc w:val="center"/>
        </w:trPr>
        <w:tc>
          <w:tcPr>
            <w:tcW w:w="398" w:type="dxa"/>
            <w:vMerge/>
            <w:tcBorders>
              <w:top w:val="single" w:sz="8" w:space="0" w:color="000000"/>
              <w:left w:val="single" w:sz="8" w:space="0" w:color="000000"/>
              <w:bottom w:val="single" w:sz="4" w:space="0" w:color="auto"/>
              <w:right w:val="single" w:sz="8" w:space="0" w:color="000000"/>
            </w:tcBorders>
            <w:vAlign w:val="center"/>
          </w:tcPr>
          <w:p w14:paraId="1CBA39F2" w14:textId="77777777" w:rsidR="0021475A" w:rsidRPr="00B41F10" w:rsidRDefault="0021475A" w:rsidP="0090442B">
            <w:pPr>
              <w:widowControl w:val="0"/>
              <w:pBdr>
                <w:top w:val="nil"/>
                <w:left w:val="nil"/>
                <w:bottom w:val="nil"/>
                <w:right w:val="nil"/>
                <w:between w:val="nil"/>
              </w:pBdr>
              <w:spacing w:after="0"/>
              <w:rPr>
                <w:rFonts w:eastAsia="Arial" w:cs="Arial"/>
                <w:b/>
                <w:color w:val="000000"/>
                <w:sz w:val="17"/>
                <w:szCs w:val="17"/>
              </w:rPr>
            </w:pPr>
          </w:p>
        </w:tc>
        <w:tc>
          <w:tcPr>
            <w:tcW w:w="3216" w:type="dxa"/>
            <w:gridSpan w:val="3"/>
            <w:vMerge w:val="restart"/>
            <w:tcBorders>
              <w:top w:val="single" w:sz="8" w:space="0" w:color="000000"/>
              <w:left w:val="single" w:sz="8" w:space="0" w:color="000000"/>
              <w:right w:val="single" w:sz="8" w:space="0" w:color="000000"/>
            </w:tcBorders>
            <w:vAlign w:val="center"/>
          </w:tcPr>
          <w:p w14:paraId="2F4DB5AF"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EUROSTAT</w:t>
            </w:r>
          </w:p>
          <w:p w14:paraId="533FB9F6"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OECD</w:t>
            </w:r>
          </w:p>
        </w:tc>
        <w:tc>
          <w:tcPr>
            <w:tcW w:w="5596" w:type="dxa"/>
            <w:tcBorders>
              <w:top w:val="nil"/>
              <w:left w:val="nil"/>
              <w:bottom w:val="single" w:sz="8" w:space="0" w:color="000000"/>
              <w:right w:val="single" w:sz="8" w:space="0" w:color="000000"/>
            </w:tcBorders>
            <w:vAlign w:val="center"/>
          </w:tcPr>
          <w:p w14:paraId="4ECE05D5" w14:textId="77777777" w:rsidR="0021475A" w:rsidRPr="00B41F10" w:rsidRDefault="0021475A" w:rsidP="0090442B">
            <w:pPr>
              <w:spacing w:after="0" w:line="240" w:lineRule="auto"/>
              <w:jc w:val="both"/>
              <w:rPr>
                <w:rFonts w:eastAsia="Arial" w:cs="Arial"/>
                <w:color w:val="000000"/>
                <w:sz w:val="17"/>
                <w:szCs w:val="17"/>
              </w:rPr>
            </w:pPr>
            <w:proofErr w:type="spellStart"/>
            <w:r w:rsidRPr="00B41F10">
              <w:rPr>
                <w:rFonts w:eastAsia="Arial" w:cs="Arial"/>
                <w:color w:val="000000"/>
                <w:sz w:val="17"/>
                <w:szCs w:val="17"/>
              </w:rPr>
              <w:t>Community</w:t>
            </w:r>
            <w:proofErr w:type="spellEnd"/>
            <w:r w:rsidRPr="00B41F10">
              <w:rPr>
                <w:rFonts w:eastAsia="Arial" w:cs="Arial"/>
                <w:color w:val="000000"/>
                <w:sz w:val="17"/>
                <w:szCs w:val="17"/>
              </w:rPr>
              <w:t xml:space="preserve"> </w:t>
            </w:r>
            <w:proofErr w:type="spellStart"/>
            <w:r w:rsidRPr="00B41F10">
              <w:rPr>
                <w:rFonts w:eastAsia="Arial" w:cs="Arial"/>
                <w:color w:val="000000"/>
                <w:sz w:val="17"/>
                <w:szCs w:val="17"/>
              </w:rPr>
              <w:t>innovation</w:t>
            </w:r>
            <w:proofErr w:type="spellEnd"/>
            <w:r w:rsidRPr="00B41F10">
              <w:rPr>
                <w:rFonts w:eastAsia="Arial" w:cs="Arial"/>
                <w:color w:val="000000"/>
                <w:sz w:val="17"/>
                <w:szCs w:val="17"/>
              </w:rPr>
              <w:t xml:space="preserve"> </w:t>
            </w:r>
            <w:proofErr w:type="spellStart"/>
            <w:r w:rsidRPr="00B41F10">
              <w:rPr>
                <w:rFonts w:eastAsia="Arial" w:cs="Arial"/>
                <w:color w:val="000000"/>
                <w:sz w:val="17"/>
                <w:szCs w:val="17"/>
              </w:rPr>
              <w:t>survey</w:t>
            </w:r>
            <w:proofErr w:type="spellEnd"/>
          </w:p>
        </w:tc>
      </w:tr>
      <w:tr w:rsidR="0021475A" w:rsidRPr="00B41F10" w14:paraId="4519F013" w14:textId="77777777" w:rsidTr="00190851">
        <w:trPr>
          <w:trHeight w:val="280"/>
          <w:jc w:val="center"/>
        </w:trPr>
        <w:tc>
          <w:tcPr>
            <w:tcW w:w="398" w:type="dxa"/>
            <w:vMerge/>
            <w:tcBorders>
              <w:top w:val="single" w:sz="8" w:space="0" w:color="000000"/>
              <w:left w:val="single" w:sz="8" w:space="0" w:color="000000"/>
              <w:bottom w:val="single" w:sz="4" w:space="0" w:color="auto"/>
              <w:right w:val="single" w:sz="8" w:space="0" w:color="000000"/>
            </w:tcBorders>
            <w:vAlign w:val="center"/>
          </w:tcPr>
          <w:p w14:paraId="53829A18"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3216" w:type="dxa"/>
            <w:gridSpan w:val="3"/>
            <w:vMerge/>
            <w:tcBorders>
              <w:left w:val="single" w:sz="8" w:space="0" w:color="000000"/>
              <w:right w:val="single" w:sz="8" w:space="0" w:color="000000"/>
            </w:tcBorders>
            <w:vAlign w:val="center"/>
          </w:tcPr>
          <w:p w14:paraId="545E65FB"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5596" w:type="dxa"/>
            <w:tcBorders>
              <w:top w:val="nil"/>
              <w:left w:val="nil"/>
              <w:bottom w:val="single" w:sz="8" w:space="0" w:color="000000"/>
              <w:right w:val="single" w:sz="8" w:space="0" w:color="000000"/>
            </w:tcBorders>
            <w:vAlign w:val="center"/>
          </w:tcPr>
          <w:p w14:paraId="447B312A" w14:textId="77777777" w:rsidR="0021475A" w:rsidRPr="00B41F10" w:rsidRDefault="0021475A" w:rsidP="0090442B">
            <w:pPr>
              <w:spacing w:after="0" w:line="240" w:lineRule="auto"/>
              <w:jc w:val="both"/>
              <w:rPr>
                <w:rFonts w:eastAsia="Arial" w:cs="Arial"/>
                <w:color w:val="000000"/>
                <w:sz w:val="17"/>
                <w:szCs w:val="17"/>
              </w:rPr>
            </w:pPr>
            <w:r w:rsidRPr="00B41F10">
              <w:rPr>
                <w:rFonts w:eastAsia="Arial" w:cs="Arial"/>
                <w:color w:val="000000"/>
                <w:sz w:val="17"/>
                <w:szCs w:val="17"/>
              </w:rPr>
              <w:t xml:space="preserve">High-tech </w:t>
            </w:r>
            <w:proofErr w:type="spellStart"/>
            <w:r w:rsidRPr="00B41F10">
              <w:rPr>
                <w:rFonts w:eastAsia="Arial" w:cs="Arial"/>
                <w:color w:val="000000"/>
                <w:sz w:val="17"/>
                <w:szCs w:val="17"/>
              </w:rPr>
              <w:t>industry</w:t>
            </w:r>
            <w:proofErr w:type="spellEnd"/>
            <w:r w:rsidRPr="00B41F10">
              <w:rPr>
                <w:rFonts w:eastAsia="Arial" w:cs="Arial"/>
                <w:color w:val="000000"/>
                <w:sz w:val="17"/>
                <w:szCs w:val="17"/>
              </w:rPr>
              <w:t xml:space="preserve"> and </w:t>
            </w:r>
            <w:proofErr w:type="spellStart"/>
            <w:r w:rsidRPr="00B41F10">
              <w:rPr>
                <w:rFonts w:eastAsia="Arial" w:cs="Arial"/>
                <w:color w:val="000000"/>
                <w:sz w:val="17"/>
                <w:szCs w:val="17"/>
              </w:rPr>
              <w:t>knowledge-intensive</w:t>
            </w:r>
            <w:proofErr w:type="spellEnd"/>
            <w:r w:rsidRPr="00B41F10">
              <w:rPr>
                <w:rFonts w:eastAsia="Arial" w:cs="Arial"/>
                <w:color w:val="000000"/>
                <w:sz w:val="17"/>
                <w:szCs w:val="17"/>
              </w:rPr>
              <w:t xml:space="preserve"> </w:t>
            </w:r>
            <w:proofErr w:type="spellStart"/>
            <w:r w:rsidRPr="00B41F10">
              <w:rPr>
                <w:rFonts w:eastAsia="Arial" w:cs="Arial"/>
                <w:color w:val="000000"/>
                <w:sz w:val="17"/>
                <w:szCs w:val="17"/>
              </w:rPr>
              <w:t>services</w:t>
            </w:r>
            <w:proofErr w:type="spellEnd"/>
            <w:r w:rsidRPr="00B41F10">
              <w:rPr>
                <w:rFonts w:eastAsia="Arial" w:cs="Arial"/>
                <w:color w:val="000000"/>
                <w:sz w:val="17"/>
                <w:szCs w:val="17"/>
              </w:rPr>
              <w:t xml:space="preserve"> </w:t>
            </w:r>
            <w:proofErr w:type="spellStart"/>
            <w:r w:rsidRPr="00B41F10">
              <w:rPr>
                <w:rFonts w:eastAsia="Arial" w:cs="Arial"/>
                <w:color w:val="000000"/>
                <w:sz w:val="17"/>
                <w:szCs w:val="17"/>
              </w:rPr>
              <w:t>statistics</w:t>
            </w:r>
            <w:proofErr w:type="spellEnd"/>
          </w:p>
        </w:tc>
      </w:tr>
      <w:tr w:rsidR="0021475A" w:rsidRPr="00B41F10" w14:paraId="6F944D24" w14:textId="77777777" w:rsidTr="00190851">
        <w:trPr>
          <w:trHeight w:val="280"/>
          <w:jc w:val="center"/>
        </w:trPr>
        <w:tc>
          <w:tcPr>
            <w:tcW w:w="398" w:type="dxa"/>
            <w:vMerge/>
            <w:tcBorders>
              <w:top w:val="single" w:sz="8" w:space="0" w:color="000000"/>
              <w:left w:val="single" w:sz="8" w:space="0" w:color="000000"/>
              <w:bottom w:val="single" w:sz="4" w:space="0" w:color="auto"/>
              <w:right w:val="single" w:sz="8" w:space="0" w:color="000000"/>
            </w:tcBorders>
            <w:vAlign w:val="center"/>
          </w:tcPr>
          <w:p w14:paraId="0F1BDE40"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3216" w:type="dxa"/>
            <w:gridSpan w:val="3"/>
            <w:vMerge/>
            <w:tcBorders>
              <w:left w:val="single" w:sz="8" w:space="0" w:color="000000"/>
              <w:right w:val="single" w:sz="8" w:space="0" w:color="000000"/>
            </w:tcBorders>
            <w:vAlign w:val="center"/>
          </w:tcPr>
          <w:p w14:paraId="3B29EC75"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5596" w:type="dxa"/>
            <w:tcBorders>
              <w:top w:val="nil"/>
              <w:left w:val="nil"/>
              <w:bottom w:val="single" w:sz="8" w:space="0" w:color="000000"/>
              <w:right w:val="single" w:sz="8" w:space="0" w:color="000000"/>
            </w:tcBorders>
            <w:vAlign w:val="center"/>
          </w:tcPr>
          <w:p w14:paraId="5261089D" w14:textId="77777777" w:rsidR="0021475A" w:rsidRPr="00B41F10" w:rsidRDefault="0021475A" w:rsidP="0090442B">
            <w:pPr>
              <w:spacing w:after="0" w:line="240" w:lineRule="auto"/>
              <w:jc w:val="both"/>
              <w:rPr>
                <w:rFonts w:eastAsia="Arial" w:cs="Arial"/>
                <w:color w:val="000000"/>
                <w:sz w:val="17"/>
                <w:szCs w:val="17"/>
              </w:rPr>
            </w:pPr>
            <w:r w:rsidRPr="00B41F10">
              <w:rPr>
                <w:rFonts w:eastAsia="Arial" w:cs="Arial"/>
                <w:color w:val="000000"/>
                <w:sz w:val="17"/>
                <w:szCs w:val="17"/>
              </w:rPr>
              <w:t xml:space="preserve">Patent </w:t>
            </w:r>
            <w:proofErr w:type="spellStart"/>
            <w:r w:rsidRPr="00B41F10">
              <w:rPr>
                <w:rFonts w:eastAsia="Arial" w:cs="Arial"/>
                <w:color w:val="000000"/>
                <w:sz w:val="17"/>
                <w:szCs w:val="17"/>
              </w:rPr>
              <w:t>statistics</w:t>
            </w:r>
            <w:proofErr w:type="spellEnd"/>
          </w:p>
        </w:tc>
      </w:tr>
      <w:tr w:rsidR="0021475A" w:rsidRPr="00B41F10" w14:paraId="55CC4B7F" w14:textId="77777777" w:rsidTr="00190851">
        <w:trPr>
          <w:trHeight w:val="280"/>
          <w:jc w:val="center"/>
        </w:trPr>
        <w:tc>
          <w:tcPr>
            <w:tcW w:w="398" w:type="dxa"/>
            <w:vMerge/>
            <w:tcBorders>
              <w:top w:val="single" w:sz="8" w:space="0" w:color="000000"/>
              <w:left w:val="single" w:sz="8" w:space="0" w:color="000000"/>
              <w:bottom w:val="single" w:sz="4" w:space="0" w:color="auto"/>
              <w:right w:val="single" w:sz="8" w:space="0" w:color="000000"/>
            </w:tcBorders>
            <w:vAlign w:val="center"/>
          </w:tcPr>
          <w:p w14:paraId="276063AD"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3216" w:type="dxa"/>
            <w:gridSpan w:val="3"/>
            <w:vMerge/>
            <w:tcBorders>
              <w:left w:val="single" w:sz="8" w:space="0" w:color="000000"/>
              <w:right w:val="single" w:sz="8" w:space="0" w:color="000000"/>
            </w:tcBorders>
            <w:vAlign w:val="center"/>
          </w:tcPr>
          <w:p w14:paraId="37DCB898"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5596" w:type="dxa"/>
            <w:tcBorders>
              <w:top w:val="nil"/>
              <w:left w:val="nil"/>
              <w:bottom w:val="single" w:sz="8" w:space="0" w:color="000000"/>
              <w:right w:val="single" w:sz="8" w:space="0" w:color="000000"/>
            </w:tcBorders>
            <w:vAlign w:val="center"/>
          </w:tcPr>
          <w:p w14:paraId="29A26368" w14:textId="77777777" w:rsidR="0021475A" w:rsidRPr="00B41F10" w:rsidRDefault="0021475A" w:rsidP="0090442B">
            <w:pPr>
              <w:spacing w:after="0" w:line="240" w:lineRule="auto"/>
              <w:jc w:val="both"/>
              <w:rPr>
                <w:rFonts w:eastAsia="Arial" w:cs="Arial"/>
                <w:color w:val="000000"/>
                <w:sz w:val="17"/>
                <w:szCs w:val="17"/>
              </w:rPr>
            </w:pPr>
            <w:proofErr w:type="spellStart"/>
            <w:r w:rsidRPr="00B41F10">
              <w:rPr>
                <w:rFonts w:eastAsia="Arial" w:cs="Arial"/>
                <w:color w:val="000000"/>
                <w:sz w:val="17"/>
                <w:szCs w:val="17"/>
              </w:rPr>
              <w:t>Statistics</w:t>
            </w:r>
            <w:proofErr w:type="spellEnd"/>
            <w:r w:rsidRPr="00B41F10">
              <w:rPr>
                <w:rFonts w:eastAsia="Arial" w:cs="Arial"/>
                <w:color w:val="000000"/>
                <w:sz w:val="17"/>
                <w:szCs w:val="17"/>
              </w:rPr>
              <w:t xml:space="preserve"> on </w:t>
            </w:r>
            <w:proofErr w:type="spellStart"/>
            <w:r w:rsidRPr="00B41F10">
              <w:rPr>
                <w:rFonts w:eastAsia="Arial" w:cs="Arial"/>
                <w:color w:val="000000"/>
                <w:sz w:val="17"/>
                <w:szCs w:val="17"/>
              </w:rPr>
              <w:t>Human</w:t>
            </w:r>
            <w:proofErr w:type="spellEnd"/>
            <w:r w:rsidRPr="00B41F10">
              <w:rPr>
                <w:rFonts w:eastAsia="Arial" w:cs="Arial"/>
                <w:color w:val="000000"/>
                <w:sz w:val="17"/>
                <w:szCs w:val="17"/>
              </w:rPr>
              <w:t xml:space="preserve"> </w:t>
            </w:r>
            <w:proofErr w:type="spellStart"/>
            <w:r w:rsidRPr="00B41F10">
              <w:rPr>
                <w:rFonts w:eastAsia="Arial" w:cs="Arial"/>
                <w:color w:val="000000"/>
                <w:sz w:val="17"/>
                <w:szCs w:val="17"/>
              </w:rPr>
              <w:t>Resources</w:t>
            </w:r>
            <w:proofErr w:type="spellEnd"/>
            <w:r w:rsidRPr="00B41F10">
              <w:rPr>
                <w:rFonts w:eastAsia="Arial" w:cs="Arial"/>
                <w:color w:val="000000"/>
                <w:sz w:val="17"/>
                <w:szCs w:val="17"/>
              </w:rPr>
              <w:t xml:space="preserve"> in Science &amp; Technology</w:t>
            </w:r>
          </w:p>
        </w:tc>
      </w:tr>
      <w:tr w:rsidR="0021475A" w:rsidRPr="00B41F10" w14:paraId="156D83EF" w14:textId="77777777" w:rsidTr="00190851">
        <w:trPr>
          <w:trHeight w:val="280"/>
          <w:jc w:val="center"/>
        </w:trPr>
        <w:tc>
          <w:tcPr>
            <w:tcW w:w="398" w:type="dxa"/>
            <w:vMerge/>
            <w:tcBorders>
              <w:top w:val="single" w:sz="8" w:space="0" w:color="000000"/>
              <w:left w:val="single" w:sz="8" w:space="0" w:color="000000"/>
              <w:bottom w:val="single" w:sz="4" w:space="0" w:color="auto"/>
              <w:right w:val="single" w:sz="8" w:space="0" w:color="000000"/>
            </w:tcBorders>
            <w:vAlign w:val="center"/>
          </w:tcPr>
          <w:p w14:paraId="19792241"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3216" w:type="dxa"/>
            <w:gridSpan w:val="3"/>
            <w:vMerge/>
            <w:tcBorders>
              <w:left w:val="single" w:sz="8" w:space="0" w:color="000000"/>
              <w:right w:val="single" w:sz="8" w:space="0" w:color="000000"/>
            </w:tcBorders>
            <w:vAlign w:val="center"/>
          </w:tcPr>
          <w:p w14:paraId="5723C64B"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5596" w:type="dxa"/>
            <w:tcBorders>
              <w:top w:val="nil"/>
              <w:left w:val="nil"/>
              <w:bottom w:val="single" w:sz="8" w:space="0" w:color="000000"/>
              <w:right w:val="single" w:sz="8" w:space="0" w:color="000000"/>
            </w:tcBorders>
            <w:vAlign w:val="center"/>
          </w:tcPr>
          <w:p w14:paraId="127B0B4F" w14:textId="77777777" w:rsidR="0021475A" w:rsidRPr="00B41F10" w:rsidRDefault="0021475A" w:rsidP="0090442B">
            <w:pPr>
              <w:spacing w:after="0" w:line="240" w:lineRule="auto"/>
              <w:jc w:val="both"/>
              <w:rPr>
                <w:rFonts w:eastAsia="Arial" w:cs="Arial"/>
                <w:color w:val="000000"/>
                <w:sz w:val="17"/>
                <w:szCs w:val="17"/>
              </w:rPr>
            </w:pPr>
            <w:proofErr w:type="spellStart"/>
            <w:r w:rsidRPr="00B41F10">
              <w:rPr>
                <w:rFonts w:eastAsia="Arial" w:cs="Arial"/>
                <w:color w:val="000000"/>
                <w:sz w:val="17"/>
                <w:szCs w:val="17"/>
              </w:rPr>
              <w:t>Research</w:t>
            </w:r>
            <w:proofErr w:type="spellEnd"/>
            <w:r w:rsidRPr="00B41F10">
              <w:rPr>
                <w:rFonts w:eastAsia="Arial" w:cs="Arial"/>
                <w:color w:val="000000"/>
                <w:sz w:val="17"/>
                <w:szCs w:val="17"/>
              </w:rPr>
              <w:t xml:space="preserve"> and Development </w:t>
            </w:r>
            <w:proofErr w:type="spellStart"/>
            <w:r w:rsidRPr="00B41F10">
              <w:rPr>
                <w:rFonts w:eastAsia="Arial" w:cs="Arial"/>
                <w:color w:val="000000"/>
                <w:sz w:val="17"/>
                <w:szCs w:val="17"/>
              </w:rPr>
              <w:t>Statistics</w:t>
            </w:r>
            <w:proofErr w:type="spellEnd"/>
            <w:r w:rsidRPr="00B41F10">
              <w:rPr>
                <w:rFonts w:eastAsia="Arial" w:cs="Arial"/>
                <w:color w:val="000000"/>
                <w:sz w:val="17"/>
                <w:szCs w:val="17"/>
              </w:rPr>
              <w:t xml:space="preserve"> </w:t>
            </w:r>
          </w:p>
        </w:tc>
      </w:tr>
      <w:tr w:rsidR="0021475A" w:rsidRPr="00B41F10" w14:paraId="5517839B" w14:textId="77777777" w:rsidTr="00190851">
        <w:trPr>
          <w:trHeight w:val="280"/>
          <w:jc w:val="center"/>
        </w:trPr>
        <w:tc>
          <w:tcPr>
            <w:tcW w:w="398" w:type="dxa"/>
            <w:vMerge/>
            <w:tcBorders>
              <w:top w:val="single" w:sz="8" w:space="0" w:color="000000"/>
              <w:left w:val="single" w:sz="8" w:space="0" w:color="000000"/>
              <w:bottom w:val="single" w:sz="4" w:space="0" w:color="auto"/>
              <w:right w:val="single" w:sz="8" w:space="0" w:color="000000"/>
            </w:tcBorders>
            <w:vAlign w:val="center"/>
          </w:tcPr>
          <w:p w14:paraId="256B1E13"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3216" w:type="dxa"/>
            <w:gridSpan w:val="3"/>
            <w:tcBorders>
              <w:top w:val="single" w:sz="8" w:space="0" w:color="000000"/>
              <w:left w:val="nil"/>
              <w:bottom w:val="single" w:sz="8" w:space="0" w:color="000000"/>
              <w:right w:val="single" w:sz="8" w:space="0" w:color="000000"/>
            </w:tcBorders>
            <w:vAlign w:val="center"/>
          </w:tcPr>
          <w:p w14:paraId="196D85DD" w14:textId="77777777" w:rsidR="0021475A" w:rsidRPr="00B41F10" w:rsidRDefault="0021475A" w:rsidP="0090442B">
            <w:pPr>
              <w:spacing w:after="0" w:line="240" w:lineRule="auto"/>
              <w:jc w:val="center"/>
              <w:rPr>
                <w:rFonts w:eastAsia="Arial" w:cs="Arial"/>
                <w:color w:val="000000"/>
                <w:sz w:val="17"/>
                <w:szCs w:val="17"/>
              </w:rPr>
            </w:pPr>
            <w:proofErr w:type="spellStart"/>
            <w:r w:rsidRPr="00B41F10">
              <w:rPr>
                <w:rFonts w:eastAsia="Arial" w:cs="Arial"/>
                <w:color w:val="000000"/>
                <w:sz w:val="17"/>
                <w:szCs w:val="17"/>
              </w:rPr>
              <w:t>TiVa</w:t>
            </w:r>
            <w:proofErr w:type="spellEnd"/>
          </w:p>
        </w:tc>
        <w:tc>
          <w:tcPr>
            <w:tcW w:w="5596" w:type="dxa"/>
            <w:tcBorders>
              <w:top w:val="nil"/>
              <w:left w:val="nil"/>
              <w:bottom w:val="single" w:sz="8" w:space="0" w:color="000000"/>
              <w:right w:val="single" w:sz="8" w:space="0" w:color="000000"/>
            </w:tcBorders>
            <w:vAlign w:val="center"/>
          </w:tcPr>
          <w:p w14:paraId="19B5234A" w14:textId="77777777" w:rsidR="0021475A" w:rsidRPr="00B41F10" w:rsidRDefault="0021475A" w:rsidP="0090442B">
            <w:pPr>
              <w:spacing w:after="0" w:line="240" w:lineRule="auto"/>
              <w:jc w:val="both"/>
              <w:rPr>
                <w:rFonts w:eastAsia="Arial" w:cs="Arial"/>
                <w:color w:val="000000"/>
                <w:sz w:val="17"/>
                <w:szCs w:val="17"/>
              </w:rPr>
            </w:pPr>
            <w:r w:rsidRPr="00B41F10">
              <w:rPr>
                <w:rFonts w:eastAsia="Arial" w:cs="Arial"/>
                <w:color w:val="000000"/>
                <w:sz w:val="17"/>
                <w:szCs w:val="17"/>
              </w:rPr>
              <w:t>Databáze obchodu s přidanou hodnotou (OECD ve spolupráci se Světovou bankou)</w:t>
            </w:r>
          </w:p>
        </w:tc>
      </w:tr>
      <w:tr w:rsidR="0021475A" w:rsidRPr="00B41F10" w14:paraId="4DEA42E1" w14:textId="77777777" w:rsidTr="00190851">
        <w:trPr>
          <w:trHeight w:val="280"/>
          <w:jc w:val="center"/>
        </w:trPr>
        <w:tc>
          <w:tcPr>
            <w:tcW w:w="398" w:type="dxa"/>
            <w:vMerge/>
            <w:tcBorders>
              <w:top w:val="single" w:sz="8" w:space="0" w:color="000000"/>
              <w:left w:val="single" w:sz="8" w:space="0" w:color="000000"/>
              <w:bottom w:val="single" w:sz="4" w:space="0" w:color="auto"/>
              <w:right w:val="single" w:sz="8" w:space="0" w:color="000000"/>
            </w:tcBorders>
            <w:vAlign w:val="center"/>
          </w:tcPr>
          <w:p w14:paraId="0220B438"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3216" w:type="dxa"/>
            <w:gridSpan w:val="3"/>
            <w:tcBorders>
              <w:top w:val="single" w:sz="8" w:space="0" w:color="000000"/>
              <w:left w:val="nil"/>
              <w:bottom w:val="single" w:sz="8" w:space="0" w:color="000000"/>
              <w:right w:val="single" w:sz="8" w:space="0" w:color="000000"/>
            </w:tcBorders>
            <w:vAlign w:val="center"/>
          </w:tcPr>
          <w:p w14:paraId="3BAE72D4"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 xml:space="preserve">STIP </w:t>
            </w:r>
            <w:proofErr w:type="spellStart"/>
            <w:r w:rsidRPr="00B41F10">
              <w:rPr>
                <w:rFonts w:eastAsia="Arial" w:cs="Arial"/>
                <w:color w:val="000000"/>
                <w:sz w:val="17"/>
                <w:szCs w:val="17"/>
              </w:rPr>
              <w:t>Compass</w:t>
            </w:r>
            <w:proofErr w:type="spellEnd"/>
          </w:p>
        </w:tc>
        <w:tc>
          <w:tcPr>
            <w:tcW w:w="5596" w:type="dxa"/>
            <w:tcBorders>
              <w:top w:val="nil"/>
              <w:left w:val="nil"/>
              <w:bottom w:val="single" w:sz="8" w:space="0" w:color="000000"/>
              <w:right w:val="single" w:sz="8" w:space="0" w:color="000000"/>
            </w:tcBorders>
            <w:vAlign w:val="center"/>
          </w:tcPr>
          <w:p w14:paraId="2E78087C" w14:textId="0A674D2F" w:rsidR="0021475A" w:rsidRPr="00B41F10" w:rsidRDefault="0021475A" w:rsidP="00473EFA">
            <w:pPr>
              <w:spacing w:after="0" w:line="240" w:lineRule="auto"/>
              <w:jc w:val="both"/>
              <w:rPr>
                <w:rFonts w:eastAsia="Arial" w:cs="Arial"/>
                <w:color w:val="000000"/>
                <w:sz w:val="17"/>
                <w:szCs w:val="17"/>
              </w:rPr>
            </w:pPr>
            <w:r w:rsidRPr="00B41F10">
              <w:rPr>
                <w:rFonts w:eastAsia="Arial" w:cs="Arial"/>
                <w:color w:val="000000"/>
                <w:sz w:val="17"/>
                <w:szCs w:val="17"/>
              </w:rPr>
              <w:t>Společná iniciativa E</w:t>
            </w:r>
            <w:r w:rsidR="00C623E4">
              <w:rPr>
                <w:rFonts w:eastAsia="Arial" w:cs="Arial"/>
                <w:color w:val="000000"/>
                <w:sz w:val="17"/>
                <w:szCs w:val="17"/>
              </w:rPr>
              <w:t>K</w:t>
            </w:r>
            <w:r w:rsidRPr="00B41F10">
              <w:rPr>
                <w:rFonts w:eastAsia="Arial" w:cs="Arial"/>
                <w:color w:val="000000"/>
                <w:sz w:val="17"/>
                <w:szCs w:val="17"/>
              </w:rPr>
              <w:t xml:space="preserve"> a OECD, která shromažďuje na jednom místě kvantitativní i kvalitativní údaje o</w:t>
            </w:r>
            <w:r w:rsidR="00473EFA">
              <w:rPr>
                <w:rFonts w:eastAsia="Arial" w:cs="Arial"/>
                <w:color w:val="000000"/>
                <w:sz w:val="17"/>
                <w:szCs w:val="17"/>
              </w:rPr>
              <w:t> </w:t>
            </w:r>
            <w:r w:rsidRPr="00B41F10">
              <w:rPr>
                <w:rFonts w:eastAsia="Arial" w:cs="Arial"/>
                <w:color w:val="000000"/>
                <w:sz w:val="17"/>
                <w:szCs w:val="17"/>
              </w:rPr>
              <w:t>vnitrostátních trendech v oblasti politiky vědy, technologie a</w:t>
            </w:r>
            <w:r w:rsidR="00473EFA">
              <w:rPr>
                <w:rFonts w:eastAsia="Arial" w:cs="Arial"/>
                <w:color w:val="000000"/>
                <w:sz w:val="17"/>
                <w:szCs w:val="17"/>
              </w:rPr>
              <w:t> </w:t>
            </w:r>
            <w:r w:rsidRPr="00B41F10">
              <w:rPr>
                <w:rFonts w:eastAsia="Arial" w:cs="Arial"/>
                <w:color w:val="000000"/>
                <w:sz w:val="17"/>
                <w:szCs w:val="17"/>
              </w:rPr>
              <w:t>inovací</w:t>
            </w:r>
          </w:p>
        </w:tc>
      </w:tr>
      <w:tr w:rsidR="0021475A" w:rsidRPr="00B41F10" w14:paraId="45BF5123" w14:textId="77777777" w:rsidTr="00190851">
        <w:trPr>
          <w:trHeight w:val="280"/>
          <w:jc w:val="center"/>
        </w:trPr>
        <w:tc>
          <w:tcPr>
            <w:tcW w:w="398" w:type="dxa"/>
            <w:vMerge/>
            <w:tcBorders>
              <w:top w:val="single" w:sz="8" w:space="0" w:color="000000"/>
              <w:left w:val="single" w:sz="8" w:space="0" w:color="000000"/>
              <w:bottom w:val="single" w:sz="4" w:space="0" w:color="auto"/>
              <w:right w:val="single" w:sz="8" w:space="0" w:color="000000"/>
            </w:tcBorders>
            <w:vAlign w:val="center"/>
          </w:tcPr>
          <w:p w14:paraId="2F1496AB"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3216" w:type="dxa"/>
            <w:gridSpan w:val="3"/>
            <w:tcBorders>
              <w:top w:val="single" w:sz="8" w:space="0" w:color="000000"/>
              <w:left w:val="nil"/>
              <w:bottom w:val="single" w:sz="8" w:space="0" w:color="000000"/>
              <w:right w:val="single" w:sz="8" w:space="0" w:color="000000"/>
            </w:tcBorders>
            <w:vAlign w:val="center"/>
          </w:tcPr>
          <w:p w14:paraId="43E4EB4C" w14:textId="77777777" w:rsidR="0021475A" w:rsidRPr="00B41F10" w:rsidRDefault="0021475A" w:rsidP="0090442B">
            <w:pPr>
              <w:spacing w:after="0" w:line="240" w:lineRule="auto"/>
              <w:jc w:val="center"/>
              <w:rPr>
                <w:rFonts w:eastAsia="Arial" w:cs="Arial"/>
                <w:color w:val="000000"/>
                <w:sz w:val="17"/>
                <w:szCs w:val="17"/>
              </w:rPr>
            </w:pPr>
            <w:proofErr w:type="spellStart"/>
            <w:r w:rsidRPr="00B41F10">
              <w:rPr>
                <w:rFonts w:eastAsia="Arial" w:cs="Arial"/>
                <w:color w:val="000000"/>
                <w:sz w:val="17"/>
                <w:szCs w:val="17"/>
              </w:rPr>
              <w:t>The</w:t>
            </w:r>
            <w:proofErr w:type="spellEnd"/>
            <w:r w:rsidRPr="00B41F10">
              <w:rPr>
                <w:rFonts w:eastAsia="Arial" w:cs="Arial"/>
                <w:color w:val="000000"/>
                <w:sz w:val="17"/>
                <w:szCs w:val="17"/>
              </w:rPr>
              <w:t xml:space="preserve"> </w:t>
            </w:r>
            <w:proofErr w:type="spellStart"/>
            <w:r w:rsidRPr="00B41F10">
              <w:rPr>
                <w:rFonts w:eastAsia="Arial" w:cs="Arial"/>
                <w:color w:val="000000"/>
                <w:sz w:val="17"/>
                <w:szCs w:val="17"/>
              </w:rPr>
              <w:t>World</w:t>
            </w:r>
            <w:proofErr w:type="spellEnd"/>
            <w:r w:rsidRPr="00B41F10">
              <w:rPr>
                <w:rFonts w:eastAsia="Arial" w:cs="Arial"/>
                <w:color w:val="000000"/>
                <w:sz w:val="17"/>
                <w:szCs w:val="17"/>
              </w:rPr>
              <w:t xml:space="preserve"> </w:t>
            </w:r>
            <w:proofErr w:type="spellStart"/>
            <w:r w:rsidRPr="00B41F10">
              <w:rPr>
                <w:rFonts w:eastAsia="Arial" w:cs="Arial"/>
                <w:color w:val="000000"/>
                <w:sz w:val="17"/>
                <w:szCs w:val="17"/>
              </w:rPr>
              <w:t>Economic</w:t>
            </w:r>
            <w:proofErr w:type="spellEnd"/>
            <w:r w:rsidRPr="00B41F10">
              <w:rPr>
                <w:rFonts w:eastAsia="Arial" w:cs="Arial"/>
                <w:color w:val="000000"/>
                <w:sz w:val="17"/>
                <w:szCs w:val="17"/>
              </w:rPr>
              <w:t xml:space="preserve"> </w:t>
            </w:r>
            <w:proofErr w:type="spellStart"/>
            <w:r w:rsidRPr="00B41F10">
              <w:rPr>
                <w:rFonts w:eastAsia="Arial" w:cs="Arial"/>
                <w:color w:val="000000"/>
                <w:sz w:val="17"/>
                <w:szCs w:val="17"/>
              </w:rPr>
              <w:t>Forum</w:t>
            </w:r>
            <w:proofErr w:type="spellEnd"/>
          </w:p>
        </w:tc>
        <w:tc>
          <w:tcPr>
            <w:tcW w:w="5596" w:type="dxa"/>
            <w:tcBorders>
              <w:top w:val="nil"/>
              <w:left w:val="nil"/>
              <w:bottom w:val="single" w:sz="8" w:space="0" w:color="000000"/>
              <w:right w:val="single" w:sz="8" w:space="0" w:color="000000"/>
            </w:tcBorders>
            <w:vAlign w:val="center"/>
          </w:tcPr>
          <w:p w14:paraId="40239FE5" w14:textId="77777777" w:rsidR="0021475A" w:rsidRPr="00B41F10" w:rsidRDefault="0021475A" w:rsidP="0090442B">
            <w:pPr>
              <w:spacing w:after="0" w:line="240" w:lineRule="auto"/>
              <w:jc w:val="both"/>
              <w:rPr>
                <w:rFonts w:eastAsia="Arial" w:cs="Arial"/>
                <w:color w:val="000000"/>
                <w:sz w:val="17"/>
                <w:szCs w:val="17"/>
              </w:rPr>
            </w:pPr>
            <w:proofErr w:type="spellStart"/>
            <w:r w:rsidRPr="00B41F10">
              <w:rPr>
                <w:rFonts w:eastAsia="Arial" w:cs="Arial"/>
                <w:color w:val="000000"/>
                <w:sz w:val="17"/>
                <w:szCs w:val="17"/>
              </w:rPr>
              <w:t>The</w:t>
            </w:r>
            <w:proofErr w:type="spellEnd"/>
            <w:r w:rsidRPr="00B41F10">
              <w:rPr>
                <w:rFonts w:eastAsia="Arial" w:cs="Arial"/>
                <w:color w:val="000000"/>
                <w:sz w:val="17"/>
                <w:szCs w:val="17"/>
              </w:rPr>
              <w:t xml:space="preserve"> </w:t>
            </w:r>
            <w:proofErr w:type="spellStart"/>
            <w:r w:rsidRPr="00B41F10">
              <w:rPr>
                <w:rFonts w:eastAsia="Arial" w:cs="Arial"/>
                <w:color w:val="000000"/>
                <w:sz w:val="17"/>
                <w:szCs w:val="17"/>
              </w:rPr>
              <w:t>Global</w:t>
            </w:r>
            <w:proofErr w:type="spellEnd"/>
            <w:r w:rsidRPr="00B41F10">
              <w:rPr>
                <w:rFonts w:eastAsia="Arial" w:cs="Arial"/>
                <w:color w:val="000000"/>
                <w:sz w:val="17"/>
                <w:szCs w:val="17"/>
              </w:rPr>
              <w:t> </w:t>
            </w:r>
            <w:proofErr w:type="spellStart"/>
            <w:r w:rsidRPr="00B41F10">
              <w:rPr>
                <w:rFonts w:eastAsia="Arial" w:cs="Arial"/>
                <w:color w:val="000000"/>
                <w:sz w:val="17"/>
                <w:szCs w:val="17"/>
              </w:rPr>
              <w:t>Competetiveness</w:t>
            </w:r>
            <w:proofErr w:type="spellEnd"/>
            <w:r w:rsidRPr="00B41F10">
              <w:rPr>
                <w:rFonts w:eastAsia="Arial" w:cs="Arial"/>
                <w:color w:val="000000"/>
                <w:sz w:val="17"/>
                <w:szCs w:val="17"/>
              </w:rPr>
              <w:t> Index 4.0</w:t>
            </w:r>
          </w:p>
          <w:p w14:paraId="31B9F380" w14:textId="61FA69DA" w:rsidR="0021475A" w:rsidRPr="00B41F10" w:rsidRDefault="0021475A" w:rsidP="0090442B">
            <w:pPr>
              <w:spacing w:after="0" w:line="240" w:lineRule="auto"/>
              <w:jc w:val="both"/>
              <w:rPr>
                <w:rFonts w:eastAsia="Arial" w:cs="Arial"/>
                <w:color w:val="000000"/>
                <w:sz w:val="17"/>
                <w:szCs w:val="17"/>
              </w:rPr>
            </w:pPr>
            <w:r w:rsidRPr="00B41F10">
              <w:rPr>
                <w:rFonts w:eastAsia="Arial" w:cs="Arial"/>
                <w:color w:val="000000"/>
                <w:sz w:val="17"/>
                <w:szCs w:val="17"/>
              </w:rPr>
              <w:lastRenderedPageBreak/>
              <w:t>Složený index měří výkon podle 114 dílčích indikátorů, které dle</w:t>
            </w:r>
            <w:r w:rsidR="00776B43">
              <w:rPr>
                <w:rFonts w:eastAsia="Arial" w:cs="Arial"/>
                <w:color w:val="000000"/>
                <w:sz w:val="17"/>
                <w:szCs w:val="17"/>
              </w:rPr>
              <w:t> </w:t>
            </w:r>
            <w:r w:rsidRPr="00B41F10">
              <w:rPr>
                <w:rFonts w:eastAsia="Arial" w:cs="Arial"/>
                <w:color w:val="000000"/>
                <w:sz w:val="17"/>
                <w:szCs w:val="17"/>
              </w:rPr>
              <w:t>WEF ovlivňují konkurenceschopnost ekonomiky</w:t>
            </w:r>
          </w:p>
        </w:tc>
      </w:tr>
      <w:tr w:rsidR="0021475A" w:rsidRPr="00B41F10" w14:paraId="67E44694" w14:textId="77777777" w:rsidTr="00190851">
        <w:trPr>
          <w:trHeight w:val="280"/>
          <w:jc w:val="center"/>
        </w:trPr>
        <w:tc>
          <w:tcPr>
            <w:tcW w:w="398" w:type="dxa"/>
            <w:vMerge/>
            <w:tcBorders>
              <w:top w:val="single" w:sz="8" w:space="0" w:color="000000"/>
              <w:left w:val="single" w:sz="8" w:space="0" w:color="000000"/>
              <w:bottom w:val="single" w:sz="4" w:space="0" w:color="auto"/>
              <w:right w:val="single" w:sz="8" w:space="0" w:color="000000"/>
            </w:tcBorders>
            <w:vAlign w:val="center"/>
          </w:tcPr>
          <w:p w14:paraId="57988B2C"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3216" w:type="dxa"/>
            <w:gridSpan w:val="3"/>
            <w:tcBorders>
              <w:top w:val="single" w:sz="8" w:space="0" w:color="000000"/>
              <w:left w:val="nil"/>
              <w:bottom w:val="single" w:sz="8" w:space="0" w:color="000000"/>
              <w:right w:val="single" w:sz="8" w:space="0" w:color="000000"/>
            </w:tcBorders>
            <w:vAlign w:val="center"/>
          </w:tcPr>
          <w:p w14:paraId="12200090"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CORDIS</w:t>
            </w:r>
          </w:p>
        </w:tc>
        <w:tc>
          <w:tcPr>
            <w:tcW w:w="5596" w:type="dxa"/>
            <w:tcBorders>
              <w:top w:val="nil"/>
              <w:left w:val="nil"/>
              <w:bottom w:val="single" w:sz="8" w:space="0" w:color="000000"/>
              <w:right w:val="single" w:sz="8" w:space="0" w:color="000000"/>
            </w:tcBorders>
            <w:vAlign w:val="center"/>
          </w:tcPr>
          <w:p w14:paraId="70C2452A" w14:textId="77777777" w:rsidR="0021475A" w:rsidRPr="00B41F10" w:rsidRDefault="0021475A" w:rsidP="0090442B">
            <w:pPr>
              <w:spacing w:after="0" w:line="240" w:lineRule="auto"/>
              <w:jc w:val="both"/>
              <w:rPr>
                <w:rFonts w:eastAsia="Arial" w:cs="Arial"/>
                <w:color w:val="000000"/>
                <w:sz w:val="17"/>
                <w:szCs w:val="17"/>
              </w:rPr>
            </w:pPr>
            <w:r w:rsidRPr="00B41F10">
              <w:rPr>
                <w:rFonts w:eastAsia="Arial" w:cs="Arial"/>
                <w:color w:val="000000"/>
                <w:sz w:val="17"/>
                <w:szCs w:val="17"/>
              </w:rPr>
              <w:t>Informace o projektech Rámcových programů</w:t>
            </w:r>
          </w:p>
        </w:tc>
      </w:tr>
      <w:tr w:rsidR="0021475A" w:rsidRPr="00B41F10" w14:paraId="208DED7F" w14:textId="77777777" w:rsidTr="00190851">
        <w:trPr>
          <w:trHeight w:val="280"/>
          <w:jc w:val="center"/>
        </w:trPr>
        <w:tc>
          <w:tcPr>
            <w:tcW w:w="398" w:type="dxa"/>
            <w:vMerge/>
            <w:tcBorders>
              <w:top w:val="single" w:sz="8" w:space="0" w:color="000000"/>
              <w:left w:val="single" w:sz="8" w:space="0" w:color="000000"/>
              <w:bottom w:val="single" w:sz="4" w:space="0" w:color="auto"/>
              <w:right w:val="single" w:sz="8" w:space="0" w:color="000000"/>
            </w:tcBorders>
            <w:vAlign w:val="center"/>
          </w:tcPr>
          <w:p w14:paraId="3B749261"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3216" w:type="dxa"/>
            <w:gridSpan w:val="3"/>
            <w:tcBorders>
              <w:top w:val="single" w:sz="8" w:space="0" w:color="000000"/>
              <w:left w:val="nil"/>
              <w:bottom w:val="single" w:sz="8" w:space="0" w:color="000000"/>
              <w:right w:val="single" w:sz="8" w:space="0" w:color="000000"/>
            </w:tcBorders>
            <w:vAlign w:val="center"/>
          </w:tcPr>
          <w:p w14:paraId="02205B53"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E-CORDA</w:t>
            </w:r>
          </w:p>
        </w:tc>
        <w:tc>
          <w:tcPr>
            <w:tcW w:w="5596" w:type="dxa"/>
            <w:tcBorders>
              <w:top w:val="nil"/>
              <w:left w:val="nil"/>
              <w:bottom w:val="single" w:sz="8" w:space="0" w:color="000000"/>
              <w:right w:val="single" w:sz="8" w:space="0" w:color="000000"/>
            </w:tcBorders>
            <w:vAlign w:val="center"/>
          </w:tcPr>
          <w:p w14:paraId="2E5C2897" w14:textId="77777777" w:rsidR="0021475A" w:rsidRPr="00B41F10" w:rsidRDefault="0021475A" w:rsidP="0090442B">
            <w:pPr>
              <w:spacing w:after="0" w:line="240" w:lineRule="auto"/>
              <w:jc w:val="both"/>
              <w:rPr>
                <w:rFonts w:eastAsia="Arial" w:cs="Arial"/>
                <w:color w:val="000000"/>
                <w:sz w:val="17"/>
                <w:szCs w:val="17"/>
              </w:rPr>
            </w:pPr>
            <w:proofErr w:type="spellStart"/>
            <w:r w:rsidRPr="00B41F10">
              <w:rPr>
                <w:rFonts w:eastAsia="Arial" w:cs="Arial"/>
                <w:color w:val="000000"/>
                <w:sz w:val="17"/>
                <w:szCs w:val="17"/>
              </w:rPr>
              <w:t>External</w:t>
            </w:r>
            <w:proofErr w:type="spellEnd"/>
            <w:r w:rsidRPr="00B41F10">
              <w:rPr>
                <w:rFonts w:eastAsia="Arial" w:cs="Arial"/>
                <w:color w:val="000000"/>
                <w:sz w:val="17"/>
                <w:szCs w:val="17"/>
              </w:rPr>
              <w:t xml:space="preserve"> </w:t>
            </w:r>
            <w:proofErr w:type="spellStart"/>
            <w:r w:rsidRPr="00B41F10">
              <w:rPr>
                <w:rFonts w:eastAsia="Arial" w:cs="Arial"/>
                <w:color w:val="000000"/>
                <w:sz w:val="17"/>
                <w:szCs w:val="17"/>
              </w:rPr>
              <w:t>Common</w:t>
            </w:r>
            <w:proofErr w:type="spellEnd"/>
            <w:r w:rsidRPr="00B41F10">
              <w:rPr>
                <w:rFonts w:eastAsia="Arial" w:cs="Arial"/>
                <w:color w:val="000000"/>
                <w:sz w:val="17"/>
                <w:szCs w:val="17"/>
              </w:rPr>
              <w:t xml:space="preserve"> </w:t>
            </w:r>
            <w:proofErr w:type="spellStart"/>
            <w:r w:rsidRPr="00B41F10">
              <w:rPr>
                <w:rFonts w:eastAsia="Arial" w:cs="Arial"/>
                <w:color w:val="000000"/>
                <w:sz w:val="17"/>
                <w:szCs w:val="17"/>
              </w:rPr>
              <w:t>Research</w:t>
            </w:r>
            <w:proofErr w:type="spellEnd"/>
            <w:r w:rsidRPr="00B41F10">
              <w:rPr>
                <w:rFonts w:eastAsia="Arial" w:cs="Arial"/>
                <w:color w:val="000000"/>
                <w:sz w:val="17"/>
                <w:szCs w:val="17"/>
              </w:rPr>
              <w:t xml:space="preserve"> Data </w:t>
            </w:r>
            <w:proofErr w:type="spellStart"/>
            <w:r w:rsidRPr="00B41F10">
              <w:rPr>
                <w:rFonts w:eastAsia="Arial" w:cs="Arial"/>
                <w:color w:val="000000"/>
                <w:sz w:val="17"/>
                <w:szCs w:val="17"/>
              </w:rPr>
              <w:t>Warehouse</w:t>
            </w:r>
            <w:proofErr w:type="spellEnd"/>
          </w:p>
        </w:tc>
      </w:tr>
      <w:tr w:rsidR="0021475A" w:rsidRPr="00B41F10" w14:paraId="575318B6" w14:textId="77777777" w:rsidTr="00190851">
        <w:trPr>
          <w:trHeight w:val="280"/>
          <w:jc w:val="center"/>
        </w:trPr>
        <w:tc>
          <w:tcPr>
            <w:tcW w:w="398" w:type="dxa"/>
            <w:vMerge/>
            <w:tcBorders>
              <w:top w:val="single" w:sz="8" w:space="0" w:color="000000"/>
              <w:left w:val="single" w:sz="8" w:space="0" w:color="000000"/>
              <w:bottom w:val="single" w:sz="4" w:space="0" w:color="auto"/>
              <w:right w:val="single" w:sz="8" w:space="0" w:color="000000"/>
            </w:tcBorders>
            <w:vAlign w:val="center"/>
          </w:tcPr>
          <w:p w14:paraId="7FDCD3EF"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3216" w:type="dxa"/>
            <w:gridSpan w:val="3"/>
            <w:tcBorders>
              <w:top w:val="single" w:sz="8" w:space="0" w:color="000000"/>
              <w:left w:val="nil"/>
              <w:bottom w:val="single" w:sz="8" w:space="0" w:color="000000"/>
              <w:right w:val="single" w:sz="8" w:space="0" w:color="000000"/>
            </w:tcBorders>
            <w:vAlign w:val="center"/>
          </w:tcPr>
          <w:p w14:paraId="55BB7DDF"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 xml:space="preserve">ERC </w:t>
            </w:r>
            <w:proofErr w:type="spellStart"/>
            <w:r w:rsidRPr="00B41F10">
              <w:rPr>
                <w:rFonts w:eastAsia="Arial" w:cs="Arial"/>
                <w:color w:val="000000"/>
                <w:sz w:val="17"/>
                <w:szCs w:val="17"/>
              </w:rPr>
              <w:t>Funded</w:t>
            </w:r>
            <w:proofErr w:type="spellEnd"/>
            <w:r w:rsidRPr="00B41F10">
              <w:rPr>
                <w:rFonts w:eastAsia="Arial" w:cs="Arial"/>
                <w:color w:val="000000"/>
                <w:sz w:val="17"/>
                <w:szCs w:val="17"/>
              </w:rPr>
              <w:t xml:space="preserve"> </w:t>
            </w:r>
            <w:proofErr w:type="spellStart"/>
            <w:r w:rsidRPr="00B41F10">
              <w:rPr>
                <w:rFonts w:eastAsia="Arial" w:cs="Arial"/>
                <w:color w:val="000000"/>
                <w:sz w:val="17"/>
                <w:szCs w:val="17"/>
              </w:rPr>
              <w:t>Projects</w:t>
            </w:r>
            <w:proofErr w:type="spellEnd"/>
          </w:p>
        </w:tc>
        <w:tc>
          <w:tcPr>
            <w:tcW w:w="5596" w:type="dxa"/>
            <w:tcBorders>
              <w:top w:val="nil"/>
              <w:left w:val="nil"/>
              <w:bottom w:val="single" w:sz="8" w:space="0" w:color="000000"/>
              <w:right w:val="single" w:sz="8" w:space="0" w:color="000000"/>
            </w:tcBorders>
            <w:vAlign w:val="center"/>
          </w:tcPr>
          <w:p w14:paraId="14D8AC35" w14:textId="77777777" w:rsidR="0021475A" w:rsidRPr="00B41F10" w:rsidRDefault="0021475A" w:rsidP="0090442B">
            <w:pPr>
              <w:spacing w:after="0" w:line="240" w:lineRule="auto"/>
              <w:jc w:val="both"/>
              <w:rPr>
                <w:rFonts w:eastAsia="Arial" w:cs="Arial"/>
                <w:color w:val="000000"/>
                <w:sz w:val="17"/>
                <w:szCs w:val="17"/>
              </w:rPr>
            </w:pPr>
            <w:r w:rsidRPr="00B41F10">
              <w:rPr>
                <w:rFonts w:eastAsia="Arial" w:cs="Arial"/>
                <w:color w:val="000000"/>
                <w:sz w:val="17"/>
                <w:szCs w:val="17"/>
              </w:rPr>
              <w:t xml:space="preserve">Databáze projektů </w:t>
            </w:r>
            <w:proofErr w:type="spellStart"/>
            <w:r w:rsidRPr="00B41F10">
              <w:rPr>
                <w:rFonts w:eastAsia="Arial" w:cs="Arial"/>
                <w:color w:val="000000"/>
                <w:sz w:val="17"/>
                <w:szCs w:val="17"/>
              </w:rPr>
              <w:t>European</w:t>
            </w:r>
            <w:proofErr w:type="spellEnd"/>
            <w:r w:rsidRPr="00B41F10">
              <w:rPr>
                <w:rFonts w:eastAsia="Arial" w:cs="Arial"/>
                <w:color w:val="000000"/>
                <w:sz w:val="17"/>
                <w:szCs w:val="17"/>
              </w:rPr>
              <w:t xml:space="preserve"> </w:t>
            </w:r>
            <w:proofErr w:type="spellStart"/>
            <w:r w:rsidRPr="00B41F10">
              <w:rPr>
                <w:rFonts w:eastAsia="Arial" w:cs="Arial"/>
                <w:color w:val="000000"/>
                <w:sz w:val="17"/>
                <w:szCs w:val="17"/>
              </w:rPr>
              <w:t>Research</w:t>
            </w:r>
            <w:proofErr w:type="spellEnd"/>
            <w:r w:rsidRPr="00B41F10">
              <w:rPr>
                <w:rFonts w:eastAsia="Arial" w:cs="Arial"/>
                <w:color w:val="000000"/>
                <w:sz w:val="17"/>
                <w:szCs w:val="17"/>
              </w:rPr>
              <w:t xml:space="preserve"> </w:t>
            </w:r>
            <w:proofErr w:type="spellStart"/>
            <w:r w:rsidRPr="00B41F10">
              <w:rPr>
                <w:rFonts w:eastAsia="Arial" w:cs="Arial"/>
                <w:color w:val="000000"/>
                <w:sz w:val="17"/>
                <w:szCs w:val="17"/>
              </w:rPr>
              <w:t>Council</w:t>
            </w:r>
            <w:proofErr w:type="spellEnd"/>
          </w:p>
        </w:tc>
      </w:tr>
      <w:tr w:rsidR="0021475A" w:rsidRPr="00B41F10" w14:paraId="15033FE3" w14:textId="77777777" w:rsidTr="00190851">
        <w:trPr>
          <w:trHeight w:val="280"/>
          <w:jc w:val="center"/>
        </w:trPr>
        <w:tc>
          <w:tcPr>
            <w:tcW w:w="398" w:type="dxa"/>
            <w:vMerge/>
            <w:tcBorders>
              <w:top w:val="single" w:sz="8" w:space="0" w:color="000000"/>
              <w:left w:val="single" w:sz="8" w:space="0" w:color="000000"/>
              <w:bottom w:val="single" w:sz="4" w:space="0" w:color="auto"/>
              <w:right w:val="single" w:sz="8" w:space="0" w:color="000000"/>
            </w:tcBorders>
            <w:vAlign w:val="center"/>
          </w:tcPr>
          <w:p w14:paraId="29E7E572"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3216" w:type="dxa"/>
            <w:gridSpan w:val="3"/>
            <w:tcBorders>
              <w:top w:val="single" w:sz="8" w:space="0" w:color="000000"/>
              <w:left w:val="nil"/>
              <w:bottom w:val="single" w:sz="8" w:space="0" w:color="000000"/>
              <w:right w:val="single" w:sz="8" w:space="0" w:color="000000"/>
            </w:tcBorders>
            <w:vAlign w:val="center"/>
          </w:tcPr>
          <w:p w14:paraId="405A0C66"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 xml:space="preserve">Partner </w:t>
            </w:r>
            <w:proofErr w:type="spellStart"/>
            <w:r w:rsidRPr="00B41F10">
              <w:rPr>
                <w:rFonts w:eastAsia="Arial" w:cs="Arial"/>
                <w:color w:val="000000"/>
                <w:sz w:val="17"/>
                <w:szCs w:val="17"/>
              </w:rPr>
              <w:t>Search</w:t>
            </w:r>
            <w:proofErr w:type="spellEnd"/>
          </w:p>
        </w:tc>
        <w:tc>
          <w:tcPr>
            <w:tcW w:w="5596" w:type="dxa"/>
            <w:tcBorders>
              <w:top w:val="nil"/>
              <w:left w:val="nil"/>
              <w:bottom w:val="single" w:sz="8" w:space="0" w:color="000000"/>
              <w:right w:val="single" w:sz="8" w:space="0" w:color="000000"/>
            </w:tcBorders>
            <w:vAlign w:val="center"/>
          </w:tcPr>
          <w:p w14:paraId="599A718E" w14:textId="77777777" w:rsidR="0021475A" w:rsidRPr="00B41F10" w:rsidRDefault="0021475A" w:rsidP="0090442B">
            <w:pPr>
              <w:spacing w:after="0" w:line="240" w:lineRule="auto"/>
              <w:jc w:val="both"/>
              <w:rPr>
                <w:rFonts w:eastAsia="Arial" w:cs="Arial"/>
                <w:color w:val="000000"/>
                <w:sz w:val="17"/>
                <w:szCs w:val="17"/>
              </w:rPr>
            </w:pPr>
            <w:r w:rsidRPr="00B41F10">
              <w:rPr>
                <w:rFonts w:eastAsia="Arial" w:cs="Arial"/>
                <w:color w:val="000000"/>
                <w:sz w:val="17"/>
                <w:szCs w:val="17"/>
              </w:rPr>
              <w:t>Vyhledávač subjektů s podobným typem výzkumu na úrovni EU</w:t>
            </w:r>
          </w:p>
        </w:tc>
      </w:tr>
      <w:tr w:rsidR="0021475A" w:rsidRPr="00B41F10" w14:paraId="541F15A9" w14:textId="77777777" w:rsidTr="00190851">
        <w:trPr>
          <w:trHeight w:val="280"/>
          <w:jc w:val="center"/>
        </w:trPr>
        <w:tc>
          <w:tcPr>
            <w:tcW w:w="398" w:type="dxa"/>
            <w:vMerge/>
            <w:tcBorders>
              <w:top w:val="single" w:sz="8" w:space="0" w:color="000000"/>
              <w:left w:val="single" w:sz="8" w:space="0" w:color="000000"/>
              <w:bottom w:val="single" w:sz="4" w:space="0" w:color="auto"/>
              <w:right w:val="single" w:sz="8" w:space="0" w:color="000000"/>
            </w:tcBorders>
            <w:vAlign w:val="center"/>
          </w:tcPr>
          <w:p w14:paraId="38B69F23"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3216" w:type="dxa"/>
            <w:gridSpan w:val="3"/>
            <w:tcBorders>
              <w:top w:val="single" w:sz="8" w:space="0" w:color="000000"/>
              <w:left w:val="nil"/>
              <w:bottom w:val="single" w:sz="8" w:space="0" w:color="000000"/>
              <w:right w:val="single" w:sz="8" w:space="0" w:color="000000"/>
            </w:tcBorders>
            <w:vAlign w:val="center"/>
          </w:tcPr>
          <w:p w14:paraId="5103D9FB"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PATSTAT</w:t>
            </w:r>
          </w:p>
        </w:tc>
        <w:tc>
          <w:tcPr>
            <w:tcW w:w="5596" w:type="dxa"/>
            <w:tcBorders>
              <w:top w:val="nil"/>
              <w:left w:val="nil"/>
              <w:bottom w:val="single" w:sz="8" w:space="0" w:color="000000"/>
              <w:right w:val="single" w:sz="8" w:space="0" w:color="000000"/>
            </w:tcBorders>
            <w:vAlign w:val="center"/>
          </w:tcPr>
          <w:p w14:paraId="1BCE4AFA" w14:textId="77777777" w:rsidR="0021475A" w:rsidRPr="00B41F10" w:rsidRDefault="0021475A" w:rsidP="0090442B">
            <w:pPr>
              <w:spacing w:after="0" w:line="240" w:lineRule="auto"/>
              <w:jc w:val="both"/>
              <w:rPr>
                <w:rFonts w:eastAsia="Arial" w:cs="Arial"/>
                <w:color w:val="000000"/>
                <w:sz w:val="17"/>
                <w:szCs w:val="17"/>
              </w:rPr>
            </w:pPr>
            <w:r w:rsidRPr="00B41F10">
              <w:rPr>
                <w:rFonts w:eastAsia="Arial" w:cs="Arial"/>
                <w:color w:val="000000"/>
                <w:sz w:val="17"/>
                <w:szCs w:val="17"/>
              </w:rPr>
              <w:t>Informace o patentových přihláškách a udělených patentech v rámci celé EU</w:t>
            </w:r>
          </w:p>
        </w:tc>
      </w:tr>
      <w:tr w:rsidR="0021475A" w:rsidRPr="00B41F10" w14:paraId="57A915DE" w14:textId="77777777" w:rsidTr="00190851">
        <w:trPr>
          <w:trHeight w:val="280"/>
          <w:jc w:val="center"/>
        </w:trPr>
        <w:tc>
          <w:tcPr>
            <w:tcW w:w="398" w:type="dxa"/>
            <w:vMerge/>
            <w:tcBorders>
              <w:top w:val="single" w:sz="8" w:space="0" w:color="000000"/>
              <w:left w:val="single" w:sz="8" w:space="0" w:color="000000"/>
              <w:bottom w:val="single" w:sz="4" w:space="0" w:color="auto"/>
              <w:right w:val="single" w:sz="8" w:space="0" w:color="000000"/>
            </w:tcBorders>
            <w:vAlign w:val="center"/>
          </w:tcPr>
          <w:p w14:paraId="478EE11E"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3216" w:type="dxa"/>
            <w:gridSpan w:val="3"/>
            <w:tcBorders>
              <w:top w:val="single" w:sz="8" w:space="0" w:color="000000"/>
              <w:left w:val="nil"/>
              <w:bottom w:val="single" w:sz="8" w:space="0" w:color="000000"/>
              <w:right w:val="single" w:sz="8" w:space="0" w:color="000000"/>
            </w:tcBorders>
            <w:vAlign w:val="center"/>
          </w:tcPr>
          <w:p w14:paraId="4F5F04E1"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ESPACENET</w:t>
            </w:r>
          </w:p>
        </w:tc>
        <w:tc>
          <w:tcPr>
            <w:tcW w:w="5596" w:type="dxa"/>
            <w:tcBorders>
              <w:top w:val="nil"/>
              <w:left w:val="nil"/>
              <w:bottom w:val="single" w:sz="8" w:space="0" w:color="000000"/>
              <w:right w:val="single" w:sz="8" w:space="0" w:color="000000"/>
            </w:tcBorders>
            <w:vAlign w:val="center"/>
          </w:tcPr>
          <w:p w14:paraId="0B4B026F" w14:textId="5177C17A" w:rsidR="0021475A" w:rsidRPr="00B41F10" w:rsidRDefault="0021475A" w:rsidP="0090442B">
            <w:pPr>
              <w:spacing w:after="0" w:line="240" w:lineRule="auto"/>
              <w:jc w:val="both"/>
              <w:rPr>
                <w:rFonts w:eastAsia="Arial" w:cs="Arial"/>
                <w:color w:val="000000"/>
                <w:sz w:val="17"/>
                <w:szCs w:val="17"/>
              </w:rPr>
            </w:pPr>
            <w:r w:rsidRPr="00B41F10">
              <w:rPr>
                <w:rFonts w:eastAsia="Arial" w:cs="Arial"/>
                <w:color w:val="000000"/>
                <w:sz w:val="17"/>
                <w:szCs w:val="17"/>
              </w:rPr>
              <w:t>Celosvětová databáze obsahující patentové dokumenty (</w:t>
            </w:r>
            <w:r w:rsidR="00540FED">
              <w:rPr>
                <w:rFonts w:eastAsia="Arial" w:cs="Arial"/>
                <w:color w:val="000000"/>
                <w:sz w:val="17"/>
                <w:szCs w:val="17"/>
              </w:rPr>
              <w:t>EPO</w:t>
            </w:r>
            <w:r w:rsidRPr="00B41F10">
              <w:rPr>
                <w:rFonts w:eastAsia="Arial" w:cs="Arial"/>
                <w:color w:val="000000"/>
                <w:sz w:val="17"/>
                <w:szCs w:val="17"/>
              </w:rPr>
              <w:t>)</w:t>
            </w:r>
          </w:p>
        </w:tc>
      </w:tr>
      <w:tr w:rsidR="0021475A" w:rsidRPr="00B41F10" w14:paraId="67B9D4F3" w14:textId="77777777" w:rsidTr="00190851">
        <w:trPr>
          <w:trHeight w:val="280"/>
          <w:jc w:val="center"/>
        </w:trPr>
        <w:tc>
          <w:tcPr>
            <w:tcW w:w="398" w:type="dxa"/>
            <w:vMerge/>
            <w:tcBorders>
              <w:top w:val="single" w:sz="8" w:space="0" w:color="000000"/>
              <w:left w:val="single" w:sz="8" w:space="0" w:color="000000"/>
              <w:bottom w:val="single" w:sz="4" w:space="0" w:color="auto"/>
              <w:right w:val="single" w:sz="8" w:space="0" w:color="000000"/>
            </w:tcBorders>
            <w:vAlign w:val="center"/>
          </w:tcPr>
          <w:p w14:paraId="0CB8D2AC"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3216" w:type="dxa"/>
            <w:gridSpan w:val="3"/>
            <w:tcBorders>
              <w:top w:val="single" w:sz="8" w:space="0" w:color="000000"/>
              <w:left w:val="nil"/>
              <w:bottom w:val="single" w:sz="8" w:space="0" w:color="000000"/>
              <w:right w:val="single" w:sz="8" w:space="0" w:color="000000"/>
            </w:tcBorders>
            <w:vAlign w:val="center"/>
          </w:tcPr>
          <w:p w14:paraId="2976CEFA"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STAR METRICS</w:t>
            </w:r>
          </w:p>
        </w:tc>
        <w:tc>
          <w:tcPr>
            <w:tcW w:w="5596" w:type="dxa"/>
            <w:tcBorders>
              <w:top w:val="nil"/>
              <w:left w:val="nil"/>
              <w:bottom w:val="single" w:sz="8" w:space="0" w:color="000000"/>
              <w:right w:val="single" w:sz="8" w:space="0" w:color="000000"/>
            </w:tcBorders>
            <w:vAlign w:val="center"/>
          </w:tcPr>
          <w:p w14:paraId="4DEF1307" w14:textId="77777777" w:rsidR="0021475A" w:rsidRPr="00B41F10" w:rsidRDefault="0021475A" w:rsidP="0090442B">
            <w:pPr>
              <w:spacing w:after="0" w:line="240" w:lineRule="auto"/>
              <w:jc w:val="both"/>
              <w:rPr>
                <w:rFonts w:eastAsia="Arial" w:cs="Arial"/>
                <w:color w:val="000000"/>
                <w:sz w:val="17"/>
                <w:szCs w:val="17"/>
              </w:rPr>
            </w:pPr>
            <w:r w:rsidRPr="00B41F10">
              <w:rPr>
                <w:rFonts w:eastAsia="Arial" w:cs="Arial"/>
                <w:color w:val="000000"/>
                <w:sz w:val="17"/>
                <w:szCs w:val="17"/>
              </w:rPr>
              <w:t xml:space="preserve">Informace o veřejné podpoře, struktuře a výsledcích </w:t>
            </w:r>
            <w:proofErr w:type="spellStart"/>
            <w:r w:rsidRPr="00B41F10">
              <w:rPr>
                <w:rFonts w:eastAsia="Arial" w:cs="Arial"/>
                <w:color w:val="000000"/>
                <w:sz w:val="17"/>
                <w:szCs w:val="17"/>
              </w:rPr>
              <w:t>VaV</w:t>
            </w:r>
            <w:proofErr w:type="spellEnd"/>
            <w:r w:rsidRPr="00B41F10">
              <w:rPr>
                <w:rFonts w:eastAsia="Arial" w:cs="Arial"/>
                <w:color w:val="000000"/>
                <w:sz w:val="17"/>
                <w:szCs w:val="17"/>
              </w:rPr>
              <w:t xml:space="preserve"> aktivit v USA</w:t>
            </w:r>
          </w:p>
        </w:tc>
      </w:tr>
      <w:tr w:rsidR="0021475A" w:rsidRPr="00B41F10" w14:paraId="3B5C61FA" w14:textId="77777777" w:rsidTr="00190851">
        <w:trPr>
          <w:trHeight w:val="280"/>
          <w:jc w:val="center"/>
        </w:trPr>
        <w:tc>
          <w:tcPr>
            <w:tcW w:w="398" w:type="dxa"/>
            <w:vMerge/>
            <w:tcBorders>
              <w:top w:val="single" w:sz="8" w:space="0" w:color="000000"/>
              <w:left w:val="single" w:sz="8" w:space="0" w:color="000000"/>
              <w:bottom w:val="single" w:sz="4" w:space="0" w:color="auto"/>
              <w:right w:val="single" w:sz="8" w:space="0" w:color="000000"/>
            </w:tcBorders>
            <w:vAlign w:val="center"/>
          </w:tcPr>
          <w:p w14:paraId="5F2B4D36"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3216" w:type="dxa"/>
            <w:gridSpan w:val="3"/>
            <w:tcBorders>
              <w:top w:val="single" w:sz="8" w:space="0" w:color="000000"/>
              <w:left w:val="nil"/>
              <w:bottom w:val="single" w:sz="8" w:space="0" w:color="000000"/>
              <w:right w:val="single" w:sz="8" w:space="0" w:color="000000"/>
            </w:tcBorders>
            <w:vAlign w:val="center"/>
          </w:tcPr>
          <w:p w14:paraId="1B3DEFC7"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 xml:space="preserve">EU Open Data </w:t>
            </w:r>
            <w:proofErr w:type="spellStart"/>
            <w:r w:rsidRPr="00B41F10">
              <w:rPr>
                <w:rFonts w:eastAsia="Arial" w:cs="Arial"/>
                <w:color w:val="000000"/>
                <w:sz w:val="17"/>
                <w:szCs w:val="17"/>
              </w:rPr>
              <w:t>Portal</w:t>
            </w:r>
            <w:proofErr w:type="spellEnd"/>
          </w:p>
        </w:tc>
        <w:tc>
          <w:tcPr>
            <w:tcW w:w="5596" w:type="dxa"/>
            <w:tcBorders>
              <w:top w:val="nil"/>
              <w:left w:val="nil"/>
              <w:bottom w:val="single" w:sz="8" w:space="0" w:color="000000"/>
              <w:right w:val="single" w:sz="8" w:space="0" w:color="000000"/>
            </w:tcBorders>
            <w:vAlign w:val="center"/>
          </w:tcPr>
          <w:p w14:paraId="322472FF" w14:textId="77777777" w:rsidR="0021475A" w:rsidRPr="00B41F10" w:rsidRDefault="0021475A" w:rsidP="0090442B">
            <w:pPr>
              <w:spacing w:after="0" w:line="240" w:lineRule="auto"/>
              <w:jc w:val="both"/>
              <w:rPr>
                <w:rFonts w:eastAsia="Arial" w:cs="Arial"/>
                <w:color w:val="000000"/>
                <w:sz w:val="17"/>
                <w:szCs w:val="17"/>
              </w:rPr>
            </w:pPr>
            <w:r w:rsidRPr="00B41F10">
              <w:rPr>
                <w:rFonts w:eastAsia="Arial" w:cs="Arial"/>
                <w:color w:val="000000"/>
                <w:sz w:val="17"/>
                <w:szCs w:val="17"/>
              </w:rPr>
              <w:t>Data zveřejňovaná orgány a institucemi EU, např. údaje o účasti v rámcových programech EU</w:t>
            </w:r>
          </w:p>
        </w:tc>
      </w:tr>
      <w:tr w:rsidR="0021475A" w:rsidRPr="00B41F10" w14:paraId="50E848A3" w14:textId="77777777" w:rsidTr="00190851">
        <w:trPr>
          <w:trHeight w:val="280"/>
          <w:jc w:val="center"/>
        </w:trPr>
        <w:tc>
          <w:tcPr>
            <w:tcW w:w="398" w:type="dxa"/>
            <w:vMerge/>
            <w:tcBorders>
              <w:top w:val="single" w:sz="8" w:space="0" w:color="000000"/>
              <w:left w:val="single" w:sz="8" w:space="0" w:color="000000"/>
              <w:bottom w:val="single" w:sz="4" w:space="0" w:color="auto"/>
              <w:right w:val="single" w:sz="8" w:space="0" w:color="000000"/>
            </w:tcBorders>
            <w:vAlign w:val="center"/>
          </w:tcPr>
          <w:p w14:paraId="62277648"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3216" w:type="dxa"/>
            <w:gridSpan w:val="3"/>
            <w:tcBorders>
              <w:top w:val="single" w:sz="8" w:space="0" w:color="000000"/>
              <w:left w:val="nil"/>
              <w:bottom w:val="single" w:sz="8" w:space="0" w:color="000000"/>
              <w:right w:val="single" w:sz="8" w:space="0" w:color="000000"/>
            </w:tcBorders>
            <w:vAlign w:val="center"/>
          </w:tcPr>
          <w:p w14:paraId="1EF1866B"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 xml:space="preserve">RISIS </w:t>
            </w:r>
            <w:proofErr w:type="spellStart"/>
            <w:r w:rsidRPr="00B41F10">
              <w:rPr>
                <w:rFonts w:eastAsia="Arial" w:cs="Arial"/>
                <w:color w:val="000000"/>
                <w:sz w:val="17"/>
                <w:szCs w:val="17"/>
              </w:rPr>
              <w:t>Datasets</w:t>
            </w:r>
            <w:proofErr w:type="spellEnd"/>
          </w:p>
        </w:tc>
        <w:tc>
          <w:tcPr>
            <w:tcW w:w="5596" w:type="dxa"/>
            <w:tcBorders>
              <w:top w:val="nil"/>
              <w:left w:val="nil"/>
              <w:bottom w:val="single" w:sz="8" w:space="0" w:color="000000"/>
              <w:right w:val="single" w:sz="8" w:space="0" w:color="000000"/>
            </w:tcBorders>
            <w:vAlign w:val="center"/>
          </w:tcPr>
          <w:p w14:paraId="32BE7DAE" w14:textId="77777777" w:rsidR="0021475A" w:rsidRPr="00B41F10" w:rsidRDefault="0021475A" w:rsidP="0090442B">
            <w:pPr>
              <w:spacing w:after="0" w:line="240" w:lineRule="auto"/>
              <w:jc w:val="both"/>
              <w:rPr>
                <w:rFonts w:eastAsia="Arial" w:cs="Arial"/>
                <w:caps/>
                <w:color w:val="000000"/>
                <w:sz w:val="17"/>
                <w:szCs w:val="17"/>
              </w:rPr>
            </w:pPr>
            <w:r w:rsidRPr="00B41F10">
              <w:rPr>
                <w:rFonts w:eastAsia="Arial" w:cs="Arial"/>
                <w:color w:val="000000"/>
                <w:sz w:val="17"/>
                <w:szCs w:val="17"/>
              </w:rPr>
              <w:t>Obsahuje databáze jako CHEETAH, CIB/</w:t>
            </w:r>
            <w:proofErr w:type="spellStart"/>
            <w:r w:rsidRPr="00B41F10">
              <w:rPr>
                <w:rFonts w:eastAsia="Arial" w:cs="Arial"/>
                <w:color w:val="000000"/>
                <w:sz w:val="17"/>
                <w:szCs w:val="17"/>
              </w:rPr>
              <w:t>CinnoB</w:t>
            </w:r>
            <w:proofErr w:type="spellEnd"/>
            <w:r w:rsidRPr="00B41F10">
              <w:rPr>
                <w:rFonts w:eastAsia="Arial" w:cs="Arial"/>
                <w:color w:val="000000"/>
                <w:sz w:val="17"/>
                <w:szCs w:val="17"/>
              </w:rPr>
              <w:t xml:space="preserve">, CWTS </w:t>
            </w:r>
            <w:proofErr w:type="spellStart"/>
            <w:r w:rsidRPr="00B41F10">
              <w:rPr>
                <w:rFonts w:eastAsia="Arial" w:cs="Arial"/>
                <w:color w:val="000000"/>
                <w:sz w:val="17"/>
                <w:szCs w:val="17"/>
              </w:rPr>
              <w:t>Publication</w:t>
            </w:r>
            <w:proofErr w:type="spellEnd"/>
            <w:r w:rsidRPr="00B41F10">
              <w:rPr>
                <w:rFonts w:eastAsia="Arial" w:cs="Arial"/>
                <w:color w:val="000000"/>
                <w:sz w:val="17"/>
                <w:szCs w:val="17"/>
              </w:rPr>
              <w:t xml:space="preserve"> Database, EUPRO, IFRIS-PATST</w:t>
            </w:r>
            <w:r w:rsidRPr="00B41F10">
              <w:rPr>
                <w:rFonts w:eastAsia="Arial" w:cs="Arial"/>
                <w:caps/>
                <w:color w:val="000000"/>
                <w:sz w:val="17"/>
                <w:szCs w:val="17"/>
              </w:rPr>
              <w:t>AT, JOREP 2.0, MORE, NANO, PROFILE, RISIS-ETER, SIPER, VICO</w:t>
            </w:r>
          </w:p>
        </w:tc>
      </w:tr>
      <w:tr w:rsidR="0021475A" w:rsidRPr="00B41F10" w14:paraId="0650F302" w14:textId="77777777" w:rsidTr="00190851">
        <w:trPr>
          <w:trHeight w:val="280"/>
          <w:jc w:val="center"/>
        </w:trPr>
        <w:tc>
          <w:tcPr>
            <w:tcW w:w="398" w:type="dxa"/>
            <w:vMerge/>
            <w:tcBorders>
              <w:top w:val="single" w:sz="8" w:space="0" w:color="000000"/>
              <w:left w:val="single" w:sz="8" w:space="0" w:color="000000"/>
              <w:bottom w:val="single" w:sz="4" w:space="0" w:color="auto"/>
              <w:right w:val="single" w:sz="8" w:space="0" w:color="000000"/>
            </w:tcBorders>
            <w:vAlign w:val="center"/>
          </w:tcPr>
          <w:p w14:paraId="7A37798A"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3216" w:type="dxa"/>
            <w:gridSpan w:val="3"/>
            <w:tcBorders>
              <w:top w:val="single" w:sz="8" w:space="0" w:color="000000"/>
              <w:left w:val="nil"/>
              <w:bottom w:val="single" w:sz="8" w:space="0" w:color="000000"/>
              <w:right w:val="single" w:sz="8" w:space="0" w:color="000000"/>
            </w:tcBorders>
            <w:vAlign w:val="center"/>
          </w:tcPr>
          <w:p w14:paraId="3D3EABA7"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 xml:space="preserve">Open </w:t>
            </w:r>
            <w:proofErr w:type="spellStart"/>
            <w:r w:rsidRPr="00B41F10">
              <w:rPr>
                <w:rFonts w:eastAsia="Arial" w:cs="Arial"/>
                <w:color w:val="000000"/>
                <w:sz w:val="17"/>
                <w:szCs w:val="17"/>
              </w:rPr>
              <w:t>Research</w:t>
            </w:r>
            <w:proofErr w:type="spellEnd"/>
            <w:r w:rsidRPr="00B41F10">
              <w:rPr>
                <w:rFonts w:eastAsia="Arial" w:cs="Arial"/>
                <w:color w:val="000000"/>
                <w:sz w:val="17"/>
                <w:szCs w:val="17"/>
              </w:rPr>
              <w:t xml:space="preserve"> </w:t>
            </w:r>
            <w:proofErr w:type="spellStart"/>
            <w:r w:rsidRPr="00B41F10">
              <w:rPr>
                <w:rFonts w:eastAsia="Arial" w:cs="Arial"/>
                <w:color w:val="000000"/>
                <w:sz w:val="17"/>
                <w:szCs w:val="17"/>
              </w:rPr>
              <w:t>Europe</w:t>
            </w:r>
            <w:proofErr w:type="spellEnd"/>
            <w:r w:rsidRPr="00B41F10">
              <w:rPr>
                <w:rFonts w:eastAsia="Arial" w:cs="Arial"/>
                <w:color w:val="000000"/>
                <w:sz w:val="17"/>
                <w:szCs w:val="17"/>
              </w:rPr>
              <w:t xml:space="preserve"> </w:t>
            </w:r>
            <w:proofErr w:type="spellStart"/>
            <w:r w:rsidRPr="00B41F10">
              <w:rPr>
                <w:rFonts w:eastAsia="Arial" w:cs="Arial"/>
                <w:color w:val="000000"/>
                <w:sz w:val="17"/>
                <w:szCs w:val="17"/>
              </w:rPr>
              <w:t>platform</w:t>
            </w:r>
            <w:proofErr w:type="spellEnd"/>
            <w:r w:rsidRPr="00B41F10">
              <w:rPr>
                <w:rFonts w:eastAsia="Arial" w:cs="Arial"/>
                <w:color w:val="000000"/>
                <w:sz w:val="17"/>
                <w:szCs w:val="17"/>
              </w:rPr>
              <w:t xml:space="preserve"> (ORE)</w:t>
            </w:r>
          </w:p>
        </w:tc>
        <w:tc>
          <w:tcPr>
            <w:tcW w:w="5596" w:type="dxa"/>
            <w:tcBorders>
              <w:top w:val="nil"/>
              <w:left w:val="nil"/>
              <w:bottom w:val="single" w:sz="8" w:space="0" w:color="000000"/>
              <w:right w:val="single" w:sz="8" w:space="0" w:color="000000"/>
            </w:tcBorders>
            <w:vAlign w:val="center"/>
          </w:tcPr>
          <w:p w14:paraId="284BFDB6" w14:textId="77777777" w:rsidR="0021475A" w:rsidRPr="00B41F10" w:rsidRDefault="0021475A" w:rsidP="0090442B">
            <w:pPr>
              <w:spacing w:after="0" w:line="240" w:lineRule="auto"/>
              <w:jc w:val="both"/>
              <w:rPr>
                <w:rFonts w:eastAsia="Arial" w:cs="Arial"/>
                <w:color w:val="000000"/>
                <w:sz w:val="17"/>
                <w:szCs w:val="17"/>
              </w:rPr>
            </w:pPr>
            <w:r w:rsidRPr="00B41F10">
              <w:rPr>
                <w:rFonts w:eastAsia="Arial" w:cs="Arial"/>
                <w:color w:val="000000"/>
                <w:sz w:val="17"/>
                <w:szCs w:val="17"/>
              </w:rPr>
              <w:t>Publikační platforma s otevřeným přístupem pro publikování výsledků výzkumu financovaného z programů Horizont 2020, Horizont Evropa a/nebo Euratom ve všech tematických oblastech.</w:t>
            </w:r>
          </w:p>
        </w:tc>
      </w:tr>
      <w:tr w:rsidR="0021475A" w:rsidRPr="00B41F10" w14:paraId="5E20B29A" w14:textId="77777777" w:rsidTr="00190851">
        <w:trPr>
          <w:trHeight w:val="280"/>
          <w:jc w:val="center"/>
        </w:trPr>
        <w:tc>
          <w:tcPr>
            <w:tcW w:w="398" w:type="dxa"/>
            <w:vMerge/>
            <w:tcBorders>
              <w:top w:val="single" w:sz="8" w:space="0" w:color="000000"/>
              <w:left w:val="single" w:sz="8" w:space="0" w:color="000000"/>
              <w:bottom w:val="single" w:sz="4" w:space="0" w:color="auto"/>
              <w:right w:val="single" w:sz="8" w:space="0" w:color="000000"/>
            </w:tcBorders>
            <w:vAlign w:val="center"/>
          </w:tcPr>
          <w:p w14:paraId="6A873691"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3216" w:type="dxa"/>
            <w:gridSpan w:val="3"/>
            <w:tcBorders>
              <w:top w:val="single" w:sz="8" w:space="0" w:color="000000"/>
              <w:left w:val="nil"/>
              <w:bottom w:val="single" w:sz="8" w:space="0" w:color="000000"/>
              <w:right w:val="single" w:sz="8" w:space="0" w:color="000000"/>
            </w:tcBorders>
            <w:vAlign w:val="center"/>
          </w:tcPr>
          <w:p w14:paraId="60454445" w14:textId="77777777" w:rsidR="0021475A" w:rsidRPr="00B41F10" w:rsidRDefault="0021475A" w:rsidP="0090442B">
            <w:pPr>
              <w:spacing w:after="0" w:line="240" w:lineRule="auto"/>
              <w:jc w:val="center"/>
              <w:rPr>
                <w:rFonts w:eastAsia="Arial" w:cs="Arial"/>
                <w:color w:val="000000"/>
                <w:sz w:val="17"/>
                <w:szCs w:val="17"/>
              </w:rPr>
            </w:pPr>
            <w:proofErr w:type="spellStart"/>
            <w:r w:rsidRPr="00B41F10">
              <w:rPr>
                <w:rFonts w:eastAsia="Arial" w:cs="Arial"/>
                <w:color w:val="000000"/>
                <w:sz w:val="17"/>
                <w:szCs w:val="17"/>
              </w:rPr>
              <w:t>She</w:t>
            </w:r>
            <w:proofErr w:type="spellEnd"/>
            <w:r w:rsidRPr="00B41F10">
              <w:rPr>
                <w:rFonts w:eastAsia="Arial" w:cs="Arial"/>
                <w:color w:val="000000"/>
                <w:sz w:val="17"/>
                <w:szCs w:val="17"/>
              </w:rPr>
              <w:t xml:space="preserve"> </w:t>
            </w:r>
            <w:proofErr w:type="spellStart"/>
            <w:r w:rsidRPr="00B41F10">
              <w:rPr>
                <w:rFonts w:eastAsia="Arial" w:cs="Arial"/>
                <w:color w:val="000000"/>
                <w:sz w:val="17"/>
                <w:szCs w:val="17"/>
              </w:rPr>
              <w:t>figures</w:t>
            </w:r>
            <w:proofErr w:type="spellEnd"/>
          </w:p>
        </w:tc>
        <w:tc>
          <w:tcPr>
            <w:tcW w:w="5596" w:type="dxa"/>
            <w:tcBorders>
              <w:top w:val="nil"/>
              <w:left w:val="nil"/>
              <w:bottom w:val="single" w:sz="8" w:space="0" w:color="000000"/>
              <w:right w:val="single" w:sz="8" w:space="0" w:color="000000"/>
            </w:tcBorders>
            <w:vAlign w:val="center"/>
          </w:tcPr>
          <w:p w14:paraId="5C5904F9" w14:textId="77777777" w:rsidR="0021475A" w:rsidRPr="00B41F10" w:rsidRDefault="0021475A" w:rsidP="0090442B">
            <w:pPr>
              <w:spacing w:after="0" w:line="240" w:lineRule="auto"/>
              <w:jc w:val="both"/>
              <w:rPr>
                <w:rFonts w:eastAsia="Arial" w:cs="Arial"/>
                <w:color w:val="000000"/>
                <w:sz w:val="17"/>
                <w:szCs w:val="17"/>
              </w:rPr>
            </w:pPr>
            <w:r w:rsidRPr="00B41F10">
              <w:rPr>
                <w:rFonts w:eastAsia="Arial" w:cs="Arial"/>
                <w:color w:val="000000"/>
                <w:sz w:val="17"/>
                <w:szCs w:val="17"/>
              </w:rPr>
              <w:t>Publikace prezentuje nejnovější dostupné statistiky ke sledování stavu výzkumu a inovací v oblasti rovnosti žen a mužů v Evropě i mimo ni a poskytuje srovnatelné údaje a analýzy pro přibližně 88 ukazatelů.</w:t>
            </w:r>
          </w:p>
        </w:tc>
      </w:tr>
      <w:tr w:rsidR="0021475A" w:rsidRPr="00B41F10" w14:paraId="7DB72502" w14:textId="77777777" w:rsidTr="00190851">
        <w:trPr>
          <w:trHeight w:val="460"/>
          <w:jc w:val="center"/>
        </w:trPr>
        <w:tc>
          <w:tcPr>
            <w:tcW w:w="398" w:type="dxa"/>
            <w:vMerge/>
            <w:tcBorders>
              <w:top w:val="single" w:sz="8" w:space="0" w:color="000000"/>
              <w:left w:val="single" w:sz="8" w:space="0" w:color="000000"/>
              <w:bottom w:val="single" w:sz="4" w:space="0" w:color="auto"/>
              <w:right w:val="single" w:sz="8" w:space="0" w:color="000000"/>
            </w:tcBorders>
            <w:vAlign w:val="center"/>
          </w:tcPr>
          <w:p w14:paraId="2770983C"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1681" w:type="dxa"/>
            <w:gridSpan w:val="2"/>
            <w:tcBorders>
              <w:top w:val="single" w:sz="8" w:space="0" w:color="000000"/>
              <w:left w:val="nil"/>
              <w:bottom w:val="single" w:sz="8" w:space="0" w:color="000000"/>
              <w:right w:val="single" w:sz="8" w:space="0" w:color="000000"/>
            </w:tcBorders>
            <w:vAlign w:val="center"/>
          </w:tcPr>
          <w:p w14:paraId="258D0AEB"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Thomson Reuters</w:t>
            </w:r>
          </w:p>
        </w:tc>
        <w:tc>
          <w:tcPr>
            <w:tcW w:w="1535" w:type="dxa"/>
            <w:tcBorders>
              <w:top w:val="nil"/>
              <w:left w:val="nil"/>
              <w:bottom w:val="single" w:sz="8" w:space="0" w:color="000000"/>
              <w:right w:val="single" w:sz="8" w:space="0" w:color="000000"/>
            </w:tcBorders>
            <w:vAlign w:val="center"/>
          </w:tcPr>
          <w:p w14:paraId="2EE89A09"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 xml:space="preserve">Web </w:t>
            </w:r>
            <w:proofErr w:type="spellStart"/>
            <w:r w:rsidRPr="00B41F10">
              <w:rPr>
                <w:rFonts w:eastAsia="Arial" w:cs="Arial"/>
                <w:color w:val="000000"/>
                <w:sz w:val="17"/>
                <w:szCs w:val="17"/>
              </w:rPr>
              <w:t>of</w:t>
            </w:r>
            <w:proofErr w:type="spellEnd"/>
            <w:r w:rsidRPr="00B41F10">
              <w:rPr>
                <w:rFonts w:eastAsia="Arial" w:cs="Arial"/>
                <w:color w:val="000000"/>
                <w:sz w:val="17"/>
                <w:szCs w:val="17"/>
              </w:rPr>
              <w:t xml:space="preserve"> Science</w:t>
            </w:r>
          </w:p>
        </w:tc>
        <w:tc>
          <w:tcPr>
            <w:tcW w:w="5596" w:type="dxa"/>
            <w:tcBorders>
              <w:top w:val="nil"/>
              <w:left w:val="nil"/>
              <w:bottom w:val="single" w:sz="8" w:space="0" w:color="000000"/>
              <w:right w:val="single" w:sz="8" w:space="0" w:color="000000"/>
            </w:tcBorders>
            <w:vAlign w:val="center"/>
          </w:tcPr>
          <w:p w14:paraId="2C6A1BBE" w14:textId="77777777" w:rsidR="0021475A" w:rsidRPr="00B41F10" w:rsidRDefault="0021475A" w:rsidP="0090442B">
            <w:pPr>
              <w:spacing w:after="0" w:line="240" w:lineRule="auto"/>
              <w:jc w:val="both"/>
              <w:rPr>
                <w:rFonts w:eastAsia="Arial" w:cs="Arial"/>
                <w:color w:val="000000"/>
                <w:sz w:val="17"/>
                <w:szCs w:val="17"/>
              </w:rPr>
            </w:pPr>
            <w:r w:rsidRPr="00B41F10">
              <w:rPr>
                <w:rFonts w:eastAsia="Arial" w:cs="Arial"/>
                <w:color w:val="000000"/>
                <w:sz w:val="17"/>
                <w:szCs w:val="17"/>
              </w:rPr>
              <w:t>Umožnuje zpracovávat statistiky účasti RP (databáze grantových dohod a databáze návrhu projektů a žadatelů)</w:t>
            </w:r>
          </w:p>
        </w:tc>
      </w:tr>
      <w:tr w:rsidR="0021475A" w:rsidRPr="00B41F10" w14:paraId="2D0ADE70" w14:textId="77777777" w:rsidTr="00190851">
        <w:trPr>
          <w:trHeight w:val="280"/>
          <w:jc w:val="center"/>
        </w:trPr>
        <w:tc>
          <w:tcPr>
            <w:tcW w:w="398" w:type="dxa"/>
            <w:vMerge/>
            <w:tcBorders>
              <w:top w:val="single" w:sz="8" w:space="0" w:color="000000"/>
              <w:left w:val="single" w:sz="8" w:space="0" w:color="000000"/>
              <w:bottom w:val="single" w:sz="4" w:space="0" w:color="auto"/>
              <w:right w:val="single" w:sz="8" w:space="0" w:color="000000"/>
            </w:tcBorders>
            <w:vAlign w:val="center"/>
          </w:tcPr>
          <w:p w14:paraId="7613A786"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1681" w:type="dxa"/>
            <w:gridSpan w:val="2"/>
            <w:tcBorders>
              <w:top w:val="single" w:sz="8" w:space="0" w:color="000000"/>
              <w:left w:val="nil"/>
              <w:bottom w:val="single" w:sz="8" w:space="0" w:color="000000"/>
              <w:right w:val="single" w:sz="8" w:space="0" w:color="000000"/>
            </w:tcBorders>
            <w:vAlign w:val="center"/>
          </w:tcPr>
          <w:p w14:paraId="6B0EABCD"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Thomson Reuters</w:t>
            </w:r>
          </w:p>
        </w:tc>
        <w:tc>
          <w:tcPr>
            <w:tcW w:w="1535" w:type="dxa"/>
            <w:tcBorders>
              <w:top w:val="nil"/>
              <w:left w:val="nil"/>
              <w:bottom w:val="single" w:sz="8" w:space="0" w:color="000000"/>
              <w:right w:val="single" w:sz="8" w:space="0" w:color="000000"/>
            </w:tcBorders>
            <w:vAlign w:val="center"/>
          </w:tcPr>
          <w:p w14:paraId="2CE1B582" w14:textId="77777777" w:rsidR="0021475A" w:rsidRPr="00B41F10" w:rsidRDefault="0021475A" w:rsidP="0090442B">
            <w:pPr>
              <w:spacing w:after="0" w:line="240" w:lineRule="auto"/>
              <w:jc w:val="center"/>
              <w:rPr>
                <w:rFonts w:eastAsia="Arial" w:cs="Arial"/>
                <w:color w:val="000000"/>
                <w:sz w:val="17"/>
                <w:szCs w:val="17"/>
              </w:rPr>
            </w:pPr>
            <w:proofErr w:type="spellStart"/>
            <w:r w:rsidRPr="00B41F10">
              <w:rPr>
                <w:rFonts w:eastAsia="Arial" w:cs="Arial"/>
                <w:color w:val="000000"/>
                <w:sz w:val="17"/>
                <w:szCs w:val="17"/>
              </w:rPr>
              <w:t>Journal</w:t>
            </w:r>
            <w:proofErr w:type="spellEnd"/>
            <w:r w:rsidRPr="00B41F10">
              <w:rPr>
                <w:rFonts w:eastAsia="Arial" w:cs="Arial"/>
                <w:color w:val="000000"/>
                <w:sz w:val="17"/>
                <w:szCs w:val="17"/>
              </w:rPr>
              <w:t xml:space="preserve"> </w:t>
            </w:r>
            <w:proofErr w:type="spellStart"/>
            <w:r w:rsidRPr="00B41F10">
              <w:rPr>
                <w:rFonts w:eastAsia="Arial" w:cs="Arial"/>
                <w:color w:val="000000"/>
                <w:sz w:val="17"/>
                <w:szCs w:val="17"/>
              </w:rPr>
              <w:t>Citation</w:t>
            </w:r>
            <w:proofErr w:type="spellEnd"/>
            <w:r w:rsidRPr="00B41F10">
              <w:rPr>
                <w:rFonts w:eastAsia="Arial" w:cs="Arial"/>
                <w:color w:val="000000"/>
                <w:sz w:val="17"/>
                <w:szCs w:val="17"/>
              </w:rPr>
              <w:t xml:space="preserve"> </w:t>
            </w:r>
            <w:proofErr w:type="spellStart"/>
            <w:r w:rsidRPr="00B41F10">
              <w:rPr>
                <w:rFonts w:eastAsia="Arial" w:cs="Arial"/>
                <w:color w:val="000000"/>
                <w:sz w:val="17"/>
                <w:szCs w:val="17"/>
              </w:rPr>
              <w:t>Reports</w:t>
            </w:r>
            <w:proofErr w:type="spellEnd"/>
          </w:p>
        </w:tc>
        <w:tc>
          <w:tcPr>
            <w:tcW w:w="5596" w:type="dxa"/>
            <w:vMerge w:val="restart"/>
            <w:tcBorders>
              <w:top w:val="nil"/>
              <w:left w:val="single" w:sz="8" w:space="0" w:color="000000"/>
              <w:right w:val="single" w:sz="8" w:space="0" w:color="000000"/>
            </w:tcBorders>
            <w:vAlign w:val="center"/>
          </w:tcPr>
          <w:p w14:paraId="69FD1491" w14:textId="77777777" w:rsidR="0021475A" w:rsidRPr="00B41F10" w:rsidRDefault="0021475A" w:rsidP="0090442B">
            <w:pPr>
              <w:spacing w:after="0" w:line="240" w:lineRule="auto"/>
              <w:jc w:val="both"/>
              <w:rPr>
                <w:rFonts w:eastAsia="Arial" w:cs="Arial"/>
                <w:color w:val="000000"/>
                <w:sz w:val="17"/>
                <w:szCs w:val="17"/>
              </w:rPr>
            </w:pPr>
            <w:r w:rsidRPr="00B41F10">
              <w:rPr>
                <w:rFonts w:eastAsia="Arial" w:cs="Arial"/>
                <w:sz w:val="17"/>
                <w:szCs w:val="17"/>
              </w:rPr>
              <w:t>Citační rejstříky</w:t>
            </w:r>
          </w:p>
        </w:tc>
      </w:tr>
      <w:tr w:rsidR="0021475A" w:rsidRPr="00B41F10" w14:paraId="0CADFCD2" w14:textId="77777777" w:rsidTr="00190851">
        <w:trPr>
          <w:trHeight w:val="280"/>
          <w:jc w:val="center"/>
        </w:trPr>
        <w:tc>
          <w:tcPr>
            <w:tcW w:w="398" w:type="dxa"/>
            <w:vMerge/>
            <w:tcBorders>
              <w:top w:val="single" w:sz="8" w:space="0" w:color="000000"/>
              <w:left w:val="single" w:sz="8" w:space="0" w:color="000000"/>
              <w:bottom w:val="single" w:sz="4" w:space="0" w:color="auto"/>
              <w:right w:val="single" w:sz="8" w:space="0" w:color="000000"/>
            </w:tcBorders>
            <w:vAlign w:val="center"/>
          </w:tcPr>
          <w:p w14:paraId="15042769"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1681" w:type="dxa"/>
            <w:gridSpan w:val="2"/>
            <w:tcBorders>
              <w:top w:val="single" w:sz="8" w:space="0" w:color="000000"/>
              <w:left w:val="nil"/>
              <w:bottom w:val="single" w:sz="8" w:space="0" w:color="000000"/>
              <w:right w:val="single" w:sz="8" w:space="0" w:color="000000"/>
            </w:tcBorders>
            <w:vAlign w:val="center"/>
          </w:tcPr>
          <w:p w14:paraId="5B68ADE0" w14:textId="77777777" w:rsidR="0021475A" w:rsidRPr="00B41F10" w:rsidRDefault="0021475A" w:rsidP="0090442B">
            <w:pPr>
              <w:spacing w:after="0" w:line="240" w:lineRule="auto"/>
              <w:jc w:val="center"/>
              <w:rPr>
                <w:rFonts w:eastAsia="Arial" w:cs="Arial"/>
                <w:color w:val="000000"/>
                <w:sz w:val="17"/>
                <w:szCs w:val="17"/>
              </w:rPr>
            </w:pPr>
            <w:proofErr w:type="spellStart"/>
            <w:r w:rsidRPr="00B41F10">
              <w:rPr>
                <w:rFonts w:eastAsia="Arial" w:cs="Arial"/>
                <w:color w:val="000000"/>
                <w:sz w:val="17"/>
                <w:szCs w:val="17"/>
              </w:rPr>
              <w:t>Elsevier</w:t>
            </w:r>
            <w:proofErr w:type="spellEnd"/>
          </w:p>
        </w:tc>
        <w:tc>
          <w:tcPr>
            <w:tcW w:w="1535" w:type="dxa"/>
            <w:tcBorders>
              <w:top w:val="nil"/>
              <w:left w:val="nil"/>
              <w:bottom w:val="single" w:sz="8" w:space="0" w:color="000000"/>
              <w:right w:val="single" w:sz="8" w:space="0" w:color="000000"/>
            </w:tcBorders>
            <w:vAlign w:val="center"/>
          </w:tcPr>
          <w:p w14:paraId="59E35632" w14:textId="77777777" w:rsidR="0021475A" w:rsidRPr="00B41F10" w:rsidRDefault="0021475A" w:rsidP="0090442B">
            <w:pPr>
              <w:spacing w:after="0" w:line="240" w:lineRule="auto"/>
              <w:jc w:val="center"/>
              <w:rPr>
                <w:rFonts w:eastAsia="Arial" w:cs="Arial"/>
                <w:color w:val="000000"/>
                <w:sz w:val="17"/>
                <w:szCs w:val="17"/>
              </w:rPr>
            </w:pPr>
            <w:proofErr w:type="spellStart"/>
            <w:r w:rsidRPr="00B41F10">
              <w:rPr>
                <w:rFonts w:eastAsia="Arial" w:cs="Arial"/>
                <w:color w:val="000000"/>
                <w:sz w:val="17"/>
                <w:szCs w:val="17"/>
              </w:rPr>
              <w:t>Scopus</w:t>
            </w:r>
            <w:proofErr w:type="spellEnd"/>
          </w:p>
        </w:tc>
        <w:tc>
          <w:tcPr>
            <w:tcW w:w="5596" w:type="dxa"/>
            <w:vMerge/>
            <w:tcBorders>
              <w:top w:val="nil"/>
              <w:left w:val="single" w:sz="8" w:space="0" w:color="000000"/>
              <w:right w:val="single" w:sz="8" w:space="0" w:color="000000"/>
            </w:tcBorders>
            <w:vAlign w:val="center"/>
          </w:tcPr>
          <w:p w14:paraId="016EA49E"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r>
      <w:tr w:rsidR="0021475A" w:rsidRPr="00B41F10" w14:paraId="5F176385" w14:textId="77777777" w:rsidTr="00190851">
        <w:trPr>
          <w:trHeight w:val="280"/>
          <w:jc w:val="center"/>
        </w:trPr>
        <w:tc>
          <w:tcPr>
            <w:tcW w:w="398" w:type="dxa"/>
            <w:vMerge/>
            <w:tcBorders>
              <w:top w:val="single" w:sz="8" w:space="0" w:color="000000"/>
              <w:left w:val="single" w:sz="8" w:space="0" w:color="000000"/>
              <w:bottom w:val="single" w:sz="4" w:space="0" w:color="auto"/>
              <w:right w:val="single" w:sz="8" w:space="0" w:color="000000"/>
            </w:tcBorders>
            <w:vAlign w:val="center"/>
          </w:tcPr>
          <w:p w14:paraId="09C8B958"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1681" w:type="dxa"/>
            <w:gridSpan w:val="2"/>
            <w:tcBorders>
              <w:top w:val="single" w:sz="8" w:space="0" w:color="000000"/>
              <w:left w:val="nil"/>
              <w:bottom w:val="single" w:sz="8" w:space="0" w:color="000000"/>
              <w:right w:val="single" w:sz="8" w:space="0" w:color="000000"/>
            </w:tcBorders>
            <w:vAlign w:val="center"/>
          </w:tcPr>
          <w:p w14:paraId="747B14A8" w14:textId="77777777" w:rsidR="0021475A" w:rsidRPr="00B41F10" w:rsidRDefault="0021475A" w:rsidP="0090442B">
            <w:pPr>
              <w:spacing w:after="0" w:line="240" w:lineRule="auto"/>
              <w:jc w:val="center"/>
              <w:rPr>
                <w:rFonts w:eastAsia="Arial" w:cs="Arial"/>
                <w:color w:val="000000"/>
                <w:sz w:val="17"/>
                <w:szCs w:val="17"/>
              </w:rPr>
            </w:pPr>
            <w:proofErr w:type="spellStart"/>
            <w:r w:rsidRPr="00B41F10">
              <w:rPr>
                <w:rFonts w:eastAsia="Arial" w:cs="Arial"/>
                <w:color w:val="000000"/>
                <w:sz w:val="17"/>
                <w:szCs w:val="17"/>
              </w:rPr>
              <w:t>European</w:t>
            </w:r>
            <w:proofErr w:type="spellEnd"/>
            <w:r w:rsidRPr="00B41F10">
              <w:rPr>
                <w:rFonts w:eastAsia="Arial" w:cs="Arial"/>
                <w:color w:val="000000"/>
                <w:sz w:val="17"/>
                <w:szCs w:val="17"/>
              </w:rPr>
              <w:t xml:space="preserve"> science </w:t>
            </w:r>
            <w:proofErr w:type="spellStart"/>
            <w:r w:rsidRPr="00B41F10">
              <w:rPr>
                <w:rFonts w:eastAsia="Arial" w:cs="Arial"/>
                <w:color w:val="000000"/>
                <w:sz w:val="17"/>
                <w:szCs w:val="17"/>
              </w:rPr>
              <w:t>foundation</w:t>
            </w:r>
            <w:proofErr w:type="spellEnd"/>
          </w:p>
        </w:tc>
        <w:tc>
          <w:tcPr>
            <w:tcW w:w="1535" w:type="dxa"/>
            <w:tcBorders>
              <w:top w:val="nil"/>
              <w:left w:val="nil"/>
              <w:bottom w:val="single" w:sz="8" w:space="0" w:color="000000"/>
              <w:right w:val="single" w:sz="8" w:space="0" w:color="000000"/>
            </w:tcBorders>
            <w:vAlign w:val="center"/>
          </w:tcPr>
          <w:p w14:paraId="30D4759E"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ERIH PLUS</w:t>
            </w:r>
          </w:p>
        </w:tc>
        <w:tc>
          <w:tcPr>
            <w:tcW w:w="5596" w:type="dxa"/>
            <w:vMerge/>
            <w:tcBorders>
              <w:top w:val="nil"/>
              <w:left w:val="single" w:sz="8" w:space="0" w:color="000000"/>
              <w:bottom w:val="single" w:sz="4" w:space="0" w:color="auto"/>
              <w:right w:val="single" w:sz="8" w:space="0" w:color="000000"/>
            </w:tcBorders>
            <w:vAlign w:val="center"/>
          </w:tcPr>
          <w:p w14:paraId="61B104F0"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r>
      <w:tr w:rsidR="0021475A" w:rsidRPr="00B41F10" w14:paraId="48EE5F68" w14:textId="77777777" w:rsidTr="00190851">
        <w:trPr>
          <w:trHeight w:val="280"/>
          <w:jc w:val="center"/>
        </w:trPr>
        <w:tc>
          <w:tcPr>
            <w:tcW w:w="398" w:type="dxa"/>
            <w:vMerge/>
            <w:tcBorders>
              <w:top w:val="single" w:sz="8" w:space="0" w:color="000000"/>
              <w:left w:val="single" w:sz="8" w:space="0" w:color="000000"/>
              <w:bottom w:val="single" w:sz="4" w:space="0" w:color="auto"/>
              <w:right w:val="single" w:sz="8" w:space="0" w:color="000000"/>
            </w:tcBorders>
            <w:vAlign w:val="center"/>
          </w:tcPr>
          <w:p w14:paraId="1F51DA95"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1681" w:type="dxa"/>
            <w:gridSpan w:val="2"/>
            <w:tcBorders>
              <w:top w:val="single" w:sz="8" w:space="0" w:color="000000"/>
              <w:left w:val="nil"/>
              <w:bottom w:val="single" w:sz="8" w:space="0" w:color="000000"/>
              <w:right w:val="single" w:sz="8" w:space="0" w:color="000000"/>
            </w:tcBorders>
            <w:vAlign w:val="center"/>
          </w:tcPr>
          <w:p w14:paraId="223B43DF"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 xml:space="preserve">Google </w:t>
            </w:r>
            <w:proofErr w:type="spellStart"/>
            <w:r w:rsidRPr="00B41F10">
              <w:rPr>
                <w:rFonts w:eastAsia="Arial" w:cs="Arial"/>
                <w:color w:val="000000"/>
                <w:sz w:val="17"/>
                <w:szCs w:val="17"/>
              </w:rPr>
              <w:t>Scholar</w:t>
            </w:r>
            <w:proofErr w:type="spellEnd"/>
          </w:p>
        </w:tc>
        <w:tc>
          <w:tcPr>
            <w:tcW w:w="1535" w:type="dxa"/>
            <w:tcBorders>
              <w:top w:val="nil"/>
              <w:left w:val="nil"/>
              <w:bottom w:val="single" w:sz="8" w:space="0" w:color="000000"/>
              <w:right w:val="single" w:sz="8" w:space="0" w:color="000000"/>
            </w:tcBorders>
            <w:vAlign w:val="center"/>
          </w:tcPr>
          <w:p w14:paraId="56A78F43"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EBSCO</w:t>
            </w:r>
          </w:p>
        </w:tc>
        <w:tc>
          <w:tcPr>
            <w:tcW w:w="5596" w:type="dxa"/>
            <w:tcBorders>
              <w:top w:val="nil"/>
              <w:left w:val="single" w:sz="8" w:space="0" w:color="000000"/>
              <w:bottom w:val="single" w:sz="4" w:space="0" w:color="auto"/>
              <w:right w:val="single" w:sz="8" w:space="0" w:color="000000"/>
            </w:tcBorders>
            <w:vAlign w:val="center"/>
          </w:tcPr>
          <w:p w14:paraId="752FE197"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r w:rsidRPr="00B41F10">
              <w:rPr>
                <w:rFonts w:eastAsia="Arial" w:cs="Arial"/>
                <w:color w:val="000000"/>
                <w:sz w:val="17"/>
                <w:szCs w:val="17"/>
              </w:rPr>
              <w:t>Plnotextové databáze</w:t>
            </w:r>
          </w:p>
        </w:tc>
      </w:tr>
      <w:tr w:rsidR="0021475A" w:rsidRPr="00B41F10" w14:paraId="6051D76F" w14:textId="77777777" w:rsidTr="00982EF1">
        <w:trPr>
          <w:trHeight w:val="280"/>
          <w:jc w:val="center"/>
        </w:trPr>
        <w:tc>
          <w:tcPr>
            <w:tcW w:w="398" w:type="dxa"/>
            <w:vMerge/>
            <w:tcBorders>
              <w:top w:val="single" w:sz="8" w:space="0" w:color="000000"/>
              <w:left w:val="single" w:sz="8" w:space="0" w:color="000000"/>
              <w:bottom w:val="single" w:sz="4" w:space="0" w:color="auto"/>
              <w:right w:val="single" w:sz="8" w:space="0" w:color="000000"/>
            </w:tcBorders>
            <w:vAlign w:val="center"/>
          </w:tcPr>
          <w:p w14:paraId="7BCEF4DD" w14:textId="77777777" w:rsidR="0021475A" w:rsidRPr="00B41F10" w:rsidRDefault="0021475A" w:rsidP="0090442B">
            <w:pPr>
              <w:widowControl w:val="0"/>
              <w:pBdr>
                <w:top w:val="nil"/>
                <w:left w:val="nil"/>
                <w:bottom w:val="nil"/>
                <w:right w:val="nil"/>
                <w:between w:val="nil"/>
              </w:pBdr>
              <w:spacing w:after="0"/>
              <w:rPr>
                <w:rFonts w:eastAsia="Arial" w:cs="Arial"/>
                <w:color w:val="000000"/>
                <w:sz w:val="17"/>
                <w:szCs w:val="17"/>
              </w:rPr>
            </w:pPr>
          </w:p>
        </w:tc>
        <w:tc>
          <w:tcPr>
            <w:tcW w:w="8812" w:type="dxa"/>
            <w:gridSpan w:val="4"/>
            <w:tcBorders>
              <w:top w:val="nil"/>
              <w:left w:val="nil"/>
              <w:bottom w:val="single" w:sz="8" w:space="0" w:color="000000"/>
              <w:right w:val="single" w:sz="8" w:space="0" w:color="000000"/>
            </w:tcBorders>
            <w:vAlign w:val="center"/>
          </w:tcPr>
          <w:p w14:paraId="4D94CB8E" w14:textId="77777777" w:rsidR="0021475A" w:rsidRPr="00B41F10" w:rsidRDefault="0021475A" w:rsidP="0090442B">
            <w:pPr>
              <w:spacing w:after="0" w:line="240" w:lineRule="auto"/>
              <w:jc w:val="center"/>
              <w:rPr>
                <w:rFonts w:eastAsia="Arial" w:cs="Arial"/>
                <w:color w:val="000000"/>
                <w:sz w:val="17"/>
                <w:szCs w:val="17"/>
              </w:rPr>
            </w:pPr>
            <w:r w:rsidRPr="00B41F10">
              <w:rPr>
                <w:rFonts w:eastAsia="Arial" w:cs="Arial"/>
                <w:color w:val="000000"/>
                <w:sz w:val="17"/>
                <w:szCs w:val="17"/>
              </w:rPr>
              <w:t>Další dokumenty, statistiky a studie**</w:t>
            </w:r>
          </w:p>
        </w:tc>
      </w:tr>
    </w:tbl>
    <w:p w14:paraId="78C0B0AD" w14:textId="3AB8A602" w:rsidR="00A02BDB" w:rsidRPr="00B41F10" w:rsidRDefault="00A02BDB" w:rsidP="00A02BDB">
      <w:pPr>
        <w:pBdr>
          <w:top w:val="nil"/>
          <w:left w:val="nil"/>
          <w:bottom w:val="nil"/>
          <w:right w:val="nil"/>
          <w:between w:val="nil"/>
        </w:pBdr>
        <w:spacing w:before="120" w:after="240" w:line="288" w:lineRule="auto"/>
        <w:jc w:val="both"/>
        <w:rPr>
          <w:rFonts w:eastAsia="Arial" w:cs="Arial"/>
          <w:i/>
          <w:color w:val="000000"/>
          <w:sz w:val="18"/>
          <w:szCs w:val="18"/>
        </w:rPr>
      </w:pPr>
      <w:r w:rsidRPr="00B41F10">
        <w:rPr>
          <w:rFonts w:eastAsia="Arial" w:cs="Arial"/>
          <w:i/>
          <w:color w:val="000000"/>
          <w:sz w:val="18"/>
          <w:szCs w:val="18"/>
        </w:rPr>
        <w:t>Zdroj: vlastní zpracování</w:t>
      </w:r>
    </w:p>
    <w:p w14:paraId="1346CD51" w14:textId="77777777" w:rsidR="00A02BDB" w:rsidRPr="00B41F10" w:rsidRDefault="00A02BDB" w:rsidP="00A02BDB">
      <w:pPr>
        <w:pBdr>
          <w:top w:val="nil"/>
          <w:left w:val="nil"/>
          <w:bottom w:val="nil"/>
          <w:right w:val="nil"/>
          <w:between w:val="nil"/>
        </w:pBdr>
        <w:tabs>
          <w:tab w:val="left" w:pos="426"/>
        </w:tabs>
        <w:spacing w:after="60" w:line="240" w:lineRule="auto"/>
        <w:ind w:left="420" w:hanging="420"/>
        <w:jc w:val="both"/>
        <w:rPr>
          <w:rFonts w:eastAsia="Arial" w:cs="Arial"/>
          <w:i/>
          <w:color w:val="000000"/>
          <w:sz w:val="18"/>
          <w:szCs w:val="18"/>
        </w:rPr>
      </w:pPr>
      <w:r w:rsidRPr="00B41F10">
        <w:rPr>
          <w:rFonts w:eastAsia="Arial" w:cs="Arial"/>
          <w:i/>
          <w:color w:val="000000"/>
          <w:sz w:val="18"/>
          <w:szCs w:val="18"/>
        </w:rPr>
        <w:t>*</w:t>
      </w:r>
      <w:r w:rsidRPr="00B41F10">
        <w:rPr>
          <w:rFonts w:eastAsia="Arial" w:cs="Arial"/>
          <w:i/>
          <w:color w:val="000000"/>
          <w:sz w:val="18"/>
          <w:szCs w:val="18"/>
        </w:rPr>
        <w:tab/>
        <w:t>Např. Rejstřík veřejných výzkumných institucí; Databáze akreditovaných studijních programů; Panorama zpracovatelského průmyslu vydávané MPO; programové dokumenty, monitorovací zprávy a další materiály k operačním programům.</w:t>
      </w:r>
    </w:p>
    <w:p w14:paraId="1E3F68A1" w14:textId="7BB08ED4" w:rsidR="00A02BDB" w:rsidRPr="00B41F10" w:rsidRDefault="00A02BDB" w:rsidP="00A02BDB">
      <w:pPr>
        <w:pBdr>
          <w:top w:val="nil"/>
          <w:left w:val="nil"/>
          <w:bottom w:val="nil"/>
          <w:right w:val="nil"/>
          <w:between w:val="nil"/>
        </w:pBdr>
        <w:tabs>
          <w:tab w:val="left" w:pos="426"/>
        </w:tabs>
        <w:spacing w:after="60" w:line="240" w:lineRule="auto"/>
        <w:jc w:val="both"/>
        <w:rPr>
          <w:rFonts w:eastAsia="Arial" w:cs="Arial"/>
          <w:i/>
          <w:color w:val="000000"/>
          <w:sz w:val="18"/>
          <w:szCs w:val="18"/>
        </w:rPr>
      </w:pPr>
      <w:r w:rsidRPr="00B41F10">
        <w:rPr>
          <w:rFonts w:eastAsia="Arial" w:cs="Arial"/>
          <w:i/>
          <w:color w:val="000000"/>
          <w:sz w:val="18"/>
          <w:szCs w:val="18"/>
        </w:rPr>
        <w:t>**</w:t>
      </w:r>
      <w:r w:rsidRPr="00B41F10">
        <w:rPr>
          <w:rFonts w:eastAsia="Arial" w:cs="Arial"/>
          <w:i/>
          <w:color w:val="000000"/>
          <w:sz w:val="18"/>
          <w:szCs w:val="18"/>
        </w:rPr>
        <w:tab/>
        <w:t xml:space="preserve">Např. </w:t>
      </w:r>
      <w:proofErr w:type="spellStart"/>
      <w:r w:rsidRPr="00B41F10">
        <w:rPr>
          <w:rFonts w:eastAsia="Arial" w:cs="Arial"/>
          <w:i/>
          <w:color w:val="000000"/>
          <w:sz w:val="18"/>
          <w:szCs w:val="18"/>
        </w:rPr>
        <w:t>European</w:t>
      </w:r>
      <w:proofErr w:type="spellEnd"/>
      <w:r w:rsidRPr="00B41F10">
        <w:rPr>
          <w:rFonts w:eastAsia="Arial" w:cs="Arial"/>
          <w:i/>
          <w:color w:val="000000"/>
          <w:sz w:val="18"/>
          <w:szCs w:val="18"/>
        </w:rPr>
        <w:t xml:space="preserve"> Innovation </w:t>
      </w:r>
      <w:proofErr w:type="spellStart"/>
      <w:r w:rsidRPr="00B41F10">
        <w:rPr>
          <w:rFonts w:eastAsia="Arial" w:cs="Arial"/>
          <w:i/>
          <w:color w:val="000000"/>
          <w:sz w:val="18"/>
          <w:szCs w:val="18"/>
        </w:rPr>
        <w:t>Scoreboard</w:t>
      </w:r>
      <w:proofErr w:type="spellEnd"/>
      <w:r w:rsidRPr="00B41F10">
        <w:rPr>
          <w:rFonts w:eastAsia="Arial" w:cs="Arial"/>
          <w:i/>
          <w:color w:val="000000"/>
          <w:sz w:val="18"/>
          <w:szCs w:val="18"/>
        </w:rPr>
        <w:t xml:space="preserve">, </w:t>
      </w:r>
      <w:proofErr w:type="spellStart"/>
      <w:r w:rsidRPr="00B41F10">
        <w:rPr>
          <w:rFonts w:eastAsia="Arial" w:cs="Arial"/>
          <w:i/>
          <w:color w:val="000000"/>
          <w:sz w:val="18"/>
          <w:szCs w:val="18"/>
        </w:rPr>
        <w:t>Research</w:t>
      </w:r>
      <w:proofErr w:type="spellEnd"/>
      <w:r w:rsidRPr="00B41F10">
        <w:rPr>
          <w:rFonts w:eastAsia="Arial" w:cs="Arial"/>
          <w:i/>
          <w:color w:val="000000"/>
          <w:sz w:val="18"/>
          <w:szCs w:val="18"/>
        </w:rPr>
        <w:t xml:space="preserve"> and </w:t>
      </w:r>
      <w:proofErr w:type="spellStart"/>
      <w:r w:rsidRPr="00B41F10">
        <w:rPr>
          <w:rFonts w:eastAsia="Arial" w:cs="Arial"/>
          <w:i/>
          <w:color w:val="000000"/>
          <w:sz w:val="18"/>
          <w:szCs w:val="18"/>
        </w:rPr>
        <w:t>innovation</w:t>
      </w:r>
      <w:proofErr w:type="spellEnd"/>
      <w:r w:rsidRPr="00B41F10">
        <w:rPr>
          <w:rFonts w:eastAsia="Arial" w:cs="Arial"/>
          <w:i/>
          <w:color w:val="000000"/>
          <w:sz w:val="18"/>
          <w:szCs w:val="18"/>
        </w:rPr>
        <w:t xml:space="preserve"> </w:t>
      </w:r>
      <w:proofErr w:type="spellStart"/>
      <w:r w:rsidRPr="00B41F10">
        <w:rPr>
          <w:rFonts w:eastAsia="Arial" w:cs="Arial"/>
          <w:i/>
          <w:color w:val="000000"/>
          <w:sz w:val="18"/>
          <w:szCs w:val="18"/>
        </w:rPr>
        <w:t>statistics</w:t>
      </w:r>
      <w:proofErr w:type="spellEnd"/>
      <w:r w:rsidRPr="00B41F10">
        <w:rPr>
          <w:rFonts w:eastAsia="Arial" w:cs="Arial"/>
          <w:i/>
          <w:color w:val="000000"/>
          <w:sz w:val="18"/>
          <w:szCs w:val="18"/>
        </w:rPr>
        <w:t xml:space="preserve"> </w:t>
      </w:r>
      <w:proofErr w:type="spellStart"/>
      <w:r w:rsidRPr="00B41F10">
        <w:rPr>
          <w:rFonts w:eastAsia="Arial" w:cs="Arial"/>
          <w:i/>
          <w:color w:val="000000"/>
          <w:sz w:val="18"/>
          <w:szCs w:val="18"/>
        </w:rPr>
        <w:t>at</w:t>
      </w:r>
      <w:proofErr w:type="spellEnd"/>
      <w:r w:rsidRPr="00B41F10">
        <w:rPr>
          <w:rFonts w:eastAsia="Arial" w:cs="Arial"/>
          <w:i/>
          <w:color w:val="000000"/>
          <w:sz w:val="18"/>
          <w:szCs w:val="18"/>
        </w:rPr>
        <w:t xml:space="preserve"> </w:t>
      </w:r>
      <w:proofErr w:type="spellStart"/>
      <w:r w:rsidRPr="00B41F10">
        <w:rPr>
          <w:rFonts w:eastAsia="Arial" w:cs="Arial"/>
          <w:i/>
          <w:color w:val="000000"/>
          <w:sz w:val="18"/>
          <w:szCs w:val="18"/>
        </w:rPr>
        <w:t>regional</w:t>
      </w:r>
      <w:proofErr w:type="spellEnd"/>
      <w:r w:rsidRPr="00B41F10">
        <w:rPr>
          <w:rFonts w:eastAsia="Arial" w:cs="Arial"/>
          <w:i/>
          <w:color w:val="000000"/>
          <w:sz w:val="18"/>
          <w:szCs w:val="18"/>
        </w:rPr>
        <w:t xml:space="preserve"> level</w:t>
      </w:r>
      <w:r w:rsidR="002E5594" w:rsidRPr="00B41F10">
        <w:rPr>
          <w:rFonts w:eastAsia="Arial" w:cs="Arial"/>
          <w:i/>
          <w:color w:val="000000"/>
          <w:sz w:val="18"/>
          <w:szCs w:val="18"/>
        </w:rPr>
        <w:t>.</w:t>
      </w:r>
    </w:p>
    <w:p w14:paraId="581665E1" w14:textId="77777777" w:rsidR="004A4B96" w:rsidRDefault="004A4B96" w:rsidP="00A02BDB">
      <w:pPr>
        <w:pBdr>
          <w:top w:val="nil"/>
          <w:left w:val="nil"/>
          <w:bottom w:val="nil"/>
          <w:right w:val="nil"/>
          <w:between w:val="nil"/>
        </w:pBdr>
        <w:spacing w:after="60" w:line="240" w:lineRule="auto"/>
        <w:jc w:val="both"/>
        <w:rPr>
          <w:rFonts w:eastAsia="Arial" w:cs="Arial"/>
          <w:i/>
          <w:color w:val="000000"/>
          <w:sz w:val="18"/>
          <w:szCs w:val="18"/>
        </w:rPr>
      </w:pPr>
    </w:p>
    <w:p w14:paraId="1C6519FC" w14:textId="30797FE0" w:rsidR="0021475A" w:rsidRPr="00B41F10" w:rsidRDefault="00A02BDB" w:rsidP="00A02BDB">
      <w:pPr>
        <w:pBdr>
          <w:top w:val="nil"/>
          <w:left w:val="nil"/>
          <w:bottom w:val="nil"/>
          <w:right w:val="nil"/>
          <w:between w:val="nil"/>
        </w:pBdr>
        <w:spacing w:after="60" w:line="240" w:lineRule="auto"/>
        <w:jc w:val="both"/>
        <w:rPr>
          <w:rFonts w:eastAsia="Arial" w:cs="Arial"/>
          <w:i/>
          <w:color w:val="000000"/>
          <w:sz w:val="18"/>
          <w:szCs w:val="18"/>
        </w:rPr>
        <w:sectPr w:rsidR="0021475A" w:rsidRPr="00B41F10" w:rsidSect="00060437">
          <w:pgSz w:w="11906" w:h="16838"/>
          <w:pgMar w:top="1134" w:right="1418" w:bottom="1134" w:left="1134" w:header="708" w:footer="708" w:gutter="0"/>
          <w:cols w:space="708"/>
          <w:docGrid w:linePitch="360"/>
        </w:sectPr>
      </w:pPr>
      <w:r w:rsidRPr="00B41F10">
        <w:rPr>
          <w:rFonts w:eastAsia="Arial" w:cs="Arial"/>
          <w:i/>
          <w:color w:val="000000"/>
          <w:sz w:val="18"/>
          <w:szCs w:val="18"/>
        </w:rPr>
        <w:t xml:space="preserve">Vzhledem k současným potřebám by bylo dobré statistiky doplnit o evidenci institucionálních prostředků podle oborů </w:t>
      </w:r>
      <w:proofErr w:type="spellStart"/>
      <w:r w:rsidRPr="00B41F10">
        <w:rPr>
          <w:rFonts w:eastAsia="Arial" w:cs="Arial"/>
          <w:i/>
          <w:color w:val="000000"/>
          <w:sz w:val="18"/>
          <w:szCs w:val="18"/>
        </w:rPr>
        <w:t>VaVaI</w:t>
      </w:r>
      <w:proofErr w:type="spellEnd"/>
      <w:r w:rsidRPr="00B41F10">
        <w:rPr>
          <w:rFonts w:eastAsia="Arial" w:cs="Arial"/>
          <w:i/>
          <w:color w:val="000000"/>
          <w:sz w:val="18"/>
          <w:szCs w:val="18"/>
        </w:rPr>
        <w:t xml:space="preserve">, které byly podpořeny, a dále evidovat podporu </w:t>
      </w:r>
      <w:proofErr w:type="spellStart"/>
      <w:r w:rsidRPr="00B41F10">
        <w:rPr>
          <w:rFonts w:eastAsia="Arial" w:cs="Arial"/>
          <w:i/>
          <w:color w:val="000000"/>
          <w:sz w:val="18"/>
          <w:szCs w:val="18"/>
        </w:rPr>
        <w:t>VaVaI</w:t>
      </w:r>
      <w:proofErr w:type="spellEnd"/>
      <w:r w:rsidRPr="00B41F10">
        <w:rPr>
          <w:rFonts w:eastAsia="Arial" w:cs="Arial"/>
          <w:i/>
          <w:color w:val="000000"/>
          <w:sz w:val="18"/>
          <w:szCs w:val="18"/>
        </w:rPr>
        <w:t xml:space="preserve"> na národní úrovni v účetním členění na přímé a nepřímé náklady za jednotlivé finanční nástroje. Bylo by vhodné na národní úrovni sledovat a mít k dispozici statistiky o využití výsledků. V oblasti lidských zdrojů by bylo přínosné propojit data s daty z oblasti trhu práce a rozšířit je o genderové statistiky. Byl vytvořen převodník pro sjednocení číselníků vědních oborů používaných v ČR se strukturou definovanou OECD </w:t>
      </w:r>
      <w:r w:rsidR="000750D6">
        <w:rPr>
          <w:rFonts w:eastAsia="Arial" w:cs="Arial"/>
          <w:i/>
          <w:color w:val="000000"/>
          <w:sz w:val="18"/>
          <w:szCs w:val="18"/>
        </w:rPr>
        <w:t>–</w:t>
      </w:r>
      <w:r w:rsidRPr="00B41F10">
        <w:rPr>
          <w:rFonts w:eastAsia="Arial" w:cs="Arial"/>
          <w:i/>
          <w:color w:val="000000"/>
          <w:sz w:val="18"/>
          <w:szCs w:val="18"/>
        </w:rPr>
        <w:t xml:space="preserve"> </w:t>
      </w:r>
      <w:proofErr w:type="spellStart"/>
      <w:r w:rsidRPr="00B41F10">
        <w:rPr>
          <w:rFonts w:eastAsia="Arial" w:cs="Arial"/>
          <w:i/>
          <w:color w:val="000000"/>
          <w:sz w:val="18"/>
          <w:szCs w:val="18"/>
        </w:rPr>
        <w:t>Fields</w:t>
      </w:r>
      <w:proofErr w:type="spellEnd"/>
      <w:r w:rsidRPr="00B41F10">
        <w:rPr>
          <w:rFonts w:eastAsia="Arial" w:cs="Arial"/>
          <w:i/>
          <w:color w:val="000000"/>
          <w:sz w:val="18"/>
          <w:szCs w:val="18"/>
        </w:rPr>
        <w:t xml:space="preserve"> </w:t>
      </w:r>
      <w:proofErr w:type="spellStart"/>
      <w:r w:rsidRPr="00B41F10">
        <w:rPr>
          <w:rFonts w:eastAsia="Arial" w:cs="Arial"/>
          <w:i/>
          <w:color w:val="000000"/>
          <w:sz w:val="18"/>
          <w:szCs w:val="18"/>
        </w:rPr>
        <w:t>of</w:t>
      </w:r>
      <w:proofErr w:type="spellEnd"/>
      <w:r w:rsidRPr="00B41F10">
        <w:rPr>
          <w:rFonts w:eastAsia="Arial" w:cs="Arial"/>
          <w:i/>
          <w:color w:val="000000"/>
          <w:sz w:val="18"/>
          <w:szCs w:val="18"/>
        </w:rPr>
        <w:t xml:space="preserve"> Science jak na úrovni evidence IS </w:t>
      </w:r>
      <w:proofErr w:type="spellStart"/>
      <w:r w:rsidRPr="00B41F10">
        <w:rPr>
          <w:rFonts w:eastAsia="Arial" w:cs="Arial"/>
          <w:i/>
          <w:color w:val="000000"/>
          <w:sz w:val="18"/>
          <w:szCs w:val="18"/>
        </w:rPr>
        <w:t>VaVaI</w:t>
      </w:r>
      <w:proofErr w:type="spellEnd"/>
      <w:r w:rsidRPr="00B41F10">
        <w:rPr>
          <w:rFonts w:eastAsia="Arial" w:cs="Arial"/>
          <w:i/>
          <w:color w:val="000000"/>
          <w:sz w:val="18"/>
          <w:szCs w:val="18"/>
        </w:rPr>
        <w:t xml:space="preserve"> (skupiny oborů CEP&amp;CEZ&amp;RIV, tak oborových skupin pro hodnocení dle Metodiky hodnocení výsledků, přílohy č. 7).</w:t>
      </w:r>
    </w:p>
    <w:p w14:paraId="56F1F47D" w14:textId="3DCD7835" w:rsidR="0021475A" w:rsidRDefault="0021475A" w:rsidP="00FA1845">
      <w:pPr>
        <w:pStyle w:val="Plohanadpis"/>
      </w:pPr>
      <w:bookmarkStart w:id="58" w:name="_Toc95234366"/>
      <w:bookmarkStart w:id="59" w:name="_Toc215589323"/>
      <w:r w:rsidRPr="00B43C64">
        <w:lastRenderedPageBreak/>
        <w:t xml:space="preserve">P. 3 </w:t>
      </w:r>
      <w:bookmarkEnd w:id="58"/>
      <w:r w:rsidRPr="00B43C64">
        <w:t>Přehled programů a jejich cílů realizovaných v roce 202</w:t>
      </w:r>
      <w:r w:rsidR="004C6B1B">
        <w:t>4</w:t>
      </w:r>
      <w:bookmarkEnd w:id="59"/>
    </w:p>
    <w:p w14:paraId="06DEC350" w14:textId="67DD0ABC" w:rsidR="00037BE6" w:rsidRPr="00037BE6" w:rsidRDefault="00037BE6" w:rsidP="00037BE6">
      <w:pPr>
        <w:rPr>
          <w:lang w:eastAsia="cs-CZ"/>
        </w:rPr>
      </w:pPr>
      <w:r w:rsidRPr="00037BE6">
        <w:rPr>
          <w:highlight w:val="yellow"/>
          <w:lang w:eastAsia="cs-CZ"/>
        </w:rPr>
        <w:t>Bude aktualizováno.</w:t>
      </w:r>
    </w:p>
    <w:tbl>
      <w:tblPr>
        <w:tblW w:w="0" w:type="auto"/>
        <w:tblLook w:val="04A0" w:firstRow="1" w:lastRow="0" w:firstColumn="1" w:lastColumn="0" w:noHBand="0" w:noVBand="1"/>
      </w:tblPr>
      <w:tblGrid>
        <w:gridCol w:w="1526"/>
        <w:gridCol w:w="615"/>
        <w:gridCol w:w="5905"/>
        <w:gridCol w:w="7088"/>
        <w:gridCol w:w="6341"/>
      </w:tblGrid>
      <w:tr w:rsidR="00FA1845" w:rsidRPr="0085669E" w14:paraId="73133B9E" w14:textId="77777777" w:rsidTr="008D2230">
        <w:trPr>
          <w:trHeight w:val="509"/>
          <w:tblHeader/>
        </w:trPr>
        <w:tc>
          <w:tcPr>
            <w:tcW w:w="1526" w:type="dxa"/>
            <w:vMerge w:val="restart"/>
            <w:tcBorders>
              <w:top w:val="nil"/>
              <w:left w:val="nil"/>
              <w:bottom w:val="single" w:sz="8" w:space="0" w:color="92CDDB"/>
              <w:right w:val="nil"/>
            </w:tcBorders>
            <w:shd w:val="clear" w:color="000000" w:fill="92CDDC"/>
            <w:vAlign w:val="center"/>
            <w:hideMark/>
          </w:tcPr>
          <w:p w14:paraId="350D6F08" w14:textId="77777777" w:rsidR="00FA1845" w:rsidRPr="0085669E" w:rsidRDefault="00FA1845" w:rsidP="00307AF7">
            <w:pPr>
              <w:spacing w:after="0" w:line="240" w:lineRule="auto"/>
              <w:jc w:val="center"/>
              <w:rPr>
                <w:rFonts w:eastAsia="Times New Roman" w:cs="Arial"/>
                <w:b/>
                <w:bCs/>
                <w:color w:val="FFFFFF"/>
                <w:sz w:val="20"/>
                <w:szCs w:val="20"/>
                <w:lang w:eastAsia="en-GB"/>
              </w:rPr>
            </w:pPr>
            <w:r w:rsidRPr="0085669E">
              <w:rPr>
                <w:rFonts w:eastAsia="Times New Roman" w:cs="Arial"/>
                <w:b/>
                <w:bCs/>
                <w:color w:val="FFFFFF"/>
                <w:sz w:val="20"/>
                <w:szCs w:val="20"/>
                <w:lang w:eastAsia="en-GB"/>
              </w:rPr>
              <w:t>Poskytovatel</w:t>
            </w:r>
          </w:p>
        </w:tc>
        <w:tc>
          <w:tcPr>
            <w:tcW w:w="6520" w:type="dxa"/>
            <w:gridSpan w:val="2"/>
            <w:vMerge w:val="restart"/>
            <w:tcBorders>
              <w:top w:val="nil"/>
              <w:left w:val="nil"/>
              <w:bottom w:val="single" w:sz="8" w:space="0" w:color="92CDDB"/>
              <w:right w:val="nil"/>
            </w:tcBorders>
            <w:shd w:val="clear" w:color="000000" w:fill="92CDDC"/>
            <w:vAlign w:val="center"/>
            <w:hideMark/>
          </w:tcPr>
          <w:p w14:paraId="5F69575A" w14:textId="77777777" w:rsidR="00FA1845" w:rsidRPr="0085669E" w:rsidRDefault="00FA1845" w:rsidP="00307AF7">
            <w:pPr>
              <w:spacing w:after="0" w:line="240" w:lineRule="auto"/>
              <w:jc w:val="center"/>
              <w:rPr>
                <w:rFonts w:eastAsia="Times New Roman" w:cs="Arial"/>
                <w:b/>
                <w:bCs/>
                <w:color w:val="FFFFFF"/>
                <w:sz w:val="20"/>
                <w:szCs w:val="20"/>
                <w:lang w:eastAsia="en-GB"/>
              </w:rPr>
            </w:pPr>
            <w:r w:rsidRPr="0085669E">
              <w:rPr>
                <w:rFonts w:eastAsia="Times New Roman" w:cs="Arial"/>
                <w:b/>
                <w:bCs/>
                <w:color w:val="FFFFFF"/>
                <w:sz w:val="20"/>
                <w:szCs w:val="20"/>
                <w:lang w:eastAsia="en-GB"/>
              </w:rPr>
              <w:t>ID a Název programu</w:t>
            </w:r>
          </w:p>
        </w:tc>
        <w:tc>
          <w:tcPr>
            <w:tcW w:w="7088" w:type="dxa"/>
            <w:vMerge w:val="restart"/>
            <w:tcBorders>
              <w:top w:val="nil"/>
              <w:left w:val="nil"/>
              <w:bottom w:val="single" w:sz="8" w:space="0" w:color="92CDDB"/>
              <w:right w:val="nil"/>
            </w:tcBorders>
            <w:shd w:val="clear" w:color="000000" w:fill="92CDDC"/>
            <w:vAlign w:val="center"/>
            <w:hideMark/>
          </w:tcPr>
          <w:p w14:paraId="6749028A" w14:textId="77777777" w:rsidR="00FA1845" w:rsidRPr="0085669E" w:rsidRDefault="00FA1845" w:rsidP="00307AF7">
            <w:pPr>
              <w:spacing w:after="0" w:line="240" w:lineRule="auto"/>
              <w:jc w:val="both"/>
              <w:rPr>
                <w:rFonts w:eastAsia="Times New Roman" w:cs="Arial"/>
                <w:b/>
                <w:bCs/>
                <w:color w:val="FFFFFF"/>
                <w:sz w:val="20"/>
                <w:szCs w:val="20"/>
                <w:lang w:eastAsia="en-GB"/>
              </w:rPr>
            </w:pPr>
            <w:r w:rsidRPr="0085669E">
              <w:rPr>
                <w:rFonts w:eastAsia="Times New Roman" w:cs="Arial"/>
                <w:b/>
                <w:bCs/>
                <w:color w:val="FFFFFF"/>
                <w:sz w:val="20"/>
                <w:szCs w:val="20"/>
                <w:lang w:eastAsia="en-GB"/>
              </w:rPr>
              <w:t>Cíl stručně</w:t>
            </w:r>
          </w:p>
        </w:tc>
        <w:tc>
          <w:tcPr>
            <w:tcW w:w="6341" w:type="dxa"/>
            <w:vMerge w:val="restart"/>
            <w:tcBorders>
              <w:top w:val="nil"/>
              <w:left w:val="nil"/>
              <w:bottom w:val="single" w:sz="8" w:space="0" w:color="92CDDB"/>
              <w:right w:val="nil"/>
            </w:tcBorders>
            <w:shd w:val="clear" w:color="000000" w:fill="92CDDC"/>
            <w:vAlign w:val="center"/>
            <w:hideMark/>
          </w:tcPr>
          <w:p w14:paraId="76F36915" w14:textId="77777777" w:rsidR="00FA1845" w:rsidRPr="0085669E" w:rsidRDefault="00FA1845" w:rsidP="00307AF7">
            <w:pPr>
              <w:spacing w:after="0" w:line="240" w:lineRule="auto"/>
              <w:jc w:val="both"/>
              <w:rPr>
                <w:rFonts w:eastAsia="Times New Roman" w:cs="Arial"/>
                <w:b/>
                <w:bCs/>
                <w:color w:val="FFFFFF"/>
                <w:sz w:val="20"/>
                <w:szCs w:val="20"/>
                <w:lang w:eastAsia="en-GB"/>
              </w:rPr>
            </w:pPr>
            <w:r w:rsidRPr="0085669E">
              <w:rPr>
                <w:rFonts w:eastAsia="Times New Roman" w:cs="Arial"/>
                <w:b/>
                <w:bCs/>
                <w:color w:val="FFFFFF"/>
                <w:sz w:val="20"/>
                <w:szCs w:val="20"/>
                <w:lang w:eastAsia="en-GB"/>
              </w:rPr>
              <w:t>Podprogram – cíl</w:t>
            </w:r>
          </w:p>
        </w:tc>
      </w:tr>
      <w:tr w:rsidR="00FA1845" w:rsidRPr="00ED79BC" w14:paraId="1D2DAA23" w14:textId="77777777" w:rsidTr="008D2230">
        <w:trPr>
          <w:trHeight w:val="810"/>
          <w:tblHeader/>
        </w:trPr>
        <w:tc>
          <w:tcPr>
            <w:tcW w:w="1526" w:type="dxa"/>
            <w:vMerge/>
            <w:tcBorders>
              <w:top w:val="nil"/>
              <w:left w:val="nil"/>
              <w:bottom w:val="single" w:sz="8" w:space="0" w:color="92CDDB"/>
              <w:right w:val="nil"/>
            </w:tcBorders>
            <w:vAlign w:val="center"/>
            <w:hideMark/>
          </w:tcPr>
          <w:p w14:paraId="43E3194E" w14:textId="77777777" w:rsidR="00FA1845" w:rsidRPr="00ED79BC" w:rsidRDefault="00FA1845" w:rsidP="00307AF7">
            <w:pPr>
              <w:spacing w:after="0" w:line="240" w:lineRule="auto"/>
              <w:rPr>
                <w:rFonts w:eastAsia="Times New Roman" w:cs="Arial"/>
                <w:b/>
                <w:bCs/>
                <w:color w:val="FFFFFF"/>
                <w:sz w:val="20"/>
                <w:szCs w:val="20"/>
                <w:highlight w:val="yellow"/>
                <w:lang w:eastAsia="en-GB"/>
              </w:rPr>
            </w:pPr>
          </w:p>
        </w:tc>
        <w:tc>
          <w:tcPr>
            <w:tcW w:w="6520" w:type="dxa"/>
            <w:gridSpan w:val="2"/>
            <w:vMerge/>
            <w:tcBorders>
              <w:top w:val="nil"/>
              <w:left w:val="nil"/>
              <w:bottom w:val="single" w:sz="8" w:space="0" w:color="92CDDB"/>
              <w:right w:val="nil"/>
            </w:tcBorders>
            <w:vAlign w:val="center"/>
            <w:hideMark/>
          </w:tcPr>
          <w:p w14:paraId="7A4E9761" w14:textId="77777777" w:rsidR="00FA1845" w:rsidRPr="00ED79BC" w:rsidRDefault="00FA1845" w:rsidP="00307AF7">
            <w:pPr>
              <w:spacing w:after="0" w:line="240" w:lineRule="auto"/>
              <w:rPr>
                <w:rFonts w:eastAsia="Times New Roman" w:cs="Arial"/>
                <w:b/>
                <w:bCs/>
                <w:color w:val="FFFFFF"/>
                <w:sz w:val="20"/>
                <w:szCs w:val="20"/>
                <w:highlight w:val="yellow"/>
                <w:lang w:eastAsia="en-GB"/>
              </w:rPr>
            </w:pPr>
          </w:p>
        </w:tc>
        <w:tc>
          <w:tcPr>
            <w:tcW w:w="7088" w:type="dxa"/>
            <w:vMerge/>
            <w:tcBorders>
              <w:top w:val="nil"/>
              <w:left w:val="nil"/>
              <w:bottom w:val="single" w:sz="8" w:space="0" w:color="92CDDB"/>
              <w:right w:val="nil"/>
            </w:tcBorders>
            <w:vAlign w:val="center"/>
            <w:hideMark/>
          </w:tcPr>
          <w:p w14:paraId="34126078" w14:textId="77777777" w:rsidR="00FA1845" w:rsidRPr="00ED79BC" w:rsidRDefault="00FA1845" w:rsidP="00307AF7">
            <w:pPr>
              <w:spacing w:after="0" w:line="240" w:lineRule="auto"/>
              <w:jc w:val="both"/>
              <w:rPr>
                <w:rFonts w:eastAsia="Times New Roman" w:cs="Arial"/>
                <w:b/>
                <w:bCs/>
                <w:color w:val="FFFFFF"/>
                <w:sz w:val="20"/>
                <w:szCs w:val="20"/>
                <w:highlight w:val="yellow"/>
                <w:lang w:eastAsia="en-GB"/>
              </w:rPr>
            </w:pPr>
          </w:p>
        </w:tc>
        <w:tc>
          <w:tcPr>
            <w:tcW w:w="6341" w:type="dxa"/>
            <w:vMerge/>
            <w:tcBorders>
              <w:top w:val="nil"/>
              <w:left w:val="nil"/>
              <w:bottom w:val="single" w:sz="8" w:space="0" w:color="92CDDB"/>
              <w:right w:val="nil"/>
            </w:tcBorders>
            <w:vAlign w:val="center"/>
            <w:hideMark/>
          </w:tcPr>
          <w:p w14:paraId="400BBBBA" w14:textId="77777777" w:rsidR="00FA1845" w:rsidRPr="00ED79BC" w:rsidRDefault="00FA1845" w:rsidP="00307AF7">
            <w:pPr>
              <w:spacing w:after="0" w:line="240" w:lineRule="auto"/>
              <w:jc w:val="both"/>
              <w:rPr>
                <w:rFonts w:eastAsia="Times New Roman" w:cs="Arial"/>
                <w:b/>
                <w:bCs/>
                <w:color w:val="FFFFFF"/>
                <w:sz w:val="20"/>
                <w:szCs w:val="20"/>
                <w:highlight w:val="yellow"/>
                <w:lang w:eastAsia="en-GB"/>
              </w:rPr>
            </w:pPr>
          </w:p>
        </w:tc>
      </w:tr>
      <w:tr w:rsidR="00FA1845" w:rsidRPr="004A6BD6" w14:paraId="57880E0D" w14:textId="77777777" w:rsidTr="008D2230">
        <w:trPr>
          <w:trHeight w:val="792"/>
        </w:trPr>
        <w:tc>
          <w:tcPr>
            <w:tcW w:w="1526" w:type="dxa"/>
            <w:vMerge w:val="restart"/>
            <w:tcBorders>
              <w:top w:val="nil"/>
              <w:left w:val="single" w:sz="8" w:space="0" w:color="92CDDB"/>
              <w:right w:val="single" w:sz="8" w:space="0" w:color="92CDDB"/>
            </w:tcBorders>
            <w:noWrap/>
            <w:vAlign w:val="center"/>
            <w:hideMark/>
          </w:tcPr>
          <w:p w14:paraId="7BE4B2D7" w14:textId="77777777" w:rsidR="00FA1845" w:rsidRPr="004A6BD6" w:rsidRDefault="00FA1845" w:rsidP="00307AF7">
            <w:pPr>
              <w:spacing w:after="0" w:line="240" w:lineRule="auto"/>
              <w:jc w:val="center"/>
              <w:rPr>
                <w:rFonts w:eastAsia="Times New Roman" w:cs="Arial"/>
                <w:color w:val="000000"/>
                <w:sz w:val="20"/>
                <w:szCs w:val="20"/>
                <w:lang w:eastAsia="en-GB"/>
              </w:rPr>
            </w:pPr>
            <w:r w:rsidRPr="004A6BD6">
              <w:rPr>
                <w:rFonts w:eastAsia="Times New Roman" w:cs="Arial"/>
                <w:color w:val="000000"/>
                <w:sz w:val="20"/>
                <w:szCs w:val="20"/>
                <w:lang w:eastAsia="en-GB"/>
              </w:rPr>
              <w:t>GA ČR</w:t>
            </w:r>
          </w:p>
        </w:tc>
        <w:tc>
          <w:tcPr>
            <w:tcW w:w="615" w:type="dxa"/>
            <w:tcBorders>
              <w:top w:val="nil"/>
              <w:left w:val="nil"/>
              <w:bottom w:val="single" w:sz="8" w:space="0" w:color="92CDDB"/>
              <w:right w:val="single" w:sz="8" w:space="0" w:color="92CDDB"/>
            </w:tcBorders>
            <w:vAlign w:val="center"/>
            <w:hideMark/>
          </w:tcPr>
          <w:p w14:paraId="0FADCFCE" w14:textId="77777777" w:rsidR="00FA1845" w:rsidRPr="004A6BD6" w:rsidRDefault="00FA1845" w:rsidP="00307AF7">
            <w:pPr>
              <w:spacing w:after="0" w:line="240" w:lineRule="auto"/>
              <w:jc w:val="center"/>
              <w:rPr>
                <w:rFonts w:eastAsia="Times New Roman" w:cs="Arial"/>
                <w:color w:val="000000"/>
                <w:sz w:val="20"/>
                <w:szCs w:val="20"/>
                <w:lang w:eastAsia="en-GB"/>
              </w:rPr>
            </w:pPr>
            <w:r w:rsidRPr="004A6BD6">
              <w:rPr>
                <w:rFonts w:eastAsia="Times New Roman" w:cs="Arial"/>
                <w:color w:val="000000"/>
                <w:sz w:val="20"/>
                <w:szCs w:val="20"/>
                <w:lang w:eastAsia="en-GB"/>
              </w:rPr>
              <w:t>GA</w:t>
            </w:r>
          </w:p>
        </w:tc>
        <w:tc>
          <w:tcPr>
            <w:tcW w:w="5905" w:type="dxa"/>
            <w:tcBorders>
              <w:top w:val="nil"/>
              <w:left w:val="nil"/>
              <w:bottom w:val="single" w:sz="8" w:space="0" w:color="92CDDB"/>
              <w:right w:val="single" w:sz="8" w:space="0" w:color="92CDDB"/>
            </w:tcBorders>
            <w:vAlign w:val="center"/>
            <w:hideMark/>
          </w:tcPr>
          <w:p w14:paraId="1A09C251" w14:textId="77777777" w:rsidR="00FA1845" w:rsidRPr="004A6BD6" w:rsidRDefault="00FA1845" w:rsidP="00307AF7">
            <w:pPr>
              <w:spacing w:after="0" w:line="240" w:lineRule="auto"/>
              <w:rPr>
                <w:rFonts w:eastAsia="Times New Roman" w:cs="Arial"/>
                <w:color w:val="000000"/>
                <w:sz w:val="20"/>
                <w:szCs w:val="20"/>
                <w:lang w:eastAsia="en-GB"/>
              </w:rPr>
            </w:pPr>
            <w:r w:rsidRPr="004A6BD6">
              <w:rPr>
                <w:rFonts w:eastAsia="Times New Roman" w:cs="Arial"/>
                <w:color w:val="000000"/>
                <w:sz w:val="20"/>
                <w:szCs w:val="20"/>
                <w:lang w:eastAsia="en-GB"/>
              </w:rPr>
              <w:t>Standard projekty</w:t>
            </w:r>
          </w:p>
        </w:tc>
        <w:tc>
          <w:tcPr>
            <w:tcW w:w="7088" w:type="dxa"/>
            <w:tcBorders>
              <w:top w:val="single" w:sz="8" w:space="0" w:color="92CDDB"/>
              <w:left w:val="single" w:sz="8" w:space="0" w:color="92CDDB"/>
              <w:bottom w:val="single" w:sz="8" w:space="0" w:color="92CDDB"/>
              <w:right w:val="single" w:sz="8" w:space="0" w:color="92CDDB"/>
            </w:tcBorders>
            <w:vAlign w:val="center"/>
            <w:hideMark/>
          </w:tcPr>
          <w:p w14:paraId="037064E9" w14:textId="77777777" w:rsidR="00FA1845" w:rsidRPr="004A6BD6" w:rsidRDefault="00FA1845" w:rsidP="00307AF7">
            <w:pPr>
              <w:spacing w:after="0" w:line="240" w:lineRule="auto"/>
              <w:jc w:val="both"/>
              <w:rPr>
                <w:rFonts w:eastAsia="Times New Roman" w:cs="Arial"/>
                <w:b/>
                <w:bCs/>
                <w:color w:val="000000"/>
                <w:sz w:val="20"/>
                <w:szCs w:val="20"/>
                <w:lang w:eastAsia="en-GB"/>
              </w:rPr>
            </w:pPr>
            <w:r w:rsidRPr="004A6BD6">
              <w:rPr>
                <w:rFonts w:cs="Arial"/>
                <w:b/>
                <w:bCs/>
                <w:color w:val="000000"/>
                <w:sz w:val="20"/>
                <w:szCs w:val="20"/>
              </w:rPr>
              <w:t xml:space="preserve">Podpora neorientovaného </w:t>
            </w:r>
            <w:proofErr w:type="spellStart"/>
            <w:r w:rsidRPr="004A6BD6">
              <w:rPr>
                <w:rFonts w:cs="Arial"/>
                <w:b/>
                <w:bCs/>
                <w:color w:val="000000"/>
                <w:sz w:val="20"/>
                <w:szCs w:val="20"/>
              </w:rPr>
              <w:t>VaV</w:t>
            </w:r>
            <w:proofErr w:type="spellEnd"/>
            <w:r w:rsidRPr="004A6BD6">
              <w:rPr>
                <w:rFonts w:cs="Arial"/>
                <w:b/>
                <w:bCs/>
                <w:color w:val="000000"/>
                <w:sz w:val="20"/>
                <w:szCs w:val="20"/>
              </w:rPr>
              <w:t>.</w:t>
            </w:r>
          </w:p>
        </w:tc>
        <w:tc>
          <w:tcPr>
            <w:tcW w:w="6341" w:type="dxa"/>
            <w:tcBorders>
              <w:top w:val="nil"/>
              <w:left w:val="nil"/>
              <w:bottom w:val="single" w:sz="8" w:space="0" w:color="92CDDB"/>
              <w:right w:val="single" w:sz="8" w:space="0" w:color="92CDDB"/>
            </w:tcBorders>
            <w:vAlign w:val="center"/>
            <w:hideMark/>
          </w:tcPr>
          <w:p w14:paraId="09DBFD10" w14:textId="77777777" w:rsidR="00FA1845" w:rsidRPr="004A6BD6" w:rsidRDefault="00FA1845" w:rsidP="00307AF7">
            <w:pPr>
              <w:spacing w:after="0" w:line="240" w:lineRule="auto"/>
              <w:jc w:val="both"/>
              <w:rPr>
                <w:rFonts w:eastAsia="Times New Roman" w:cs="Arial"/>
                <w:color w:val="000000"/>
                <w:sz w:val="20"/>
                <w:szCs w:val="20"/>
                <w:lang w:eastAsia="en-GB"/>
              </w:rPr>
            </w:pPr>
            <w:r w:rsidRPr="004A6BD6">
              <w:rPr>
                <w:rFonts w:eastAsia="Times New Roman" w:cs="Arial"/>
                <w:color w:val="000000"/>
                <w:sz w:val="20"/>
                <w:szCs w:val="20"/>
                <w:lang w:eastAsia="en-GB"/>
              </w:rPr>
              <w:t> -</w:t>
            </w:r>
          </w:p>
        </w:tc>
      </w:tr>
      <w:tr w:rsidR="00FA1845" w:rsidRPr="004A6BD6" w14:paraId="5E2339B8" w14:textId="77777777" w:rsidTr="008D2230">
        <w:trPr>
          <w:trHeight w:val="792"/>
        </w:trPr>
        <w:tc>
          <w:tcPr>
            <w:tcW w:w="1526" w:type="dxa"/>
            <w:vMerge/>
            <w:tcBorders>
              <w:left w:val="single" w:sz="8" w:space="0" w:color="92CDDB"/>
              <w:right w:val="single" w:sz="8" w:space="0" w:color="92CDDB"/>
            </w:tcBorders>
            <w:vAlign w:val="center"/>
          </w:tcPr>
          <w:p w14:paraId="198FEE41" w14:textId="77777777" w:rsidR="00FA1845" w:rsidRPr="004A6BD6" w:rsidRDefault="00FA1845" w:rsidP="00307AF7">
            <w:pPr>
              <w:spacing w:after="0" w:line="240" w:lineRule="auto"/>
              <w:rPr>
                <w:rFonts w:eastAsia="Times New Roman" w:cs="Arial"/>
                <w:color w:val="000000"/>
                <w:sz w:val="20"/>
                <w:szCs w:val="20"/>
                <w:lang w:eastAsia="en-GB"/>
              </w:rPr>
            </w:pPr>
          </w:p>
        </w:tc>
        <w:tc>
          <w:tcPr>
            <w:tcW w:w="615" w:type="dxa"/>
            <w:tcBorders>
              <w:top w:val="nil"/>
              <w:left w:val="nil"/>
              <w:bottom w:val="single" w:sz="8" w:space="0" w:color="92CDDB"/>
              <w:right w:val="single" w:sz="8" w:space="0" w:color="92CDDB"/>
            </w:tcBorders>
            <w:vAlign w:val="center"/>
          </w:tcPr>
          <w:p w14:paraId="41B3EBCF" w14:textId="77777777" w:rsidR="00FA1845" w:rsidRPr="004A6BD6" w:rsidRDefault="00FA1845" w:rsidP="00307AF7">
            <w:pPr>
              <w:spacing w:after="0" w:line="240" w:lineRule="auto"/>
              <w:jc w:val="center"/>
              <w:rPr>
                <w:rFonts w:eastAsia="Times New Roman" w:cs="Arial"/>
                <w:color w:val="000000"/>
                <w:sz w:val="20"/>
                <w:szCs w:val="20"/>
                <w:lang w:eastAsia="en-GB"/>
              </w:rPr>
            </w:pPr>
            <w:r w:rsidRPr="004A6BD6">
              <w:rPr>
                <w:rFonts w:eastAsia="Times New Roman" w:cs="Arial"/>
                <w:color w:val="000000"/>
                <w:sz w:val="20"/>
                <w:szCs w:val="20"/>
                <w:lang w:eastAsia="en-GB"/>
              </w:rPr>
              <w:t>GC</w:t>
            </w:r>
          </w:p>
        </w:tc>
        <w:tc>
          <w:tcPr>
            <w:tcW w:w="5905" w:type="dxa"/>
            <w:tcBorders>
              <w:top w:val="nil"/>
              <w:left w:val="nil"/>
              <w:bottom w:val="single" w:sz="8" w:space="0" w:color="92CDDB"/>
              <w:right w:val="single" w:sz="8" w:space="0" w:color="92CDDB"/>
            </w:tcBorders>
            <w:vAlign w:val="center"/>
          </w:tcPr>
          <w:p w14:paraId="2E6A46E2" w14:textId="77777777" w:rsidR="00FA1845" w:rsidRPr="004A6BD6" w:rsidRDefault="00FA1845" w:rsidP="00307AF7">
            <w:pPr>
              <w:spacing w:after="0" w:line="240" w:lineRule="auto"/>
              <w:rPr>
                <w:rFonts w:eastAsia="Times New Roman" w:cs="Arial"/>
                <w:color w:val="000000"/>
                <w:sz w:val="20"/>
                <w:szCs w:val="20"/>
                <w:lang w:eastAsia="en-GB"/>
              </w:rPr>
            </w:pPr>
            <w:r w:rsidRPr="004A6BD6">
              <w:rPr>
                <w:rFonts w:eastAsia="Times New Roman" w:cs="Arial"/>
                <w:color w:val="000000"/>
                <w:sz w:val="20"/>
                <w:szCs w:val="20"/>
                <w:lang w:eastAsia="en-GB"/>
              </w:rPr>
              <w:t>Mezinárodní projekty</w:t>
            </w:r>
          </w:p>
        </w:tc>
        <w:tc>
          <w:tcPr>
            <w:tcW w:w="7088" w:type="dxa"/>
            <w:tcBorders>
              <w:top w:val="nil"/>
              <w:left w:val="single" w:sz="8" w:space="0" w:color="92CDDB"/>
              <w:bottom w:val="single" w:sz="8" w:space="0" w:color="92CDDB"/>
              <w:right w:val="single" w:sz="8" w:space="0" w:color="92CDDB"/>
            </w:tcBorders>
            <w:vAlign w:val="center"/>
          </w:tcPr>
          <w:p w14:paraId="3E2E080B" w14:textId="1B4867E6" w:rsidR="00FA1845" w:rsidRPr="004A6BD6" w:rsidRDefault="00FA1845" w:rsidP="00307AF7">
            <w:pPr>
              <w:spacing w:after="0" w:line="240" w:lineRule="auto"/>
              <w:jc w:val="both"/>
              <w:rPr>
                <w:rFonts w:cs="Arial"/>
                <w:b/>
                <w:bCs/>
                <w:color w:val="000000"/>
                <w:sz w:val="20"/>
                <w:szCs w:val="20"/>
              </w:rPr>
            </w:pPr>
            <w:r w:rsidRPr="004A6BD6">
              <w:rPr>
                <w:rFonts w:cs="Arial"/>
                <w:b/>
                <w:bCs/>
                <w:color w:val="000000"/>
                <w:sz w:val="20"/>
                <w:szCs w:val="20"/>
              </w:rPr>
              <w:t>Podpora účasti v mezinárodních programech na základě bilaterálních dohod GA</w:t>
            </w:r>
            <w:r>
              <w:rPr>
                <w:rFonts w:cs="Arial"/>
                <w:b/>
                <w:bCs/>
                <w:color w:val="000000"/>
                <w:sz w:val="20"/>
                <w:szCs w:val="20"/>
              </w:rPr>
              <w:t> </w:t>
            </w:r>
            <w:r w:rsidRPr="004A6BD6">
              <w:rPr>
                <w:rFonts w:cs="Arial"/>
                <w:b/>
                <w:bCs/>
                <w:color w:val="000000"/>
                <w:sz w:val="20"/>
                <w:szCs w:val="20"/>
              </w:rPr>
              <w:t>ČR s různými zahraničními grantovými institucemi, zejména v zemích jako Korea, Čína,</w:t>
            </w:r>
            <w:r>
              <w:rPr>
                <w:rFonts w:cs="Arial"/>
                <w:b/>
                <w:bCs/>
                <w:color w:val="000000"/>
                <w:sz w:val="20"/>
                <w:szCs w:val="20"/>
              </w:rPr>
              <w:t xml:space="preserve"> </w:t>
            </w:r>
            <w:r w:rsidRPr="004A6BD6">
              <w:rPr>
                <w:rFonts w:cs="Arial"/>
                <w:b/>
                <w:bCs/>
                <w:color w:val="000000"/>
                <w:sz w:val="20"/>
                <w:szCs w:val="20"/>
              </w:rPr>
              <w:t>Německo</w:t>
            </w:r>
            <w:r>
              <w:rPr>
                <w:rFonts w:cs="Arial"/>
                <w:b/>
                <w:bCs/>
                <w:color w:val="000000"/>
                <w:sz w:val="20"/>
                <w:szCs w:val="20"/>
              </w:rPr>
              <w:t xml:space="preserve"> </w:t>
            </w:r>
            <w:r w:rsidRPr="004A6BD6">
              <w:rPr>
                <w:rFonts w:cs="Arial"/>
                <w:b/>
                <w:bCs/>
                <w:color w:val="000000"/>
                <w:sz w:val="20"/>
                <w:szCs w:val="20"/>
              </w:rPr>
              <w:t>apod.</w:t>
            </w:r>
            <w:r>
              <w:rPr>
                <w:rFonts w:cs="Arial"/>
                <w:color w:val="000000"/>
                <w:sz w:val="20"/>
                <w:szCs w:val="20"/>
              </w:rPr>
              <w:t>,</w:t>
            </w:r>
            <w:r w:rsidRPr="004A6BD6">
              <w:rPr>
                <w:rFonts w:cs="Arial"/>
                <w:color w:val="000000"/>
                <w:sz w:val="20"/>
                <w:szCs w:val="20"/>
              </w:rPr>
              <w:t xml:space="preserve"> a to na základě čl. 2 odst. 3 Statutu GA ČR. Tuto aktivitu navrhuje GA ČR také proto, že MŠMT nemůže navazovat oficiální dohody s</w:t>
            </w:r>
            <w:r>
              <w:rPr>
                <w:rFonts w:cs="Arial"/>
                <w:color w:val="000000"/>
                <w:sz w:val="20"/>
                <w:szCs w:val="20"/>
              </w:rPr>
              <w:t> </w:t>
            </w:r>
            <w:r w:rsidRPr="004A6BD6">
              <w:rPr>
                <w:rFonts w:cs="Arial"/>
                <w:color w:val="000000"/>
                <w:sz w:val="20"/>
                <w:szCs w:val="20"/>
              </w:rPr>
              <w:t>nevládními organizacemi ve světě, zatímco GA ČR tuto možnost má. Každá grantová agentura ve světě má své oddělené prostředky určené na mezinárodní spolupráce ve výzkumu. GA ČR bude v</w:t>
            </w:r>
            <w:r w:rsidR="008D2230">
              <w:rPr>
                <w:rFonts w:cs="Arial"/>
                <w:color w:val="000000"/>
                <w:sz w:val="20"/>
                <w:szCs w:val="20"/>
              </w:rPr>
              <w:t> </w:t>
            </w:r>
            <w:r w:rsidRPr="004A6BD6">
              <w:rPr>
                <w:rFonts w:cs="Arial"/>
                <w:color w:val="000000"/>
                <w:sz w:val="20"/>
                <w:szCs w:val="20"/>
              </w:rPr>
              <w:t>rámci této aktivity financovat části projektů řešených na pracovištích v ČR. Po ukončení účasti GA ČR v programu INGO by bylo žádoucí, aby GA ČR financovala členství a programy ESF ze své kapitoly.</w:t>
            </w:r>
          </w:p>
        </w:tc>
        <w:tc>
          <w:tcPr>
            <w:tcW w:w="6341" w:type="dxa"/>
            <w:tcBorders>
              <w:top w:val="nil"/>
              <w:left w:val="nil"/>
              <w:bottom w:val="single" w:sz="8" w:space="0" w:color="92CDDB"/>
              <w:right w:val="single" w:sz="8" w:space="0" w:color="92CDDB"/>
            </w:tcBorders>
            <w:vAlign w:val="center"/>
          </w:tcPr>
          <w:p w14:paraId="06F773D4" w14:textId="77777777" w:rsidR="00FA1845" w:rsidRPr="004A6BD6" w:rsidRDefault="00FA1845" w:rsidP="00307AF7">
            <w:pPr>
              <w:spacing w:after="0" w:line="240" w:lineRule="auto"/>
              <w:jc w:val="both"/>
              <w:rPr>
                <w:rFonts w:eastAsia="Times New Roman" w:cs="Arial"/>
                <w:color w:val="000000"/>
                <w:sz w:val="20"/>
                <w:szCs w:val="20"/>
                <w:lang w:eastAsia="en-GB"/>
              </w:rPr>
            </w:pPr>
            <w:r w:rsidRPr="004A6BD6">
              <w:rPr>
                <w:rFonts w:eastAsia="Times New Roman" w:cs="Arial"/>
                <w:color w:val="000000"/>
                <w:sz w:val="20"/>
                <w:szCs w:val="20"/>
                <w:lang w:eastAsia="en-GB"/>
              </w:rPr>
              <w:t> -</w:t>
            </w:r>
          </w:p>
        </w:tc>
      </w:tr>
      <w:tr w:rsidR="00FA1845" w:rsidRPr="004A6BD6" w14:paraId="4E5C196B" w14:textId="77777777" w:rsidTr="008D2230">
        <w:trPr>
          <w:trHeight w:val="792"/>
        </w:trPr>
        <w:tc>
          <w:tcPr>
            <w:tcW w:w="1526" w:type="dxa"/>
            <w:vMerge/>
            <w:tcBorders>
              <w:left w:val="single" w:sz="8" w:space="0" w:color="92CDDB"/>
              <w:right w:val="single" w:sz="8" w:space="0" w:color="92CDDB"/>
            </w:tcBorders>
            <w:vAlign w:val="center"/>
          </w:tcPr>
          <w:p w14:paraId="086A4068" w14:textId="77777777" w:rsidR="00FA1845" w:rsidRPr="004A6BD6" w:rsidRDefault="00FA1845" w:rsidP="00307AF7">
            <w:pPr>
              <w:spacing w:after="0" w:line="240" w:lineRule="auto"/>
              <w:rPr>
                <w:rFonts w:eastAsia="Times New Roman" w:cs="Arial"/>
                <w:color w:val="000000"/>
                <w:sz w:val="20"/>
                <w:szCs w:val="20"/>
                <w:lang w:eastAsia="en-GB"/>
              </w:rPr>
            </w:pPr>
          </w:p>
        </w:tc>
        <w:tc>
          <w:tcPr>
            <w:tcW w:w="615" w:type="dxa"/>
            <w:tcBorders>
              <w:top w:val="nil"/>
              <w:left w:val="nil"/>
              <w:bottom w:val="single" w:sz="8" w:space="0" w:color="92CDDB"/>
              <w:right w:val="single" w:sz="8" w:space="0" w:color="92CDDB"/>
            </w:tcBorders>
            <w:vAlign w:val="center"/>
          </w:tcPr>
          <w:p w14:paraId="6F359338" w14:textId="77777777" w:rsidR="00FA1845" w:rsidRPr="004A6BD6" w:rsidRDefault="00FA1845" w:rsidP="00307AF7">
            <w:pPr>
              <w:spacing w:after="0" w:line="240" w:lineRule="auto"/>
              <w:jc w:val="center"/>
              <w:rPr>
                <w:rFonts w:eastAsia="Times New Roman" w:cs="Arial"/>
                <w:color w:val="000000"/>
                <w:sz w:val="20"/>
                <w:szCs w:val="20"/>
                <w:lang w:eastAsia="en-GB"/>
              </w:rPr>
            </w:pPr>
            <w:r>
              <w:rPr>
                <w:rFonts w:eastAsia="Times New Roman" w:cs="Arial"/>
                <w:color w:val="000000"/>
                <w:sz w:val="20"/>
                <w:szCs w:val="20"/>
                <w:lang w:eastAsia="en-GB"/>
              </w:rPr>
              <w:t>GF</w:t>
            </w:r>
          </w:p>
        </w:tc>
        <w:tc>
          <w:tcPr>
            <w:tcW w:w="5905" w:type="dxa"/>
            <w:tcBorders>
              <w:top w:val="nil"/>
              <w:left w:val="nil"/>
              <w:bottom w:val="single" w:sz="8" w:space="0" w:color="92CDDB"/>
              <w:right w:val="single" w:sz="8" w:space="0" w:color="92CDDB"/>
            </w:tcBorders>
            <w:vAlign w:val="center"/>
          </w:tcPr>
          <w:p w14:paraId="755DC972" w14:textId="168F21EB" w:rsidR="00FA1845" w:rsidRPr="004A6BD6" w:rsidRDefault="00FA1845" w:rsidP="00307AF7">
            <w:pPr>
              <w:spacing w:after="0" w:line="240" w:lineRule="auto"/>
              <w:rPr>
                <w:rFonts w:eastAsia="Times New Roman" w:cs="Arial"/>
                <w:color w:val="000000"/>
                <w:sz w:val="20"/>
                <w:szCs w:val="20"/>
                <w:lang w:eastAsia="en-GB"/>
              </w:rPr>
            </w:pPr>
            <w:r w:rsidRPr="004A6BD6">
              <w:rPr>
                <w:rFonts w:eastAsia="Times New Roman" w:cs="Arial"/>
                <w:color w:val="000000"/>
                <w:sz w:val="20"/>
                <w:szCs w:val="20"/>
                <w:lang w:eastAsia="en-GB"/>
              </w:rPr>
              <w:t>Mezinárodní grantové projekty hodnocené na principu LEAD</w:t>
            </w:r>
            <w:r w:rsidR="008D2230">
              <w:rPr>
                <w:rFonts w:eastAsia="Times New Roman" w:cs="Arial"/>
                <w:color w:val="000000"/>
                <w:sz w:val="20"/>
                <w:szCs w:val="20"/>
                <w:lang w:eastAsia="en-GB"/>
              </w:rPr>
              <w:t> </w:t>
            </w:r>
            <w:proofErr w:type="spellStart"/>
            <w:r w:rsidRPr="004A6BD6">
              <w:rPr>
                <w:rFonts w:eastAsia="Times New Roman" w:cs="Arial"/>
                <w:color w:val="000000"/>
                <w:sz w:val="20"/>
                <w:szCs w:val="20"/>
                <w:lang w:eastAsia="en-GB"/>
              </w:rPr>
              <w:t>Agency</w:t>
            </w:r>
            <w:proofErr w:type="spellEnd"/>
          </w:p>
        </w:tc>
        <w:tc>
          <w:tcPr>
            <w:tcW w:w="7088" w:type="dxa"/>
            <w:tcBorders>
              <w:top w:val="nil"/>
              <w:left w:val="single" w:sz="8" w:space="0" w:color="92CDDB"/>
              <w:bottom w:val="single" w:sz="8" w:space="0" w:color="92CDDB"/>
              <w:right w:val="single" w:sz="8" w:space="0" w:color="92CDDB"/>
            </w:tcBorders>
            <w:vAlign w:val="center"/>
          </w:tcPr>
          <w:p w14:paraId="2A060F3B" w14:textId="389852FD" w:rsidR="00FA1845" w:rsidRPr="004A6BD6" w:rsidRDefault="00FA1845" w:rsidP="00307AF7">
            <w:pPr>
              <w:spacing w:after="0" w:line="240" w:lineRule="auto"/>
              <w:jc w:val="both"/>
              <w:rPr>
                <w:rFonts w:cs="Arial"/>
                <w:b/>
                <w:bCs/>
                <w:color w:val="000000"/>
                <w:sz w:val="20"/>
                <w:szCs w:val="20"/>
              </w:rPr>
            </w:pPr>
            <w:r w:rsidRPr="004A6BD6">
              <w:rPr>
                <w:rFonts w:cs="Arial"/>
                <w:b/>
                <w:bCs/>
                <w:color w:val="000000"/>
                <w:sz w:val="20"/>
                <w:szCs w:val="20"/>
              </w:rPr>
              <w:t>Podpora mezinárodních projektů základního výzkumu ve spolupráci s</w:t>
            </w:r>
            <w:r>
              <w:rPr>
                <w:rFonts w:cs="Arial"/>
                <w:b/>
                <w:bCs/>
                <w:color w:val="000000"/>
                <w:sz w:val="20"/>
                <w:szCs w:val="20"/>
              </w:rPr>
              <w:t> </w:t>
            </w:r>
            <w:r w:rsidRPr="004A6BD6">
              <w:rPr>
                <w:rFonts w:cs="Arial"/>
                <w:b/>
                <w:bCs/>
                <w:color w:val="000000"/>
                <w:sz w:val="20"/>
                <w:szCs w:val="20"/>
              </w:rPr>
              <w:t xml:space="preserve">rakouskou agenturou </w:t>
            </w:r>
            <w:proofErr w:type="spellStart"/>
            <w:r w:rsidRPr="004A6BD6">
              <w:rPr>
                <w:rFonts w:cs="Arial"/>
                <w:b/>
                <w:bCs/>
                <w:color w:val="000000"/>
                <w:sz w:val="20"/>
                <w:szCs w:val="20"/>
              </w:rPr>
              <w:t>Fonds</w:t>
            </w:r>
            <w:proofErr w:type="spellEnd"/>
            <w:r w:rsidRPr="004A6BD6">
              <w:rPr>
                <w:rFonts w:cs="Arial"/>
                <w:b/>
                <w:bCs/>
                <w:color w:val="000000"/>
                <w:sz w:val="20"/>
                <w:szCs w:val="20"/>
              </w:rPr>
              <w:t xml:space="preserve"> </w:t>
            </w:r>
            <w:proofErr w:type="spellStart"/>
            <w:r w:rsidRPr="004A6BD6">
              <w:rPr>
                <w:rFonts w:cs="Arial"/>
                <w:b/>
                <w:bCs/>
                <w:color w:val="000000"/>
                <w:sz w:val="20"/>
                <w:szCs w:val="20"/>
              </w:rPr>
              <w:t>zur</w:t>
            </w:r>
            <w:proofErr w:type="spellEnd"/>
            <w:r w:rsidRPr="004A6BD6">
              <w:rPr>
                <w:rFonts w:cs="Arial"/>
                <w:b/>
                <w:bCs/>
                <w:color w:val="000000"/>
                <w:sz w:val="20"/>
                <w:szCs w:val="20"/>
              </w:rPr>
              <w:t xml:space="preserve"> </w:t>
            </w:r>
            <w:proofErr w:type="spellStart"/>
            <w:r w:rsidRPr="004A6BD6">
              <w:rPr>
                <w:rFonts w:cs="Arial"/>
                <w:b/>
                <w:bCs/>
                <w:color w:val="000000"/>
                <w:sz w:val="20"/>
                <w:szCs w:val="20"/>
              </w:rPr>
              <w:t>Förderung</w:t>
            </w:r>
            <w:proofErr w:type="spellEnd"/>
            <w:r w:rsidRPr="004A6BD6">
              <w:rPr>
                <w:rFonts w:cs="Arial"/>
                <w:b/>
                <w:bCs/>
                <w:color w:val="000000"/>
                <w:sz w:val="20"/>
                <w:szCs w:val="20"/>
              </w:rPr>
              <w:t xml:space="preserve"> der </w:t>
            </w:r>
            <w:proofErr w:type="spellStart"/>
            <w:r w:rsidRPr="004A6BD6">
              <w:rPr>
                <w:rFonts w:cs="Arial"/>
                <w:b/>
                <w:bCs/>
                <w:color w:val="000000"/>
                <w:sz w:val="20"/>
                <w:szCs w:val="20"/>
              </w:rPr>
              <w:t>wissenschaftlichen</w:t>
            </w:r>
            <w:proofErr w:type="spellEnd"/>
            <w:r w:rsidRPr="004A6BD6">
              <w:rPr>
                <w:rFonts w:cs="Arial"/>
                <w:b/>
                <w:bCs/>
                <w:color w:val="000000"/>
                <w:sz w:val="20"/>
                <w:szCs w:val="20"/>
              </w:rPr>
              <w:t xml:space="preserve"> </w:t>
            </w:r>
            <w:proofErr w:type="spellStart"/>
            <w:r w:rsidRPr="004A6BD6">
              <w:rPr>
                <w:rFonts w:cs="Arial"/>
                <w:b/>
                <w:bCs/>
                <w:color w:val="000000"/>
                <w:sz w:val="20"/>
                <w:szCs w:val="20"/>
              </w:rPr>
              <w:t>Forschung</w:t>
            </w:r>
            <w:proofErr w:type="spellEnd"/>
            <w:r w:rsidRPr="004A6BD6">
              <w:rPr>
                <w:rFonts w:cs="Arial"/>
                <w:b/>
                <w:bCs/>
                <w:color w:val="000000"/>
                <w:sz w:val="20"/>
                <w:szCs w:val="20"/>
              </w:rPr>
              <w:t xml:space="preserve"> (FWF).</w:t>
            </w:r>
            <w:r w:rsidRPr="004A6BD6">
              <w:rPr>
                <w:rFonts w:cs="Arial"/>
                <w:color w:val="000000"/>
                <w:sz w:val="20"/>
                <w:szCs w:val="20"/>
              </w:rPr>
              <w:t xml:space="preserve"> Poskytovatelé obou zemí spojují své úsilí a prostředky k</w:t>
            </w:r>
            <w:r w:rsidR="008D2230">
              <w:rPr>
                <w:rFonts w:cs="Arial"/>
                <w:color w:val="000000"/>
                <w:sz w:val="20"/>
                <w:szCs w:val="20"/>
              </w:rPr>
              <w:t> </w:t>
            </w:r>
            <w:r w:rsidRPr="004A6BD6">
              <w:rPr>
                <w:rFonts w:cs="Arial"/>
                <w:color w:val="000000"/>
                <w:sz w:val="20"/>
                <w:szCs w:val="20"/>
              </w:rPr>
              <w:t>podpoře společných projektů umožňujících zapojení vědeckých týmů svých zemí do</w:t>
            </w:r>
            <w:r>
              <w:rPr>
                <w:rFonts w:cs="Arial"/>
                <w:color w:val="000000"/>
                <w:sz w:val="20"/>
                <w:szCs w:val="20"/>
              </w:rPr>
              <w:t> </w:t>
            </w:r>
            <w:r w:rsidRPr="004A6BD6">
              <w:rPr>
                <w:rFonts w:cs="Arial"/>
                <w:color w:val="000000"/>
                <w:sz w:val="20"/>
                <w:szCs w:val="20"/>
              </w:rPr>
              <w:t>mezinárodní spolupráce v rámci interdisciplinárních a perspektivních témat a</w:t>
            </w:r>
            <w:r>
              <w:rPr>
                <w:rFonts w:cs="Arial"/>
                <w:color w:val="000000"/>
                <w:sz w:val="20"/>
                <w:szCs w:val="20"/>
              </w:rPr>
              <w:t> </w:t>
            </w:r>
            <w:r w:rsidRPr="004A6BD6">
              <w:rPr>
                <w:rFonts w:cs="Arial"/>
                <w:color w:val="000000"/>
                <w:sz w:val="20"/>
                <w:szCs w:val="20"/>
              </w:rPr>
              <w:t>směrů současné vědy. GA ČR bude v rámci této aktivity financovat části projektů řešených na</w:t>
            </w:r>
            <w:r>
              <w:rPr>
                <w:rFonts w:cs="Arial"/>
                <w:color w:val="000000"/>
                <w:sz w:val="20"/>
                <w:szCs w:val="20"/>
              </w:rPr>
              <w:t> </w:t>
            </w:r>
            <w:r w:rsidRPr="004A6BD6">
              <w:rPr>
                <w:rFonts w:cs="Arial"/>
                <w:color w:val="000000"/>
                <w:sz w:val="20"/>
                <w:szCs w:val="20"/>
              </w:rPr>
              <w:t>pracovištích v ČR.</w:t>
            </w:r>
          </w:p>
        </w:tc>
        <w:tc>
          <w:tcPr>
            <w:tcW w:w="6341" w:type="dxa"/>
            <w:tcBorders>
              <w:top w:val="nil"/>
              <w:left w:val="nil"/>
              <w:bottom w:val="single" w:sz="8" w:space="0" w:color="92CDDB"/>
              <w:right w:val="single" w:sz="8" w:space="0" w:color="92CDDB"/>
            </w:tcBorders>
            <w:vAlign w:val="center"/>
          </w:tcPr>
          <w:p w14:paraId="458304CD" w14:textId="77777777" w:rsidR="00FA1845" w:rsidRPr="004A6BD6" w:rsidRDefault="00FA1845" w:rsidP="00307AF7">
            <w:pPr>
              <w:spacing w:after="0" w:line="240" w:lineRule="auto"/>
              <w:jc w:val="both"/>
              <w:rPr>
                <w:rFonts w:eastAsia="Times New Roman" w:cs="Arial"/>
                <w:color w:val="000000"/>
                <w:sz w:val="20"/>
                <w:szCs w:val="20"/>
                <w:lang w:eastAsia="en-GB"/>
              </w:rPr>
            </w:pPr>
            <w:r>
              <w:rPr>
                <w:rFonts w:eastAsia="Times New Roman" w:cs="Arial"/>
                <w:color w:val="000000"/>
                <w:sz w:val="20"/>
                <w:szCs w:val="20"/>
                <w:lang w:eastAsia="en-GB"/>
              </w:rPr>
              <w:t>-</w:t>
            </w:r>
          </w:p>
        </w:tc>
      </w:tr>
      <w:tr w:rsidR="00FA1845" w:rsidRPr="004A6BD6" w14:paraId="3931CD30" w14:textId="77777777" w:rsidTr="008D2230">
        <w:trPr>
          <w:trHeight w:val="792"/>
        </w:trPr>
        <w:tc>
          <w:tcPr>
            <w:tcW w:w="1526" w:type="dxa"/>
            <w:vMerge/>
            <w:tcBorders>
              <w:left w:val="single" w:sz="8" w:space="0" w:color="92CDDB"/>
              <w:right w:val="single" w:sz="8" w:space="0" w:color="92CDDB"/>
            </w:tcBorders>
            <w:vAlign w:val="center"/>
          </w:tcPr>
          <w:p w14:paraId="3E47FBC2" w14:textId="77777777" w:rsidR="00FA1845" w:rsidRPr="004A6BD6" w:rsidRDefault="00FA1845" w:rsidP="00307AF7">
            <w:pPr>
              <w:spacing w:after="0" w:line="240" w:lineRule="auto"/>
              <w:rPr>
                <w:rFonts w:eastAsia="Times New Roman" w:cs="Arial"/>
                <w:color w:val="000000"/>
                <w:sz w:val="20"/>
                <w:szCs w:val="20"/>
                <w:lang w:eastAsia="en-GB"/>
              </w:rPr>
            </w:pPr>
          </w:p>
        </w:tc>
        <w:tc>
          <w:tcPr>
            <w:tcW w:w="615" w:type="dxa"/>
            <w:tcBorders>
              <w:top w:val="nil"/>
              <w:left w:val="nil"/>
              <w:bottom w:val="single" w:sz="8" w:space="0" w:color="92CDDB"/>
              <w:right w:val="single" w:sz="8" w:space="0" w:color="92CDDB"/>
            </w:tcBorders>
            <w:vAlign w:val="center"/>
          </w:tcPr>
          <w:p w14:paraId="6A920BCE" w14:textId="77777777" w:rsidR="00FA1845" w:rsidRPr="004A6BD6" w:rsidRDefault="00FA1845" w:rsidP="00307AF7">
            <w:pPr>
              <w:spacing w:after="0" w:line="240" w:lineRule="auto"/>
              <w:jc w:val="center"/>
              <w:rPr>
                <w:rFonts w:eastAsia="Times New Roman" w:cs="Arial"/>
                <w:color w:val="000000"/>
                <w:sz w:val="20"/>
                <w:szCs w:val="20"/>
                <w:lang w:eastAsia="en-GB"/>
              </w:rPr>
            </w:pPr>
            <w:r w:rsidRPr="004A6BD6">
              <w:rPr>
                <w:rFonts w:eastAsia="Times New Roman" w:cs="Arial"/>
                <w:color w:val="000000"/>
                <w:sz w:val="20"/>
                <w:szCs w:val="20"/>
                <w:lang w:eastAsia="en-GB"/>
              </w:rPr>
              <w:t>GJ</w:t>
            </w:r>
          </w:p>
        </w:tc>
        <w:tc>
          <w:tcPr>
            <w:tcW w:w="5905" w:type="dxa"/>
            <w:tcBorders>
              <w:top w:val="nil"/>
              <w:left w:val="nil"/>
              <w:bottom w:val="single" w:sz="8" w:space="0" w:color="92CDDB"/>
              <w:right w:val="single" w:sz="8" w:space="0" w:color="92CDDB"/>
            </w:tcBorders>
            <w:vAlign w:val="center"/>
          </w:tcPr>
          <w:p w14:paraId="7FDBBEDD" w14:textId="77777777" w:rsidR="00FA1845" w:rsidRPr="004A6BD6" w:rsidRDefault="00FA1845" w:rsidP="00307AF7">
            <w:pPr>
              <w:spacing w:after="0" w:line="240" w:lineRule="auto"/>
              <w:rPr>
                <w:rFonts w:eastAsia="Times New Roman" w:cs="Arial"/>
                <w:color w:val="000000"/>
                <w:sz w:val="20"/>
                <w:szCs w:val="20"/>
                <w:lang w:eastAsia="en-GB"/>
              </w:rPr>
            </w:pPr>
            <w:r w:rsidRPr="004A6BD6">
              <w:rPr>
                <w:rFonts w:eastAsia="Times New Roman" w:cs="Arial"/>
                <w:color w:val="000000"/>
                <w:sz w:val="20"/>
                <w:szCs w:val="20"/>
                <w:lang w:eastAsia="en-GB"/>
              </w:rPr>
              <w:t>Juniorské granty</w:t>
            </w:r>
          </w:p>
        </w:tc>
        <w:tc>
          <w:tcPr>
            <w:tcW w:w="7088" w:type="dxa"/>
            <w:tcBorders>
              <w:top w:val="nil"/>
              <w:left w:val="single" w:sz="8" w:space="0" w:color="92CDDB"/>
              <w:bottom w:val="single" w:sz="8" w:space="0" w:color="92CDDB"/>
              <w:right w:val="single" w:sz="8" w:space="0" w:color="92CDDB"/>
            </w:tcBorders>
            <w:vAlign w:val="center"/>
          </w:tcPr>
          <w:p w14:paraId="2C362D1B" w14:textId="77777777" w:rsidR="00FA1845" w:rsidRPr="004A6BD6" w:rsidRDefault="00FA1845" w:rsidP="00307AF7">
            <w:pPr>
              <w:spacing w:after="0" w:line="240" w:lineRule="auto"/>
              <w:jc w:val="both"/>
              <w:rPr>
                <w:rFonts w:cs="Arial"/>
                <w:b/>
                <w:bCs/>
                <w:color w:val="000000"/>
                <w:sz w:val="20"/>
                <w:szCs w:val="20"/>
              </w:rPr>
            </w:pPr>
            <w:r w:rsidRPr="004A6BD6">
              <w:rPr>
                <w:rFonts w:cs="Arial"/>
                <w:b/>
                <w:bCs/>
                <w:color w:val="000000"/>
                <w:sz w:val="20"/>
                <w:szCs w:val="20"/>
              </w:rPr>
              <w:t>Podpora vynikajících mladých vědeckých pracovníků.</w:t>
            </w:r>
          </w:p>
        </w:tc>
        <w:tc>
          <w:tcPr>
            <w:tcW w:w="6341" w:type="dxa"/>
            <w:tcBorders>
              <w:top w:val="nil"/>
              <w:left w:val="nil"/>
              <w:bottom w:val="single" w:sz="8" w:space="0" w:color="92CDDB"/>
              <w:right w:val="single" w:sz="8" w:space="0" w:color="92CDDB"/>
            </w:tcBorders>
            <w:vAlign w:val="center"/>
          </w:tcPr>
          <w:p w14:paraId="356D325C" w14:textId="77777777" w:rsidR="00FA1845" w:rsidRPr="004A6BD6" w:rsidRDefault="00FA1845" w:rsidP="00307AF7">
            <w:pPr>
              <w:spacing w:after="0" w:line="240" w:lineRule="auto"/>
              <w:jc w:val="both"/>
              <w:rPr>
                <w:rFonts w:eastAsia="Times New Roman" w:cs="Arial"/>
                <w:color w:val="000000"/>
                <w:sz w:val="20"/>
                <w:szCs w:val="20"/>
                <w:lang w:eastAsia="en-GB"/>
              </w:rPr>
            </w:pPr>
            <w:r w:rsidRPr="004A6BD6">
              <w:rPr>
                <w:rFonts w:eastAsia="Times New Roman" w:cs="Arial"/>
                <w:color w:val="000000"/>
                <w:sz w:val="20"/>
                <w:szCs w:val="20"/>
                <w:lang w:eastAsia="en-GB"/>
              </w:rPr>
              <w:t> -</w:t>
            </w:r>
          </w:p>
        </w:tc>
      </w:tr>
      <w:tr w:rsidR="00FA1845" w:rsidRPr="004A6BD6" w14:paraId="4530C3A2" w14:textId="77777777" w:rsidTr="008D2230">
        <w:trPr>
          <w:trHeight w:val="792"/>
        </w:trPr>
        <w:tc>
          <w:tcPr>
            <w:tcW w:w="1526" w:type="dxa"/>
            <w:vMerge/>
            <w:tcBorders>
              <w:left w:val="single" w:sz="8" w:space="0" w:color="92CDDB"/>
              <w:right w:val="single" w:sz="8" w:space="0" w:color="92CDDB"/>
            </w:tcBorders>
            <w:vAlign w:val="center"/>
          </w:tcPr>
          <w:p w14:paraId="46997524" w14:textId="77777777" w:rsidR="00FA1845" w:rsidRPr="004A6BD6" w:rsidRDefault="00FA1845" w:rsidP="00307AF7">
            <w:pPr>
              <w:spacing w:after="0" w:line="240" w:lineRule="auto"/>
              <w:rPr>
                <w:rFonts w:eastAsia="Times New Roman" w:cs="Arial"/>
                <w:color w:val="000000"/>
                <w:sz w:val="20"/>
                <w:szCs w:val="20"/>
                <w:lang w:eastAsia="en-GB"/>
              </w:rPr>
            </w:pPr>
          </w:p>
        </w:tc>
        <w:tc>
          <w:tcPr>
            <w:tcW w:w="615" w:type="dxa"/>
            <w:tcBorders>
              <w:top w:val="nil"/>
              <w:left w:val="nil"/>
              <w:bottom w:val="single" w:sz="8" w:space="0" w:color="92CDDB"/>
              <w:right w:val="single" w:sz="8" w:space="0" w:color="92CDDB"/>
            </w:tcBorders>
            <w:vAlign w:val="center"/>
          </w:tcPr>
          <w:p w14:paraId="082FC398" w14:textId="77777777" w:rsidR="00FA1845" w:rsidRPr="004A6BD6" w:rsidRDefault="00FA1845" w:rsidP="00307AF7">
            <w:pPr>
              <w:spacing w:after="0" w:line="240" w:lineRule="auto"/>
              <w:jc w:val="center"/>
              <w:rPr>
                <w:rFonts w:eastAsia="Times New Roman" w:cs="Arial"/>
                <w:color w:val="000000"/>
                <w:sz w:val="20"/>
                <w:szCs w:val="20"/>
                <w:lang w:eastAsia="en-GB"/>
              </w:rPr>
            </w:pPr>
            <w:r w:rsidRPr="004A6BD6">
              <w:rPr>
                <w:rFonts w:eastAsia="Times New Roman" w:cs="Arial"/>
                <w:color w:val="000000"/>
                <w:sz w:val="20"/>
                <w:szCs w:val="20"/>
                <w:lang w:eastAsia="en-GB"/>
              </w:rPr>
              <w:t>GM</w:t>
            </w:r>
          </w:p>
        </w:tc>
        <w:tc>
          <w:tcPr>
            <w:tcW w:w="5905" w:type="dxa"/>
            <w:tcBorders>
              <w:top w:val="nil"/>
              <w:left w:val="nil"/>
              <w:bottom w:val="single" w:sz="8" w:space="0" w:color="92CDDB"/>
              <w:right w:val="single" w:sz="8" w:space="0" w:color="92CDDB"/>
            </w:tcBorders>
            <w:vAlign w:val="center"/>
          </w:tcPr>
          <w:p w14:paraId="2B6F45B5" w14:textId="77777777" w:rsidR="00FA1845" w:rsidRPr="004A6BD6" w:rsidRDefault="00FA1845" w:rsidP="00307AF7">
            <w:pPr>
              <w:spacing w:after="0" w:line="240" w:lineRule="auto"/>
              <w:rPr>
                <w:rFonts w:eastAsia="Times New Roman" w:cs="Arial"/>
                <w:color w:val="000000"/>
                <w:sz w:val="20"/>
                <w:szCs w:val="20"/>
                <w:lang w:eastAsia="en-GB"/>
              </w:rPr>
            </w:pPr>
            <w:r w:rsidRPr="004A6BD6">
              <w:rPr>
                <w:rFonts w:eastAsia="Times New Roman" w:cs="Arial"/>
                <w:color w:val="000000"/>
                <w:sz w:val="20"/>
                <w:szCs w:val="20"/>
                <w:lang w:eastAsia="en-GB"/>
              </w:rPr>
              <w:t>JUNIOR STAR</w:t>
            </w:r>
          </w:p>
        </w:tc>
        <w:tc>
          <w:tcPr>
            <w:tcW w:w="7088" w:type="dxa"/>
            <w:tcBorders>
              <w:top w:val="nil"/>
              <w:left w:val="single" w:sz="8" w:space="0" w:color="92CDDB"/>
              <w:bottom w:val="single" w:sz="8" w:space="0" w:color="92CDDB"/>
              <w:right w:val="single" w:sz="8" w:space="0" w:color="92CDDB"/>
            </w:tcBorders>
            <w:vAlign w:val="center"/>
          </w:tcPr>
          <w:p w14:paraId="66D20007" w14:textId="640F87C3" w:rsidR="00FA1845" w:rsidRPr="004A6BD6" w:rsidRDefault="00FA1845" w:rsidP="00307AF7">
            <w:pPr>
              <w:spacing w:after="0" w:line="240" w:lineRule="auto"/>
              <w:jc w:val="both"/>
              <w:rPr>
                <w:rFonts w:cs="Arial"/>
                <w:b/>
                <w:bCs/>
                <w:color w:val="000000"/>
                <w:sz w:val="20"/>
                <w:szCs w:val="20"/>
              </w:rPr>
            </w:pPr>
            <w:r w:rsidRPr="004A6BD6">
              <w:rPr>
                <w:rFonts w:cs="Arial"/>
                <w:b/>
                <w:bCs/>
                <w:color w:val="000000"/>
                <w:sz w:val="20"/>
                <w:szCs w:val="20"/>
              </w:rPr>
              <w:t>Podpora excelentního základního výzkumu a zároveň poskytnutí příležitost začínajícím vědeckým pracovníkům vybudovat si nezávislou skupinu s</w:t>
            </w:r>
            <w:r>
              <w:rPr>
                <w:rFonts w:cs="Arial"/>
                <w:b/>
                <w:bCs/>
                <w:color w:val="000000"/>
                <w:sz w:val="20"/>
                <w:szCs w:val="20"/>
              </w:rPr>
              <w:t> </w:t>
            </w:r>
            <w:r w:rsidRPr="004A6BD6">
              <w:rPr>
                <w:rFonts w:cs="Arial"/>
                <w:b/>
                <w:bCs/>
                <w:color w:val="000000"/>
                <w:sz w:val="20"/>
                <w:szCs w:val="20"/>
              </w:rPr>
              <w:t>několika spolupracovníky a moderním vybavením, které oživí současnou strukturu základního výzkumu v ČR.</w:t>
            </w:r>
            <w:r w:rsidRPr="004A6BD6">
              <w:rPr>
                <w:rFonts w:cs="Arial"/>
                <w:color w:val="000000"/>
                <w:sz w:val="20"/>
                <w:szCs w:val="20"/>
              </w:rPr>
              <w:t xml:space="preserve"> Vědecké osobnosti s</w:t>
            </w:r>
            <w:r w:rsidR="008D2230">
              <w:rPr>
                <w:rFonts w:cs="Arial"/>
                <w:color w:val="000000"/>
                <w:sz w:val="20"/>
                <w:szCs w:val="20"/>
              </w:rPr>
              <w:t> </w:t>
            </w:r>
            <w:r w:rsidRPr="004A6BD6">
              <w:rPr>
                <w:rFonts w:cs="Arial"/>
                <w:color w:val="000000"/>
                <w:sz w:val="20"/>
                <w:szCs w:val="20"/>
              </w:rPr>
              <w:t>originálním myšlením se tak umožní realizace vlastních vědeckých cílů v</w:t>
            </w:r>
            <w:r w:rsidR="008D2230">
              <w:rPr>
                <w:rFonts w:cs="Arial"/>
                <w:color w:val="000000"/>
                <w:sz w:val="20"/>
                <w:szCs w:val="20"/>
              </w:rPr>
              <w:t> </w:t>
            </w:r>
            <w:r w:rsidRPr="004A6BD6">
              <w:rPr>
                <w:rFonts w:cs="Arial"/>
                <w:color w:val="000000"/>
                <w:sz w:val="20"/>
                <w:szCs w:val="20"/>
              </w:rPr>
              <w:t>poměrně raném stadiu vědecké kariéry.</w:t>
            </w:r>
          </w:p>
        </w:tc>
        <w:tc>
          <w:tcPr>
            <w:tcW w:w="6341" w:type="dxa"/>
            <w:tcBorders>
              <w:top w:val="nil"/>
              <w:left w:val="nil"/>
              <w:bottom w:val="single" w:sz="8" w:space="0" w:color="92CDDB"/>
              <w:right w:val="single" w:sz="8" w:space="0" w:color="92CDDB"/>
            </w:tcBorders>
            <w:vAlign w:val="center"/>
          </w:tcPr>
          <w:p w14:paraId="2157ED21" w14:textId="77777777" w:rsidR="00FA1845" w:rsidRPr="004A6BD6" w:rsidRDefault="00FA1845" w:rsidP="00307AF7">
            <w:pPr>
              <w:spacing w:after="0" w:line="240" w:lineRule="auto"/>
              <w:jc w:val="both"/>
              <w:rPr>
                <w:rFonts w:eastAsia="Times New Roman" w:cs="Arial"/>
                <w:color w:val="000000"/>
                <w:sz w:val="20"/>
                <w:szCs w:val="20"/>
                <w:lang w:eastAsia="en-GB"/>
              </w:rPr>
            </w:pPr>
            <w:r w:rsidRPr="004A6BD6">
              <w:rPr>
                <w:rFonts w:eastAsia="Times New Roman" w:cs="Arial"/>
                <w:color w:val="000000"/>
                <w:sz w:val="20"/>
                <w:szCs w:val="20"/>
                <w:lang w:eastAsia="en-GB"/>
              </w:rPr>
              <w:t> -</w:t>
            </w:r>
          </w:p>
        </w:tc>
      </w:tr>
      <w:tr w:rsidR="00FA1845" w:rsidRPr="004A6BD6" w14:paraId="0359BCEF" w14:textId="77777777" w:rsidTr="008D2230">
        <w:trPr>
          <w:trHeight w:val="792"/>
        </w:trPr>
        <w:tc>
          <w:tcPr>
            <w:tcW w:w="1526" w:type="dxa"/>
            <w:vMerge/>
            <w:tcBorders>
              <w:left w:val="single" w:sz="8" w:space="0" w:color="92CDDB"/>
              <w:right w:val="single" w:sz="8" w:space="0" w:color="92CDDB"/>
            </w:tcBorders>
            <w:vAlign w:val="center"/>
          </w:tcPr>
          <w:p w14:paraId="7ACE03FA" w14:textId="77777777" w:rsidR="00FA1845" w:rsidRPr="004A6BD6" w:rsidRDefault="00FA1845" w:rsidP="00307AF7">
            <w:pPr>
              <w:spacing w:after="0" w:line="240" w:lineRule="auto"/>
              <w:rPr>
                <w:rFonts w:eastAsia="Times New Roman" w:cs="Arial"/>
                <w:color w:val="000000"/>
                <w:sz w:val="20"/>
                <w:szCs w:val="20"/>
                <w:lang w:eastAsia="en-GB"/>
              </w:rPr>
            </w:pPr>
          </w:p>
        </w:tc>
        <w:tc>
          <w:tcPr>
            <w:tcW w:w="615" w:type="dxa"/>
            <w:tcBorders>
              <w:top w:val="nil"/>
              <w:left w:val="nil"/>
              <w:bottom w:val="single" w:sz="8" w:space="0" w:color="92CDDB"/>
              <w:right w:val="single" w:sz="8" w:space="0" w:color="92CDDB"/>
            </w:tcBorders>
            <w:vAlign w:val="center"/>
          </w:tcPr>
          <w:p w14:paraId="4C7B7DC3" w14:textId="77777777" w:rsidR="00FA1845" w:rsidRPr="004A6BD6" w:rsidRDefault="00FA1845" w:rsidP="00307AF7">
            <w:pPr>
              <w:spacing w:after="0" w:line="240" w:lineRule="auto"/>
              <w:jc w:val="center"/>
              <w:rPr>
                <w:rFonts w:eastAsia="Times New Roman" w:cs="Arial"/>
                <w:color w:val="000000"/>
                <w:sz w:val="20"/>
                <w:szCs w:val="20"/>
                <w:lang w:eastAsia="en-GB"/>
              </w:rPr>
            </w:pPr>
            <w:r w:rsidRPr="004A6BD6">
              <w:rPr>
                <w:rFonts w:eastAsia="Times New Roman" w:cs="Arial"/>
                <w:color w:val="000000"/>
                <w:sz w:val="20"/>
                <w:szCs w:val="20"/>
                <w:lang w:eastAsia="en-GB"/>
              </w:rPr>
              <w:t>GN</w:t>
            </w:r>
          </w:p>
        </w:tc>
        <w:tc>
          <w:tcPr>
            <w:tcW w:w="5905" w:type="dxa"/>
            <w:tcBorders>
              <w:top w:val="nil"/>
              <w:left w:val="nil"/>
              <w:bottom w:val="single" w:sz="8" w:space="0" w:color="92CDDB"/>
              <w:right w:val="single" w:sz="8" w:space="0" w:color="92CDDB"/>
            </w:tcBorders>
            <w:vAlign w:val="center"/>
          </w:tcPr>
          <w:p w14:paraId="38948A11" w14:textId="77777777" w:rsidR="00FA1845" w:rsidRPr="004A6BD6" w:rsidRDefault="00FA1845" w:rsidP="00307AF7">
            <w:pPr>
              <w:spacing w:after="0" w:line="240" w:lineRule="auto"/>
              <w:rPr>
                <w:rFonts w:eastAsia="Times New Roman" w:cs="Arial"/>
                <w:color w:val="000000"/>
                <w:sz w:val="20"/>
                <w:szCs w:val="20"/>
                <w:lang w:eastAsia="en-GB"/>
              </w:rPr>
            </w:pPr>
            <w:r w:rsidRPr="004A6BD6">
              <w:rPr>
                <w:rFonts w:eastAsia="Times New Roman" w:cs="Arial"/>
                <w:color w:val="000000"/>
                <w:sz w:val="20"/>
                <w:szCs w:val="20"/>
                <w:lang w:eastAsia="en-GB"/>
              </w:rPr>
              <w:t>POSTDOC INDIVIDUAL FELLOWSHIP</w:t>
            </w:r>
          </w:p>
        </w:tc>
        <w:tc>
          <w:tcPr>
            <w:tcW w:w="7088" w:type="dxa"/>
            <w:tcBorders>
              <w:top w:val="nil"/>
              <w:left w:val="single" w:sz="8" w:space="0" w:color="92CDDB"/>
              <w:bottom w:val="single" w:sz="8" w:space="0" w:color="92CDDB"/>
              <w:right w:val="single" w:sz="8" w:space="0" w:color="92CDDB"/>
            </w:tcBorders>
            <w:vAlign w:val="center"/>
          </w:tcPr>
          <w:p w14:paraId="35817B0E" w14:textId="7A672BCA" w:rsidR="00FA1845" w:rsidRPr="004A6BD6" w:rsidRDefault="00FA1845" w:rsidP="00307AF7">
            <w:pPr>
              <w:spacing w:after="0" w:line="240" w:lineRule="auto"/>
              <w:jc w:val="both"/>
              <w:rPr>
                <w:rFonts w:cs="Arial"/>
                <w:b/>
                <w:bCs/>
                <w:color w:val="000000"/>
                <w:sz w:val="20"/>
                <w:szCs w:val="20"/>
              </w:rPr>
            </w:pPr>
            <w:r w:rsidRPr="004A6BD6">
              <w:rPr>
                <w:rFonts w:cs="Arial"/>
                <w:b/>
                <w:bCs/>
                <w:color w:val="000000"/>
                <w:sz w:val="20"/>
                <w:szCs w:val="20"/>
              </w:rPr>
              <w:t>Podpora vynikajících domácích vědeckých pracovníků na počátku jejich vědecké kariéry</w:t>
            </w:r>
            <w:r w:rsidRPr="004A6BD6">
              <w:rPr>
                <w:rFonts w:cs="Arial"/>
                <w:bCs/>
                <w:color w:val="000000"/>
                <w:sz w:val="20"/>
                <w:szCs w:val="20"/>
              </w:rPr>
              <w:t xml:space="preserve"> </w:t>
            </w:r>
            <w:r w:rsidRPr="00AB6847">
              <w:rPr>
                <w:rFonts w:cs="Arial"/>
                <w:b/>
                <w:bCs/>
                <w:color w:val="000000"/>
                <w:sz w:val="20"/>
                <w:szCs w:val="20"/>
              </w:rPr>
              <w:t>realizovat jejich vlastní vědecký záměr zahrnující dlouhodobou zahraniční vědeckou stáž v kombinaci s dokončením řešení na</w:t>
            </w:r>
            <w:r>
              <w:rPr>
                <w:rFonts w:cs="Arial"/>
                <w:b/>
                <w:bCs/>
                <w:color w:val="000000"/>
                <w:sz w:val="20"/>
                <w:szCs w:val="20"/>
              </w:rPr>
              <w:t> </w:t>
            </w:r>
            <w:r w:rsidRPr="00AB6847">
              <w:rPr>
                <w:rFonts w:cs="Arial"/>
                <w:b/>
                <w:bCs/>
                <w:color w:val="000000"/>
                <w:sz w:val="20"/>
                <w:szCs w:val="20"/>
              </w:rPr>
              <w:t>domácí instituci</w:t>
            </w:r>
            <w:r w:rsidRPr="004A6BD6">
              <w:rPr>
                <w:rFonts w:cs="Arial"/>
                <w:bCs/>
                <w:color w:val="000000"/>
                <w:sz w:val="20"/>
                <w:szCs w:val="20"/>
              </w:rPr>
              <w:t>. Předpokládá se, že v souladu s vědeckým záměrem projektu bude délka dlouhodobé zahraniční vědecké stáže činit 730</w:t>
            </w:r>
            <w:r w:rsidR="008D2230">
              <w:rPr>
                <w:rFonts w:cs="Arial"/>
                <w:bCs/>
                <w:color w:val="000000"/>
                <w:sz w:val="20"/>
                <w:szCs w:val="20"/>
              </w:rPr>
              <w:t> </w:t>
            </w:r>
            <w:r w:rsidRPr="004A6BD6">
              <w:rPr>
                <w:rFonts w:cs="Arial"/>
                <w:bCs/>
                <w:color w:val="000000"/>
                <w:sz w:val="20"/>
                <w:szCs w:val="20"/>
              </w:rPr>
              <w:t xml:space="preserve">dní. Dále </w:t>
            </w:r>
            <w:r w:rsidRPr="00AB6847">
              <w:rPr>
                <w:rFonts w:cs="Arial"/>
                <w:b/>
                <w:bCs/>
                <w:color w:val="000000"/>
                <w:sz w:val="20"/>
                <w:szCs w:val="20"/>
              </w:rPr>
              <w:t>motivovat vynikající vědecké pracovníky s dlouhodobou zahraniční zkušeností, kteří jsou na</w:t>
            </w:r>
            <w:r>
              <w:rPr>
                <w:rFonts w:cs="Arial"/>
                <w:b/>
                <w:bCs/>
                <w:color w:val="000000"/>
                <w:sz w:val="20"/>
                <w:szCs w:val="20"/>
              </w:rPr>
              <w:t> </w:t>
            </w:r>
            <w:r w:rsidRPr="00AB6847">
              <w:rPr>
                <w:rFonts w:cs="Arial"/>
                <w:b/>
                <w:bCs/>
                <w:color w:val="000000"/>
                <w:sz w:val="20"/>
                <w:szCs w:val="20"/>
              </w:rPr>
              <w:t>počátku vědecké kariéry, k řešení jejich vlastního vysoce kvalitního vědeckého projektu na</w:t>
            </w:r>
            <w:r>
              <w:rPr>
                <w:rFonts w:cs="Arial"/>
                <w:b/>
                <w:bCs/>
                <w:color w:val="000000"/>
                <w:sz w:val="20"/>
                <w:szCs w:val="20"/>
              </w:rPr>
              <w:t> </w:t>
            </w:r>
            <w:r w:rsidRPr="00AB6847">
              <w:rPr>
                <w:rFonts w:cs="Arial"/>
                <w:b/>
                <w:bCs/>
                <w:color w:val="000000"/>
                <w:sz w:val="20"/>
                <w:szCs w:val="20"/>
              </w:rPr>
              <w:t>instituci v</w:t>
            </w:r>
            <w:r w:rsidR="008D2230">
              <w:rPr>
                <w:rFonts w:cs="Arial"/>
                <w:b/>
                <w:bCs/>
                <w:color w:val="000000"/>
                <w:sz w:val="20"/>
                <w:szCs w:val="20"/>
              </w:rPr>
              <w:t> </w:t>
            </w:r>
            <w:r w:rsidRPr="00AB6847">
              <w:rPr>
                <w:rFonts w:cs="Arial"/>
                <w:b/>
                <w:bCs/>
                <w:color w:val="000000"/>
                <w:sz w:val="20"/>
                <w:szCs w:val="20"/>
              </w:rPr>
              <w:t>České republice</w:t>
            </w:r>
            <w:r w:rsidRPr="004A6BD6">
              <w:rPr>
                <w:rFonts w:cs="Arial"/>
                <w:bCs/>
                <w:color w:val="000000"/>
                <w:sz w:val="20"/>
                <w:szCs w:val="20"/>
              </w:rPr>
              <w:t xml:space="preserve"> po dobu řešení projektu, tedy po dobu 3</w:t>
            </w:r>
            <w:r>
              <w:rPr>
                <w:rFonts w:cs="Arial"/>
                <w:bCs/>
                <w:color w:val="000000"/>
                <w:sz w:val="20"/>
                <w:szCs w:val="20"/>
              </w:rPr>
              <w:t> </w:t>
            </w:r>
            <w:r w:rsidRPr="004A6BD6">
              <w:rPr>
                <w:rFonts w:cs="Arial"/>
                <w:bCs/>
                <w:color w:val="000000"/>
                <w:sz w:val="20"/>
                <w:szCs w:val="20"/>
              </w:rPr>
              <w:t xml:space="preserve">let. Tato skupina grantových projektů tak pomůže oživit strukturu základního výzkumu v ČR tím, že umožní příchod talentovaných </w:t>
            </w:r>
            <w:proofErr w:type="spellStart"/>
            <w:r w:rsidRPr="004A6BD6">
              <w:rPr>
                <w:rFonts w:cs="Arial"/>
                <w:bCs/>
                <w:color w:val="000000"/>
                <w:sz w:val="20"/>
                <w:szCs w:val="20"/>
              </w:rPr>
              <w:t>postdoktorandů</w:t>
            </w:r>
            <w:proofErr w:type="spellEnd"/>
            <w:r w:rsidRPr="004A6BD6">
              <w:rPr>
                <w:rFonts w:cs="Arial"/>
                <w:bCs/>
                <w:color w:val="000000"/>
                <w:sz w:val="20"/>
                <w:szCs w:val="20"/>
              </w:rPr>
              <w:t xml:space="preserve"> ze</w:t>
            </w:r>
            <w:r>
              <w:rPr>
                <w:rFonts w:cs="Arial"/>
                <w:bCs/>
                <w:color w:val="000000"/>
                <w:sz w:val="20"/>
                <w:szCs w:val="20"/>
              </w:rPr>
              <w:t> </w:t>
            </w:r>
            <w:r w:rsidRPr="004A6BD6">
              <w:rPr>
                <w:rFonts w:cs="Arial"/>
                <w:bCs/>
                <w:color w:val="000000"/>
                <w:sz w:val="20"/>
                <w:szCs w:val="20"/>
              </w:rPr>
              <w:t>zahraničí do</w:t>
            </w:r>
            <w:r w:rsidR="008D2230">
              <w:rPr>
                <w:rFonts w:cs="Arial"/>
                <w:bCs/>
                <w:color w:val="000000"/>
                <w:sz w:val="20"/>
                <w:szCs w:val="20"/>
              </w:rPr>
              <w:t> </w:t>
            </w:r>
            <w:r w:rsidRPr="004A6BD6">
              <w:rPr>
                <w:rFonts w:cs="Arial"/>
                <w:bCs/>
                <w:color w:val="000000"/>
                <w:sz w:val="20"/>
                <w:szCs w:val="20"/>
              </w:rPr>
              <w:t>českých výzkumných organizací, popřípadě návrat talentovaných vědců do ČR po absolvování vědeckého pobytu v zahraničí.</w:t>
            </w:r>
          </w:p>
        </w:tc>
        <w:tc>
          <w:tcPr>
            <w:tcW w:w="6341" w:type="dxa"/>
            <w:tcBorders>
              <w:top w:val="nil"/>
              <w:left w:val="nil"/>
              <w:bottom w:val="single" w:sz="8" w:space="0" w:color="92CDDB"/>
              <w:right w:val="single" w:sz="8" w:space="0" w:color="92CDDB"/>
            </w:tcBorders>
            <w:vAlign w:val="center"/>
          </w:tcPr>
          <w:p w14:paraId="435A8980" w14:textId="77777777" w:rsidR="00FA1845" w:rsidRPr="004A6BD6" w:rsidRDefault="00FA1845" w:rsidP="00307AF7">
            <w:pPr>
              <w:spacing w:after="0" w:line="240" w:lineRule="auto"/>
              <w:jc w:val="both"/>
              <w:rPr>
                <w:rFonts w:eastAsia="Times New Roman" w:cs="Arial"/>
                <w:color w:val="000000"/>
                <w:sz w:val="20"/>
                <w:szCs w:val="20"/>
                <w:lang w:eastAsia="en-GB"/>
              </w:rPr>
            </w:pPr>
            <w:r w:rsidRPr="004A6BD6">
              <w:rPr>
                <w:rFonts w:eastAsia="Times New Roman" w:cs="Arial"/>
                <w:color w:val="000000"/>
                <w:sz w:val="20"/>
                <w:szCs w:val="20"/>
                <w:lang w:eastAsia="en-GB"/>
              </w:rPr>
              <w:t> -</w:t>
            </w:r>
          </w:p>
        </w:tc>
      </w:tr>
      <w:tr w:rsidR="00FA1845" w:rsidRPr="004A6BD6" w14:paraId="2DE163EB" w14:textId="77777777" w:rsidTr="008D2230">
        <w:trPr>
          <w:trHeight w:val="792"/>
        </w:trPr>
        <w:tc>
          <w:tcPr>
            <w:tcW w:w="1526" w:type="dxa"/>
            <w:vMerge/>
            <w:tcBorders>
              <w:left w:val="single" w:sz="8" w:space="0" w:color="92CDDB"/>
              <w:bottom w:val="single" w:sz="4" w:space="0" w:color="92CDDB"/>
              <w:right w:val="single" w:sz="8" w:space="0" w:color="92CDDB"/>
            </w:tcBorders>
            <w:vAlign w:val="center"/>
          </w:tcPr>
          <w:p w14:paraId="24B1D09A" w14:textId="77777777" w:rsidR="00FA1845" w:rsidRPr="004A6BD6" w:rsidRDefault="00FA1845" w:rsidP="00307AF7">
            <w:pPr>
              <w:spacing w:after="0" w:line="240" w:lineRule="auto"/>
              <w:rPr>
                <w:rFonts w:eastAsia="Times New Roman" w:cs="Arial"/>
                <w:color w:val="000000"/>
                <w:sz w:val="20"/>
                <w:szCs w:val="20"/>
                <w:lang w:eastAsia="en-GB"/>
              </w:rPr>
            </w:pPr>
          </w:p>
        </w:tc>
        <w:tc>
          <w:tcPr>
            <w:tcW w:w="615" w:type="dxa"/>
            <w:tcBorders>
              <w:top w:val="nil"/>
              <w:left w:val="nil"/>
              <w:bottom w:val="single" w:sz="8" w:space="0" w:color="92CDDB"/>
              <w:right w:val="single" w:sz="8" w:space="0" w:color="92CDDB"/>
            </w:tcBorders>
            <w:vAlign w:val="center"/>
          </w:tcPr>
          <w:p w14:paraId="549C6B20" w14:textId="77777777" w:rsidR="00FA1845" w:rsidRPr="004A6BD6" w:rsidRDefault="00FA1845" w:rsidP="00307AF7">
            <w:pPr>
              <w:spacing w:after="0" w:line="240" w:lineRule="auto"/>
              <w:jc w:val="center"/>
              <w:rPr>
                <w:rFonts w:eastAsia="Times New Roman" w:cs="Arial"/>
                <w:color w:val="000000"/>
                <w:sz w:val="20"/>
                <w:szCs w:val="20"/>
                <w:lang w:eastAsia="en-GB"/>
              </w:rPr>
            </w:pPr>
            <w:r w:rsidRPr="004A6BD6">
              <w:rPr>
                <w:rFonts w:eastAsia="Times New Roman" w:cs="Arial"/>
                <w:color w:val="000000"/>
                <w:sz w:val="20"/>
                <w:szCs w:val="20"/>
                <w:lang w:eastAsia="en-GB"/>
              </w:rPr>
              <w:t>GX</w:t>
            </w:r>
          </w:p>
        </w:tc>
        <w:tc>
          <w:tcPr>
            <w:tcW w:w="5905" w:type="dxa"/>
            <w:tcBorders>
              <w:top w:val="nil"/>
              <w:left w:val="nil"/>
              <w:bottom w:val="single" w:sz="8" w:space="0" w:color="92CDDB"/>
              <w:right w:val="single" w:sz="8" w:space="0" w:color="92CDDB"/>
            </w:tcBorders>
            <w:vAlign w:val="center"/>
          </w:tcPr>
          <w:p w14:paraId="0FC699E6" w14:textId="77777777" w:rsidR="00FA1845" w:rsidRPr="004A6BD6" w:rsidRDefault="00FA1845" w:rsidP="00307AF7">
            <w:pPr>
              <w:spacing w:after="0" w:line="240" w:lineRule="auto"/>
              <w:rPr>
                <w:rFonts w:eastAsia="Times New Roman" w:cs="Arial"/>
                <w:color w:val="000000"/>
                <w:sz w:val="20"/>
                <w:szCs w:val="20"/>
                <w:lang w:eastAsia="en-GB"/>
              </w:rPr>
            </w:pPr>
            <w:r w:rsidRPr="004A6BD6">
              <w:rPr>
                <w:rFonts w:eastAsia="Times New Roman" w:cs="Arial"/>
                <w:color w:val="000000"/>
                <w:sz w:val="20"/>
                <w:szCs w:val="20"/>
                <w:lang w:eastAsia="en-GB"/>
              </w:rPr>
              <w:t>Grantové projekty excelence v základním výzkumu EXPRO</w:t>
            </w:r>
          </w:p>
        </w:tc>
        <w:tc>
          <w:tcPr>
            <w:tcW w:w="7088" w:type="dxa"/>
            <w:tcBorders>
              <w:top w:val="nil"/>
              <w:left w:val="single" w:sz="8" w:space="0" w:color="92CDDB"/>
              <w:bottom w:val="single" w:sz="8" w:space="0" w:color="92CDDB"/>
              <w:right w:val="single" w:sz="8" w:space="0" w:color="92CDDB"/>
            </w:tcBorders>
            <w:vAlign w:val="center"/>
          </w:tcPr>
          <w:p w14:paraId="510AB5EA" w14:textId="77777777" w:rsidR="00FA1845" w:rsidRPr="004A6BD6" w:rsidRDefault="00FA1845" w:rsidP="00307AF7">
            <w:pPr>
              <w:spacing w:after="0" w:line="240" w:lineRule="auto"/>
              <w:jc w:val="both"/>
              <w:rPr>
                <w:rFonts w:cs="Arial"/>
                <w:b/>
                <w:bCs/>
                <w:color w:val="000000"/>
                <w:sz w:val="20"/>
                <w:szCs w:val="20"/>
              </w:rPr>
            </w:pPr>
            <w:r w:rsidRPr="004A6BD6">
              <w:rPr>
                <w:rFonts w:cs="Arial"/>
                <w:b/>
                <w:bCs/>
                <w:color w:val="000000"/>
                <w:sz w:val="20"/>
                <w:szCs w:val="20"/>
              </w:rPr>
              <w:t>Podpora vědecké spolupráce v základním výzkumu více špičkových týmů z</w:t>
            </w:r>
            <w:r>
              <w:rPr>
                <w:rFonts w:cs="Arial"/>
                <w:b/>
                <w:bCs/>
                <w:color w:val="000000"/>
                <w:sz w:val="20"/>
                <w:szCs w:val="20"/>
              </w:rPr>
              <w:t> </w:t>
            </w:r>
            <w:r w:rsidRPr="004A6BD6">
              <w:rPr>
                <w:rFonts w:cs="Arial"/>
                <w:b/>
                <w:bCs/>
                <w:color w:val="000000"/>
                <w:sz w:val="20"/>
                <w:szCs w:val="20"/>
              </w:rPr>
              <w:t>několika institucí zkoumajících stejnou či příbuznou problematiku, v níž v</w:t>
            </w:r>
            <w:r>
              <w:rPr>
                <w:rFonts w:cs="Arial"/>
                <w:b/>
                <w:bCs/>
                <w:color w:val="000000"/>
                <w:sz w:val="20"/>
                <w:szCs w:val="20"/>
              </w:rPr>
              <w:t> </w:t>
            </w:r>
            <w:r w:rsidRPr="004A6BD6">
              <w:rPr>
                <w:rFonts w:cs="Arial"/>
                <w:b/>
                <w:bCs/>
                <w:color w:val="000000"/>
                <w:sz w:val="20"/>
                <w:szCs w:val="20"/>
              </w:rPr>
              <w:t>nedávné době dosáhly vynikajících výsledků.</w:t>
            </w:r>
          </w:p>
        </w:tc>
        <w:tc>
          <w:tcPr>
            <w:tcW w:w="6341" w:type="dxa"/>
            <w:tcBorders>
              <w:top w:val="nil"/>
              <w:left w:val="nil"/>
              <w:bottom w:val="single" w:sz="8" w:space="0" w:color="92CDDB"/>
              <w:right w:val="single" w:sz="8" w:space="0" w:color="92CDDB"/>
            </w:tcBorders>
            <w:vAlign w:val="center"/>
          </w:tcPr>
          <w:p w14:paraId="22F1B60A" w14:textId="77777777" w:rsidR="00FA1845" w:rsidRPr="004A6BD6" w:rsidRDefault="00FA1845" w:rsidP="00307AF7">
            <w:pPr>
              <w:spacing w:after="0" w:line="240" w:lineRule="auto"/>
              <w:jc w:val="both"/>
              <w:rPr>
                <w:rFonts w:eastAsia="Times New Roman" w:cs="Arial"/>
                <w:color w:val="000000"/>
                <w:sz w:val="20"/>
                <w:szCs w:val="20"/>
                <w:lang w:eastAsia="en-GB"/>
              </w:rPr>
            </w:pPr>
            <w:r w:rsidRPr="004A6BD6">
              <w:rPr>
                <w:rFonts w:eastAsia="Times New Roman" w:cs="Arial"/>
                <w:color w:val="000000"/>
                <w:sz w:val="20"/>
                <w:szCs w:val="20"/>
                <w:lang w:eastAsia="en-GB"/>
              </w:rPr>
              <w:t> -</w:t>
            </w:r>
          </w:p>
        </w:tc>
      </w:tr>
      <w:tr w:rsidR="00FA1845" w:rsidRPr="00AB6847" w14:paraId="599F1ABF" w14:textId="77777777" w:rsidTr="008D2230">
        <w:trPr>
          <w:trHeight w:val="792"/>
        </w:trPr>
        <w:tc>
          <w:tcPr>
            <w:tcW w:w="1526" w:type="dxa"/>
            <w:vMerge w:val="restart"/>
            <w:tcBorders>
              <w:top w:val="single" w:sz="4" w:space="0" w:color="92CDDB"/>
              <w:left w:val="single" w:sz="8" w:space="0" w:color="92CDDB"/>
              <w:right w:val="single" w:sz="8" w:space="0" w:color="92CDDB"/>
            </w:tcBorders>
            <w:noWrap/>
            <w:vAlign w:val="center"/>
          </w:tcPr>
          <w:p w14:paraId="3AC2F062" w14:textId="77777777" w:rsidR="00FA1845" w:rsidRPr="00AB6847" w:rsidRDefault="00FA1845" w:rsidP="00307AF7">
            <w:pPr>
              <w:spacing w:after="0" w:line="240" w:lineRule="auto"/>
              <w:jc w:val="center"/>
              <w:rPr>
                <w:rFonts w:eastAsia="Times New Roman" w:cs="Arial"/>
                <w:color w:val="000000"/>
                <w:sz w:val="20"/>
                <w:szCs w:val="20"/>
                <w:lang w:eastAsia="en-GB"/>
              </w:rPr>
            </w:pPr>
            <w:r w:rsidRPr="00AB6847">
              <w:rPr>
                <w:rFonts w:eastAsia="Times New Roman" w:cs="Arial"/>
                <w:color w:val="000000"/>
                <w:sz w:val="20"/>
                <w:szCs w:val="20"/>
                <w:lang w:eastAsia="en-GB"/>
              </w:rPr>
              <w:t>TA ČR</w:t>
            </w:r>
          </w:p>
        </w:tc>
        <w:tc>
          <w:tcPr>
            <w:tcW w:w="615" w:type="dxa"/>
            <w:tcBorders>
              <w:top w:val="nil"/>
              <w:left w:val="nil"/>
              <w:bottom w:val="single" w:sz="8" w:space="0" w:color="92CDDB"/>
              <w:right w:val="single" w:sz="8" w:space="0" w:color="92CDDB"/>
            </w:tcBorders>
            <w:vAlign w:val="center"/>
          </w:tcPr>
          <w:p w14:paraId="638CBA6A" w14:textId="77777777" w:rsidR="00FA1845" w:rsidRPr="00AB6847" w:rsidRDefault="00FA1845" w:rsidP="00307AF7">
            <w:pPr>
              <w:spacing w:after="0" w:line="240" w:lineRule="auto"/>
              <w:jc w:val="center"/>
              <w:rPr>
                <w:rFonts w:eastAsia="Times New Roman" w:cs="Arial"/>
                <w:color w:val="000000"/>
                <w:sz w:val="20"/>
                <w:szCs w:val="20"/>
                <w:lang w:eastAsia="en-GB"/>
              </w:rPr>
            </w:pPr>
            <w:r w:rsidRPr="00DB1764">
              <w:rPr>
                <w:rFonts w:eastAsia="Times New Roman" w:cs="Arial"/>
                <w:color w:val="000000"/>
                <w:sz w:val="20"/>
                <w:szCs w:val="20"/>
                <w:lang w:eastAsia="en-GB"/>
              </w:rPr>
              <w:t>CK</w:t>
            </w:r>
          </w:p>
        </w:tc>
        <w:tc>
          <w:tcPr>
            <w:tcW w:w="5905" w:type="dxa"/>
            <w:tcBorders>
              <w:top w:val="nil"/>
              <w:left w:val="nil"/>
              <w:bottom w:val="single" w:sz="8" w:space="0" w:color="92CDDB"/>
              <w:right w:val="single" w:sz="8" w:space="0" w:color="92CDDB"/>
            </w:tcBorders>
            <w:vAlign w:val="center"/>
          </w:tcPr>
          <w:p w14:paraId="28D8540B" w14:textId="77777777" w:rsidR="00FA1845" w:rsidRPr="00AB6847" w:rsidRDefault="00FA1845" w:rsidP="00307AF7">
            <w:pPr>
              <w:spacing w:after="0" w:line="240" w:lineRule="auto"/>
              <w:rPr>
                <w:rFonts w:eastAsia="Times New Roman" w:cs="Arial"/>
                <w:color w:val="000000"/>
                <w:sz w:val="20"/>
                <w:szCs w:val="20"/>
                <w:lang w:eastAsia="en-GB"/>
              </w:rPr>
            </w:pPr>
            <w:r w:rsidRPr="00DB1764">
              <w:rPr>
                <w:rFonts w:eastAsia="Times New Roman" w:cs="Arial"/>
                <w:color w:val="000000"/>
                <w:sz w:val="20"/>
                <w:szCs w:val="20"/>
                <w:lang w:eastAsia="en-GB"/>
              </w:rPr>
              <w:t>DOPRAVA 2020+</w:t>
            </w:r>
          </w:p>
        </w:tc>
        <w:tc>
          <w:tcPr>
            <w:tcW w:w="7088" w:type="dxa"/>
            <w:tcBorders>
              <w:top w:val="nil"/>
              <w:left w:val="single" w:sz="8" w:space="0" w:color="92CDDB"/>
              <w:bottom w:val="single" w:sz="8" w:space="0" w:color="92CDDB"/>
              <w:right w:val="single" w:sz="8" w:space="0" w:color="92CDDB"/>
            </w:tcBorders>
            <w:vAlign w:val="center"/>
          </w:tcPr>
          <w:p w14:paraId="0E1CF42E" w14:textId="3D8EE635" w:rsidR="00FA1845" w:rsidRPr="00AB6847" w:rsidRDefault="00FA1845" w:rsidP="00307AF7">
            <w:pPr>
              <w:spacing w:after="0" w:line="240" w:lineRule="auto"/>
              <w:jc w:val="both"/>
              <w:rPr>
                <w:rFonts w:cs="Arial"/>
                <w:b/>
                <w:bCs/>
                <w:color w:val="000000"/>
                <w:sz w:val="20"/>
                <w:szCs w:val="20"/>
              </w:rPr>
            </w:pPr>
            <w:r w:rsidRPr="00DB1764">
              <w:rPr>
                <w:rFonts w:cs="Arial"/>
                <w:b/>
                <w:bCs/>
                <w:color w:val="000000"/>
                <w:sz w:val="20"/>
                <w:szCs w:val="20"/>
              </w:rPr>
              <w:t>Rozvíjení dopravního sektoru způsobem, který bude reflektovat společenské potřeby</w:t>
            </w:r>
            <w:r w:rsidRPr="00DB1764">
              <w:rPr>
                <w:rFonts w:cs="Arial"/>
                <w:color w:val="000000"/>
                <w:sz w:val="20"/>
                <w:szCs w:val="20"/>
              </w:rPr>
              <w:t>, akceleruje technologický a znalostní rozvoj ČR a</w:t>
            </w:r>
            <w:r w:rsidR="008D2230">
              <w:rPr>
                <w:rFonts w:cs="Arial"/>
                <w:color w:val="000000"/>
                <w:sz w:val="20"/>
                <w:szCs w:val="20"/>
              </w:rPr>
              <w:t> </w:t>
            </w:r>
            <w:r w:rsidRPr="00DB1764">
              <w:rPr>
                <w:rFonts w:cs="Arial"/>
                <w:color w:val="000000"/>
                <w:sz w:val="20"/>
                <w:szCs w:val="20"/>
              </w:rPr>
              <w:t>napomůže růstu konkurenceschopnosti ČR.</w:t>
            </w:r>
          </w:p>
        </w:tc>
        <w:tc>
          <w:tcPr>
            <w:tcW w:w="6341" w:type="dxa"/>
            <w:tcBorders>
              <w:top w:val="nil"/>
              <w:left w:val="nil"/>
              <w:bottom w:val="single" w:sz="8" w:space="0" w:color="92CDDB"/>
              <w:right w:val="single" w:sz="8" w:space="0" w:color="92CDDB"/>
            </w:tcBorders>
            <w:vAlign w:val="center"/>
          </w:tcPr>
          <w:p w14:paraId="07D03572" w14:textId="77777777" w:rsidR="00FA1845" w:rsidRPr="00AB6847" w:rsidRDefault="00FA1845" w:rsidP="00307AF7">
            <w:pPr>
              <w:spacing w:after="0" w:line="240" w:lineRule="auto"/>
              <w:jc w:val="both"/>
              <w:rPr>
                <w:rFonts w:cs="Arial"/>
                <w:color w:val="000000"/>
                <w:sz w:val="20"/>
                <w:szCs w:val="20"/>
              </w:rPr>
            </w:pPr>
            <w:r w:rsidRPr="00DB1764">
              <w:rPr>
                <w:rFonts w:eastAsia="Times New Roman" w:cs="Arial"/>
                <w:color w:val="000000"/>
                <w:sz w:val="20"/>
                <w:szCs w:val="20"/>
                <w:lang w:eastAsia="en-GB"/>
              </w:rPr>
              <w:t> -</w:t>
            </w:r>
          </w:p>
        </w:tc>
      </w:tr>
      <w:tr w:rsidR="00FA1845" w:rsidRPr="00AB6847" w14:paraId="25152244" w14:textId="77777777" w:rsidTr="008D2230">
        <w:trPr>
          <w:trHeight w:val="792"/>
        </w:trPr>
        <w:tc>
          <w:tcPr>
            <w:tcW w:w="1526" w:type="dxa"/>
            <w:vMerge/>
            <w:tcBorders>
              <w:left w:val="single" w:sz="8" w:space="0" w:color="92CDDB"/>
              <w:right w:val="single" w:sz="8" w:space="0" w:color="92CDDB"/>
            </w:tcBorders>
            <w:noWrap/>
            <w:vAlign w:val="center"/>
          </w:tcPr>
          <w:p w14:paraId="47D20467" w14:textId="77777777" w:rsidR="00FA1845" w:rsidRPr="00AB6847" w:rsidRDefault="00FA1845" w:rsidP="00307AF7">
            <w:pPr>
              <w:spacing w:after="0" w:line="240" w:lineRule="auto"/>
              <w:jc w:val="center"/>
              <w:rPr>
                <w:rFonts w:eastAsia="Times New Roman" w:cs="Arial"/>
                <w:color w:val="000000"/>
                <w:sz w:val="20"/>
                <w:szCs w:val="20"/>
                <w:lang w:eastAsia="en-GB"/>
              </w:rPr>
            </w:pPr>
          </w:p>
        </w:tc>
        <w:tc>
          <w:tcPr>
            <w:tcW w:w="615" w:type="dxa"/>
            <w:tcBorders>
              <w:top w:val="nil"/>
              <w:left w:val="nil"/>
              <w:bottom w:val="single" w:sz="8" w:space="0" w:color="92CDDB"/>
              <w:right w:val="single" w:sz="8" w:space="0" w:color="92CDDB"/>
            </w:tcBorders>
            <w:vAlign w:val="center"/>
          </w:tcPr>
          <w:p w14:paraId="5EFFB649" w14:textId="77777777" w:rsidR="00FA1845" w:rsidRPr="00AB6847" w:rsidRDefault="00FA1845" w:rsidP="00307AF7">
            <w:pPr>
              <w:spacing w:after="0" w:line="240" w:lineRule="auto"/>
              <w:jc w:val="center"/>
              <w:rPr>
                <w:rFonts w:eastAsia="Times New Roman" w:cs="Arial"/>
                <w:color w:val="000000"/>
                <w:sz w:val="20"/>
                <w:szCs w:val="20"/>
                <w:lang w:eastAsia="en-GB"/>
              </w:rPr>
            </w:pPr>
            <w:r>
              <w:rPr>
                <w:rFonts w:eastAsia="Times New Roman" w:cs="Arial"/>
                <w:color w:val="000000"/>
                <w:sz w:val="20"/>
                <w:szCs w:val="20"/>
                <w:lang w:eastAsia="en-GB"/>
              </w:rPr>
              <w:t>CL</w:t>
            </w:r>
          </w:p>
        </w:tc>
        <w:tc>
          <w:tcPr>
            <w:tcW w:w="5905" w:type="dxa"/>
            <w:tcBorders>
              <w:top w:val="nil"/>
              <w:left w:val="nil"/>
              <w:bottom w:val="single" w:sz="8" w:space="0" w:color="92CDDB"/>
              <w:right w:val="single" w:sz="8" w:space="0" w:color="92CDDB"/>
            </w:tcBorders>
            <w:vAlign w:val="center"/>
          </w:tcPr>
          <w:p w14:paraId="13010AAE" w14:textId="77777777" w:rsidR="00FA1845" w:rsidRPr="00AB6847" w:rsidRDefault="00FA1845" w:rsidP="00307AF7">
            <w:pPr>
              <w:spacing w:after="0" w:line="240" w:lineRule="auto"/>
              <w:rPr>
                <w:rFonts w:eastAsia="Times New Roman" w:cs="Arial"/>
                <w:color w:val="000000"/>
                <w:sz w:val="20"/>
                <w:szCs w:val="20"/>
                <w:lang w:eastAsia="en-GB"/>
              </w:rPr>
            </w:pPr>
            <w:r>
              <w:rPr>
                <w:rFonts w:eastAsia="Times New Roman" w:cs="Arial"/>
                <w:color w:val="000000"/>
                <w:sz w:val="20"/>
                <w:szCs w:val="20"/>
                <w:lang w:eastAsia="en-GB"/>
              </w:rPr>
              <w:t>DOPRAVA 2030</w:t>
            </w:r>
          </w:p>
        </w:tc>
        <w:tc>
          <w:tcPr>
            <w:tcW w:w="7088" w:type="dxa"/>
            <w:tcBorders>
              <w:top w:val="nil"/>
              <w:left w:val="single" w:sz="8" w:space="0" w:color="92CDDB"/>
              <w:bottom w:val="single" w:sz="8" w:space="0" w:color="92CDDB"/>
              <w:right w:val="single" w:sz="8" w:space="0" w:color="92CDDB"/>
            </w:tcBorders>
            <w:vAlign w:val="center"/>
          </w:tcPr>
          <w:p w14:paraId="2A0367DD" w14:textId="77777777" w:rsidR="00FA1845" w:rsidRPr="00AB6847" w:rsidRDefault="00FA1845" w:rsidP="00307AF7">
            <w:pPr>
              <w:spacing w:after="0" w:line="240" w:lineRule="auto"/>
              <w:jc w:val="both"/>
              <w:rPr>
                <w:rFonts w:cs="Arial"/>
                <w:b/>
                <w:bCs/>
                <w:color w:val="000000"/>
                <w:sz w:val="20"/>
                <w:szCs w:val="20"/>
              </w:rPr>
            </w:pPr>
            <w:r w:rsidRPr="008F2AA2">
              <w:rPr>
                <w:rFonts w:cs="Arial"/>
                <w:color w:val="000000"/>
                <w:sz w:val="20"/>
                <w:szCs w:val="20"/>
              </w:rPr>
              <w:t>Hlavním cílem Programu je prostřednictvím výstupů, výsledků a dopadů z</w:t>
            </w:r>
            <w:r>
              <w:rPr>
                <w:rFonts w:cs="Arial"/>
                <w:color w:val="000000"/>
                <w:sz w:val="20"/>
                <w:szCs w:val="20"/>
              </w:rPr>
              <w:t> </w:t>
            </w:r>
            <w:r w:rsidRPr="008F2AA2">
              <w:rPr>
                <w:rFonts w:cs="Arial"/>
                <w:color w:val="000000"/>
                <w:sz w:val="20"/>
                <w:szCs w:val="20"/>
              </w:rPr>
              <w:t xml:space="preserve">podpořených projektů </w:t>
            </w:r>
            <w:r w:rsidRPr="008F2AA2">
              <w:rPr>
                <w:rFonts w:cs="Arial"/>
                <w:b/>
                <w:bCs/>
                <w:color w:val="000000"/>
                <w:sz w:val="20"/>
                <w:szCs w:val="20"/>
              </w:rPr>
              <w:t>rozvíjet dopravní sektor a všechny druhy dopravy způsobem, který bude reflektovat společenské potřeby, akceleruje technologický a znalostní rozvoj ČR, napomůže růstu konkurenceschopnosti ČR a přispěje k vyšší udržitelnosti a snížení negativních dopadů dopravy na</w:t>
            </w:r>
            <w:r>
              <w:rPr>
                <w:rFonts w:cs="Arial"/>
                <w:b/>
                <w:bCs/>
                <w:color w:val="000000"/>
                <w:sz w:val="20"/>
                <w:szCs w:val="20"/>
              </w:rPr>
              <w:t> </w:t>
            </w:r>
            <w:r w:rsidRPr="008F2AA2">
              <w:rPr>
                <w:rFonts w:cs="Arial"/>
                <w:b/>
                <w:bCs/>
                <w:color w:val="000000"/>
                <w:sz w:val="20"/>
                <w:szCs w:val="20"/>
              </w:rPr>
              <w:t>životní prostředí</w:t>
            </w:r>
            <w:r w:rsidRPr="008F2AA2">
              <w:rPr>
                <w:rFonts w:cs="Arial"/>
                <w:color w:val="000000"/>
                <w:sz w:val="20"/>
                <w:szCs w:val="20"/>
              </w:rPr>
              <w:t>.</w:t>
            </w:r>
          </w:p>
        </w:tc>
        <w:tc>
          <w:tcPr>
            <w:tcW w:w="6341" w:type="dxa"/>
            <w:tcBorders>
              <w:top w:val="nil"/>
              <w:left w:val="nil"/>
              <w:bottom w:val="single" w:sz="8" w:space="0" w:color="92CDDB"/>
              <w:right w:val="single" w:sz="8" w:space="0" w:color="92CDDB"/>
            </w:tcBorders>
            <w:vAlign w:val="center"/>
          </w:tcPr>
          <w:p w14:paraId="5FB45B08" w14:textId="77777777" w:rsidR="00FA1845" w:rsidRPr="00AB6847" w:rsidRDefault="00FA1845" w:rsidP="00307AF7">
            <w:pPr>
              <w:spacing w:after="0" w:line="240" w:lineRule="auto"/>
              <w:jc w:val="both"/>
              <w:rPr>
                <w:rFonts w:cs="Arial"/>
                <w:color w:val="000000"/>
                <w:sz w:val="20"/>
                <w:szCs w:val="20"/>
              </w:rPr>
            </w:pPr>
            <w:r>
              <w:rPr>
                <w:rFonts w:eastAsia="Times New Roman" w:cs="Arial"/>
                <w:color w:val="000000"/>
                <w:sz w:val="20"/>
                <w:szCs w:val="20"/>
                <w:lang w:eastAsia="en-GB"/>
              </w:rPr>
              <w:t>-</w:t>
            </w:r>
          </w:p>
        </w:tc>
      </w:tr>
      <w:tr w:rsidR="00FA1845" w:rsidRPr="000A2FED" w14:paraId="52A1E37A" w14:textId="77777777" w:rsidTr="008D2230">
        <w:trPr>
          <w:trHeight w:val="792"/>
        </w:trPr>
        <w:tc>
          <w:tcPr>
            <w:tcW w:w="1526" w:type="dxa"/>
            <w:vMerge/>
            <w:tcBorders>
              <w:left w:val="single" w:sz="8" w:space="0" w:color="92CDDB"/>
              <w:right w:val="single" w:sz="8" w:space="0" w:color="92CDDB"/>
            </w:tcBorders>
            <w:noWrap/>
            <w:vAlign w:val="center"/>
          </w:tcPr>
          <w:p w14:paraId="36D054CF" w14:textId="77777777" w:rsidR="00FA1845" w:rsidRPr="00AB6847" w:rsidRDefault="00FA1845" w:rsidP="00307AF7">
            <w:pPr>
              <w:spacing w:after="0" w:line="240" w:lineRule="auto"/>
              <w:jc w:val="center"/>
              <w:rPr>
                <w:rFonts w:eastAsia="Times New Roman" w:cs="Arial"/>
                <w:color w:val="000000"/>
                <w:sz w:val="20"/>
                <w:szCs w:val="20"/>
                <w:lang w:eastAsia="en-GB"/>
              </w:rPr>
            </w:pPr>
          </w:p>
        </w:tc>
        <w:tc>
          <w:tcPr>
            <w:tcW w:w="615" w:type="dxa"/>
            <w:tcBorders>
              <w:top w:val="nil"/>
              <w:left w:val="nil"/>
              <w:bottom w:val="single" w:sz="8" w:space="0" w:color="92CDDB"/>
              <w:right w:val="single" w:sz="8" w:space="0" w:color="92CDDB"/>
            </w:tcBorders>
            <w:vAlign w:val="center"/>
          </w:tcPr>
          <w:p w14:paraId="71525553" w14:textId="77777777" w:rsidR="00FA1845" w:rsidRPr="00AB6847" w:rsidRDefault="00FA1845" w:rsidP="00307AF7">
            <w:pPr>
              <w:spacing w:after="0" w:line="240" w:lineRule="auto"/>
              <w:jc w:val="center"/>
              <w:rPr>
                <w:rFonts w:eastAsia="Times New Roman" w:cs="Arial"/>
                <w:color w:val="000000"/>
                <w:sz w:val="20"/>
                <w:szCs w:val="20"/>
                <w:lang w:eastAsia="en-GB"/>
              </w:rPr>
            </w:pPr>
            <w:r w:rsidRPr="00396CC6">
              <w:rPr>
                <w:rFonts w:eastAsia="Times New Roman" w:cs="Arial"/>
                <w:color w:val="000000"/>
                <w:sz w:val="20"/>
                <w:szCs w:val="20"/>
                <w:lang w:eastAsia="en-GB"/>
              </w:rPr>
              <w:t>FW</w:t>
            </w:r>
          </w:p>
        </w:tc>
        <w:tc>
          <w:tcPr>
            <w:tcW w:w="5905" w:type="dxa"/>
            <w:tcBorders>
              <w:top w:val="nil"/>
              <w:left w:val="nil"/>
              <w:bottom w:val="single" w:sz="8" w:space="0" w:color="92CDDB"/>
              <w:right w:val="single" w:sz="8" w:space="0" w:color="92CDDB"/>
            </w:tcBorders>
            <w:vAlign w:val="center"/>
          </w:tcPr>
          <w:p w14:paraId="7EA03FF8" w14:textId="77777777" w:rsidR="00FA1845" w:rsidRPr="00AB6847" w:rsidRDefault="00FA1845" w:rsidP="00307AF7">
            <w:pPr>
              <w:spacing w:after="0" w:line="240" w:lineRule="auto"/>
              <w:rPr>
                <w:rFonts w:eastAsia="Times New Roman" w:cs="Arial"/>
                <w:color w:val="000000"/>
                <w:sz w:val="20"/>
                <w:szCs w:val="20"/>
                <w:lang w:eastAsia="en-GB"/>
              </w:rPr>
            </w:pPr>
            <w:r w:rsidRPr="00396CC6">
              <w:rPr>
                <w:rFonts w:eastAsia="Times New Roman" w:cs="Arial"/>
                <w:color w:val="000000"/>
                <w:sz w:val="20"/>
                <w:szCs w:val="20"/>
                <w:lang w:eastAsia="en-GB"/>
              </w:rPr>
              <w:t>TREND</w:t>
            </w:r>
          </w:p>
        </w:tc>
        <w:tc>
          <w:tcPr>
            <w:tcW w:w="7088" w:type="dxa"/>
            <w:tcBorders>
              <w:top w:val="nil"/>
              <w:left w:val="single" w:sz="8" w:space="0" w:color="92CDDB"/>
              <w:bottom w:val="single" w:sz="8" w:space="0" w:color="92CDDB"/>
              <w:right w:val="single" w:sz="8" w:space="0" w:color="92CDDB"/>
            </w:tcBorders>
            <w:vAlign w:val="center"/>
          </w:tcPr>
          <w:p w14:paraId="64C2FFCF" w14:textId="75C0EAE6" w:rsidR="00FA1845" w:rsidRPr="00AB6847" w:rsidRDefault="00FA1845" w:rsidP="00307AF7">
            <w:pPr>
              <w:spacing w:after="0" w:line="240" w:lineRule="auto"/>
              <w:jc w:val="both"/>
              <w:rPr>
                <w:rFonts w:cs="Arial"/>
                <w:b/>
                <w:bCs/>
                <w:color w:val="000000"/>
                <w:sz w:val="20"/>
                <w:szCs w:val="20"/>
              </w:rPr>
            </w:pPr>
            <w:r w:rsidRPr="00396CC6">
              <w:rPr>
                <w:rFonts w:cs="Arial"/>
                <w:b/>
                <w:bCs/>
                <w:color w:val="000000"/>
                <w:sz w:val="20"/>
                <w:szCs w:val="20"/>
              </w:rPr>
              <w:t>Zvýšení mezinárodní konkurenceschopnosti podniků</w:t>
            </w:r>
            <w:r w:rsidRPr="00396CC6">
              <w:rPr>
                <w:rFonts w:cs="Arial"/>
                <w:color w:val="000000"/>
                <w:sz w:val="20"/>
                <w:szCs w:val="20"/>
              </w:rPr>
              <w:t>, především rozšířením jejich trhů v zahraničí, pronikáním na trhy nové či posunem výše v globálních hodnotových řetězcích. Cíle Programu budou naplňovány ve</w:t>
            </w:r>
            <w:r w:rsidR="008D2230">
              <w:rPr>
                <w:rFonts w:cs="Arial"/>
                <w:color w:val="000000"/>
                <w:sz w:val="20"/>
                <w:szCs w:val="20"/>
              </w:rPr>
              <w:t> </w:t>
            </w:r>
            <w:r w:rsidRPr="00396CC6">
              <w:rPr>
                <w:rFonts w:cs="Arial"/>
                <w:color w:val="000000"/>
                <w:sz w:val="20"/>
                <w:szCs w:val="20"/>
              </w:rPr>
              <w:t xml:space="preserve">dvou samostatných podprogramech. </w:t>
            </w:r>
          </w:p>
        </w:tc>
        <w:tc>
          <w:tcPr>
            <w:tcW w:w="6341" w:type="dxa"/>
            <w:tcBorders>
              <w:top w:val="nil"/>
              <w:left w:val="nil"/>
              <w:bottom w:val="single" w:sz="8" w:space="0" w:color="92CDDB"/>
              <w:right w:val="single" w:sz="8" w:space="0" w:color="92CDDB"/>
            </w:tcBorders>
            <w:vAlign w:val="center"/>
          </w:tcPr>
          <w:p w14:paraId="27DC85A3" w14:textId="77777777" w:rsidR="00FA1845" w:rsidRPr="00396CC6" w:rsidRDefault="00FA1845" w:rsidP="00FA1845">
            <w:pPr>
              <w:pStyle w:val="Odstavecseseznamem"/>
              <w:numPr>
                <w:ilvl w:val="0"/>
                <w:numId w:val="13"/>
              </w:numPr>
              <w:spacing w:after="0" w:line="240" w:lineRule="auto"/>
              <w:ind w:left="339"/>
              <w:jc w:val="both"/>
              <w:rPr>
                <w:rFonts w:eastAsia="Arial" w:cs="Arial"/>
                <w:color w:val="000000"/>
                <w:sz w:val="20"/>
                <w:szCs w:val="20"/>
              </w:rPr>
            </w:pPr>
            <w:r w:rsidRPr="00396CC6">
              <w:rPr>
                <w:rFonts w:eastAsia="Arial" w:cs="Arial"/>
                <w:b/>
                <w:color w:val="000000"/>
                <w:sz w:val="20"/>
                <w:szCs w:val="20"/>
              </w:rPr>
              <w:t>Podprogram 1 „Technologičtí lídři</w:t>
            </w:r>
            <w:r w:rsidRPr="00396CC6">
              <w:rPr>
                <w:rFonts w:eastAsia="Times New Roman" w:cs="Arial"/>
                <w:b/>
                <w:color w:val="000000"/>
                <w:sz w:val="20"/>
                <w:szCs w:val="20"/>
                <w:lang w:eastAsia="en-GB"/>
              </w:rPr>
              <w:t>“</w:t>
            </w:r>
            <w:r w:rsidRPr="00396CC6">
              <w:rPr>
                <w:rFonts w:eastAsia="Arial" w:cs="Arial"/>
                <w:color w:val="000000"/>
                <w:sz w:val="20"/>
                <w:szCs w:val="20"/>
              </w:rPr>
              <w:t xml:space="preserve"> – podpoření vlastní </w:t>
            </w:r>
            <w:proofErr w:type="spellStart"/>
            <w:r w:rsidRPr="00396CC6">
              <w:rPr>
                <w:rFonts w:eastAsia="Arial" w:cs="Arial"/>
                <w:color w:val="000000"/>
                <w:sz w:val="20"/>
                <w:szCs w:val="20"/>
              </w:rPr>
              <w:t>VaV</w:t>
            </w:r>
            <w:proofErr w:type="spellEnd"/>
            <w:r w:rsidRPr="00396CC6">
              <w:rPr>
                <w:rFonts w:eastAsia="Arial" w:cs="Arial"/>
                <w:color w:val="000000"/>
                <w:sz w:val="20"/>
                <w:szCs w:val="20"/>
              </w:rPr>
              <w:t xml:space="preserve"> činnosti podniků, které již mají zkušenosti s realizací </w:t>
            </w:r>
            <w:proofErr w:type="spellStart"/>
            <w:r w:rsidRPr="00396CC6">
              <w:rPr>
                <w:rFonts w:eastAsia="Arial" w:cs="Arial"/>
                <w:color w:val="000000"/>
                <w:sz w:val="20"/>
                <w:szCs w:val="20"/>
              </w:rPr>
              <w:t>VaV</w:t>
            </w:r>
            <w:proofErr w:type="spellEnd"/>
            <w:r w:rsidRPr="00396CC6">
              <w:rPr>
                <w:rFonts w:eastAsia="Arial" w:cs="Arial"/>
                <w:color w:val="000000"/>
                <w:sz w:val="20"/>
                <w:szCs w:val="20"/>
              </w:rPr>
              <w:t xml:space="preserve"> vlastními kapacitami nebo mají zkušenost s nákupem </w:t>
            </w:r>
            <w:proofErr w:type="spellStart"/>
            <w:r w:rsidRPr="00396CC6">
              <w:rPr>
                <w:rFonts w:eastAsia="Arial" w:cs="Arial"/>
                <w:color w:val="000000"/>
                <w:sz w:val="20"/>
                <w:szCs w:val="20"/>
              </w:rPr>
              <w:t>VaV</w:t>
            </w:r>
            <w:proofErr w:type="spellEnd"/>
            <w:r w:rsidRPr="00396CC6">
              <w:rPr>
                <w:rFonts w:eastAsia="Arial" w:cs="Arial"/>
                <w:color w:val="000000"/>
                <w:sz w:val="20"/>
                <w:szCs w:val="20"/>
              </w:rPr>
              <w:t xml:space="preserve"> služeb od VO, s důrazem na aplikační potenciál výsledků, a</w:t>
            </w:r>
            <w:r>
              <w:rPr>
                <w:rFonts w:eastAsia="Arial" w:cs="Arial"/>
                <w:color w:val="000000"/>
                <w:sz w:val="20"/>
                <w:szCs w:val="20"/>
              </w:rPr>
              <w:t> </w:t>
            </w:r>
            <w:r w:rsidRPr="00396CC6">
              <w:rPr>
                <w:rFonts w:eastAsia="Arial" w:cs="Arial"/>
                <w:color w:val="000000"/>
                <w:sz w:val="20"/>
                <w:szCs w:val="20"/>
              </w:rPr>
              <w:t>podpoření jejich spolupráce s VO, pokud to charakter projektu vyžaduje.</w:t>
            </w:r>
          </w:p>
          <w:p w14:paraId="51FF8519" w14:textId="1BB093D0" w:rsidR="00FA1845" w:rsidRPr="000A2FED" w:rsidRDefault="00FA1845" w:rsidP="00FA1845">
            <w:pPr>
              <w:pStyle w:val="Odstavecseseznamem"/>
              <w:numPr>
                <w:ilvl w:val="0"/>
                <w:numId w:val="13"/>
              </w:numPr>
              <w:spacing w:after="0" w:line="240" w:lineRule="auto"/>
              <w:ind w:left="339"/>
              <w:jc w:val="both"/>
              <w:rPr>
                <w:rFonts w:eastAsia="Arial" w:cs="Arial"/>
                <w:color w:val="000000"/>
                <w:sz w:val="20"/>
                <w:szCs w:val="20"/>
              </w:rPr>
            </w:pPr>
            <w:r w:rsidRPr="00396CC6">
              <w:rPr>
                <w:rFonts w:eastAsia="Arial" w:cs="Arial"/>
                <w:b/>
                <w:color w:val="000000"/>
                <w:sz w:val="20"/>
                <w:szCs w:val="20"/>
              </w:rPr>
              <w:t>Podprogram 2 „Nováčci“</w:t>
            </w:r>
            <w:r w:rsidRPr="00396CC6">
              <w:rPr>
                <w:rFonts w:eastAsia="Arial" w:cs="Arial"/>
                <w:color w:val="000000"/>
                <w:sz w:val="20"/>
                <w:szCs w:val="20"/>
              </w:rPr>
              <w:t xml:space="preserve"> </w:t>
            </w:r>
            <w:r w:rsidRPr="00396CC6">
              <w:rPr>
                <w:rFonts w:eastAsia="Times New Roman" w:cs="Arial"/>
                <w:color w:val="000000"/>
                <w:sz w:val="20"/>
                <w:szCs w:val="20"/>
                <w:lang w:eastAsia="en-GB"/>
              </w:rPr>
              <w:t xml:space="preserve">– </w:t>
            </w:r>
            <w:r w:rsidRPr="00396CC6">
              <w:rPr>
                <w:rFonts w:eastAsia="Arial" w:cs="Arial"/>
                <w:color w:val="000000"/>
                <w:sz w:val="20"/>
                <w:szCs w:val="20"/>
              </w:rPr>
              <w:t>nastartování vlastních výzkumných a vývojových aktivit u podniků, které doposud nerealizovaly na</w:t>
            </w:r>
            <w:r w:rsidR="009718D4">
              <w:rPr>
                <w:rFonts w:eastAsia="Arial" w:cs="Arial"/>
                <w:color w:val="000000"/>
                <w:sz w:val="20"/>
                <w:szCs w:val="20"/>
              </w:rPr>
              <w:t> </w:t>
            </w:r>
            <w:r w:rsidRPr="00396CC6">
              <w:rPr>
                <w:rFonts w:eastAsia="Arial" w:cs="Arial"/>
                <w:color w:val="000000"/>
                <w:sz w:val="20"/>
                <w:szCs w:val="20"/>
              </w:rPr>
              <w:t xml:space="preserve">pravidelné bázi vlastní </w:t>
            </w:r>
            <w:proofErr w:type="spellStart"/>
            <w:r w:rsidRPr="00396CC6">
              <w:rPr>
                <w:rFonts w:eastAsia="Arial" w:cs="Arial"/>
                <w:color w:val="000000"/>
                <w:sz w:val="20"/>
                <w:szCs w:val="20"/>
              </w:rPr>
              <w:t>VaV</w:t>
            </w:r>
            <w:proofErr w:type="spellEnd"/>
            <w:r w:rsidRPr="00396CC6">
              <w:rPr>
                <w:rFonts w:eastAsia="Arial" w:cs="Arial"/>
                <w:color w:val="000000"/>
                <w:sz w:val="20"/>
                <w:szCs w:val="20"/>
              </w:rPr>
              <w:t xml:space="preserve"> aktivity ani</w:t>
            </w:r>
            <w:r>
              <w:rPr>
                <w:rFonts w:eastAsia="Arial" w:cs="Arial"/>
                <w:color w:val="000000"/>
                <w:sz w:val="20"/>
                <w:szCs w:val="20"/>
              </w:rPr>
              <w:t> </w:t>
            </w:r>
            <w:r w:rsidRPr="00396CC6">
              <w:rPr>
                <w:rFonts w:eastAsia="Arial" w:cs="Arial"/>
                <w:color w:val="000000"/>
                <w:sz w:val="20"/>
                <w:szCs w:val="20"/>
              </w:rPr>
              <w:t xml:space="preserve">nákup </w:t>
            </w:r>
            <w:proofErr w:type="spellStart"/>
            <w:r w:rsidRPr="00396CC6">
              <w:rPr>
                <w:rFonts w:eastAsia="Arial" w:cs="Arial"/>
                <w:color w:val="000000"/>
                <w:sz w:val="20"/>
                <w:szCs w:val="20"/>
              </w:rPr>
              <w:t>VaV</w:t>
            </w:r>
            <w:proofErr w:type="spellEnd"/>
            <w:r w:rsidRPr="00396CC6">
              <w:rPr>
                <w:rFonts w:eastAsia="Arial" w:cs="Arial"/>
                <w:color w:val="000000"/>
                <w:sz w:val="20"/>
                <w:szCs w:val="20"/>
              </w:rPr>
              <w:t xml:space="preserve"> služeb od</w:t>
            </w:r>
            <w:r w:rsidR="009718D4">
              <w:rPr>
                <w:rFonts w:eastAsia="Arial" w:cs="Arial"/>
                <w:color w:val="000000"/>
                <w:sz w:val="20"/>
                <w:szCs w:val="20"/>
              </w:rPr>
              <w:t> </w:t>
            </w:r>
            <w:r w:rsidRPr="00396CC6">
              <w:rPr>
                <w:rFonts w:eastAsia="Arial" w:cs="Arial"/>
                <w:color w:val="000000"/>
                <w:sz w:val="20"/>
                <w:szCs w:val="20"/>
              </w:rPr>
              <w:t>VO.</w:t>
            </w:r>
          </w:p>
        </w:tc>
      </w:tr>
      <w:tr w:rsidR="00FA1845" w:rsidRPr="000A2FED" w14:paraId="3B14CF3C" w14:textId="77777777" w:rsidTr="008D2230">
        <w:trPr>
          <w:trHeight w:val="792"/>
        </w:trPr>
        <w:tc>
          <w:tcPr>
            <w:tcW w:w="1526" w:type="dxa"/>
            <w:vMerge/>
            <w:tcBorders>
              <w:left w:val="single" w:sz="8" w:space="0" w:color="92CDDB"/>
              <w:right w:val="single" w:sz="8" w:space="0" w:color="92CDDB"/>
            </w:tcBorders>
            <w:noWrap/>
            <w:vAlign w:val="center"/>
          </w:tcPr>
          <w:p w14:paraId="27A09F88" w14:textId="77777777" w:rsidR="00FA1845" w:rsidRPr="00ED79BC" w:rsidRDefault="00FA1845" w:rsidP="00307AF7">
            <w:pPr>
              <w:spacing w:after="0" w:line="240" w:lineRule="auto"/>
              <w:jc w:val="center"/>
              <w:rPr>
                <w:rFonts w:eastAsia="Times New Roman" w:cs="Arial"/>
                <w:color w:val="000000"/>
                <w:sz w:val="20"/>
                <w:szCs w:val="20"/>
                <w:highlight w:val="yellow"/>
                <w:lang w:eastAsia="en-GB"/>
              </w:rPr>
            </w:pPr>
          </w:p>
        </w:tc>
        <w:tc>
          <w:tcPr>
            <w:tcW w:w="615" w:type="dxa"/>
            <w:tcBorders>
              <w:top w:val="nil"/>
              <w:left w:val="nil"/>
              <w:bottom w:val="single" w:sz="8" w:space="0" w:color="92CDDB"/>
              <w:right w:val="single" w:sz="8" w:space="0" w:color="92CDDB"/>
            </w:tcBorders>
            <w:vAlign w:val="center"/>
          </w:tcPr>
          <w:p w14:paraId="5814E093" w14:textId="77777777" w:rsidR="00FA1845" w:rsidRPr="00AB6847" w:rsidRDefault="00FA1845" w:rsidP="00307AF7">
            <w:pPr>
              <w:spacing w:after="0" w:line="240" w:lineRule="auto"/>
              <w:jc w:val="center"/>
              <w:rPr>
                <w:rFonts w:eastAsia="Times New Roman" w:cs="Arial"/>
                <w:color w:val="000000"/>
                <w:sz w:val="20"/>
                <w:szCs w:val="20"/>
                <w:lang w:eastAsia="en-GB"/>
              </w:rPr>
            </w:pPr>
            <w:r w:rsidRPr="00DB1764">
              <w:rPr>
                <w:rFonts w:eastAsia="Times New Roman" w:cs="Arial"/>
                <w:color w:val="000000"/>
                <w:sz w:val="20"/>
                <w:szCs w:val="20"/>
                <w:lang w:eastAsia="en-GB"/>
              </w:rPr>
              <w:t>SS</w:t>
            </w:r>
          </w:p>
        </w:tc>
        <w:tc>
          <w:tcPr>
            <w:tcW w:w="5905" w:type="dxa"/>
            <w:tcBorders>
              <w:top w:val="nil"/>
              <w:left w:val="nil"/>
              <w:bottom w:val="single" w:sz="8" w:space="0" w:color="92CDDB"/>
              <w:right w:val="single" w:sz="8" w:space="0" w:color="92CDDB"/>
            </w:tcBorders>
            <w:vAlign w:val="center"/>
          </w:tcPr>
          <w:p w14:paraId="33F83BC6" w14:textId="77777777" w:rsidR="00FA1845" w:rsidRPr="00AB6847" w:rsidRDefault="00FA1845" w:rsidP="00307AF7">
            <w:pPr>
              <w:spacing w:after="0" w:line="240" w:lineRule="auto"/>
              <w:rPr>
                <w:rFonts w:eastAsia="Times New Roman" w:cs="Arial"/>
                <w:color w:val="000000"/>
                <w:sz w:val="20"/>
                <w:szCs w:val="20"/>
                <w:lang w:eastAsia="en-GB"/>
              </w:rPr>
            </w:pPr>
            <w:r w:rsidRPr="00DB1764">
              <w:rPr>
                <w:rFonts w:eastAsia="Times New Roman" w:cs="Arial"/>
                <w:color w:val="000000"/>
                <w:sz w:val="20"/>
                <w:szCs w:val="20"/>
                <w:lang w:eastAsia="en-GB"/>
              </w:rPr>
              <w:t>Prostředí pro život</w:t>
            </w:r>
          </w:p>
        </w:tc>
        <w:tc>
          <w:tcPr>
            <w:tcW w:w="7088" w:type="dxa"/>
            <w:tcBorders>
              <w:top w:val="nil"/>
              <w:left w:val="single" w:sz="8" w:space="0" w:color="92CDDB"/>
              <w:bottom w:val="single" w:sz="8" w:space="0" w:color="92CDDB"/>
              <w:right w:val="single" w:sz="8" w:space="0" w:color="92CDDB"/>
            </w:tcBorders>
            <w:vAlign w:val="center"/>
          </w:tcPr>
          <w:p w14:paraId="5519E2A3" w14:textId="77777777" w:rsidR="00FA1845" w:rsidRPr="00AB6847" w:rsidRDefault="00FA1845" w:rsidP="00307AF7">
            <w:pPr>
              <w:spacing w:after="0" w:line="240" w:lineRule="auto"/>
              <w:jc w:val="both"/>
              <w:rPr>
                <w:rFonts w:cs="Arial"/>
                <w:b/>
                <w:bCs/>
                <w:color w:val="000000"/>
                <w:sz w:val="20"/>
                <w:szCs w:val="20"/>
              </w:rPr>
            </w:pPr>
            <w:r w:rsidRPr="00DB1764">
              <w:rPr>
                <w:rFonts w:cs="Arial"/>
                <w:b/>
                <w:bCs/>
                <w:color w:val="000000"/>
                <w:sz w:val="20"/>
                <w:szCs w:val="20"/>
              </w:rPr>
              <w:t>Přinést nová řešení v oblasti životního prostředí, stabilizovat a rozšířit znalostní základnu</w:t>
            </w:r>
            <w:r w:rsidRPr="00DB1764">
              <w:rPr>
                <w:rFonts w:cs="Arial"/>
                <w:color w:val="000000"/>
                <w:sz w:val="20"/>
                <w:szCs w:val="20"/>
              </w:rPr>
              <w:t>, která výrazně přispěje k zajištění zdravého a kvalitního životního prostředí v České republice a k udržitelnému využívání jejích zdrojů, minimalizuje negativní dopady lidské činnosti na životní prostředí včetně dopadů přesahujících hranice státu a přispěje tak ke zlepšování kvality života v Evropě i</w:t>
            </w:r>
            <w:r>
              <w:rPr>
                <w:rFonts w:cs="Arial"/>
                <w:color w:val="000000"/>
                <w:sz w:val="20"/>
                <w:szCs w:val="20"/>
              </w:rPr>
              <w:t> </w:t>
            </w:r>
            <w:r w:rsidRPr="00DB1764">
              <w:rPr>
                <w:rFonts w:cs="Arial"/>
                <w:color w:val="000000"/>
                <w:sz w:val="20"/>
                <w:szCs w:val="20"/>
              </w:rPr>
              <w:t>v</w:t>
            </w:r>
            <w:r>
              <w:rPr>
                <w:rFonts w:cs="Arial"/>
                <w:color w:val="000000"/>
                <w:sz w:val="20"/>
                <w:szCs w:val="20"/>
              </w:rPr>
              <w:t> </w:t>
            </w:r>
            <w:r w:rsidRPr="00DB1764">
              <w:rPr>
                <w:rFonts w:cs="Arial"/>
                <w:color w:val="000000"/>
                <w:sz w:val="20"/>
                <w:szCs w:val="20"/>
              </w:rPr>
              <w:t>globálním kontextu.</w:t>
            </w:r>
          </w:p>
        </w:tc>
        <w:tc>
          <w:tcPr>
            <w:tcW w:w="6341" w:type="dxa"/>
            <w:tcBorders>
              <w:top w:val="nil"/>
              <w:left w:val="nil"/>
              <w:bottom w:val="single" w:sz="8" w:space="0" w:color="92CDDB"/>
              <w:right w:val="single" w:sz="8" w:space="0" w:color="92CDDB"/>
            </w:tcBorders>
            <w:vAlign w:val="center"/>
          </w:tcPr>
          <w:p w14:paraId="5D185A89" w14:textId="46F78023" w:rsidR="00FA1845" w:rsidRPr="00DB1764" w:rsidRDefault="00FA1845" w:rsidP="00FA1845">
            <w:pPr>
              <w:pStyle w:val="Odstavecseseznamem"/>
              <w:numPr>
                <w:ilvl w:val="0"/>
                <w:numId w:val="12"/>
              </w:numPr>
              <w:spacing w:after="0" w:line="240" w:lineRule="auto"/>
              <w:ind w:left="339"/>
              <w:jc w:val="both"/>
              <w:rPr>
                <w:rFonts w:eastAsia="Arial" w:cs="Arial"/>
                <w:color w:val="000000"/>
                <w:sz w:val="20"/>
                <w:szCs w:val="20"/>
              </w:rPr>
            </w:pPr>
            <w:r w:rsidRPr="00DB1764">
              <w:rPr>
                <w:rFonts w:eastAsia="Arial" w:cs="Arial"/>
                <w:b/>
                <w:sz w:val="20"/>
                <w:szCs w:val="20"/>
              </w:rPr>
              <w:t xml:space="preserve">Podprogram 1 </w:t>
            </w:r>
            <w:r w:rsidRPr="00DB1764">
              <w:rPr>
                <w:rFonts w:eastAsia="Times New Roman" w:cs="Arial"/>
                <w:b/>
                <w:color w:val="000000"/>
                <w:sz w:val="20"/>
                <w:szCs w:val="20"/>
                <w:lang w:eastAsia="en-GB"/>
              </w:rPr>
              <w:t>„</w:t>
            </w:r>
            <w:r w:rsidRPr="00DB1764">
              <w:rPr>
                <w:rFonts w:eastAsia="Arial" w:cs="Arial"/>
                <w:b/>
                <w:sz w:val="20"/>
                <w:szCs w:val="20"/>
              </w:rPr>
              <w:t>Operativní výzkum ve veřejném zájmu“</w:t>
            </w:r>
            <w:r w:rsidRPr="00DB1764">
              <w:rPr>
                <w:rFonts w:eastAsia="Arial" w:cs="Arial"/>
                <w:sz w:val="20"/>
                <w:szCs w:val="20"/>
              </w:rPr>
              <w:t xml:space="preserve"> </w:t>
            </w:r>
            <w:r w:rsidRPr="00DB1764">
              <w:rPr>
                <w:rFonts w:eastAsia="Times New Roman" w:cs="Arial"/>
                <w:color w:val="000000"/>
                <w:sz w:val="20"/>
                <w:szCs w:val="20"/>
                <w:lang w:eastAsia="en-GB"/>
              </w:rPr>
              <w:t xml:space="preserve">– </w:t>
            </w:r>
            <w:r w:rsidRPr="00DB1764">
              <w:rPr>
                <w:rFonts w:eastAsia="Arial" w:cs="Arial"/>
                <w:color w:val="000000"/>
                <w:sz w:val="20"/>
                <w:szCs w:val="20"/>
              </w:rPr>
              <w:t>zjednodušení, zkvalitnění a zefektivnění veřejné správy, zkvalitnění řízení a regulace v oblasti životního prostředí se</w:t>
            </w:r>
            <w:r w:rsidR="009718D4">
              <w:rPr>
                <w:rFonts w:eastAsia="Arial" w:cs="Arial"/>
                <w:color w:val="000000"/>
                <w:sz w:val="20"/>
                <w:szCs w:val="20"/>
              </w:rPr>
              <w:t> </w:t>
            </w:r>
            <w:r w:rsidRPr="00DB1764">
              <w:rPr>
                <w:rFonts w:eastAsia="Arial" w:cs="Arial"/>
                <w:color w:val="000000"/>
                <w:sz w:val="20"/>
                <w:szCs w:val="20"/>
              </w:rPr>
              <w:t>zaměřením na všechny tři specifické cíle p</w:t>
            </w:r>
            <w:r w:rsidRPr="00DB1764">
              <w:rPr>
                <w:rFonts w:eastAsia="Arial" w:cs="Arial"/>
                <w:sz w:val="20"/>
                <w:szCs w:val="20"/>
              </w:rPr>
              <w:t>rogramu</w:t>
            </w:r>
            <w:r w:rsidRPr="00DB1764">
              <w:rPr>
                <w:rFonts w:eastAsia="Arial" w:cs="Arial"/>
                <w:color w:val="000000"/>
                <w:sz w:val="20"/>
                <w:szCs w:val="20"/>
              </w:rPr>
              <w:t>.</w:t>
            </w:r>
          </w:p>
          <w:p w14:paraId="0A561303" w14:textId="12AAEAAA" w:rsidR="00FA1845" w:rsidRDefault="00FA1845" w:rsidP="00FA1845">
            <w:pPr>
              <w:pStyle w:val="Odstavecseseznamem"/>
              <w:numPr>
                <w:ilvl w:val="0"/>
                <w:numId w:val="12"/>
              </w:numPr>
              <w:spacing w:after="0" w:line="240" w:lineRule="auto"/>
              <w:ind w:left="339"/>
              <w:jc w:val="both"/>
              <w:rPr>
                <w:rFonts w:eastAsia="Arial" w:cs="Arial"/>
                <w:color w:val="000000"/>
                <w:sz w:val="20"/>
                <w:szCs w:val="20"/>
              </w:rPr>
            </w:pPr>
            <w:r w:rsidRPr="00DB1764">
              <w:rPr>
                <w:rFonts w:eastAsia="Times New Roman" w:cs="Arial"/>
                <w:b/>
                <w:color w:val="000000"/>
                <w:sz w:val="20"/>
                <w:szCs w:val="20"/>
                <w:lang w:eastAsia="en-GB"/>
              </w:rPr>
              <w:t>Podprogram 2 „</w:t>
            </w:r>
            <w:proofErr w:type="spellStart"/>
            <w:r w:rsidRPr="00DB1764">
              <w:rPr>
                <w:rFonts w:eastAsia="Arial" w:cs="Arial"/>
                <w:b/>
                <w:color w:val="000000"/>
                <w:sz w:val="20"/>
                <w:szCs w:val="20"/>
              </w:rPr>
              <w:t>Ekoinovace</w:t>
            </w:r>
            <w:proofErr w:type="spellEnd"/>
            <w:r w:rsidRPr="00DB1764">
              <w:rPr>
                <w:rFonts w:eastAsia="Arial" w:cs="Arial"/>
                <w:b/>
                <w:color w:val="000000"/>
                <w:sz w:val="20"/>
                <w:szCs w:val="20"/>
              </w:rPr>
              <w:t>, technologie a postupy pro</w:t>
            </w:r>
            <w:r w:rsidR="009718D4">
              <w:rPr>
                <w:rFonts w:eastAsia="Arial" w:cs="Arial"/>
                <w:b/>
                <w:color w:val="000000"/>
                <w:sz w:val="20"/>
                <w:szCs w:val="20"/>
              </w:rPr>
              <w:t> </w:t>
            </w:r>
            <w:r w:rsidRPr="00DB1764">
              <w:rPr>
                <w:rFonts w:eastAsia="Arial" w:cs="Arial"/>
                <w:b/>
                <w:color w:val="000000"/>
                <w:sz w:val="20"/>
                <w:szCs w:val="20"/>
              </w:rPr>
              <w:t>ochranu životního prostředí“</w:t>
            </w:r>
            <w:r w:rsidRPr="00DB1764">
              <w:rPr>
                <w:rFonts w:eastAsia="Arial" w:cs="Arial"/>
                <w:color w:val="000000"/>
                <w:sz w:val="20"/>
                <w:szCs w:val="20"/>
              </w:rPr>
              <w:t xml:space="preserve"> </w:t>
            </w:r>
            <w:r w:rsidRPr="00DB1764">
              <w:rPr>
                <w:rFonts w:eastAsia="Times New Roman" w:cs="Arial"/>
                <w:color w:val="000000"/>
                <w:sz w:val="20"/>
                <w:szCs w:val="20"/>
                <w:lang w:eastAsia="en-GB"/>
              </w:rPr>
              <w:t>–</w:t>
            </w:r>
            <w:r w:rsidRPr="00DB1764">
              <w:rPr>
                <w:rFonts w:eastAsia="Arial" w:cs="Arial"/>
                <w:color w:val="000000"/>
                <w:sz w:val="20"/>
                <w:szCs w:val="20"/>
              </w:rPr>
              <w:t xml:space="preserve"> přispění prostřednictvím </w:t>
            </w:r>
            <w:proofErr w:type="spellStart"/>
            <w:r w:rsidRPr="00DB1764">
              <w:rPr>
                <w:rFonts w:eastAsia="Arial" w:cs="Arial"/>
                <w:color w:val="000000"/>
                <w:sz w:val="20"/>
                <w:szCs w:val="20"/>
              </w:rPr>
              <w:t>VaVaI</w:t>
            </w:r>
            <w:proofErr w:type="spellEnd"/>
            <w:r w:rsidRPr="00DB1764">
              <w:rPr>
                <w:rFonts w:eastAsia="Arial" w:cs="Arial"/>
                <w:color w:val="000000"/>
                <w:sz w:val="20"/>
                <w:szCs w:val="20"/>
              </w:rPr>
              <w:t xml:space="preserve"> k takovým technologickým změnám a</w:t>
            </w:r>
            <w:r>
              <w:rPr>
                <w:rFonts w:eastAsia="Arial" w:cs="Arial"/>
                <w:color w:val="000000"/>
                <w:sz w:val="20"/>
                <w:szCs w:val="20"/>
              </w:rPr>
              <w:t> </w:t>
            </w:r>
            <w:r w:rsidRPr="00DB1764">
              <w:rPr>
                <w:rFonts w:eastAsia="Arial" w:cs="Arial"/>
                <w:color w:val="000000"/>
                <w:sz w:val="20"/>
                <w:szCs w:val="20"/>
              </w:rPr>
              <w:t>změnám technik, které budou sloužit k naplnění strategických záměrů v resortu životního prostředí.</w:t>
            </w:r>
          </w:p>
          <w:p w14:paraId="23241A61" w14:textId="70F6457E" w:rsidR="00FA1845" w:rsidRPr="000A2FED" w:rsidRDefault="00FA1845" w:rsidP="00FA1845">
            <w:pPr>
              <w:pStyle w:val="Odstavecseseznamem"/>
              <w:numPr>
                <w:ilvl w:val="0"/>
                <w:numId w:val="12"/>
              </w:numPr>
              <w:spacing w:after="0" w:line="240" w:lineRule="auto"/>
              <w:ind w:left="339"/>
              <w:jc w:val="both"/>
              <w:rPr>
                <w:rFonts w:eastAsia="Arial" w:cs="Arial"/>
                <w:color w:val="000000"/>
                <w:sz w:val="20"/>
                <w:szCs w:val="20"/>
              </w:rPr>
            </w:pPr>
            <w:r w:rsidRPr="000A2FED">
              <w:rPr>
                <w:rFonts w:eastAsia="Times New Roman" w:cs="Arial"/>
                <w:b/>
                <w:color w:val="000000"/>
                <w:sz w:val="20"/>
                <w:szCs w:val="20"/>
                <w:lang w:eastAsia="en-GB"/>
              </w:rPr>
              <w:t>Podprogram 3 „Dlouhodobé environmentální a klimatické perspektivy“</w:t>
            </w:r>
            <w:r w:rsidRPr="000A2FED">
              <w:rPr>
                <w:rFonts w:eastAsia="Times New Roman" w:cs="Arial"/>
                <w:color w:val="000000"/>
                <w:sz w:val="20"/>
                <w:szCs w:val="20"/>
                <w:lang w:eastAsia="en-GB"/>
              </w:rPr>
              <w:t xml:space="preserve"> – podpoření</w:t>
            </w:r>
            <w:r w:rsidRPr="000A2FED">
              <w:rPr>
                <w:rFonts w:eastAsia="Arial" w:cs="Arial"/>
                <w:color w:val="000000"/>
                <w:sz w:val="20"/>
                <w:szCs w:val="20"/>
              </w:rPr>
              <w:t xml:space="preserve"> holistických přístupů a dlouhodobých přírodě blízkých řešení a technologických perspektiv v ochraně životního prostředí k naplnění všech tří</w:t>
            </w:r>
            <w:r w:rsidR="0013298F">
              <w:rPr>
                <w:rFonts w:eastAsia="Arial" w:cs="Arial"/>
                <w:color w:val="000000"/>
                <w:sz w:val="20"/>
                <w:szCs w:val="20"/>
              </w:rPr>
              <w:t> </w:t>
            </w:r>
            <w:r w:rsidRPr="000A2FED">
              <w:rPr>
                <w:rFonts w:eastAsia="Arial" w:cs="Arial"/>
                <w:color w:val="000000"/>
                <w:sz w:val="20"/>
                <w:szCs w:val="20"/>
              </w:rPr>
              <w:t>specifických cílů programu.</w:t>
            </w:r>
          </w:p>
        </w:tc>
      </w:tr>
      <w:tr w:rsidR="00FA1845" w:rsidRPr="000A2FED" w14:paraId="3D93A1C6" w14:textId="77777777" w:rsidTr="008D2230">
        <w:trPr>
          <w:trHeight w:val="792"/>
        </w:trPr>
        <w:tc>
          <w:tcPr>
            <w:tcW w:w="1526" w:type="dxa"/>
            <w:vMerge/>
            <w:tcBorders>
              <w:left w:val="single" w:sz="8" w:space="0" w:color="92CDDB"/>
              <w:right w:val="single" w:sz="8" w:space="0" w:color="92CDDB"/>
            </w:tcBorders>
            <w:noWrap/>
            <w:vAlign w:val="center"/>
          </w:tcPr>
          <w:p w14:paraId="285EFC07" w14:textId="77777777" w:rsidR="00FA1845" w:rsidRPr="00ED79BC" w:rsidRDefault="00FA1845" w:rsidP="00307AF7">
            <w:pPr>
              <w:spacing w:after="0" w:line="240" w:lineRule="auto"/>
              <w:jc w:val="center"/>
              <w:rPr>
                <w:rFonts w:eastAsia="Times New Roman" w:cs="Arial"/>
                <w:color w:val="000000"/>
                <w:sz w:val="20"/>
                <w:szCs w:val="20"/>
                <w:highlight w:val="yellow"/>
                <w:lang w:eastAsia="en-GB"/>
              </w:rPr>
            </w:pPr>
          </w:p>
        </w:tc>
        <w:tc>
          <w:tcPr>
            <w:tcW w:w="615" w:type="dxa"/>
            <w:tcBorders>
              <w:top w:val="nil"/>
              <w:left w:val="nil"/>
              <w:bottom w:val="single" w:sz="8" w:space="0" w:color="92CDDB"/>
              <w:right w:val="single" w:sz="8" w:space="0" w:color="92CDDB"/>
            </w:tcBorders>
            <w:vAlign w:val="center"/>
          </w:tcPr>
          <w:p w14:paraId="5EF75A1B" w14:textId="77777777" w:rsidR="00FA1845" w:rsidRPr="00AB6847" w:rsidRDefault="00FA1845" w:rsidP="00307AF7">
            <w:pPr>
              <w:spacing w:after="0" w:line="240" w:lineRule="auto"/>
              <w:jc w:val="center"/>
              <w:rPr>
                <w:rFonts w:eastAsia="Times New Roman" w:cs="Arial"/>
                <w:color w:val="000000"/>
                <w:sz w:val="20"/>
                <w:szCs w:val="20"/>
                <w:lang w:eastAsia="en-GB"/>
              </w:rPr>
            </w:pPr>
            <w:r w:rsidRPr="00AB6847">
              <w:rPr>
                <w:rFonts w:eastAsia="Times New Roman" w:cs="Arial"/>
                <w:color w:val="000000"/>
                <w:sz w:val="20"/>
                <w:szCs w:val="20"/>
                <w:lang w:eastAsia="en-GB"/>
              </w:rPr>
              <w:t>TH</w:t>
            </w:r>
          </w:p>
        </w:tc>
        <w:tc>
          <w:tcPr>
            <w:tcW w:w="5905" w:type="dxa"/>
            <w:tcBorders>
              <w:top w:val="nil"/>
              <w:left w:val="nil"/>
              <w:bottom w:val="single" w:sz="8" w:space="0" w:color="92CDDB"/>
              <w:right w:val="single" w:sz="8" w:space="0" w:color="92CDDB"/>
            </w:tcBorders>
            <w:vAlign w:val="center"/>
          </w:tcPr>
          <w:p w14:paraId="5248952D" w14:textId="77777777" w:rsidR="00FA1845" w:rsidRPr="00AB6847" w:rsidRDefault="00FA1845" w:rsidP="00307AF7">
            <w:pPr>
              <w:spacing w:after="0" w:line="240" w:lineRule="auto"/>
              <w:rPr>
                <w:rFonts w:eastAsia="Times New Roman" w:cs="Arial"/>
                <w:color w:val="000000"/>
                <w:sz w:val="20"/>
                <w:szCs w:val="20"/>
                <w:lang w:eastAsia="en-GB"/>
              </w:rPr>
            </w:pPr>
            <w:r w:rsidRPr="00AB6847">
              <w:rPr>
                <w:rFonts w:eastAsia="Times New Roman" w:cs="Arial"/>
                <w:color w:val="000000"/>
                <w:sz w:val="20"/>
                <w:szCs w:val="20"/>
                <w:lang w:eastAsia="en-GB"/>
              </w:rPr>
              <w:t>EPSILON</w:t>
            </w:r>
          </w:p>
        </w:tc>
        <w:tc>
          <w:tcPr>
            <w:tcW w:w="7088" w:type="dxa"/>
            <w:tcBorders>
              <w:top w:val="nil"/>
              <w:left w:val="single" w:sz="8" w:space="0" w:color="92CDDB"/>
              <w:bottom w:val="single" w:sz="8" w:space="0" w:color="92CDDB"/>
              <w:right w:val="single" w:sz="8" w:space="0" w:color="92CDDB"/>
            </w:tcBorders>
            <w:vAlign w:val="center"/>
          </w:tcPr>
          <w:p w14:paraId="458FB13F" w14:textId="4758CDB3" w:rsidR="00FA1845" w:rsidRPr="00AB6847" w:rsidRDefault="00FA1845" w:rsidP="00307AF7">
            <w:pPr>
              <w:spacing w:after="0" w:line="240" w:lineRule="auto"/>
              <w:jc w:val="both"/>
              <w:rPr>
                <w:rFonts w:cs="Arial"/>
                <w:b/>
                <w:bCs/>
                <w:color w:val="000000"/>
                <w:sz w:val="20"/>
                <w:szCs w:val="20"/>
              </w:rPr>
            </w:pPr>
            <w:r w:rsidRPr="00AB6847">
              <w:rPr>
                <w:rFonts w:cs="Arial"/>
                <w:b/>
                <w:bCs/>
                <w:color w:val="000000"/>
                <w:sz w:val="20"/>
                <w:szCs w:val="20"/>
              </w:rPr>
              <w:t>Podpora projektů aplikovaného výzkumu a experimentálního vývoje, jejichž výsledky mají vysoký potenciál pro rychlé uplatnění v nových produktech, výrobních postupech a službách.</w:t>
            </w:r>
            <w:r w:rsidRPr="00AB6847">
              <w:rPr>
                <w:rFonts w:cs="Arial"/>
                <w:color w:val="000000"/>
                <w:sz w:val="20"/>
                <w:szCs w:val="20"/>
              </w:rPr>
              <w:t xml:space="preserve"> To pomůže udržet si a</w:t>
            </w:r>
            <w:r w:rsidR="008D2230">
              <w:rPr>
                <w:rFonts w:cs="Arial"/>
                <w:color w:val="000000"/>
                <w:sz w:val="20"/>
                <w:szCs w:val="20"/>
              </w:rPr>
              <w:t> </w:t>
            </w:r>
            <w:r w:rsidRPr="00AB6847">
              <w:rPr>
                <w:rFonts w:cs="Arial"/>
                <w:color w:val="000000"/>
                <w:sz w:val="20"/>
                <w:szCs w:val="20"/>
              </w:rPr>
              <w:t>rozvíjet celosvětové postavení v technologiích, výzkumu, vývoji a inovacích, o něž se opírá konkurenceschopnost v řadě stávajících, ale i vznikajících průmyslových a dalších odvětvích. Nástrojem pro dosažení uvedeného cíle je</w:t>
            </w:r>
            <w:r w:rsidR="008D2230">
              <w:rPr>
                <w:rFonts w:cs="Arial"/>
                <w:color w:val="000000"/>
                <w:sz w:val="20"/>
                <w:szCs w:val="20"/>
              </w:rPr>
              <w:t> </w:t>
            </w:r>
            <w:r w:rsidRPr="00AB6847">
              <w:rPr>
                <w:rFonts w:cs="Arial"/>
                <w:color w:val="000000"/>
                <w:sz w:val="20"/>
                <w:szCs w:val="20"/>
              </w:rPr>
              <w:t>naplňování Priorit definovaných v souladu s národními a resortními strategiemi prostřednictvím podpory projektů, v</w:t>
            </w:r>
            <w:r>
              <w:rPr>
                <w:rFonts w:cs="Arial"/>
                <w:color w:val="000000"/>
                <w:sz w:val="20"/>
                <w:szCs w:val="20"/>
              </w:rPr>
              <w:t> </w:t>
            </w:r>
            <w:r w:rsidRPr="00AB6847">
              <w:rPr>
                <w:rFonts w:cs="Arial"/>
                <w:color w:val="000000"/>
                <w:sz w:val="20"/>
                <w:szCs w:val="20"/>
              </w:rPr>
              <w:t>rámci, kterých budou realizovány výzkumné cíle oblastí a</w:t>
            </w:r>
            <w:r>
              <w:rPr>
                <w:rFonts w:cs="Arial"/>
                <w:color w:val="000000"/>
                <w:sz w:val="20"/>
                <w:szCs w:val="20"/>
              </w:rPr>
              <w:t> </w:t>
            </w:r>
            <w:r w:rsidRPr="00AB6847">
              <w:rPr>
                <w:rFonts w:cs="Arial"/>
                <w:color w:val="000000"/>
                <w:sz w:val="20"/>
                <w:szCs w:val="20"/>
              </w:rPr>
              <w:t>podoblastí daných prioritních oblastí.</w:t>
            </w:r>
          </w:p>
        </w:tc>
        <w:tc>
          <w:tcPr>
            <w:tcW w:w="6341" w:type="dxa"/>
            <w:tcBorders>
              <w:top w:val="nil"/>
              <w:left w:val="nil"/>
              <w:bottom w:val="single" w:sz="8" w:space="0" w:color="92CDDB"/>
              <w:right w:val="single" w:sz="8" w:space="0" w:color="92CDDB"/>
            </w:tcBorders>
            <w:vAlign w:val="center"/>
          </w:tcPr>
          <w:p w14:paraId="348F85D2" w14:textId="128420B8" w:rsidR="00FA1845" w:rsidRPr="00AB6847" w:rsidRDefault="00FA1845" w:rsidP="00FA1845">
            <w:pPr>
              <w:pStyle w:val="Odstavecseseznamem"/>
              <w:numPr>
                <w:ilvl w:val="0"/>
                <w:numId w:val="8"/>
              </w:numPr>
              <w:spacing w:after="0" w:line="240" w:lineRule="auto"/>
              <w:ind w:left="339"/>
              <w:jc w:val="both"/>
              <w:rPr>
                <w:rFonts w:eastAsia="Times New Roman" w:cs="Arial"/>
                <w:color w:val="000000"/>
                <w:sz w:val="20"/>
                <w:szCs w:val="20"/>
                <w:lang w:eastAsia="en-GB"/>
              </w:rPr>
            </w:pPr>
            <w:r w:rsidRPr="00AB6847">
              <w:rPr>
                <w:rFonts w:eastAsia="Times New Roman" w:cs="Arial"/>
                <w:b/>
                <w:bCs/>
                <w:color w:val="000000"/>
                <w:sz w:val="20"/>
                <w:szCs w:val="20"/>
                <w:lang w:eastAsia="en-GB"/>
              </w:rPr>
              <w:t>Podprogram 1 „Znalostní ekonomika“</w:t>
            </w:r>
            <w:r w:rsidRPr="00AB6847">
              <w:rPr>
                <w:rFonts w:eastAsia="Times New Roman" w:cs="Arial"/>
                <w:color w:val="000000"/>
                <w:sz w:val="20"/>
                <w:szCs w:val="20"/>
                <w:lang w:eastAsia="en-GB"/>
              </w:rPr>
              <w:t xml:space="preserve"> – zajištění přenosu a využití nových poznatků do aplikační sféry a prostřednictvím </w:t>
            </w:r>
            <w:proofErr w:type="spellStart"/>
            <w:r w:rsidRPr="00AB6847">
              <w:rPr>
                <w:rFonts w:eastAsia="Times New Roman" w:cs="Arial"/>
                <w:color w:val="000000"/>
                <w:sz w:val="20"/>
                <w:szCs w:val="20"/>
                <w:lang w:eastAsia="en-GB"/>
              </w:rPr>
              <w:t>VaV</w:t>
            </w:r>
            <w:proofErr w:type="spellEnd"/>
            <w:r w:rsidRPr="00AB6847">
              <w:rPr>
                <w:rFonts w:eastAsia="Times New Roman" w:cs="Arial"/>
                <w:color w:val="000000"/>
                <w:sz w:val="20"/>
                <w:szCs w:val="20"/>
                <w:lang w:eastAsia="en-GB"/>
              </w:rPr>
              <w:t xml:space="preserve"> zvýšení šance na udržitelnost odvětví silně etablovaných v</w:t>
            </w:r>
            <w:r w:rsidR="009718D4">
              <w:rPr>
                <w:rFonts w:eastAsia="Times New Roman" w:cs="Arial"/>
                <w:color w:val="000000"/>
                <w:sz w:val="20"/>
                <w:szCs w:val="20"/>
                <w:lang w:eastAsia="en-GB"/>
              </w:rPr>
              <w:t> </w:t>
            </w:r>
            <w:r w:rsidRPr="00AB6847">
              <w:rPr>
                <w:rFonts w:eastAsia="Times New Roman" w:cs="Arial"/>
                <w:color w:val="000000"/>
                <w:sz w:val="20"/>
                <w:szCs w:val="20"/>
                <w:lang w:eastAsia="en-GB"/>
              </w:rPr>
              <w:t>české ekonomice.</w:t>
            </w:r>
          </w:p>
          <w:p w14:paraId="010D8B28" w14:textId="77777777" w:rsidR="00FA1845" w:rsidRDefault="00FA1845" w:rsidP="00FA1845">
            <w:pPr>
              <w:pStyle w:val="Odstavecseseznamem"/>
              <w:numPr>
                <w:ilvl w:val="0"/>
                <w:numId w:val="8"/>
              </w:numPr>
              <w:spacing w:after="0" w:line="240" w:lineRule="auto"/>
              <w:ind w:left="339"/>
              <w:jc w:val="both"/>
              <w:rPr>
                <w:rFonts w:eastAsia="Times New Roman" w:cs="Arial"/>
                <w:color w:val="000000"/>
                <w:sz w:val="20"/>
                <w:szCs w:val="20"/>
                <w:lang w:eastAsia="en-GB"/>
              </w:rPr>
            </w:pPr>
            <w:r w:rsidRPr="00AB6847">
              <w:rPr>
                <w:rFonts w:eastAsia="Times New Roman" w:cs="Arial"/>
                <w:b/>
                <w:color w:val="000000"/>
                <w:sz w:val="20"/>
                <w:szCs w:val="20"/>
                <w:lang w:eastAsia="en-GB"/>
              </w:rPr>
              <w:t xml:space="preserve">Podprogram 2 „Energetika a materiály“ </w:t>
            </w:r>
            <w:r w:rsidRPr="00AB6847">
              <w:rPr>
                <w:rFonts w:eastAsia="Times New Roman" w:cs="Arial"/>
                <w:color w:val="000000"/>
                <w:sz w:val="20"/>
                <w:szCs w:val="20"/>
                <w:lang w:eastAsia="en-GB"/>
              </w:rPr>
              <w:t>– podpoření posunu směrem ke</w:t>
            </w:r>
            <w:r>
              <w:rPr>
                <w:rFonts w:eastAsia="Times New Roman" w:cs="Arial"/>
                <w:color w:val="000000"/>
                <w:sz w:val="20"/>
                <w:szCs w:val="20"/>
                <w:lang w:eastAsia="en-GB"/>
              </w:rPr>
              <w:t> </w:t>
            </w:r>
            <w:r w:rsidRPr="00AB6847">
              <w:rPr>
                <w:rFonts w:eastAsia="Times New Roman" w:cs="Arial"/>
                <w:color w:val="000000"/>
                <w:sz w:val="20"/>
                <w:szCs w:val="20"/>
                <w:lang w:eastAsia="en-GB"/>
              </w:rPr>
              <w:t>společnosti méně náročné na zdroje a s nízkou produkcí uhlíku, jež využívá všechny zdroje účinným způsobem.</w:t>
            </w:r>
          </w:p>
          <w:p w14:paraId="7FA0240A" w14:textId="77777777" w:rsidR="00FA1845" w:rsidRPr="000A2FED" w:rsidRDefault="00FA1845" w:rsidP="00FA1845">
            <w:pPr>
              <w:pStyle w:val="Odstavecseseznamem"/>
              <w:numPr>
                <w:ilvl w:val="0"/>
                <w:numId w:val="8"/>
              </w:numPr>
              <w:spacing w:after="0" w:line="240" w:lineRule="auto"/>
              <w:ind w:left="339"/>
              <w:jc w:val="both"/>
              <w:rPr>
                <w:rFonts w:eastAsia="Times New Roman" w:cs="Arial"/>
                <w:color w:val="000000"/>
                <w:sz w:val="20"/>
                <w:szCs w:val="20"/>
                <w:lang w:eastAsia="en-GB"/>
              </w:rPr>
            </w:pPr>
            <w:r w:rsidRPr="000A2FED">
              <w:rPr>
                <w:rFonts w:eastAsia="Times New Roman" w:cs="Arial"/>
                <w:b/>
                <w:color w:val="000000"/>
                <w:sz w:val="20"/>
                <w:szCs w:val="20"/>
                <w:lang w:eastAsia="en-GB"/>
              </w:rPr>
              <w:t>Podprogram 3 „Životní prostředí“</w:t>
            </w:r>
            <w:r w:rsidRPr="000A2FED">
              <w:rPr>
                <w:rFonts w:eastAsia="Times New Roman" w:cs="Arial"/>
                <w:color w:val="000000"/>
                <w:sz w:val="20"/>
                <w:szCs w:val="20"/>
                <w:lang w:eastAsia="en-GB"/>
              </w:rPr>
              <w:t xml:space="preserve"> – podpoření aplikovaného výzkumu zaměřeného na snižování energetické náročnosti technologií, na technologické postupy a zařízení vedoucí ke snižování emisí znečišťujících látek, na scénáře změny klimatu a identifikace a monitorování jejích dopadů.  </w:t>
            </w:r>
          </w:p>
        </w:tc>
      </w:tr>
      <w:tr w:rsidR="00FA1845" w:rsidRPr="000A2FED" w14:paraId="0E929EAC" w14:textId="77777777" w:rsidTr="008D2230">
        <w:trPr>
          <w:trHeight w:val="792"/>
        </w:trPr>
        <w:tc>
          <w:tcPr>
            <w:tcW w:w="1526" w:type="dxa"/>
            <w:vMerge/>
            <w:tcBorders>
              <w:left w:val="single" w:sz="8" w:space="0" w:color="92CDDB"/>
              <w:right w:val="single" w:sz="8" w:space="0" w:color="92CDDB"/>
            </w:tcBorders>
            <w:noWrap/>
            <w:vAlign w:val="center"/>
          </w:tcPr>
          <w:p w14:paraId="63B1FDF9" w14:textId="77777777" w:rsidR="00FA1845" w:rsidRPr="00ED79BC" w:rsidRDefault="00FA1845" w:rsidP="00307AF7">
            <w:pPr>
              <w:spacing w:after="0" w:line="240" w:lineRule="auto"/>
              <w:jc w:val="center"/>
              <w:rPr>
                <w:rFonts w:eastAsia="Times New Roman" w:cs="Arial"/>
                <w:color w:val="000000"/>
                <w:sz w:val="20"/>
                <w:szCs w:val="20"/>
                <w:highlight w:val="yellow"/>
                <w:lang w:eastAsia="en-GB"/>
              </w:rPr>
            </w:pPr>
          </w:p>
        </w:tc>
        <w:tc>
          <w:tcPr>
            <w:tcW w:w="615" w:type="dxa"/>
            <w:tcBorders>
              <w:top w:val="nil"/>
              <w:left w:val="nil"/>
              <w:bottom w:val="single" w:sz="8" w:space="0" w:color="92CDDB"/>
              <w:right w:val="single" w:sz="8" w:space="0" w:color="92CDDB"/>
            </w:tcBorders>
            <w:vAlign w:val="center"/>
          </w:tcPr>
          <w:p w14:paraId="3E691984" w14:textId="77777777" w:rsidR="00FA1845" w:rsidRPr="00AB6847" w:rsidRDefault="00FA1845" w:rsidP="00307AF7">
            <w:pPr>
              <w:spacing w:after="0" w:line="240" w:lineRule="auto"/>
              <w:jc w:val="center"/>
              <w:rPr>
                <w:rFonts w:eastAsia="Times New Roman" w:cs="Arial"/>
                <w:color w:val="000000"/>
                <w:sz w:val="20"/>
                <w:szCs w:val="20"/>
                <w:lang w:eastAsia="en-GB"/>
              </w:rPr>
            </w:pPr>
            <w:r w:rsidRPr="00AB6847">
              <w:rPr>
                <w:rFonts w:eastAsia="Times New Roman" w:cs="Arial"/>
                <w:color w:val="000000"/>
                <w:sz w:val="20"/>
                <w:szCs w:val="20"/>
                <w:lang w:eastAsia="en-GB"/>
              </w:rPr>
              <w:t>TI</w:t>
            </w:r>
          </w:p>
        </w:tc>
        <w:tc>
          <w:tcPr>
            <w:tcW w:w="5905" w:type="dxa"/>
            <w:tcBorders>
              <w:top w:val="nil"/>
              <w:left w:val="nil"/>
              <w:bottom w:val="single" w:sz="8" w:space="0" w:color="92CDDB"/>
              <w:right w:val="single" w:sz="8" w:space="0" w:color="92CDDB"/>
            </w:tcBorders>
            <w:vAlign w:val="center"/>
          </w:tcPr>
          <w:p w14:paraId="6104B18C" w14:textId="77777777" w:rsidR="00FA1845" w:rsidRPr="00AB6847" w:rsidRDefault="00FA1845" w:rsidP="00307AF7">
            <w:pPr>
              <w:spacing w:after="0" w:line="240" w:lineRule="auto"/>
              <w:rPr>
                <w:rFonts w:eastAsia="Times New Roman" w:cs="Arial"/>
                <w:color w:val="000000"/>
                <w:sz w:val="20"/>
                <w:szCs w:val="20"/>
                <w:lang w:eastAsia="en-GB"/>
              </w:rPr>
            </w:pPr>
            <w:r w:rsidRPr="00AB6847">
              <w:rPr>
                <w:rFonts w:eastAsia="Times New Roman" w:cs="Arial"/>
                <w:color w:val="000000"/>
                <w:sz w:val="20"/>
                <w:szCs w:val="20"/>
                <w:lang w:eastAsia="en-GB"/>
              </w:rPr>
              <w:t>BETA2</w:t>
            </w:r>
          </w:p>
        </w:tc>
        <w:tc>
          <w:tcPr>
            <w:tcW w:w="7088" w:type="dxa"/>
            <w:tcBorders>
              <w:top w:val="nil"/>
              <w:left w:val="single" w:sz="8" w:space="0" w:color="92CDDB"/>
              <w:bottom w:val="single" w:sz="8" w:space="0" w:color="92CDDB"/>
              <w:right w:val="single" w:sz="8" w:space="0" w:color="92CDDB"/>
            </w:tcBorders>
            <w:vAlign w:val="center"/>
          </w:tcPr>
          <w:p w14:paraId="0C1C2479" w14:textId="77777777" w:rsidR="00FA1845" w:rsidRPr="00AB6847" w:rsidRDefault="00FA1845" w:rsidP="00307AF7">
            <w:pPr>
              <w:spacing w:after="0" w:line="240" w:lineRule="auto"/>
              <w:jc w:val="both"/>
              <w:rPr>
                <w:rFonts w:cs="Arial"/>
                <w:b/>
                <w:bCs/>
                <w:color w:val="000000"/>
                <w:sz w:val="20"/>
                <w:szCs w:val="20"/>
              </w:rPr>
            </w:pPr>
            <w:r w:rsidRPr="00AB6847">
              <w:rPr>
                <w:rFonts w:cs="Arial"/>
                <w:color w:val="000000"/>
                <w:sz w:val="20"/>
                <w:szCs w:val="20"/>
              </w:rPr>
              <w:t xml:space="preserve">Podpora realizace výzkumných aktivit za účelem vývoje nových nebo zdokonalení současných postupů, regulačních mechanismů, dozorových činností, dovedností, služeb, informačních a řídících produktů a postupů určených </w:t>
            </w:r>
            <w:r w:rsidRPr="00AB6847">
              <w:rPr>
                <w:rFonts w:cs="Arial"/>
                <w:b/>
                <w:bCs/>
                <w:color w:val="000000"/>
                <w:sz w:val="20"/>
                <w:szCs w:val="20"/>
              </w:rPr>
              <w:t>pro kvalitnější a</w:t>
            </w:r>
            <w:r>
              <w:rPr>
                <w:rFonts w:cs="Arial"/>
                <w:b/>
                <w:bCs/>
                <w:color w:val="000000"/>
                <w:sz w:val="20"/>
                <w:szCs w:val="20"/>
              </w:rPr>
              <w:t> </w:t>
            </w:r>
            <w:r w:rsidRPr="00AB6847">
              <w:rPr>
                <w:rFonts w:cs="Arial"/>
                <w:b/>
                <w:bCs/>
                <w:color w:val="000000"/>
                <w:sz w:val="20"/>
                <w:szCs w:val="20"/>
              </w:rPr>
              <w:t>efektivnější výkon státní správy</w:t>
            </w:r>
            <w:r>
              <w:rPr>
                <w:rFonts w:cs="Arial"/>
                <w:b/>
                <w:bCs/>
                <w:color w:val="000000"/>
                <w:sz w:val="20"/>
                <w:szCs w:val="20"/>
              </w:rPr>
              <w:t>.</w:t>
            </w:r>
          </w:p>
        </w:tc>
        <w:tc>
          <w:tcPr>
            <w:tcW w:w="6341" w:type="dxa"/>
            <w:tcBorders>
              <w:top w:val="nil"/>
              <w:left w:val="nil"/>
              <w:bottom w:val="single" w:sz="8" w:space="0" w:color="92CDDB"/>
              <w:right w:val="single" w:sz="8" w:space="0" w:color="92CDDB"/>
            </w:tcBorders>
            <w:vAlign w:val="center"/>
          </w:tcPr>
          <w:p w14:paraId="2EAFFCEA" w14:textId="71E14AEC" w:rsidR="00FA1845" w:rsidRPr="00AB6847" w:rsidRDefault="00FA1845" w:rsidP="00FA1845">
            <w:pPr>
              <w:pStyle w:val="Odstavecseseznamem"/>
              <w:numPr>
                <w:ilvl w:val="0"/>
                <w:numId w:val="10"/>
              </w:numPr>
              <w:spacing w:after="0" w:line="240" w:lineRule="auto"/>
              <w:ind w:left="328"/>
              <w:jc w:val="both"/>
              <w:rPr>
                <w:rFonts w:eastAsia="Times New Roman" w:cs="Arial"/>
                <w:color w:val="000000"/>
                <w:sz w:val="20"/>
                <w:szCs w:val="20"/>
                <w:lang w:eastAsia="en-GB"/>
              </w:rPr>
            </w:pPr>
            <w:r w:rsidRPr="00AB6847">
              <w:rPr>
                <w:rFonts w:eastAsia="Times New Roman" w:cs="Arial"/>
                <w:b/>
                <w:bCs/>
                <w:color w:val="000000"/>
                <w:sz w:val="20"/>
                <w:szCs w:val="20"/>
                <w:lang w:eastAsia="en-GB"/>
              </w:rPr>
              <w:t xml:space="preserve">Podprogram 1 </w:t>
            </w:r>
            <w:r w:rsidRPr="00AB6847">
              <w:rPr>
                <w:rFonts w:eastAsia="Arial" w:cs="Arial"/>
                <w:b/>
                <w:bCs/>
                <w:sz w:val="20"/>
                <w:szCs w:val="20"/>
              </w:rPr>
              <w:t>„</w:t>
            </w:r>
            <w:r w:rsidRPr="00AB6847">
              <w:rPr>
                <w:rFonts w:eastAsia="Times New Roman" w:cs="Arial"/>
                <w:b/>
                <w:bCs/>
                <w:color w:val="000000"/>
                <w:sz w:val="20"/>
                <w:szCs w:val="20"/>
                <w:lang w:eastAsia="en-GB"/>
              </w:rPr>
              <w:t>Ministerstvo dopravy</w:t>
            </w:r>
            <w:r w:rsidRPr="00AB6847">
              <w:rPr>
                <w:rFonts w:eastAsia="Arial" w:cs="Arial"/>
                <w:b/>
                <w:sz w:val="20"/>
                <w:szCs w:val="20"/>
              </w:rPr>
              <w:t>“</w:t>
            </w:r>
            <w:r w:rsidRPr="00AB6847">
              <w:rPr>
                <w:rFonts w:eastAsia="Times New Roman" w:cs="Arial"/>
                <w:color w:val="000000"/>
                <w:sz w:val="20"/>
                <w:szCs w:val="20"/>
                <w:lang w:eastAsia="en-GB"/>
              </w:rPr>
              <w:t xml:space="preserve"> – </w:t>
            </w:r>
            <w:r w:rsidRPr="00AB6847">
              <w:rPr>
                <w:rFonts w:eastAsia="Arial" w:cs="Arial"/>
                <w:sz w:val="20"/>
                <w:szCs w:val="20"/>
              </w:rPr>
              <w:t>realizace výzkumných potřeb MD dle</w:t>
            </w:r>
            <w:r>
              <w:rPr>
                <w:rFonts w:eastAsia="Arial" w:cs="Arial"/>
                <w:sz w:val="20"/>
                <w:szCs w:val="20"/>
              </w:rPr>
              <w:t> </w:t>
            </w:r>
            <w:r w:rsidRPr="00AB6847">
              <w:rPr>
                <w:rFonts w:eastAsia="Arial" w:cs="Arial"/>
                <w:sz w:val="20"/>
                <w:szCs w:val="20"/>
              </w:rPr>
              <w:t>jeho kompetencí.</w:t>
            </w:r>
            <w:r w:rsidRPr="00AB6847">
              <w:rPr>
                <w:rFonts w:eastAsia="Times New Roman" w:cs="Arial"/>
                <w:color w:val="000000"/>
                <w:sz w:val="20"/>
                <w:szCs w:val="20"/>
                <w:lang w:eastAsia="en-GB"/>
              </w:rPr>
              <w:t xml:space="preserve"> </w:t>
            </w:r>
          </w:p>
          <w:p w14:paraId="3086775F" w14:textId="77777777" w:rsidR="00FA1845" w:rsidRPr="00AB6847" w:rsidRDefault="00FA1845" w:rsidP="00FA1845">
            <w:pPr>
              <w:pStyle w:val="Odstavecseseznamem"/>
              <w:numPr>
                <w:ilvl w:val="0"/>
                <w:numId w:val="10"/>
              </w:numPr>
              <w:spacing w:after="0" w:line="240" w:lineRule="auto"/>
              <w:ind w:left="328"/>
              <w:jc w:val="both"/>
              <w:rPr>
                <w:rFonts w:eastAsia="Arial" w:cs="Arial"/>
                <w:sz w:val="20"/>
                <w:szCs w:val="20"/>
              </w:rPr>
            </w:pPr>
            <w:r w:rsidRPr="00AB6847">
              <w:rPr>
                <w:rFonts w:eastAsia="Arial" w:cs="Arial"/>
                <w:b/>
                <w:sz w:val="20"/>
                <w:szCs w:val="20"/>
              </w:rPr>
              <w:t>Podprogram 2 „Ministerstvo práce a sociálních věcí“</w:t>
            </w:r>
            <w:r w:rsidRPr="00AB6847">
              <w:rPr>
                <w:rFonts w:eastAsia="Arial" w:cs="Arial"/>
                <w:sz w:val="20"/>
                <w:szCs w:val="20"/>
              </w:rPr>
              <w:t xml:space="preserve"> </w:t>
            </w:r>
            <w:r w:rsidRPr="00AB6847">
              <w:rPr>
                <w:rFonts w:eastAsia="Times New Roman" w:cs="Arial"/>
                <w:color w:val="000000"/>
                <w:sz w:val="20"/>
                <w:szCs w:val="20"/>
                <w:lang w:eastAsia="en-GB"/>
              </w:rPr>
              <w:t xml:space="preserve">– </w:t>
            </w:r>
            <w:r w:rsidRPr="00AB6847">
              <w:rPr>
                <w:rFonts w:eastAsia="Arial" w:cs="Arial"/>
                <w:sz w:val="20"/>
                <w:szCs w:val="20"/>
              </w:rPr>
              <w:t>realizace výzkumných potřeb MPSV dle jeho kompetencí.</w:t>
            </w:r>
          </w:p>
          <w:p w14:paraId="319E539A" w14:textId="77777777" w:rsidR="00FA1845" w:rsidRPr="00AB6847" w:rsidRDefault="00FA1845" w:rsidP="00FA1845">
            <w:pPr>
              <w:pStyle w:val="Odstavecseseznamem"/>
              <w:numPr>
                <w:ilvl w:val="0"/>
                <w:numId w:val="10"/>
              </w:numPr>
              <w:spacing w:after="0" w:line="240" w:lineRule="auto"/>
              <w:ind w:left="328"/>
              <w:jc w:val="both"/>
              <w:rPr>
                <w:rFonts w:eastAsia="Arial" w:cs="Arial"/>
                <w:sz w:val="20"/>
                <w:szCs w:val="20"/>
              </w:rPr>
            </w:pPr>
            <w:r w:rsidRPr="00AB6847">
              <w:rPr>
                <w:rFonts w:eastAsia="Arial" w:cs="Arial"/>
                <w:b/>
                <w:sz w:val="20"/>
                <w:szCs w:val="20"/>
              </w:rPr>
              <w:t>Podprogram 3 „Ministerstvo pro místní rozvoj“</w:t>
            </w:r>
            <w:r w:rsidRPr="00AB6847">
              <w:rPr>
                <w:rFonts w:eastAsia="Arial" w:cs="Arial"/>
                <w:sz w:val="20"/>
                <w:szCs w:val="20"/>
              </w:rPr>
              <w:t xml:space="preserve"> </w:t>
            </w:r>
            <w:r w:rsidRPr="00AB6847">
              <w:rPr>
                <w:rFonts w:eastAsia="Times New Roman" w:cs="Arial"/>
                <w:color w:val="000000"/>
                <w:sz w:val="20"/>
                <w:szCs w:val="20"/>
                <w:lang w:eastAsia="en-GB"/>
              </w:rPr>
              <w:t xml:space="preserve">– </w:t>
            </w:r>
            <w:r w:rsidRPr="00AB6847">
              <w:rPr>
                <w:rFonts w:eastAsia="Arial" w:cs="Arial"/>
                <w:sz w:val="20"/>
                <w:szCs w:val="20"/>
              </w:rPr>
              <w:t>realizace výzkumných potřeb MMR dle jeho kompetencí.</w:t>
            </w:r>
          </w:p>
          <w:p w14:paraId="21F9F77D" w14:textId="77777777" w:rsidR="00FA1845" w:rsidRPr="00AB6847" w:rsidRDefault="00FA1845" w:rsidP="00FA1845">
            <w:pPr>
              <w:pStyle w:val="Odstavecseseznamem"/>
              <w:numPr>
                <w:ilvl w:val="0"/>
                <w:numId w:val="10"/>
              </w:numPr>
              <w:spacing w:after="0" w:line="240" w:lineRule="auto"/>
              <w:ind w:left="328"/>
              <w:jc w:val="both"/>
              <w:rPr>
                <w:rFonts w:eastAsia="Arial" w:cs="Arial"/>
                <w:sz w:val="20"/>
                <w:szCs w:val="20"/>
              </w:rPr>
            </w:pPr>
            <w:r w:rsidRPr="00AB6847">
              <w:rPr>
                <w:rFonts w:eastAsia="Arial" w:cs="Arial"/>
                <w:b/>
                <w:sz w:val="20"/>
                <w:szCs w:val="20"/>
              </w:rPr>
              <w:t>Podprogram 4 „Ministerstvo vnitra“</w:t>
            </w:r>
            <w:r w:rsidRPr="00AB6847">
              <w:rPr>
                <w:rFonts w:eastAsia="Arial" w:cs="Arial"/>
                <w:sz w:val="20"/>
                <w:szCs w:val="20"/>
              </w:rPr>
              <w:t xml:space="preserve"> </w:t>
            </w:r>
            <w:r w:rsidRPr="00AB6847">
              <w:rPr>
                <w:rFonts w:eastAsia="Times New Roman" w:cs="Arial"/>
                <w:color w:val="000000"/>
                <w:sz w:val="20"/>
                <w:szCs w:val="20"/>
                <w:lang w:eastAsia="en-GB"/>
              </w:rPr>
              <w:t xml:space="preserve">– </w:t>
            </w:r>
            <w:r w:rsidRPr="00AB6847">
              <w:rPr>
                <w:rFonts w:eastAsia="Arial" w:cs="Arial"/>
                <w:sz w:val="20"/>
                <w:szCs w:val="20"/>
              </w:rPr>
              <w:t>realizace výzkumných potřeb MV dle jeho kompetencí.</w:t>
            </w:r>
          </w:p>
          <w:p w14:paraId="0D984743" w14:textId="77777777" w:rsidR="00FA1845" w:rsidRPr="00AB6847" w:rsidRDefault="00FA1845" w:rsidP="00FA1845">
            <w:pPr>
              <w:pStyle w:val="Odstavecseseznamem"/>
              <w:numPr>
                <w:ilvl w:val="0"/>
                <w:numId w:val="10"/>
              </w:numPr>
              <w:spacing w:after="0" w:line="240" w:lineRule="auto"/>
              <w:ind w:left="328"/>
              <w:jc w:val="both"/>
              <w:rPr>
                <w:rFonts w:eastAsia="Arial" w:cs="Arial"/>
                <w:sz w:val="20"/>
                <w:szCs w:val="20"/>
              </w:rPr>
            </w:pPr>
            <w:r w:rsidRPr="00AB6847">
              <w:rPr>
                <w:rFonts w:eastAsia="Arial" w:cs="Arial"/>
                <w:b/>
                <w:sz w:val="20"/>
                <w:szCs w:val="20"/>
              </w:rPr>
              <w:t>Podprogram 5 „Ministerstvo zahraničních věcí“</w:t>
            </w:r>
            <w:r w:rsidRPr="00AB6847">
              <w:rPr>
                <w:rFonts w:eastAsia="Arial" w:cs="Arial"/>
                <w:sz w:val="20"/>
                <w:szCs w:val="20"/>
              </w:rPr>
              <w:t xml:space="preserve"> </w:t>
            </w:r>
            <w:r w:rsidRPr="00AB6847">
              <w:rPr>
                <w:rFonts w:eastAsia="Times New Roman" w:cs="Arial"/>
                <w:color w:val="000000"/>
                <w:sz w:val="20"/>
                <w:szCs w:val="20"/>
                <w:lang w:eastAsia="en-GB"/>
              </w:rPr>
              <w:t xml:space="preserve">– </w:t>
            </w:r>
            <w:r w:rsidRPr="00AB6847">
              <w:rPr>
                <w:rFonts w:eastAsia="Arial" w:cs="Arial"/>
                <w:sz w:val="20"/>
                <w:szCs w:val="20"/>
              </w:rPr>
              <w:t>realizace výzkumných potřeb MZV dle jeho kompetencí.</w:t>
            </w:r>
          </w:p>
          <w:p w14:paraId="25F28871" w14:textId="77777777" w:rsidR="00FA1845" w:rsidRPr="00AB6847" w:rsidRDefault="00FA1845" w:rsidP="00FA1845">
            <w:pPr>
              <w:pStyle w:val="Odstavecseseznamem"/>
              <w:numPr>
                <w:ilvl w:val="0"/>
                <w:numId w:val="10"/>
              </w:numPr>
              <w:spacing w:after="0" w:line="240" w:lineRule="auto"/>
              <w:ind w:left="328"/>
              <w:jc w:val="both"/>
              <w:rPr>
                <w:rFonts w:eastAsia="Arial" w:cs="Arial"/>
                <w:sz w:val="20"/>
                <w:szCs w:val="20"/>
              </w:rPr>
            </w:pPr>
            <w:r w:rsidRPr="00AB6847">
              <w:rPr>
                <w:rFonts w:eastAsia="Arial" w:cs="Arial"/>
                <w:b/>
                <w:sz w:val="20"/>
                <w:szCs w:val="20"/>
              </w:rPr>
              <w:t>Podprogram 6 „Ministerstvo průmyslu a obchodu“</w:t>
            </w:r>
            <w:r w:rsidRPr="00AB6847">
              <w:rPr>
                <w:rFonts w:eastAsia="Arial" w:cs="Arial"/>
                <w:sz w:val="20"/>
                <w:szCs w:val="20"/>
              </w:rPr>
              <w:t xml:space="preserve"> </w:t>
            </w:r>
            <w:r w:rsidRPr="00AB6847">
              <w:rPr>
                <w:rFonts w:eastAsia="Times New Roman" w:cs="Arial"/>
                <w:color w:val="000000"/>
                <w:sz w:val="20"/>
                <w:szCs w:val="20"/>
                <w:lang w:eastAsia="en-GB"/>
              </w:rPr>
              <w:t xml:space="preserve">– </w:t>
            </w:r>
            <w:r w:rsidRPr="00AB6847">
              <w:rPr>
                <w:rFonts w:eastAsia="Arial" w:cs="Arial"/>
                <w:sz w:val="20"/>
                <w:szCs w:val="20"/>
              </w:rPr>
              <w:t>realizace výzkumných potřeb MPO dle jeho kompetencí.</w:t>
            </w:r>
          </w:p>
          <w:p w14:paraId="64692C3E" w14:textId="77777777" w:rsidR="00FA1845" w:rsidRDefault="00FA1845" w:rsidP="00FA1845">
            <w:pPr>
              <w:pStyle w:val="Odstavecseseznamem"/>
              <w:numPr>
                <w:ilvl w:val="0"/>
                <w:numId w:val="10"/>
              </w:numPr>
              <w:spacing w:after="0" w:line="240" w:lineRule="auto"/>
              <w:ind w:left="328"/>
              <w:jc w:val="both"/>
              <w:rPr>
                <w:rFonts w:eastAsia="Arial" w:cs="Arial"/>
                <w:sz w:val="20"/>
                <w:szCs w:val="20"/>
              </w:rPr>
            </w:pPr>
            <w:r w:rsidRPr="00AB6847">
              <w:rPr>
                <w:rFonts w:eastAsia="Arial" w:cs="Arial"/>
                <w:b/>
                <w:sz w:val="20"/>
                <w:szCs w:val="20"/>
              </w:rPr>
              <w:t>Podprogram 7 „Ministerstvo životního prostředí“</w:t>
            </w:r>
            <w:r w:rsidRPr="00AB6847">
              <w:rPr>
                <w:rFonts w:eastAsia="Arial" w:cs="Arial"/>
                <w:sz w:val="20"/>
                <w:szCs w:val="20"/>
              </w:rPr>
              <w:t xml:space="preserve"> </w:t>
            </w:r>
            <w:r w:rsidRPr="00AB6847">
              <w:rPr>
                <w:rFonts w:eastAsia="Times New Roman" w:cs="Arial"/>
                <w:color w:val="000000"/>
                <w:sz w:val="20"/>
                <w:szCs w:val="20"/>
                <w:lang w:eastAsia="en-GB"/>
              </w:rPr>
              <w:t xml:space="preserve">– </w:t>
            </w:r>
            <w:r w:rsidRPr="00AB6847">
              <w:rPr>
                <w:rFonts w:eastAsia="Arial" w:cs="Arial"/>
                <w:sz w:val="20"/>
                <w:szCs w:val="20"/>
              </w:rPr>
              <w:t xml:space="preserve">realizace </w:t>
            </w:r>
            <w:r w:rsidRPr="00AB6847">
              <w:rPr>
                <w:rFonts w:eastAsia="Arial" w:cs="Arial"/>
                <w:sz w:val="20"/>
                <w:szCs w:val="20"/>
              </w:rPr>
              <w:lastRenderedPageBreak/>
              <w:t>výzkumných potřeb MŽP dle jeho kompetencí.</w:t>
            </w:r>
          </w:p>
          <w:p w14:paraId="31D33485" w14:textId="6833CCB1" w:rsidR="00FA1845" w:rsidRPr="000A2FED" w:rsidRDefault="00FA1845" w:rsidP="00FA1845">
            <w:pPr>
              <w:pStyle w:val="Odstavecseseznamem"/>
              <w:numPr>
                <w:ilvl w:val="0"/>
                <w:numId w:val="10"/>
              </w:numPr>
              <w:spacing w:after="0" w:line="240" w:lineRule="auto"/>
              <w:ind w:left="328"/>
              <w:jc w:val="both"/>
              <w:rPr>
                <w:rFonts w:eastAsia="Arial" w:cs="Arial"/>
                <w:sz w:val="20"/>
                <w:szCs w:val="20"/>
              </w:rPr>
            </w:pPr>
            <w:r w:rsidRPr="000A2FED">
              <w:rPr>
                <w:rFonts w:eastAsia="Arial" w:cs="Arial"/>
                <w:b/>
                <w:sz w:val="20"/>
                <w:szCs w:val="20"/>
              </w:rPr>
              <w:t>Podprogram 8 „Ostatní ústřední orgány státní správy, jiné orgány státní správy a ostatní poskytovatelé dle § 4 zákona o podpoře výzkumu, vývoje a inovací“</w:t>
            </w:r>
            <w:r w:rsidRPr="000A2FED">
              <w:rPr>
                <w:rFonts w:eastAsia="Arial" w:cs="Arial"/>
                <w:sz w:val="20"/>
                <w:szCs w:val="20"/>
              </w:rPr>
              <w:t xml:space="preserve"> </w:t>
            </w:r>
            <w:r w:rsidRPr="000A2FED">
              <w:rPr>
                <w:rFonts w:eastAsia="Times New Roman" w:cs="Arial"/>
                <w:color w:val="000000"/>
                <w:sz w:val="20"/>
                <w:szCs w:val="20"/>
                <w:lang w:eastAsia="en-GB"/>
              </w:rPr>
              <w:t xml:space="preserve">– </w:t>
            </w:r>
            <w:r w:rsidRPr="000A2FED">
              <w:rPr>
                <w:rFonts w:eastAsia="Arial" w:cs="Arial"/>
                <w:sz w:val="20"/>
                <w:szCs w:val="20"/>
              </w:rPr>
              <w:t>realizace výzkumných potřeb Českého báňského úřadu, ČSÚ, Českého úřadu zeměměřického a katastrálního, Energetického regulačního úřadu, MK, MS, MŠMT, Správy státních hmotných rezerv, Státního úřadu pro jadernou bezpečnost, ÚPV ČR, ÚV ČR, dalších ústředních orgánů státní správy, jiných orgánů státní správy a ostatních poskytovatelů účelové podpory dle § 4 zákona č. 130/2002 Sb. o podpoře výzkumu, experimentálního vývoje a</w:t>
            </w:r>
            <w:r w:rsidR="009718D4">
              <w:rPr>
                <w:rFonts w:eastAsia="Arial" w:cs="Arial"/>
                <w:sz w:val="20"/>
                <w:szCs w:val="20"/>
              </w:rPr>
              <w:t> </w:t>
            </w:r>
            <w:r w:rsidRPr="000A2FED">
              <w:rPr>
                <w:rFonts w:eastAsia="Arial" w:cs="Arial"/>
                <w:sz w:val="20"/>
                <w:szCs w:val="20"/>
              </w:rPr>
              <w:t>inovací.</w:t>
            </w:r>
          </w:p>
        </w:tc>
      </w:tr>
      <w:tr w:rsidR="00FA1845" w:rsidRPr="00AB6847" w14:paraId="04130E88" w14:textId="77777777" w:rsidTr="008D2230">
        <w:trPr>
          <w:trHeight w:val="792"/>
        </w:trPr>
        <w:tc>
          <w:tcPr>
            <w:tcW w:w="1526" w:type="dxa"/>
            <w:vMerge/>
            <w:tcBorders>
              <w:left w:val="single" w:sz="8" w:space="0" w:color="92CDDB"/>
              <w:right w:val="single" w:sz="8" w:space="0" w:color="92CDDB"/>
            </w:tcBorders>
            <w:noWrap/>
            <w:vAlign w:val="center"/>
          </w:tcPr>
          <w:p w14:paraId="29DDE37C" w14:textId="77777777" w:rsidR="00FA1845" w:rsidRPr="00ED79BC" w:rsidRDefault="00FA1845" w:rsidP="00307AF7">
            <w:pPr>
              <w:spacing w:after="0" w:line="240" w:lineRule="auto"/>
              <w:jc w:val="center"/>
              <w:rPr>
                <w:rFonts w:eastAsia="Times New Roman" w:cs="Arial"/>
                <w:color w:val="000000"/>
                <w:sz w:val="20"/>
                <w:szCs w:val="20"/>
                <w:highlight w:val="yellow"/>
                <w:lang w:eastAsia="en-GB"/>
              </w:rPr>
            </w:pPr>
          </w:p>
        </w:tc>
        <w:tc>
          <w:tcPr>
            <w:tcW w:w="615" w:type="dxa"/>
            <w:tcBorders>
              <w:top w:val="nil"/>
              <w:left w:val="nil"/>
              <w:bottom w:val="single" w:sz="8" w:space="0" w:color="92CDDB"/>
              <w:right w:val="single" w:sz="8" w:space="0" w:color="92CDDB"/>
            </w:tcBorders>
            <w:vAlign w:val="center"/>
          </w:tcPr>
          <w:p w14:paraId="406CCBF6" w14:textId="77777777" w:rsidR="00FA1845" w:rsidRPr="00AB6847" w:rsidRDefault="00FA1845" w:rsidP="00307AF7">
            <w:pPr>
              <w:spacing w:after="0" w:line="240" w:lineRule="auto"/>
              <w:jc w:val="center"/>
              <w:rPr>
                <w:rFonts w:eastAsia="Times New Roman" w:cs="Arial"/>
                <w:color w:val="000000"/>
                <w:sz w:val="20"/>
                <w:szCs w:val="20"/>
                <w:lang w:eastAsia="en-GB"/>
              </w:rPr>
            </w:pPr>
            <w:r w:rsidRPr="00AB6847">
              <w:rPr>
                <w:rFonts w:eastAsia="Times New Roman" w:cs="Arial"/>
                <w:color w:val="000000"/>
                <w:sz w:val="20"/>
                <w:szCs w:val="20"/>
                <w:lang w:eastAsia="en-GB"/>
              </w:rPr>
              <w:t>TJ</w:t>
            </w:r>
          </w:p>
        </w:tc>
        <w:tc>
          <w:tcPr>
            <w:tcW w:w="5905" w:type="dxa"/>
            <w:tcBorders>
              <w:top w:val="nil"/>
              <w:left w:val="nil"/>
              <w:bottom w:val="single" w:sz="8" w:space="0" w:color="92CDDB"/>
              <w:right w:val="single" w:sz="8" w:space="0" w:color="92CDDB"/>
            </w:tcBorders>
            <w:vAlign w:val="center"/>
          </w:tcPr>
          <w:p w14:paraId="28D973E3" w14:textId="77777777" w:rsidR="00FA1845" w:rsidRPr="00AB6847" w:rsidRDefault="00FA1845" w:rsidP="00307AF7">
            <w:pPr>
              <w:spacing w:after="0" w:line="240" w:lineRule="auto"/>
              <w:rPr>
                <w:rFonts w:eastAsia="Times New Roman" w:cs="Arial"/>
                <w:color w:val="000000"/>
                <w:sz w:val="20"/>
                <w:szCs w:val="20"/>
                <w:lang w:eastAsia="en-GB"/>
              </w:rPr>
            </w:pPr>
            <w:r w:rsidRPr="00AB6847">
              <w:rPr>
                <w:rFonts w:eastAsia="Times New Roman" w:cs="Arial"/>
                <w:color w:val="000000"/>
                <w:sz w:val="20"/>
                <w:szCs w:val="20"/>
                <w:lang w:eastAsia="en-GB"/>
              </w:rPr>
              <w:t>ZÉTA</w:t>
            </w:r>
          </w:p>
        </w:tc>
        <w:tc>
          <w:tcPr>
            <w:tcW w:w="7088" w:type="dxa"/>
            <w:tcBorders>
              <w:top w:val="nil"/>
              <w:left w:val="single" w:sz="8" w:space="0" w:color="92CDDB"/>
              <w:bottom w:val="single" w:sz="8" w:space="0" w:color="92CDDB"/>
              <w:right w:val="single" w:sz="8" w:space="0" w:color="92CDDB"/>
            </w:tcBorders>
            <w:vAlign w:val="center"/>
          </w:tcPr>
          <w:p w14:paraId="393F84F0" w14:textId="645999FF" w:rsidR="00FA1845" w:rsidRPr="00AB6847" w:rsidRDefault="00FA1845" w:rsidP="00307AF7">
            <w:pPr>
              <w:spacing w:after="0" w:line="240" w:lineRule="auto"/>
              <w:jc w:val="both"/>
              <w:rPr>
                <w:rFonts w:cs="Arial"/>
                <w:b/>
                <w:bCs/>
                <w:color w:val="000000"/>
                <w:sz w:val="20"/>
                <w:szCs w:val="20"/>
              </w:rPr>
            </w:pPr>
            <w:r w:rsidRPr="00AB6847">
              <w:rPr>
                <w:rFonts w:cs="Arial"/>
                <w:b/>
                <w:bCs/>
                <w:color w:val="000000"/>
                <w:sz w:val="20"/>
                <w:szCs w:val="20"/>
              </w:rPr>
              <w:t>Zapojení studentů a mladých výzkumných pracovníků do výzkumné a</w:t>
            </w:r>
            <w:r w:rsidR="008D2230">
              <w:rPr>
                <w:rFonts w:cs="Arial"/>
                <w:b/>
                <w:bCs/>
                <w:color w:val="000000"/>
                <w:sz w:val="20"/>
                <w:szCs w:val="20"/>
              </w:rPr>
              <w:t> </w:t>
            </w:r>
            <w:r w:rsidRPr="00AB6847">
              <w:rPr>
                <w:rFonts w:cs="Arial"/>
                <w:b/>
                <w:bCs/>
                <w:color w:val="000000"/>
                <w:sz w:val="20"/>
                <w:szCs w:val="20"/>
              </w:rPr>
              <w:t>vývojové činnosti směřující k využití výsledků v praxi, zvýšení zájmu studentů a</w:t>
            </w:r>
            <w:r>
              <w:rPr>
                <w:rFonts w:cs="Arial"/>
                <w:b/>
                <w:bCs/>
                <w:color w:val="000000"/>
                <w:sz w:val="20"/>
                <w:szCs w:val="20"/>
              </w:rPr>
              <w:t> </w:t>
            </w:r>
            <w:r w:rsidRPr="00AB6847">
              <w:rPr>
                <w:rFonts w:cs="Arial"/>
                <w:b/>
                <w:bCs/>
                <w:color w:val="000000"/>
                <w:sz w:val="20"/>
                <w:szCs w:val="20"/>
              </w:rPr>
              <w:t>mladých výzkumných pracovníků o projekty s konkrétním praktickým dopadem a podpora takových projektů v akademické sféře obecně s</w:t>
            </w:r>
            <w:r>
              <w:rPr>
                <w:rFonts w:cs="Arial"/>
                <w:b/>
                <w:bCs/>
                <w:color w:val="000000"/>
                <w:sz w:val="20"/>
                <w:szCs w:val="20"/>
              </w:rPr>
              <w:t> </w:t>
            </w:r>
            <w:r w:rsidRPr="00AB6847">
              <w:rPr>
                <w:rFonts w:cs="Arial"/>
                <w:b/>
                <w:bCs/>
                <w:color w:val="000000"/>
                <w:sz w:val="20"/>
                <w:szCs w:val="20"/>
              </w:rPr>
              <w:t>propojením na</w:t>
            </w:r>
            <w:r>
              <w:rPr>
                <w:rFonts w:cs="Arial"/>
                <w:b/>
                <w:bCs/>
                <w:color w:val="000000"/>
                <w:sz w:val="20"/>
                <w:szCs w:val="20"/>
              </w:rPr>
              <w:t> </w:t>
            </w:r>
            <w:r w:rsidRPr="00AB6847">
              <w:rPr>
                <w:rFonts w:cs="Arial"/>
                <w:b/>
                <w:bCs/>
                <w:color w:val="000000"/>
                <w:sz w:val="20"/>
                <w:szCs w:val="20"/>
              </w:rPr>
              <w:t>hospodářskou sféru.</w:t>
            </w:r>
          </w:p>
          <w:p w14:paraId="54DBAAE0" w14:textId="77777777" w:rsidR="00FA1845" w:rsidRPr="00AB6847" w:rsidRDefault="00FA1845" w:rsidP="00307AF7">
            <w:pPr>
              <w:spacing w:after="0" w:line="240" w:lineRule="auto"/>
              <w:jc w:val="both"/>
              <w:rPr>
                <w:rFonts w:cs="Arial"/>
                <w:b/>
                <w:bCs/>
                <w:color w:val="000000"/>
                <w:sz w:val="20"/>
                <w:szCs w:val="20"/>
              </w:rPr>
            </w:pPr>
            <w:r w:rsidRPr="00AB6847">
              <w:rPr>
                <w:rFonts w:cs="Arial"/>
                <w:color w:val="000000"/>
                <w:sz w:val="20"/>
                <w:szCs w:val="20"/>
              </w:rPr>
              <w:t>Dílčím cílem je podpora vyrovnávání příležitostí mladých výzkumných pracovníků – žen a mužů – při řešení projektů aplikovaného výzkumu financovaných tímto programem.</w:t>
            </w:r>
          </w:p>
        </w:tc>
        <w:tc>
          <w:tcPr>
            <w:tcW w:w="6341" w:type="dxa"/>
            <w:tcBorders>
              <w:top w:val="nil"/>
              <w:left w:val="nil"/>
              <w:bottom w:val="single" w:sz="8" w:space="0" w:color="92CDDB"/>
              <w:right w:val="single" w:sz="8" w:space="0" w:color="92CDDB"/>
            </w:tcBorders>
            <w:vAlign w:val="center"/>
          </w:tcPr>
          <w:p w14:paraId="0A373C5A" w14:textId="77777777" w:rsidR="00FA1845" w:rsidRPr="00AB6847" w:rsidRDefault="00FA1845" w:rsidP="00307AF7">
            <w:pPr>
              <w:spacing w:after="0" w:line="240" w:lineRule="auto"/>
              <w:jc w:val="both"/>
              <w:rPr>
                <w:rFonts w:cs="Arial"/>
                <w:color w:val="000000"/>
                <w:sz w:val="20"/>
                <w:szCs w:val="20"/>
              </w:rPr>
            </w:pPr>
            <w:r w:rsidRPr="00AB6847">
              <w:rPr>
                <w:rFonts w:eastAsia="Times New Roman" w:cs="Arial"/>
                <w:color w:val="000000"/>
                <w:sz w:val="20"/>
                <w:szCs w:val="20"/>
                <w:lang w:eastAsia="en-GB"/>
              </w:rPr>
              <w:t> -</w:t>
            </w:r>
          </w:p>
        </w:tc>
      </w:tr>
      <w:tr w:rsidR="00FA1845" w:rsidRPr="000A2FED" w14:paraId="61E91A6B" w14:textId="77777777" w:rsidTr="008D2230">
        <w:trPr>
          <w:trHeight w:val="792"/>
        </w:trPr>
        <w:tc>
          <w:tcPr>
            <w:tcW w:w="1526" w:type="dxa"/>
            <w:vMerge/>
            <w:tcBorders>
              <w:left w:val="single" w:sz="8" w:space="0" w:color="92CDDB"/>
              <w:right w:val="single" w:sz="8" w:space="0" w:color="92CDDB"/>
            </w:tcBorders>
            <w:noWrap/>
            <w:vAlign w:val="center"/>
          </w:tcPr>
          <w:p w14:paraId="6A2135F8" w14:textId="77777777" w:rsidR="00FA1845" w:rsidRPr="00ED79BC" w:rsidRDefault="00FA1845" w:rsidP="00307AF7">
            <w:pPr>
              <w:spacing w:after="0" w:line="240" w:lineRule="auto"/>
              <w:jc w:val="center"/>
              <w:rPr>
                <w:rFonts w:eastAsia="Times New Roman" w:cs="Arial"/>
                <w:color w:val="000000"/>
                <w:sz w:val="20"/>
                <w:szCs w:val="20"/>
                <w:highlight w:val="yellow"/>
                <w:lang w:eastAsia="en-GB"/>
              </w:rPr>
            </w:pPr>
          </w:p>
        </w:tc>
        <w:tc>
          <w:tcPr>
            <w:tcW w:w="615" w:type="dxa"/>
            <w:tcBorders>
              <w:top w:val="nil"/>
              <w:left w:val="nil"/>
              <w:bottom w:val="single" w:sz="8" w:space="0" w:color="92CDDB"/>
              <w:right w:val="single" w:sz="8" w:space="0" w:color="92CDDB"/>
            </w:tcBorders>
            <w:vAlign w:val="center"/>
          </w:tcPr>
          <w:p w14:paraId="17205EA3" w14:textId="77777777" w:rsidR="00FA1845" w:rsidRPr="00AB6847" w:rsidRDefault="00FA1845" w:rsidP="00307AF7">
            <w:pPr>
              <w:spacing w:after="0" w:line="240" w:lineRule="auto"/>
              <w:jc w:val="center"/>
              <w:rPr>
                <w:rFonts w:eastAsia="Times New Roman" w:cs="Arial"/>
                <w:color w:val="000000"/>
                <w:sz w:val="20"/>
                <w:szCs w:val="20"/>
                <w:lang w:eastAsia="en-GB"/>
              </w:rPr>
            </w:pPr>
            <w:r w:rsidRPr="00CC0B14">
              <w:rPr>
                <w:rFonts w:eastAsia="Times New Roman" w:cs="Arial"/>
                <w:color w:val="000000"/>
                <w:sz w:val="20"/>
                <w:szCs w:val="20"/>
                <w:lang w:eastAsia="en-GB"/>
              </w:rPr>
              <w:t>TK</w:t>
            </w:r>
          </w:p>
        </w:tc>
        <w:tc>
          <w:tcPr>
            <w:tcW w:w="5905" w:type="dxa"/>
            <w:tcBorders>
              <w:top w:val="nil"/>
              <w:left w:val="nil"/>
              <w:bottom w:val="single" w:sz="8" w:space="0" w:color="92CDDB"/>
              <w:right w:val="single" w:sz="8" w:space="0" w:color="92CDDB"/>
            </w:tcBorders>
            <w:vAlign w:val="center"/>
          </w:tcPr>
          <w:p w14:paraId="4FDB4A23" w14:textId="77777777" w:rsidR="00FA1845" w:rsidRPr="00AB6847" w:rsidRDefault="00FA1845" w:rsidP="00307AF7">
            <w:pPr>
              <w:spacing w:after="0" w:line="240" w:lineRule="auto"/>
              <w:rPr>
                <w:rFonts w:eastAsia="Times New Roman" w:cs="Arial"/>
                <w:color w:val="000000"/>
                <w:sz w:val="20"/>
                <w:szCs w:val="20"/>
                <w:lang w:eastAsia="en-GB"/>
              </w:rPr>
            </w:pPr>
            <w:r w:rsidRPr="00CC0B14">
              <w:rPr>
                <w:rFonts w:eastAsia="Times New Roman" w:cs="Arial"/>
                <w:color w:val="000000"/>
                <w:sz w:val="20"/>
                <w:szCs w:val="20"/>
                <w:lang w:eastAsia="en-GB"/>
              </w:rPr>
              <w:t>THÉTA</w:t>
            </w:r>
          </w:p>
        </w:tc>
        <w:tc>
          <w:tcPr>
            <w:tcW w:w="7088" w:type="dxa"/>
            <w:tcBorders>
              <w:top w:val="nil"/>
              <w:left w:val="single" w:sz="8" w:space="0" w:color="92CDDB"/>
              <w:bottom w:val="single" w:sz="8" w:space="0" w:color="92CDDB"/>
              <w:right w:val="single" w:sz="8" w:space="0" w:color="92CDDB"/>
            </w:tcBorders>
            <w:vAlign w:val="center"/>
          </w:tcPr>
          <w:p w14:paraId="2AB80006" w14:textId="349DE70B" w:rsidR="00FA1845" w:rsidRPr="00AB6847" w:rsidRDefault="00FA1845" w:rsidP="00307AF7">
            <w:pPr>
              <w:spacing w:after="0" w:line="240" w:lineRule="auto"/>
              <w:jc w:val="both"/>
              <w:rPr>
                <w:rFonts w:cs="Arial"/>
                <w:b/>
                <w:bCs/>
                <w:color w:val="000000"/>
                <w:sz w:val="20"/>
                <w:szCs w:val="20"/>
              </w:rPr>
            </w:pPr>
            <w:r w:rsidRPr="00CC0B14">
              <w:rPr>
                <w:rFonts w:cs="Arial"/>
                <w:color w:val="000000"/>
                <w:sz w:val="20"/>
                <w:szCs w:val="20"/>
              </w:rPr>
              <w:t>Cílem programu je prostřednictvím výstupů, výsledků a dopadů z</w:t>
            </w:r>
            <w:r w:rsidR="008D2230">
              <w:rPr>
                <w:rFonts w:cs="Arial"/>
                <w:color w:val="000000"/>
                <w:sz w:val="20"/>
                <w:szCs w:val="20"/>
              </w:rPr>
              <w:t> </w:t>
            </w:r>
            <w:r w:rsidRPr="00CC0B14">
              <w:rPr>
                <w:rFonts w:cs="Arial"/>
                <w:color w:val="000000"/>
                <w:sz w:val="20"/>
                <w:szCs w:val="20"/>
              </w:rPr>
              <w:t xml:space="preserve">podpořených projektů přispět ve střednědobém a dlouhodobém horizontu </w:t>
            </w:r>
            <w:r w:rsidRPr="00CC0B14">
              <w:rPr>
                <w:rFonts w:cs="Arial"/>
                <w:b/>
                <w:bCs/>
                <w:color w:val="000000"/>
                <w:sz w:val="20"/>
                <w:szCs w:val="20"/>
              </w:rPr>
              <w:t>k</w:t>
            </w:r>
            <w:r w:rsidR="008D2230">
              <w:rPr>
                <w:rFonts w:cs="Arial"/>
                <w:b/>
                <w:bCs/>
                <w:color w:val="000000"/>
                <w:sz w:val="20"/>
                <w:szCs w:val="20"/>
              </w:rPr>
              <w:t> </w:t>
            </w:r>
            <w:r w:rsidRPr="00CC0B14">
              <w:rPr>
                <w:rFonts w:cs="Arial"/>
                <w:b/>
                <w:bCs/>
                <w:color w:val="000000"/>
                <w:sz w:val="20"/>
                <w:szCs w:val="20"/>
              </w:rPr>
              <w:t>naplnění vize transformace a modernizace energetického sektoru v</w:t>
            </w:r>
            <w:r w:rsidR="008D2230">
              <w:rPr>
                <w:rFonts w:cs="Arial"/>
                <w:b/>
                <w:bCs/>
                <w:color w:val="000000"/>
                <w:sz w:val="20"/>
                <w:szCs w:val="20"/>
              </w:rPr>
              <w:t> </w:t>
            </w:r>
            <w:r w:rsidRPr="00CC0B14">
              <w:rPr>
                <w:rFonts w:cs="Arial"/>
                <w:b/>
                <w:bCs/>
                <w:color w:val="000000"/>
                <w:sz w:val="20"/>
                <w:szCs w:val="20"/>
              </w:rPr>
              <w:t xml:space="preserve">souladu se schválenými strategickými materiály. </w:t>
            </w:r>
            <w:r w:rsidRPr="00CC0B14">
              <w:rPr>
                <w:rFonts w:cs="Arial"/>
                <w:color w:val="000000"/>
                <w:sz w:val="20"/>
                <w:szCs w:val="20"/>
              </w:rPr>
              <w:t>Tohoto cíle bude dosaženo prostřednictvím podpory výzkumu, vývoje a inovací v oblasti energetiky se zaměřením na (i) podporu projektů ve veřejném zájmu, (</w:t>
            </w:r>
            <w:proofErr w:type="spellStart"/>
            <w:r w:rsidRPr="00CC0B14">
              <w:rPr>
                <w:rFonts w:cs="Arial"/>
                <w:color w:val="000000"/>
                <w:sz w:val="20"/>
                <w:szCs w:val="20"/>
              </w:rPr>
              <w:t>ii</w:t>
            </w:r>
            <w:proofErr w:type="spellEnd"/>
            <w:r w:rsidRPr="00CC0B14">
              <w:rPr>
                <w:rFonts w:cs="Arial"/>
                <w:color w:val="000000"/>
                <w:sz w:val="20"/>
                <w:szCs w:val="20"/>
              </w:rPr>
              <w:t>) nové technologie a systémové prvky s vysokým potenciálem pro rychlé uplatnění v</w:t>
            </w:r>
            <w:r w:rsidR="008D2230">
              <w:rPr>
                <w:rFonts w:cs="Arial"/>
                <w:color w:val="000000"/>
                <w:sz w:val="20"/>
                <w:szCs w:val="20"/>
              </w:rPr>
              <w:t> </w:t>
            </w:r>
            <w:r w:rsidRPr="00CC0B14">
              <w:rPr>
                <w:rFonts w:cs="Arial"/>
                <w:color w:val="000000"/>
                <w:sz w:val="20"/>
                <w:szCs w:val="20"/>
              </w:rPr>
              <w:t>praxi a (</w:t>
            </w:r>
            <w:proofErr w:type="spellStart"/>
            <w:r w:rsidRPr="00CC0B14">
              <w:rPr>
                <w:rFonts w:cs="Arial"/>
                <w:color w:val="000000"/>
                <w:sz w:val="20"/>
                <w:szCs w:val="20"/>
              </w:rPr>
              <w:t>iii</w:t>
            </w:r>
            <w:proofErr w:type="spellEnd"/>
            <w:r w:rsidRPr="00CC0B14">
              <w:rPr>
                <w:rFonts w:cs="Arial"/>
                <w:color w:val="000000"/>
                <w:sz w:val="20"/>
                <w:szCs w:val="20"/>
              </w:rPr>
              <w:t>) podporu dlouhodobých technologických perspektiv.</w:t>
            </w:r>
          </w:p>
        </w:tc>
        <w:tc>
          <w:tcPr>
            <w:tcW w:w="6341" w:type="dxa"/>
            <w:tcBorders>
              <w:top w:val="nil"/>
              <w:left w:val="nil"/>
              <w:bottom w:val="single" w:sz="8" w:space="0" w:color="92CDDB"/>
              <w:right w:val="single" w:sz="8" w:space="0" w:color="92CDDB"/>
            </w:tcBorders>
            <w:vAlign w:val="center"/>
          </w:tcPr>
          <w:p w14:paraId="6FE5C1D0" w14:textId="77777777" w:rsidR="00FA1845" w:rsidRPr="00CC0B14" w:rsidRDefault="00FA1845" w:rsidP="00307AF7">
            <w:pPr>
              <w:spacing w:after="0" w:line="240" w:lineRule="auto"/>
              <w:jc w:val="both"/>
              <w:rPr>
                <w:rFonts w:eastAsia="Times New Roman" w:cs="Arial"/>
                <w:color w:val="000000"/>
                <w:sz w:val="20"/>
                <w:szCs w:val="20"/>
                <w:lang w:eastAsia="en-GB"/>
              </w:rPr>
            </w:pPr>
          </w:p>
          <w:p w14:paraId="5C494E62" w14:textId="77777777" w:rsidR="00FA1845" w:rsidRPr="00CC0B14" w:rsidRDefault="00FA1845" w:rsidP="00FA1845">
            <w:pPr>
              <w:pStyle w:val="Odstavecseseznamem"/>
              <w:numPr>
                <w:ilvl w:val="0"/>
                <w:numId w:val="11"/>
              </w:numPr>
              <w:spacing w:after="0" w:line="240" w:lineRule="auto"/>
              <w:ind w:left="339"/>
              <w:jc w:val="both"/>
              <w:rPr>
                <w:rFonts w:eastAsia="Arial" w:cs="Arial"/>
                <w:sz w:val="20"/>
                <w:szCs w:val="20"/>
              </w:rPr>
            </w:pPr>
            <w:r w:rsidRPr="00CC0B14">
              <w:rPr>
                <w:rFonts w:eastAsia="Times New Roman" w:cs="Arial"/>
                <w:b/>
                <w:color w:val="000000"/>
                <w:sz w:val="20"/>
                <w:szCs w:val="20"/>
                <w:lang w:eastAsia="en-GB"/>
              </w:rPr>
              <w:t xml:space="preserve">Podprogram 1 </w:t>
            </w:r>
            <w:r w:rsidRPr="00CC0B14">
              <w:rPr>
                <w:rFonts w:eastAsia="Arial" w:cs="Arial"/>
                <w:b/>
                <w:sz w:val="20"/>
                <w:szCs w:val="20"/>
              </w:rPr>
              <w:t>„</w:t>
            </w:r>
            <w:r w:rsidRPr="00CC0B14">
              <w:rPr>
                <w:rFonts w:eastAsia="Times New Roman" w:cs="Arial"/>
                <w:b/>
                <w:color w:val="000000"/>
                <w:sz w:val="20"/>
                <w:szCs w:val="20"/>
                <w:lang w:eastAsia="en-GB"/>
              </w:rPr>
              <w:t>Výzkum ve veřejném zájmu</w:t>
            </w:r>
            <w:r w:rsidRPr="00CC0B14">
              <w:rPr>
                <w:rFonts w:eastAsia="Arial" w:cs="Arial"/>
                <w:b/>
                <w:sz w:val="20"/>
                <w:szCs w:val="20"/>
              </w:rPr>
              <w:t>“</w:t>
            </w:r>
            <w:r w:rsidRPr="00CC0B14">
              <w:rPr>
                <w:rFonts w:eastAsia="Times New Roman" w:cs="Arial"/>
                <w:color w:val="000000"/>
                <w:sz w:val="20"/>
                <w:szCs w:val="20"/>
                <w:lang w:eastAsia="en-GB"/>
              </w:rPr>
              <w:t xml:space="preserve"> – </w:t>
            </w:r>
            <w:r w:rsidRPr="00CC0B14">
              <w:rPr>
                <w:rFonts w:eastAsia="Arial" w:cs="Arial"/>
                <w:sz w:val="20"/>
                <w:szCs w:val="20"/>
              </w:rPr>
              <w:t xml:space="preserve">zkvalitnění řízení v odvětví energetiky ze strany veřejné správy a tvorby strategických a koncepčních dokumentů, a to prostřednictvím podpory </w:t>
            </w:r>
            <w:proofErr w:type="spellStart"/>
            <w:r w:rsidRPr="00CC0B14">
              <w:rPr>
                <w:rFonts w:eastAsia="Arial" w:cs="Arial"/>
                <w:sz w:val="20"/>
                <w:szCs w:val="20"/>
              </w:rPr>
              <w:t>VaV</w:t>
            </w:r>
            <w:proofErr w:type="spellEnd"/>
            <w:r w:rsidRPr="00CC0B14">
              <w:rPr>
                <w:rFonts w:eastAsia="Arial" w:cs="Arial"/>
                <w:sz w:val="20"/>
                <w:szCs w:val="20"/>
              </w:rPr>
              <w:t xml:space="preserve"> v oblasti energetiky se zaměřením na</w:t>
            </w:r>
            <w:r>
              <w:rPr>
                <w:rFonts w:eastAsia="Arial" w:cs="Arial"/>
                <w:sz w:val="20"/>
                <w:szCs w:val="20"/>
              </w:rPr>
              <w:t> </w:t>
            </w:r>
            <w:r w:rsidRPr="00CC0B14">
              <w:rPr>
                <w:rFonts w:eastAsia="Arial" w:cs="Arial"/>
                <w:sz w:val="20"/>
                <w:szCs w:val="20"/>
              </w:rPr>
              <w:t xml:space="preserve">podporu projektů </w:t>
            </w:r>
            <w:proofErr w:type="spellStart"/>
            <w:r w:rsidRPr="00CC0B14">
              <w:rPr>
                <w:rFonts w:eastAsia="Arial" w:cs="Arial"/>
                <w:sz w:val="20"/>
                <w:szCs w:val="20"/>
              </w:rPr>
              <w:t>VaV</w:t>
            </w:r>
            <w:proofErr w:type="spellEnd"/>
            <w:r w:rsidRPr="00CC0B14">
              <w:rPr>
                <w:rFonts w:eastAsia="Arial" w:cs="Arial"/>
                <w:sz w:val="20"/>
                <w:szCs w:val="20"/>
              </w:rPr>
              <w:t xml:space="preserve"> ve veřejném zájmu.</w:t>
            </w:r>
          </w:p>
          <w:p w14:paraId="0350EF54" w14:textId="77777777" w:rsidR="00FA1845" w:rsidRDefault="00FA1845" w:rsidP="00FA1845">
            <w:pPr>
              <w:pStyle w:val="Odstavecseseznamem"/>
              <w:numPr>
                <w:ilvl w:val="0"/>
                <w:numId w:val="11"/>
              </w:numPr>
              <w:spacing w:after="0" w:line="240" w:lineRule="auto"/>
              <w:ind w:left="339"/>
              <w:jc w:val="both"/>
              <w:rPr>
                <w:rFonts w:eastAsia="Arial" w:cs="Arial"/>
                <w:sz w:val="20"/>
                <w:szCs w:val="20"/>
              </w:rPr>
            </w:pPr>
            <w:r w:rsidRPr="00CC0B14">
              <w:rPr>
                <w:rFonts w:eastAsia="Arial" w:cs="Arial"/>
                <w:b/>
                <w:sz w:val="20"/>
                <w:szCs w:val="20"/>
              </w:rPr>
              <w:t>Podprogram 2 „Strategické energetické technologie“</w:t>
            </w:r>
            <w:r w:rsidRPr="00CC0B14">
              <w:rPr>
                <w:rFonts w:eastAsia="Arial" w:cs="Arial"/>
                <w:sz w:val="20"/>
                <w:szCs w:val="20"/>
              </w:rPr>
              <w:t xml:space="preserve"> </w:t>
            </w:r>
            <w:r w:rsidRPr="00CC0B14">
              <w:rPr>
                <w:rFonts w:eastAsia="Times New Roman" w:cs="Arial"/>
                <w:color w:val="000000"/>
                <w:sz w:val="20"/>
                <w:szCs w:val="20"/>
                <w:lang w:eastAsia="en-GB"/>
              </w:rPr>
              <w:t xml:space="preserve">– </w:t>
            </w:r>
            <w:r w:rsidRPr="00CC0B14">
              <w:rPr>
                <w:rFonts w:eastAsia="Arial" w:cs="Arial"/>
                <w:sz w:val="20"/>
                <w:szCs w:val="20"/>
              </w:rPr>
              <w:t xml:space="preserve">přispění k naplnění vize transformace a modernizace energetického sektoru v souladu se schválenými strategickými materiály, a to prostřednictvím podpory </w:t>
            </w:r>
            <w:proofErr w:type="spellStart"/>
            <w:r w:rsidRPr="00CC0B14">
              <w:rPr>
                <w:rFonts w:eastAsia="Arial" w:cs="Arial"/>
                <w:sz w:val="20"/>
                <w:szCs w:val="20"/>
              </w:rPr>
              <w:t>VaVaI</w:t>
            </w:r>
            <w:proofErr w:type="spellEnd"/>
            <w:r w:rsidRPr="00CC0B14">
              <w:rPr>
                <w:rFonts w:eastAsia="Arial" w:cs="Arial"/>
                <w:sz w:val="20"/>
                <w:szCs w:val="20"/>
              </w:rPr>
              <w:t xml:space="preserve"> v oblasti energetických technologií a systémových prvků s vysokým potenciálem pro rychlé uplatnění v</w:t>
            </w:r>
            <w:r>
              <w:rPr>
                <w:rFonts w:eastAsia="Arial" w:cs="Arial"/>
                <w:sz w:val="20"/>
                <w:szCs w:val="20"/>
              </w:rPr>
              <w:t> </w:t>
            </w:r>
            <w:r w:rsidRPr="00CC0B14">
              <w:rPr>
                <w:rFonts w:eastAsia="Arial" w:cs="Arial"/>
                <w:sz w:val="20"/>
                <w:szCs w:val="20"/>
              </w:rPr>
              <w:t>nových produktech, výrobních postupech a službách.</w:t>
            </w:r>
          </w:p>
          <w:p w14:paraId="52FA284E" w14:textId="16C9D602" w:rsidR="00FA1845" w:rsidRPr="000A2FED" w:rsidRDefault="00FA1845" w:rsidP="00FA1845">
            <w:pPr>
              <w:pStyle w:val="Odstavecseseznamem"/>
              <w:numPr>
                <w:ilvl w:val="0"/>
                <w:numId w:val="11"/>
              </w:numPr>
              <w:spacing w:after="0" w:line="240" w:lineRule="auto"/>
              <w:ind w:left="339"/>
              <w:jc w:val="both"/>
              <w:rPr>
                <w:rFonts w:eastAsia="Arial" w:cs="Arial"/>
                <w:sz w:val="20"/>
                <w:szCs w:val="20"/>
              </w:rPr>
            </w:pPr>
            <w:r w:rsidRPr="000A2FED">
              <w:rPr>
                <w:rFonts w:eastAsia="Times New Roman" w:cs="Arial"/>
                <w:b/>
                <w:color w:val="000000"/>
                <w:sz w:val="20"/>
                <w:szCs w:val="20"/>
                <w:lang w:eastAsia="en-GB"/>
              </w:rPr>
              <w:t>Podprogram 3 „Dlouhodobé technologické perspektivy“</w:t>
            </w:r>
            <w:r w:rsidRPr="000A2FED">
              <w:rPr>
                <w:rFonts w:eastAsia="Times New Roman" w:cs="Arial"/>
                <w:color w:val="000000"/>
                <w:sz w:val="20"/>
                <w:szCs w:val="20"/>
                <w:lang w:eastAsia="en-GB"/>
              </w:rPr>
              <w:t xml:space="preserve"> – podpoření</w:t>
            </w:r>
            <w:r w:rsidRPr="000A2FED">
              <w:rPr>
                <w:rFonts w:eastAsia="Arial" w:cs="Arial"/>
                <w:sz w:val="20"/>
                <w:szCs w:val="20"/>
              </w:rPr>
              <w:t xml:space="preserve"> dlouhodobých technologických perspektiv v</w:t>
            </w:r>
            <w:r w:rsidR="009718D4">
              <w:rPr>
                <w:rFonts w:eastAsia="Arial" w:cs="Arial"/>
                <w:sz w:val="20"/>
                <w:szCs w:val="20"/>
              </w:rPr>
              <w:t> </w:t>
            </w:r>
            <w:r w:rsidRPr="000A2FED">
              <w:rPr>
                <w:rFonts w:eastAsia="Arial" w:cs="Arial"/>
                <w:sz w:val="20"/>
                <w:szCs w:val="20"/>
              </w:rPr>
              <w:t xml:space="preserve">energetice, které budou realizovány prostřednictvím </w:t>
            </w:r>
            <w:proofErr w:type="spellStart"/>
            <w:r w:rsidRPr="000A2FED">
              <w:rPr>
                <w:rFonts w:eastAsia="Arial" w:cs="Arial"/>
                <w:sz w:val="20"/>
                <w:szCs w:val="20"/>
              </w:rPr>
              <w:t>VaV</w:t>
            </w:r>
            <w:proofErr w:type="spellEnd"/>
            <w:r w:rsidRPr="000A2FED">
              <w:rPr>
                <w:rFonts w:eastAsia="Arial" w:cs="Arial"/>
                <w:sz w:val="20"/>
                <w:szCs w:val="20"/>
              </w:rPr>
              <w:t xml:space="preserve"> aktivit zejména VO.</w:t>
            </w:r>
          </w:p>
        </w:tc>
      </w:tr>
      <w:tr w:rsidR="00FA1845" w:rsidRPr="00AB6847" w14:paraId="1D482BE9" w14:textId="77777777" w:rsidTr="008D2230">
        <w:trPr>
          <w:trHeight w:val="792"/>
        </w:trPr>
        <w:tc>
          <w:tcPr>
            <w:tcW w:w="1526" w:type="dxa"/>
            <w:vMerge/>
            <w:tcBorders>
              <w:left w:val="single" w:sz="8" w:space="0" w:color="92CDDB"/>
              <w:right w:val="single" w:sz="8" w:space="0" w:color="92CDDB"/>
            </w:tcBorders>
            <w:noWrap/>
            <w:vAlign w:val="center"/>
          </w:tcPr>
          <w:p w14:paraId="46A762CC" w14:textId="77777777" w:rsidR="00FA1845" w:rsidRPr="00ED79BC" w:rsidRDefault="00FA1845" w:rsidP="00307AF7">
            <w:pPr>
              <w:spacing w:after="0" w:line="240" w:lineRule="auto"/>
              <w:jc w:val="center"/>
              <w:rPr>
                <w:rFonts w:eastAsia="Times New Roman" w:cs="Arial"/>
                <w:color w:val="000000"/>
                <w:sz w:val="20"/>
                <w:szCs w:val="20"/>
                <w:highlight w:val="yellow"/>
                <w:lang w:eastAsia="en-GB"/>
              </w:rPr>
            </w:pPr>
          </w:p>
        </w:tc>
        <w:tc>
          <w:tcPr>
            <w:tcW w:w="615" w:type="dxa"/>
            <w:tcBorders>
              <w:top w:val="nil"/>
              <w:left w:val="nil"/>
              <w:bottom w:val="single" w:sz="8" w:space="0" w:color="92CDDB"/>
              <w:right w:val="single" w:sz="8" w:space="0" w:color="92CDDB"/>
            </w:tcBorders>
            <w:vAlign w:val="center"/>
          </w:tcPr>
          <w:p w14:paraId="1E86037A" w14:textId="77777777" w:rsidR="00FA1845" w:rsidRPr="00AB6847" w:rsidRDefault="00FA1845" w:rsidP="00307AF7">
            <w:pPr>
              <w:spacing w:after="0" w:line="240" w:lineRule="auto"/>
              <w:jc w:val="center"/>
              <w:rPr>
                <w:rFonts w:eastAsia="Times New Roman" w:cs="Arial"/>
                <w:color w:val="000000"/>
                <w:sz w:val="20"/>
                <w:szCs w:val="20"/>
                <w:lang w:eastAsia="en-GB"/>
              </w:rPr>
            </w:pPr>
            <w:r w:rsidRPr="00DB1764">
              <w:rPr>
                <w:rFonts w:eastAsia="Times New Roman" w:cs="Arial"/>
                <w:color w:val="000000"/>
                <w:sz w:val="20"/>
                <w:szCs w:val="20"/>
                <w:lang w:eastAsia="en-GB"/>
              </w:rPr>
              <w:t>TL</w:t>
            </w:r>
          </w:p>
        </w:tc>
        <w:tc>
          <w:tcPr>
            <w:tcW w:w="5905" w:type="dxa"/>
            <w:tcBorders>
              <w:top w:val="nil"/>
              <w:left w:val="nil"/>
              <w:bottom w:val="single" w:sz="8" w:space="0" w:color="92CDDB"/>
              <w:right w:val="single" w:sz="8" w:space="0" w:color="92CDDB"/>
            </w:tcBorders>
            <w:vAlign w:val="center"/>
          </w:tcPr>
          <w:p w14:paraId="16403138" w14:textId="77777777" w:rsidR="00FA1845" w:rsidRPr="00AB6847" w:rsidRDefault="00FA1845" w:rsidP="00307AF7">
            <w:pPr>
              <w:spacing w:after="0" w:line="240" w:lineRule="auto"/>
              <w:rPr>
                <w:rFonts w:eastAsia="Times New Roman" w:cs="Arial"/>
                <w:color w:val="000000"/>
                <w:sz w:val="20"/>
                <w:szCs w:val="20"/>
                <w:lang w:eastAsia="en-GB"/>
              </w:rPr>
            </w:pPr>
            <w:r w:rsidRPr="00DB1764">
              <w:rPr>
                <w:rFonts w:eastAsia="Times New Roman" w:cs="Arial"/>
                <w:color w:val="000000"/>
                <w:sz w:val="20"/>
                <w:szCs w:val="20"/>
                <w:lang w:eastAsia="en-GB"/>
              </w:rPr>
              <w:t>ÉTA</w:t>
            </w:r>
          </w:p>
        </w:tc>
        <w:tc>
          <w:tcPr>
            <w:tcW w:w="7088" w:type="dxa"/>
            <w:tcBorders>
              <w:top w:val="nil"/>
              <w:left w:val="single" w:sz="8" w:space="0" w:color="92CDDB"/>
              <w:bottom w:val="single" w:sz="8" w:space="0" w:color="92CDDB"/>
              <w:right w:val="single" w:sz="8" w:space="0" w:color="92CDDB"/>
            </w:tcBorders>
            <w:vAlign w:val="center"/>
          </w:tcPr>
          <w:p w14:paraId="37ACF947" w14:textId="7DA1AB0C" w:rsidR="00FA1845" w:rsidRPr="00AB6847" w:rsidRDefault="00FA1845" w:rsidP="00307AF7">
            <w:pPr>
              <w:spacing w:after="0" w:line="240" w:lineRule="auto"/>
              <w:jc w:val="both"/>
              <w:rPr>
                <w:rFonts w:cs="Arial"/>
                <w:b/>
                <w:bCs/>
                <w:color w:val="000000"/>
                <w:sz w:val="20"/>
                <w:szCs w:val="20"/>
              </w:rPr>
            </w:pPr>
            <w:r w:rsidRPr="00DB1764">
              <w:rPr>
                <w:rFonts w:cs="Arial"/>
                <w:b/>
                <w:bCs/>
                <w:color w:val="000000"/>
                <w:sz w:val="20"/>
                <w:szCs w:val="20"/>
              </w:rPr>
              <w:t>Posílení společenské a humanitní dimenze v aktivitách aplikovaného výzkumu</w:t>
            </w:r>
            <w:r w:rsidRPr="00DB1764">
              <w:rPr>
                <w:rFonts w:cs="Arial"/>
                <w:color w:val="000000"/>
                <w:sz w:val="20"/>
                <w:szCs w:val="20"/>
              </w:rPr>
              <w:t>, experimentálního vývoje a inovací a uplatnění výstupů těchto aktivit v podobě nových nebo podstatně zdokonalených stávajících výrobků, postupů, procesů nebo služeb v</w:t>
            </w:r>
            <w:r>
              <w:rPr>
                <w:rFonts w:cs="Arial"/>
                <w:color w:val="000000"/>
                <w:sz w:val="20"/>
                <w:szCs w:val="20"/>
              </w:rPr>
              <w:t> </w:t>
            </w:r>
            <w:r w:rsidRPr="00DB1764">
              <w:rPr>
                <w:rFonts w:cs="Arial"/>
                <w:color w:val="000000"/>
                <w:sz w:val="20"/>
                <w:szCs w:val="20"/>
              </w:rPr>
              <w:t>oblastech: a) člověk a společnost v kontextu dynamických společenských a</w:t>
            </w:r>
            <w:r>
              <w:rPr>
                <w:rFonts w:cs="Arial"/>
                <w:color w:val="000000"/>
                <w:sz w:val="20"/>
                <w:szCs w:val="20"/>
              </w:rPr>
              <w:t> </w:t>
            </w:r>
            <w:r w:rsidRPr="00DB1764">
              <w:rPr>
                <w:rFonts w:cs="Arial"/>
                <w:color w:val="000000"/>
                <w:sz w:val="20"/>
                <w:szCs w:val="20"/>
              </w:rPr>
              <w:t>technologických proměn a výzev 21. století; b)</w:t>
            </w:r>
            <w:r w:rsidR="008D2230">
              <w:rPr>
                <w:rFonts w:cs="Arial"/>
                <w:color w:val="000000"/>
                <w:sz w:val="20"/>
                <w:szCs w:val="20"/>
              </w:rPr>
              <w:t> </w:t>
            </w:r>
            <w:r w:rsidRPr="00DB1764">
              <w:rPr>
                <w:rFonts w:cs="Arial"/>
                <w:color w:val="000000"/>
                <w:sz w:val="20"/>
                <w:szCs w:val="20"/>
              </w:rPr>
              <w:t>člověk a prostředí pro jeho život v</w:t>
            </w:r>
            <w:r>
              <w:rPr>
                <w:rFonts w:cs="Arial"/>
                <w:color w:val="000000"/>
                <w:sz w:val="20"/>
                <w:szCs w:val="20"/>
              </w:rPr>
              <w:t> </w:t>
            </w:r>
            <w:r w:rsidRPr="00DB1764">
              <w:rPr>
                <w:rFonts w:cs="Arial"/>
                <w:color w:val="000000"/>
                <w:sz w:val="20"/>
                <w:szCs w:val="20"/>
              </w:rPr>
              <w:t>kontextu udržitelného rozvoje krajiny, regionů, měst a obcí a stavební kultury; c)</w:t>
            </w:r>
            <w:r>
              <w:rPr>
                <w:rFonts w:cs="Arial"/>
                <w:color w:val="000000"/>
                <w:sz w:val="20"/>
                <w:szCs w:val="20"/>
              </w:rPr>
              <w:t> </w:t>
            </w:r>
            <w:r w:rsidRPr="00DB1764">
              <w:rPr>
                <w:rFonts w:cs="Arial"/>
                <w:color w:val="000000"/>
                <w:sz w:val="20"/>
                <w:szCs w:val="20"/>
              </w:rPr>
              <w:t>člověk a ekonomika v kontextu objevení nových konkurenčních výhod a rozvoje kompetencí pro 21. století; d) člověk a společenský systém v kontextu interakce mezi občanem a</w:t>
            </w:r>
            <w:r w:rsidR="008D2230">
              <w:rPr>
                <w:rFonts w:cs="Arial"/>
                <w:color w:val="000000"/>
                <w:sz w:val="20"/>
                <w:szCs w:val="20"/>
              </w:rPr>
              <w:t> </w:t>
            </w:r>
            <w:r w:rsidRPr="00DB1764">
              <w:rPr>
                <w:rFonts w:cs="Arial"/>
                <w:color w:val="000000"/>
                <w:sz w:val="20"/>
                <w:szCs w:val="20"/>
              </w:rPr>
              <w:t>státem, veřejných politik, správy a veřejných služeb orientovaných na</w:t>
            </w:r>
            <w:r>
              <w:rPr>
                <w:rFonts w:cs="Arial"/>
                <w:color w:val="000000"/>
                <w:sz w:val="20"/>
                <w:szCs w:val="20"/>
              </w:rPr>
              <w:t> </w:t>
            </w:r>
            <w:r w:rsidRPr="00DB1764">
              <w:rPr>
                <w:rFonts w:cs="Arial"/>
                <w:color w:val="000000"/>
                <w:sz w:val="20"/>
                <w:szCs w:val="20"/>
              </w:rPr>
              <w:t>občana.</w:t>
            </w:r>
          </w:p>
        </w:tc>
        <w:tc>
          <w:tcPr>
            <w:tcW w:w="6341" w:type="dxa"/>
            <w:tcBorders>
              <w:top w:val="nil"/>
              <w:left w:val="nil"/>
              <w:bottom w:val="single" w:sz="8" w:space="0" w:color="92CDDB"/>
              <w:right w:val="single" w:sz="8" w:space="0" w:color="92CDDB"/>
            </w:tcBorders>
            <w:vAlign w:val="center"/>
          </w:tcPr>
          <w:p w14:paraId="01E3DAA9" w14:textId="77777777" w:rsidR="00FA1845" w:rsidRPr="00AB6847" w:rsidRDefault="00FA1845" w:rsidP="00307AF7">
            <w:pPr>
              <w:spacing w:after="0" w:line="240" w:lineRule="auto"/>
              <w:jc w:val="both"/>
              <w:rPr>
                <w:rFonts w:cs="Arial"/>
                <w:color w:val="000000"/>
                <w:sz w:val="20"/>
                <w:szCs w:val="20"/>
              </w:rPr>
            </w:pPr>
            <w:r w:rsidRPr="00DB1764">
              <w:rPr>
                <w:rFonts w:eastAsia="Times New Roman" w:cs="Arial"/>
                <w:color w:val="000000"/>
                <w:sz w:val="20"/>
                <w:szCs w:val="20"/>
                <w:lang w:eastAsia="en-GB"/>
              </w:rPr>
              <w:t> -</w:t>
            </w:r>
          </w:p>
        </w:tc>
      </w:tr>
      <w:tr w:rsidR="00FA1845" w:rsidRPr="00AB6847" w14:paraId="3F1F4187" w14:textId="77777777" w:rsidTr="008D2230">
        <w:trPr>
          <w:trHeight w:val="792"/>
        </w:trPr>
        <w:tc>
          <w:tcPr>
            <w:tcW w:w="1526" w:type="dxa"/>
            <w:vMerge/>
            <w:tcBorders>
              <w:left w:val="single" w:sz="8" w:space="0" w:color="92CDDB"/>
              <w:right w:val="single" w:sz="8" w:space="0" w:color="92CDDB"/>
            </w:tcBorders>
            <w:noWrap/>
            <w:vAlign w:val="center"/>
          </w:tcPr>
          <w:p w14:paraId="74C94B0E" w14:textId="77777777" w:rsidR="00FA1845" w:rsidRPr="00ED79BC" w:rsidRDefault="00FA1845" w:rsidP="00307AF7">
            <w:pPr>
              <w:spacing w:after="0" w:line="240" w:lineRule="auto"/>
              <w:jc w:val="center"/>
              <w:rPr>
                <w:rFonts w:eastAsia="Times New Roman" w:cs="Arial"/>
                <w:color w:val="000000"/>
                <w:sz w:val="20"/>
                <w:szCs w:val="20"/>
                <w:highlight w:val="yellow"/>
                <w:lang w:eastAsia="en-GB"/>
              </w:rPr>
            </w:pPr>
          </w:p>
        </w:tc>
        <w:tc>
          <w:tcPr>
            <w:tcW w:w="615" w:type="dxa"/>
            <w:tcBorders>
              <w:top w:val="nil"/>
              <w:left w:val="nil"/>
              <w:bottom w:val="single" w:sz="8" w:space="0" w:color="92CDDB"/>
              <w:right w:val="single" w:sz="8" w:space="0" w:color="92CDDB"/>
            </w:tcBorders>
            <w:vAlign w:val="center"/>
          </w:tcPr>
          <w:p w14:paraId="69515EE1" w14:textId="77777777" w:rsidR="00FA1845" w:rsidRPr="00AB6847" w:rsidRDefault="00FA1845" w:rsidP="00307AF7">
            <w:pPr>
              <w:spacing w:after="0" w:line="240" w:lineRule="auto"/>
              <w:jc w:val="center"/>
              <w:rPr>
                <w:rFonts w:eastAsia="Times New Roman" w:cs="Arial"/>
                <w:color w:val="000000"/>
                <w:sz w:val="20"/>
                <w:szCs w:val="20"/>
                <w:lang w:eastAsia="en-GB"/>
              </w:rPr>
            </w:pPr>
            <w:r w:rsidRPr="00AB6847">
              <w:rPr>
                <w:rFonts w:eastAsia="Times New Roman" w:cs="Arial"/>
                <w:color w:val="000000"/>
                <w:sz w:val="20"/>
                <w:szCs w:val="20"/>
                <w:lang w:eastAsia="en-GB"/>
              </w:rPr>
              <w:t>TM</w:t>
            </w:r>
          </w:p>
        </w:tc>
        <w:tc>
          <w:tcPr>
            <w:tcW w:w="5905" w:type="dxa"/>
            <w:tcBorders>
              <w:top w:val="nil"/>
              <w:left w:val="nil"/>
              <w:bottom w:val="single" w:sz="8" w:space="0" w:color="92CDDB"/>
              <w:right w:val="single" w:sz="8" w:space="0" w:color="92CDDB"/>
            </w:tcBorders>
            <w:vAlign w:val="center"/>
          </w:tcPr>
          <w:p w14:paraId="71B1D53F" w14:textId="77777777" w:rsidR="00FA1845" w:rsidRPr="00AB6847" w:rsidRDefault="00FA1845" w:rsidP="00307AF7">
            <w:pPr>
              <w:spacing w:after="0" w:line="240" w:lineRule="auto"/>
              <w:rPr>
                <w:rFonts w:eastAsia="Times New Roman" w:cs="Arial"/>
                <w:color w:val="000000"/>
                <w:sz w:val="20"/>
                <w:szCs w:val="20"/>
                <w:lang w:eastAsia="en-GB"/>
              </w:rPr>
            </w:pPr>
            <w:r w:rsidRPr="00AB6847">
              <w:rPr>
                <w:rFonts w:eastAsia="Times New Roman" w:cs="Arial"/>
                <w:color w:val="000000"/>
                <w:sz w:val="20"/>
                <w:szCs w:val="20"/>
                <w:lang w:eastAsia="en-GB"/>
              </w:rPr>
              <w:t>DELTA 2</w:t>
            </w:r>
          </w:p>
        </w:tc>
        <w:tc>
          <w:tcPr>
            <w:tcW w:w="7088" w:type="dxa"/>
            <w:tcBorders>
              <w:top w:val="nil"/>
              <w:left w:val="single" w:sz="8" w:space="0" w:color="92CDDB"/>
              <w:bottom w:val="single" w:sz="8" w:space="0" w:color="92CDDB"/>
              <w:right w:val="single" w:sz="8" w:space="0" w:color="92CDDB"/>
            </w:tcBorders>
            <w:vAlign w:val="center"/>
          </w:tcPr>
          <w:p w14:paraId="4E4EC739" w14:textId="5D17F6A5" w:rsidR="00FA1845" w:rsidRPr="00AB6847" w:rsidRDefault="00FA1845" w:rsidP="00307AF7">
            <w:pPr>
              <w:spacing w:after="0" w:line="240" w:lineRule="auto"/>
              <w:jc w:val="both"/>
              <w:rPr>
                <w:rFonts w:cs="Arial"/>
                <w:b/>
                <w:bCs/>
                <w:color w:val="000000"/>
                <w:sz w:val="20"/>
                <w:szCs w:val="20"/>
              </w:rPr>
            </w:pPr>
            <w:r w:rsidRPr="00AB6847">
              <w:rPr>
                <w:rFonts w:cs="Arial"/>
                <w:b/>
                <w:bCs/>
                <w:color w:val="000000"/>
                <w:sz w:val="20"/>
                <w:szCs w:val="20"/>
              </w:rPr>
              <w:t>Zvýšení množství konkrétních výsledků aplikovaného výzkumu a</w:t>
            </w:r>
            <w:r>
              <w:rPr>
                <w:rFonts w:cs="Arial"/>
                <w:b/>
                <w:bCs/>
                <w:color w:val="000000"/>
                <w:sz w:val="20"/>
                <w:szCs w:val="20"/>
              </w:rPr>
              <w:t> </w:t>
            </w:r>
            <w:r w:rsidRPr="00AB6847">
              <w:rPr>
                <w:rFonts w:cs="Arial"/>
                <w:b/>
                <w:bCs/>
                <w:color w:val="000000"/>
                <w:sz w:val="20"/>
                <w:szCs w:val="20"/>
              </w:rPr>
              <w:t>experimentálního vývoje v oblastech, v nichž existuje shoda se</w:t>
            </w:r>
            <w:r w:rsidR="008D2230">
              <w:rPr>
                <w:rFonts w:cs="Arial"/>
                <w:b/>
                <w:bCs/>
                <w:color w:val="000000"/>
                <w:sz w:val="20"/>
                <w:szCs w:val="20"/>
              </w:rPr>
              <w:t> </w:t>
            </w:r>
            <w:r w:rsidRPr="00AB6847">
              <w:rPr>
                <w:rFonts w:cs="Arial"/>
                <w:b/>
                <w:bCs/>
                <w:color w:val="000000"/>
                <w:sz w:val="20"/>
                <w:szCs w:val="20"/>
              </w:rPr>
              <w:t>zahraničním partnerem</w:t>
            </w:r>
            <w:r w:rsidRPr="00AB6847">
              <w:rPr>
                <w:rFonts w:cs="Arial"/>
                <w:color w:val="000000"/>
                <w:sz w:val="20"/>
                <w:szCs w:val="20"/>
              </w:rPr>
              <w:t>, které budou úspěšně zavedeny do praxe a</w:t>
            </w:r>
            <w:r w:rsidR="008D2230">
              <w:rPr>
                <w:rFonts w:cs="Arial"/>
                <w:color w:val="000000"/>
                <w:sz w:val="20"/>
                <w:szCs w:val="20"/>
              </w:rPr>
              <w:t> </w:t>
            </w:r>
            <w:r w:rsidRPr="00AB6847">
              <w:rPr>
                <w:rFonts w:cs="Arial"/>
                <w:color w:val="000000"/>
                <w:sz w:val="20"/>
                <w:szCs w:val="20"/>
              </w:rPr>
              <w:t>posílí tak konkurenceschopnost ČR, a to podporou bilaterální, případně multilaterální spolupráce špičkových českých a zahraničních účastníků.</w:t>
            </w:r>
          </w:p>
        </w:tc>
        <w:tc>
          <w:tcPr>
            <w:tcW w:w="6341" w:type="dxa"/>
            <w:tcBorders>
              <w:top w:val="nil"/>
              <w:left w:val="nil"/>
              <w:bottom w:val="single" w:sz="8" w:space="0" w:color="92CDDB"/>
              <w:right w:val="single" w:sz="8" w:space="0" w:color="92CDDB"/>
            </w:tcBorders>
            <w:vAlign w:val="center"/>
          </w:tcPr>
          <w:p w14:paraId="3F3DC0EE" w14:textId="77777777" w:rsidR="00FA1845" w:rsidRPr="00AB6847" w:rsidRDefault="00FA1845" w:rsidP="00307AF7">
            <w:pPr>
              <w:spacing w:after="0" w:line="240" w:lineRule="auto"/>
              <w:jc w:val="both"/>
              <w:rPr>
                <w:rFonts w:cs="Arial"/>
                <w:color w:val="000000"/>
                <w:sz w:val="20"/>
                <w:szCs w:val="20"/>
              </w:rPr>
            </w:pPr>
            <w:r w:rsidRPr="00AB6847">
              <w:rPr>
                <w:rFonts w:eastAsia="Times New Roman" w:cs="Arial"/>
                <w:color w:val="000000"/>
                <w:sz w:val="20"/>
                <w:szCs w:val="20"/>
                <w:lang w:eastAsia="en-GB"/>
              </w:rPr>
              <w:t> -</w:t>
            </w:r>
          </w:p>
        </w:tc>
      </w:tr>
      <w:tr w:rsidR="00FA1845" w:rsidRPr="00AB6847" w14:paraId="262C3FBB" w14:textId="77777777" w:rsidTr="008D2230">
        <w:trPr>
          <w:trHeight w:val="792"/>
        </w:trPr>
        <w:tc>
          <w:tcPr>
            <w:tcW w:w="1526" w:type="dxa"/>
            <w:vMerge/>
            <w:tcBorders>
              <w:left w:val="single" w:sz="8" w:space="0" w:color="92CDDB"/>
              <w:right w:val="single" w:sz="8" w:space="0" w:color="92CDDB"/>
            </w:tcBorders>
            <w:noWrap/>
            <w:vAlign w:val="center"/>
            <w:hideMark/>
          </w:tcPr>
          <w:p w14:paraId="2D21B46E" w14:textId="77777777" w:rsidR="00FA1845" w:rsidRPr="00ED79BC" w:rsidRDefault="00FA1845" w:rsidP="00307AF7">
            <w:pPr>
              <w:spacing w:after="0" w:line="240" w:lineRule="auto"/>
              <w:jc w:val="center"/>
              <w:rPr>
                <w:rFonts w:eastAsia="Times New Roman" w:cs="Arial"/>
                <w:color w:val="000000"/>
                <w:sz w:val="20"/>
                <w:szCs w:val="20"/>
                <w:highlight w:val="yellow"/>
                <w:lang w:eastAsia="en-GB"/>
              </w:rPr>
            </w:pPr>
          </w:p>
        </w:tc>
        <w:tc>
          <w:tcPr>
            <w:tcW w:w="615" w:type="dxa"/>
            <w:tcBorders>
              <w:top w:val="nil"/>
              <w:left w:val="nil"/>
              <w:bottom w:val="single" w:sz="8" w:space="0" w:color="92CDDB"/>
              <w:right w:val="single" w:sz="8" w:space="0" w:color="92CDDB"/>
            </w:tcBorders>
            <w:vAlign w:val="center"/>
            <w:hideMark/>
          </w:tcPr>
          <w:p w14:paraId="0113B861" w14:textId="77777777" w:rsidR="00FA1845" w:rsidRPr="00AB6847" w:rsidRDefault="00FA1845" w:rsidP="00307AF7">
            <w:pPr>
              <w:spacing w:after="0" w:line="240" w:lineRule="auto"/>
              <w:jc w:val="center"/>
              <w:rPr>
                <w:rFonts w:eastAsia="Times New Roman" w:cs="Arial"/>
                <w:color w:val="000000"/>
                <w:sz w:val="20"/>
                <w:szCs w:val="20"/>
                <w:lang w:eastAsia="en-GB"/>
              </w:rPr>
            </w:pPr>
            <w:r w:rsidRPr="00AB6847">
              <w:rPr>
                <w:rFonts w:eastAsia="Times New Roman" w:cs="Arial"/>
                <w:color w:val="000000"/>
                <w:sz w:val="20"/>
                <w:szCs w:val="20"/>
                <w:lang w:eastAsia="en-GB"/>
              </w:rPr>
              <w:t>TN</w:t>
            </w:r>
          </w:p>
        </w:tc>
        <w:tc>
          <w:tcPr>
            <w:tcW w:w="5905" w:type="dxa"/>
            <w:tcBorders>
              <w:top w:val="nil"/>
              <w:left w:val="nil"/>
              <w:bottom w:val="single" w:sz="8" w:space="0" w:color="92CDDB"/>
              <w:right w:val="single" w:sz="8" w:space="0" w:color="92CDDB"/>
            </w:tcBorders>
            <w:vAlign w:val="center"/>
            <w:hideMark/>
          </w:tcPr>
          <w:p w14:paraId="6C952199" w14:textId="77777777" w:rsidR="00FA1845" w:rsidRPr="00AB6847" w:rsidRDefault="00FA1845" w:rsidP="00307AF7">
            <w:pPr>
              <w:spacing w:after="0" w:line="240" w:lineRule="auto"/>
              <w:rPr>
                <w:rFonts w:eastAsia="Times New Roman" w:cs="Arial"/>
                <w:color w:val="000000"/>
                <w:sz w:val="20"/>
                <w:szCs w:val="20"/>
                <w:lang w:eastAsia="en-GB"/>
              </w:rPr>
            </w:pPr>
            <w:r w:rsidRPr="00AB6847">
              <w:rPr>
                <w:rFonts w:eastAsia="Times New Roman" w:cs="Arial"/>
                <w:color w:val="000000"/>
                <w:sz w:val="20"/>
                <w:szCs w:val="20"/>
                <w:lang w:eastAsia="en-GB"/>
              </w:rPr>
              <w:t>Národní centra kompetence</w:t>
            </w:r>
          </w:p>
        </w:tc>
        <w:tc>
          <w:tcPr>
            <w:tcW w:w="7088" w:type="dxa"/>
            <w:tcBorders>
              <w:top w:val="nil"/>
              <w:left w:val="single" w:sz="8" w:space="0" w:color="92CDDB"/>
              <w:bottom w:val="single" w:sz="8" w:space="0" w:color="92CDDB"/>
              <w:right w:val="single" w:sz="8" w:space="0" w:color="92CDDB"/>
            </w:tcBorders>
            <w:vAlign w:val="center"/>
            <w:hideMark/>
          </w:tcPr>
          <w:p w14:paraId="3036EBE9" w14:textId="77777777" w:rsidR="00FA1845" w:rsidRPr="00AB6847" w:rsidRDefault="00FA1845" w:rsidP="00307AF7">
            <w:pPr>
              <w:spacing w:after="0" w:line="240" w:lineRule="auto"/>
              <w:jc w:val="both"/>
              <w:rPr>
                <w:rFonts w:cs="Arial"/>
                <w:b/>
                <w:bCs/>
                <w:color w:val="000000"/>
                <w:sz w:val="20"/>
                <w:szCs w:val="20"/>
              </w:rPr>
            </w:pPr>
            <w:r w:rsidRPr="00AB6847">
              <w:rPr>
                <w:rFonts w:cs="Arial"/>
                <w:b/>
                <w:bCs/>
                <w:color w:val="000000"/>
                <w:sz w:val="20"/>
                <w:szCs w:val="20"/>
              </w:rPr>
              <w:t>Zvýšení efektivity a kvality výsledků aplikovaného výzkumu a transferu technologií v klíčových oborech s perspektivou růstu, zvýšení konkurenceschopnosti podniků a posílení excelence a aplikační relevance výzkumných organizací.</w:t>
            </w:r>
          </w:p>
          <w:p w14:paraId="46051C4A" w14:textId="45733A8E" w:rsidR="00FA1845" w:rsidRPr="00AB6847" w:rsidRDefault="00FA1845" w:rsidP="00307AF7">
            <w:pPr>
              <w:spacing w:after="0" w:line="240" w:lineRule="auto"/>
              <w:jc w:val="both"/>
              <w:rPr>
                <w:rFonts w:eastAsia="Times New Roman" w:cs="Arial"/>
                <w:color w:val="000000"/>
                <w:sz w:val="20"/>
                <w:szCs w:val="20"/>
                <w:lang w:eastAsia="en-GB"/>
              </w:rPr>
            </w:pPr>
            <w:r w:rsidRPr="00AB6847">
              <w:rPr>
                <w:rFonts w:cs="Arial"/>
                <w:color w:val="000000"/>
                <w:sz w:val="20"/>
                <w:szCs w:val="20"/>
              </w:rPr>
              <w:t>Nástrojem pro dosažení tohoto cíle je vybudování dostatečně stabilní a</w:t>
            </w:r>
            <w:r w:rsidR="008D2230">
              <w:rPr>
                <w:rFonts w:cs="Arial"/>
                <w:color w:val="000000"/>
                <w:sz w:val="20"/>
                <w:szCs w:val="20"/>
              </w:rPr>
              <w:t> </w:t>
            </w:r>
            <w:r w:rsidRPr="00AB6847">
              <w:rPr>
                <w:rFonts w:cs="Arial"/>
                <w:color w:val="000000"/>
                <w:sz w:val="20"/>
                <w:szCs w:val="20"/>
              </w:rPr>
              <w:t>dlouhodobé základny aplikovaného výzkumu (v podobě národních center kompetence), a to prostřednictvím koncentrace výzkumných kapacit a</w:t>
            </w:r>
            <w:r w:rsidR="008D2230">
              <w:rPr>
                <w:rFonts w:cs="Arial"/>
                <w:color w:val="000000"/>
                <w:sz w:val="20"/>
                <w:szCs w:val="20"/>
              </w:rPr>
              <w:t> </w:t>
            </w:r>
            <w:r w:rsidRPr="00AB6847">
              <w:rPr>
                <w:rFonts w:cs="Arial"/>
                <w:color w:val="000000"/>
                <w:sz w:val="20"/>
                <w:szCs w:val="20"/>
              </w:rPr>
              <w:t>nastavení jejich silné orientace na aplikaci výsledků jejich výzkumu v praxi.</w:t>
            </w:r>
          </w:p>
        </w:tc>
        <w:tc>
          <w:tcPr>
            <w:tcW w:w="6341" w:type="dxa"/>
            <w:tcBorders>
              <w:top w:val="nil"/>
              <w:left w:val="nil"/>
              <w:bottom w:val="single" w:sz="8" w:space="0" w:color="92CDDB"/>
              <w:right w:val="single" w:sz="8" w:space="0" w:color="92CDDB"/>
            </w:tcBorders>
            <w:vAlign w:val="center"/>
            <w:hideMark/>
          </w:tcPr>
          <w:p w14:paraId="4D1B2A22" w14:textId="6D3C2E75" w:rsidR="00FA1845" w:rsidRPr="00AB6847" w:rsidRDefault="00FA1845" w:rsidP="00307AF7">
            <w:pPr>
              <w:spacing w:after="0" w:line="240" w:lineRule="auto"/>
              <w:jc w:val="both"/>
              <w:rPr>
                <w:rFonts w:eastAsia="Times New Roman" w:cs="Arial"/>
                <w:color w:val="000000"/>
                <w:sz w:val="20"/>
                <w:szCs w:val="20"/>
                <w:lang w:eastAsia="en-GB"/>
              </w:rPr>
            </w:pPr>
            <w:r w:rsidRPr="00AB6847">
              <w:rPr>
                <w:rFonts w:cs="Arial"/>
                <w:color w:val="000000"/>
                <w:sz w:val="20"/>
                <w:szCs w:val="20"/>
              </w:rPr>
              <w:t>Mezi dílčí cíle programu patří (i) propojení stávajících výzkumných center, (</w:t>
            </w:r>
            <w:proofErr w:type="spellStart"/>
            <w:r w:rsidRPr="00AB6847">
              <w:rPr>
                <w:rFonts w:cs="Arial"/>
                <w:color w:val="000000"/>
                <w:sz w:val="20"/>
                <w:szCs w:val="20"/>
              </w:rPr>
              <w:t>ii</w:t>
            </w:r>
            <w:proofErr w:type="spellEnd"/>
            <w:r w:rsidRPr="00AB6847">
              <w:rPr>
                <w:rFonts w:cs="Arial"/>
                <w:color w:val="000000"/>
                <w:sz w:val="20"/>
                <w:szCs w:val="20"/>
              </w:rPr>
              <w:t>) zaměření na perspektivní sektory české ekonomiky dle</w:t>
            </w:r>
            <w:r w:rsidR="009718D4">
              <w:rPr>
                <w:rFonts w:cs="Arial"/>
                <w:color w:val="000000"/>
                <w:sz w:val="20"/>
                <w:szCs w:val="20"/>
              </w:rPr>
              <w:t> </w:t>
            </w:r>
            <w:r w:rsidRPr="00AB6847">
              <w:rPr>
                <w:rFonts w:cs="Arial"/>
                <w:color w:val="000000"/>
                <w:sz w:val="20"/>
                <w:szCs w:val="20"/>
              </w:rPr>
              <w:t>Národní RIS3 strategie, (</w:t>
            </w:r>
            <w:proofErr w:type="spellStart"/>
            <w:r w:rsidRPr="00AB6847">
              <w:rPr>
                <w:rFonts w:cs="Arial"/>
                <w:color w:val="000000"/>
                <w:sz w:val="20"/>
                <w:szCs w:val="20"/>
              </w:rPr>
              <w:t>iii</w:t>
            </w:r>
            <w:proofErr w:type="spellEnd"/>
            <w:r w:rsidRPr="00AB6847">
              <w:rPr>
                <w:rFonts w:cs="Arial"/>
                <w:color w:val="000000"/>
                <w:sz w:val="20"/>
                <w:szCs w:val="20"/>
              </w:rPr>
              <w:t>) zajištění mezioborovosti a podpora dlouhodobé spolupráce, (</w:t>
            </w:r>
            <w:proofErr w:type="spellStart"/>
            <w:r w:rsidRPr="00AB6847">
              <w:rPr>
                <w:rFonts w:cs="Arial"/>
                <w:color w:val="000000"/>
                <w:sz w:val="20"/>
                <w:szCs w:val="20"/>
              </w:rPr>
              <w:t>iv</w:t>
            </w:r>
            <w:proofErr w:type="spellEnd"/>
            <w:r w:rsidRPr="00AB6847">
              <w:rPr>
                <w:rFonts w:cs="Arial"/>
                <w:color w:val="000000"/>
                <w:sz w:val="20"/>
                <w:szCs w:val="20"/>
              </w:rPr>
              <w:t>) podpora inovací prostřednictvím transferu technologií, důraz na aplikovatelnost výsledků v praxi a (v) zvýšení počtu inovačních lídrů.</w:t>
            </w:r>
          </w:p>
        </w:tc>
      </w:tr>
      <w:tr w:rsidR="00FA1845" w:rsidRPr="00AB6847" w14:paraId="047C88D2" w14:textId="77777777" w:rsidTr="008D2230">
        <w:trPr>
          <w:trHeight w:val="792"/>
        </w:trPr>
        <w:tc>
          <w:tcPr>
            <w:tcW w:w="1526" w:type="dxa"/>
            <w:vMerge/>
            <w:tcBorders>
              <w:left w:val="single" w:sz="8" w:space="0" w:color="92CDDB"/>
              <w:right w:val="single" w:sz="8" w:space="0" w:color="92CDDB"/>
            </w:tcBorders>
            <w:vAlign w:val="center"/>
            <w:hideMark/>
          </w:tcPr>
          <w:p w14:paraId="0A95B98F" w14:textId="77777777" w:rsidR="00FA1845" w:rsidRPr="00ED79BC" w:rsidRDefault="00FA1845" w:rsidP="00307AF7">
            <w:pPr>
              <w:spacing w:after="0" w:line="240" w:lineRule="auto"/>
              <w:rPr>
                <w:rFonts w:eastAsia="Times New Roman" w:cs="Arial"/>
                <w:color w:val="000000"/>
                <w:sz w:val="20"/>
                <w:szCs w:val="20"/>
                <w:highlight w:val="yellow"/>
                <w:lang w:eastAsia="en-GB"/>
              </w:rPr>
            </w:pPr>
          </w:p>
        </w:tc>
        <w:tc>
          <w:tcPr>
            <w:tcW w:w="615" w:type="dxa"/>
            <w:tcBorders>
              <w:top w:val="nil"/>
              <w:left w:val="nil"/>
              <w:bottom w:val="single" w:sz="8" w:space="0" w:color="92CDDB"/>
              <w:right w:val="single" w:sz="8" w:space="0" w:color="92CDDB"/>
            </w:tcBorders>
            <w:vAlign w:val="center"/>
          </w:tcPr>
          <w:p w14:paraId="2CFC6783" w14:textId="77777777" w:rsidR="00FA1845" w:rsidRPr="00AB6847" w:rsidRDefault="00FA1845" w:rsidP="00307AF7">
            <w:pPr>
              <w:spacing w:after="0" w:line="240" w:lineRule="auto"/>
              <w:jc w:val="center"/>
              <w:rPr>
                <w:rFonts w:eastAsia="Times New Roman" w:cs="Arial"/>
                <w:color w:val="000000"/>
                <w:sz w:val="20"/>
                <w:szCs w:val="20"/>
                <w:lang w:eastAsia="en-GB"/>
              </w:rPr>
            </w:pPr>
            <w:r w:rsidRPr="00DB1764">
              <w:rPr>
                <w:rFonts w:eastAsia="Times New Roman" w:cs="Arial"/>
                <w:color w:val="000000"/>
                <w:sz w:val="20"/>
                <w:szCs w:val="20"/>
                <w:lang w:eastAsia="en-GB"/>
              </w:rPr>
              <w:t>TO</w:t>
            </w:r>
          </w:p>
        </w:tc>
        <w:tc>
          <w:tcPr>
            <w:tcW w:w="5905" w:type="dxa"/>
            <w:tcBorders>
              <w:top w:val="nil"/>
              <w:left w:val="nil"/>
              <w:bottom w:val="single" w:sz="8" w:space="0" w:color="92CDDB"/>
              <w:right w:val="single" w:sz="8" w:space="0" w:color="92CDDB"/>
            </w:tcBorders>
            <w:vAlign w:val="center"/>
          </w:tcPr>
          <w:p w14:paraId="6A1BC7C8" w14:textId="77777777" w:rsidR="00FA1845" w:rsidRPr="00AB6847" w:rsidRDefault="00FA1845" w:rsidP="00307AF7">
            <w:pPr>
              <w:spacing w:after="0" w:line="240" w:lineRule="auto"/>
              <w:rPr>
                <w:rFonts w:eastAsia="Times New Roman" w:cs="Arial"/>
                <w:color w:val="000000"/>
                <w:sz w:val="20"/>
                <w:szCs w:val="20"/>
                <w:lang w:eastAsia="en-GB"/>
              </w:rPr>
            </w:pPr>
            <w:r w:rsidRPr="00DB1764">
              <w:rPr>
                <w:rFonts w:eastAsia="Times New Roman" w:cs="Arial"/>
                <w:color w:val="000000"/>
                <w:sz w:val="20"/>
                <w:szCs w:val="20"/>
                <w:lang w:eastAsia="en-GB"/>
              </w:rPr>
              <w:t xml:space="preserve">KAPPA </w:t>
            </w:r>
          </w:p>
        </w:tc>
        <w:tc>
          <w:tcPr>
            <w:tcW w:w="7088" w:type="dxa"/>
            <w:tcBorders>
              <w:top w:val="single" w:sz="8" w:space="0" w:color="92CDDB"/>
              <w:left w:val="single" w:sz="8" w:space="0" w:color="92CDDB"/>
              <w:bottom w:val="single" w:sz="8" w:space="0" w:color="92CDDB"/>
              <w:right w:val="single" w:sz="8" w:space="0" w:color="92CDDB"/>
            </w:tcBorders>
            <w:vAlign w:val="center"/>
          </w:tcPr>
          <w:p w14:paraId="46CC3087" w14:textId="63EACE57" w:rsidR="00FA1845" w:rsidRPr="00AB6847" w:rsidRDefault="00FA1845" w:rsidP="00307AF7">
            <w:pPr>
              <w:spacing w:after="0" w:line="240" w:lineRule="auto"/>
              <w:jc w:val="both"/>
              <w:rPr>
                <w:rFonts w:eastAsia="Times New Roman" w:cs="Arial"/>
                <w:color w:val="000000"/>
                <w:sz w:val="20"/>
                <w:szCs w:val="20"/>
                <w:lang w:eastAsia="en-GB"/>
              </w:rPr>
            </w:pPr>
            <w:r w:rsidRPr="00DB1764">
              <w:rPr>
                <w:rFonts w:cs="Arial"/>
                <w:b/>
                <w:bCs/>
                <w:color w:val="000000"/>
                <w:sz w:val="20"/>
                <w:szCs w:val="20"/>
              </w:rPr>
              <w:t>Posílení rozvoje znalostí založených na výzkumu prostřednictvím mezinárodní spolupráce v aplikovaném výzkumu.</w:t>
            </w:r>
            <w:r w:rsidRPr="00DB1764">
              <w:rPr>
                <w:rFonts w:cs="Arial"/>
                <w:color w:val="000000"/>
                <w:sz w:val="20"/>
                <w:szCs w:val="20"/>
              </w:rPr>
              <w:t xml:space="preserve"> Dále také zvýšení množství konkrétních výsledků aplikovaného výzkumu a experimentálního vývoje v oblastech, v nichž existuje shoda se zahraničním partnerem, které budou úspěšně zavedeny do praxe a</w:t>
            </w:r>
            <w:r>
              <w:rPr>
                <w:rFonts w:cs="Arial"/>
                <w:color w:val="000000"/>
                <w:sz w:val="20"/>
                <w:szCs w:val="20"/>
              </w:rPr>
              <w:t> </w:t>
            </w:r>
            <w:r w:rsidRPr="00DB1764">
              <w:rPr>
                <w:rFonts w:cs="Arial"/>
                <w:color w:val="000000"/>
                <w:sz w:val="20"/>
                <w:szCs w:val="20"/>
              </w:rPr>
              <w:t>posílí tak konkurenceschopnost ČR, a</w:t>
            </w:r>
            <w:r w:rsidR="008D2230">
              <w:rPr>
                <w:rFonts w:cs="Arial"/>
                <w:color w:val="000000"/>
                <w:sz w:val="20"/>
                <w:szCs w:val="20"/>
              </w:rPr>
              <w:t> </w:t>
            </w:r>
            <w:r w:rsidRPr="00DB1764">
              <w:rPr>
                <w:rFonts w:cs="Arial"/>
                <w:color w:val="000000"/>
                <w:sz w:val="20"/>
                <w:szCs w:val="20"/>
              </w:rPr>
              <w:t>to podporou bilaterální, případně multilaterální spolupráce špičkových českých a zahraničních účastníků. Vedlejším cílem programu je podpora projektů zaměřených na zachytávání a ukládání uhlíku. Cílů programu bude dosaženo podporou společných projektů uskutečňovaných uchazeči z ČR, Norska, Islandu a Lichtenštejnska.</w:t>
            </w:r>
          </w:p>
        </w:tc>
        <w:tc>
          <w:tcPr>
            <w:tcW w:w="6341" w:type="dxa"/>
            <w:tcBorders>
              <w:top w:val="nil"/>
              <w:left w:val="nil"/>
              <w:bottom w:val="single" w:sz="8" w:space="0" w:color="92CDDB"/>
              <w:right w:val="single" w:sz="8" w:space="0" w:color="92CDDB"/>
            </w:tcBorders>
            <w:vAlign w:val="center"/>
          </w:tcPr>
          <w:p w14:paraId="226E81F6" w14:textId="77777777" w:rsidR="00FA1845" w:rsidRPr="00AB6847" w:rsidRDefault="00FA1845" w:rsidP="00307AF7">
            <w:pPr>
              <w:spacing w:after="0" w:line="240" w:lineRule="auto"/>
              <w:jc w:val="both"/>
              <w:rPr>
                <w:rFonts w:eastAsia="Times New Roman" w:cs="Arial"/>
                <w:color w:val="000000"/>
                <w:sz w:val="20"/>
                <w:szCs w:val="20"/>
                <w:lang w:eastAsia="en-GB"/>
              </w:rPr>
            </w:pPr>
            <w:r w:rsidRPr="00DB1764">
              <w:rPr>
                <w:rFonts w:eastAsia="Times New Roman" w:cs="Arial"/>
                <w:color w:val="000000"/>
                <w:sz w:val="20"/>
                <w:szCs w:val="20"/>
                <w:lang w:eastAsia="en-GB"/>
              </w:rPr>
              <w:t> -</w:t>
            </w:r>
          </w:p>
        </w:tc>
      </w:tr>
      <w:tr w:rsidR="00FA1845" w:rsidRPr="00AB6847" w14:paraId="7BA259D0" w14:textId="77777777" w:rsidTr="008D2230">
        <w:trPr>
          <w:trHeight w:val="792"/>
        </w:trPr>
        <w:tc>
          <w:tcPr>
            <w:tcW w:w="1526" w:type="dxa"/>
            <w:vMerge/>
            <w:tcBorders>
              <w:left w:val="single" w:sz="8" w:space="0" w:color="92CDDB"/>
              <w:right w:val="single" w:sz="8" w:space="0" w:color="92CDDB"/>
            </w:tcBorders>
            <w:vAlign w:val="center"/>
            <w:hideMark/>
          </w:tcPr>
          <w:p w14:paraId="38999A96" w14:textId="77777777" w:rsidR="00FA1845" w:rsidRPr="00ED79BC" w:rsidRDefault="00FA1845" w:rsidP="00307AF7">
            <w:pPr>
              <w:spacing w:after="0" w:line="240" w:lineRule="auto"/>
              <w:rPr>
                <w:rFonts w:eastAsia="Times New Roman" w:cs="Arial"/>
                <w:color w:val="000000"/>
                <w:sz w:val="20"/>
                <w:szCs w:val="20"/>
                <w:highlight w:val="yellow"/>
                <w:lang w:eastAsia="en-GB"/>
              </w:rPr>
            </w:pPr>
          </w:p>
        </w:tc>
        <w:tc>
          <w:tcPr>
            <w:tcW w:w="615" w:type="dxa"/>
            <w:tcBorders>
              <w:top w:val="nil"/>
              <w:left w:val="nil"/>
              <w:bottom w:val="single" w:sz="8" w:space="0" w:color="92CDDB"/>
              <w:right w:val="single" w:sz="8" w:space="0" w:color="92CDDB"/>
            </w:tcBorders>
            <w:vAlign w:val="center"/>
          </w:tcPr>
          <w:p w14:paraId="77CC2C1A" w14:textId="77777777" w:rsidR="00FA1845" w:rsidRPr="00AB6847" w:rsidRDefault="00FA1845" w:rsidP="00307AF7">
            <w:pPr>
              <w:spacing w:after="0" w:line="240" w:lineRule="auto"/>
              <w:jc w:val="center"/>
              <w:rPr>
                <w:rFonts w:eastAsia="Times New Roman" w:cs="Arial"/>
                <w:color w:val="000000"/>
                <w:sz w:val="20"/>
                <w:szCs w:val="20"/>
                <w:lang w:eastAsia="en-GB"/>
              </w:rPr>
            </w:pPr>
            <w:r>
              <w:rPr>
                <w:rFonts w:eastAsia="Times New Roman" w:cs="Arial"/>
                <w:color w:val="000000"/>
                <w:sz w:val="20"/>
                <w:szCs w:val="20"/>
                <w:lang w:eastAsia="en-GB"/>
              </w:rPr>
              <w:t>TQ</w:t>
            </w:r>
          </w:p>
        </w:tc>
        <w:tc>
          <w:tcPr>
            <w:tcW w:w="5905" w:type="dxa"/>
            <w:tcBorders>
              <w:top w:val="nil"/>
              <w:left w:val="nil"/>
              <w:bottom w:val="single" w:sz="8" w:space="0" w:color="92CDDB"/>
              <w:right w:val="single" w:sz="8" w:space="0" w:color="92CDDB"/>
            </w:tcBorders>
            <w:vAlign w:val="center"/>
          </w:tcPr>
          <w:p w14:paraId="6EC4E9D0" w14:textId="77777777" w:rsidR="00FA1845" w:rsidRPr="00AB6847" w:rsidRDefault="00FA1845" w:rsidP="00307AF7">
            <w:pPr>
              <w:spacing w:after="0" w:line="240" w:lineRule="auto"/>
              <w:rPr>
                <w:rFonts w:eastAsia="Times New Roman" w:cs="Arial"/>
                <w:color w:val="000000"/>
                <w:sz w:val="20"/>
                <w:szCs w:val="20"/>
                <w:lang w:eastAsia="en-GB"/>
              </w:rPr>
            </w:pPr>
            <w:r>
              <w:rPr>
                <w:rFonts w:eastAsia="Times New Roman" w:cs="Arial"/>
                <w:color w:val="000000"/>
                <w:sz w:val="20"/>
                <w:szCs w:val="20"/>
                <w:lang w:eastAsia="en-GB"/>
              </w:rPr>
              <w:t>SIGMA</w:t>
            </w:r>
          </w:p>
        </w:tc>
        <w:tc>
          <w:tcPr>
            <w:tcW w:w="7088" w:type="dxa"/>
            <w:tcBorders>
              <w:top w:val="single" w:sz="8" w:space="0" w:color="92CDDB"/>
              <w:left w:val="single" w:sz="8" w:space="0" w:color="92CDDB"/>
              <w:bottom w:val="single" w:sz="8" w:space="0" w:color="92CDDB"/>
              <w:right w:val="single" w:sz="8" w:space="0" w:color="92CDDB"/>
            </w:tcBorders>
            <w:vAlign w:val="center"/>
          </w:tcPr>
          <w:p w14:paraId="134AC0E2" w14:textId="3192093B" w:rsidR="00FA1845" w:rsidRPr="00AB6847" w:rsidRDefault="00FA1845" w:rsidP="00307AF7">
            <w:pPr>
              <w:spacing w:after="0" w:line="240" w:lineRule="auto"/>
              <w:jc w:val="both"/>
              <w:rPr>
                <w:rFonts w:eastAsia="Times New Roman" w:cs="Arial"/>
                <w:color w:val="000000"/>
                <w:sz w:val="20"/>
                <w:szCs w:val="20"/>
                <w:lang w:eastAsia="en-GB"/>
              </w:rPr>
            </w:pPr>
            <w:r w:rsidRPr="00B66AC5">
              <w:rPr>
                <w:rFonts w:cs="Arial"/>
                <w:b/>
                <w:color w:val="000000"/>
                <w:sz w:val="20"/>
                <w:szCs w:val="20"/>
              </w:rPr>
              <w:t>Podpora aplikovaného výzkumu a inovací vedoucí ke vzniku nových výsledků uplatnitelných v praxi, k řešení výzev a potřeb společnosti a</w:t>
            </w:r>
            <w:r w:rsidR="008D2230">
              <w:rPr>
                <w:rFonts w:cs="Arial"/>
                <w:b/>
                <w:color w:val="000000"/>
                <w:sz w:val="20"/>
                <w:szCs w:val="20"/>
              </w:rPr>
              <w:t> </w:t>
            </w:r>
            <w:r w:rsidRPr="00B66AC5">
              <w:rPr>
                <w:rFonts w:cs="Arial"/>
                <w:b/>
                <w:color w:val="000000"/>
                <w:sz w:val="20"/>
                <w:szCs w:val="20"/>
              </w:rPr>
              <w:t>hospodářství a</w:t>
            </w:r>
            <w:r>
              <w:rPr>
                <w:rFonts w:cs="Arial"/>
                <w:b/>
                <w:color w:val="000000"/>
                <w:sz w:val="20"/>
                <w:szCs w:val="20"/>
              </w:rPr>
              <w:t> </w:t>
            </w:r>
            <w:r w:rsidRPr="00B66AC5">
              <w:rPr>
                <w:rFonts w:cs="Arial"/>
                <w:b/>
                <w:color w:val="000000"/>
                <w:sz w:val="20"/>
                <w:szCs w:val="20"/>
              </w:rPr>
              <w:t>k</w:t>
            </w:r>
            <w:r>
              <w:rPr>
                <w:rFonts w:cs="Arial"/>
                <w:b/>
                <w:color w:val="000000"/>
                <w:sz w:val="20"/>
                <w:szCs w:val="20"/>
              </w:rPr>
              <w:t> </w:t>
            </w:r>
            <w:r w:rsidRPr="00B66AC5">
              <w:rPr>
                <w:rFonts w:cs="Arial"/>
                <w:b/>
                <w:color w:val="000000"/>
                <w:sz w:val="20"/>
                <w:szCs w:val="20"/>
              </w:rPr>
              <w:t>podpoře řešení systémových opatření výzkumného a</w:t>
            </w:r>
            <w:r w:rsidR="008D2230">
              <w:rPr>
                <w:rFonts w:cs="Arial"/>
                <w:b/>
                <w:color w:val="000000"/>
                <w:sz w:val="20"/>
                <w:szCs w:val="20"/>
              </w:rPr>
              <w:t> </w:t>
            </w:r>
            <w:r w:rsidRPr="00B66AC5">
              <w:rPr>
                <w:rFonts w:cs="Arial"/>
                <w:b/>
                <w:color w:val="000000"/>
                <w:sz w:val="20"/>
                <w:szCs w:val="20"/>
              </w:rPr>
              <w:t>inovačního prostředí</w:t>
            </w:r>
            <w:r w:rsidRPr="00B66AC5">
              <w:rPr>
                <w:rFonts w:cs="Arial"/>
                <w:color w:val="000000"/>
                <w:sz w:val="20"/>
                <w:szCs w:val="20"/>
              </w:rPr>
              <w:t>. Naplňování hlavního cíle programu přispěje k</w:t>
            </w:r>
            <w:r w:rsidR="008D2230">
              <w:rPr>
                <w:rFonts w:cs="Arial"/>
                <w:color w:val="000000"/>
                <w:sz w:val="20"/>
                <w:szCs w:val="20"/>
              </w:rPr>
              <w:t> </w:t>
            </w:r>
            <w:r w:rsidRPr="00B66AC5">
              <w:rPr>
                <w:rFonts w:cs="Arial"/>
                <w:color w:val="000000"/>
                <w:sz w:val="20"/>
                <w:szCs w:val="20"/>
              </w:rPr>
              <w:t>efektivnímu fungování trhu, zejména k:</w:t>
            </w:r>
            <w:r>
              <w:rPr>
                <w:rFonts w:cs="Arial"/>
                <w:color w:val="000000"/>
                <w:sz w:val="20"/>
                <w:szCs w:val="20"/>
              </w:rPr>
              <w:t> </w:t>
            </w:r>
            <w:r w:rsidRPr="00B66AC5">
              <w:rPr>
                <w:rFonts w:cs="Arial"/>
                <w:color w:val="000000"/>
                <w:sz w:val="20"/>
                <w:szCs w:val="20"/>
              </w:rPr>
              <w:t>i)</w:t>
            </w:r>
            <w:r>
              <w:rPr>
                <w:rFonts w:cs="Arial"/>
                <w:color w:val="000000"/>
                <w:sz w:val="20"/>
                <w:szCs w:val="20"/>
              </w:rPr>
              <w:t> </w:t>
            </w:r>
            <w:r w:rsidRPr="00B66AC5">
              <w:rPr>
                <w:rFonts w:cs="Arial"/>
                <w:color w:val="000000"/>
                <w:sz w:val="20"/>
                <w:szCs w:val="20"/>
              </w:rPr>
              <w:t xml:space="preserve">zajištění příležitostí pro vzájemně prospěšnou spolupráci výzkumných organizací a podniků; </w:t>
            </w:r>
            <w:proofErr w:type="spellStart"/>
            <w:r w:rsidRPr="00B66AC5">
              <w:rPr>
                <w:rFonts w:cs="Arial"/>
                <w:color w:val="000000"/>
                <w:sz w:val="20"/>
                <w:szCs w:val="20"/>
              </w:rPr>
              <w:t>ii</w:t>
            </w:r>
            <w:proofErr w:type="spellEnd"/>
            <w:r w:rsidRPr="00B66AC5">
              <w:rPr>
                <w:rFonts w:cs="Arial"/>
                <w:color w:val="000000"/>
                <w:sz w:val="20"/>
                <w:szCs w:val="20"/>
              </w:rPr>
              <w:t xml:space="preserve">) zmírnění dopadů asymetrických informací; </w:t>
            </w:r>
            <w:proofErr w:type="spellStart"/>
            <w:r w:rsidRPr="00B66AC5">
              <w:rPr>
                <w:rFonts w:cs="Arial"/>
                <w:color w:val="000000"/>
                <w:sz w:val="20"/>
                <w:szCs w:val="20"/>
              </w:rPr>
              <w:t>iii</w:t>
            </w:r>
            <w:proofErr w:type="spellEnd"/>
            <w:r w:rsidRPr="00B66AC5">
              <w:rPr>
                <w:rFonts w:cs="Arial"/>
                <w:color w:val="000000"/>
                <w:sz w:val="20"/>
                <w:szCs w:val="20"/>
              </w:rPr>
              <w:t>) vyvolání kladných vedlejších účinků výzkumu, vývoje a inovací ve formě celospolečenských dopadů. Naplňování hlavního cíle programu bude probíhat prostřednictvím pěti dílčích cílů.</w:t>
            </w:r>
          </w:p>
        </w:tc>
        <w:tc>
          <w:tcPr>
            <w:tcW w:w="6341" w:type="dxa"/>
            <w:tcBorders>
              <w:top w:val="nil"/>
              <w:left w:val="nil"/>
              <w:bottom w:val="single" w:sz="8" w:space="0" w:color="92CDDB"/>
              <w:right w:val="single" w:sz="8" w:space="0" w:color="92CDDB"/>
            </w:tcBorders>
            <w:vAlign w:val="center"/>
          </w:tcPr>
          <w:p w14:paraId="35D65C5E" w14:textId="77777777" w:rsidR="00FA1845" w:rsidRPr="00AB6847" w:rsidRDefault="00FA1845" w:rsidP="00307AF7">
            <w:pPr>
              <w:pStyle w:val="Odstavecseseznamem"/>
              <w:spacing w:after="0" w:line="240" w:lineRule="auto"/>
              <w:ind w:left="0"/>
              <w:jc w:val="both"/>
              <w:rPr>
                <w:rFonts w:eastAsia="Times New Roman" w:cs="Arial"/>
                <w:color w:val="000000"/>
                <w:sz w:val="20"/>
                <w:szCs w:val="20"/>
                <w:lang w:eastAsia="en-GB"/>
              </w:rPr>
            </w:pPr>
            <w:r>
              <w:rPr>
                <w:rFonts w:eastAsia="Times New Roman" w:cs="Arial"/>
                <w:color w:val="000000"/>
                <w:sz w:val="20"/>
                <w:szCs w:val="20"/>
                <w:lang w:eastAsia="en-GB"/>
              </w:rPr>
              <w:t xml:space="preserve">Dílčí cíle programu jsou (1) „Aktivity tzv. </w:t>
            </w:r>
            <w:proofErr w:type="spellStart"/>
            <w:r>
              <w:rPr>
                <w:rFonts w:eastAsia="Times New Roman" w:cs="Arial"/>
                <w:color w:val="000000"/>
                <w:sz w:val="20"/>
                <w:szCs w:val="20"/>
                <w:lang w:eastAsia="en-GB"/>
              </w:rPr>
              <w:t>předaplikačního</w:t>
            </w:r>
            <w:proofErr w:type="spellEnd"/>
            <w:r>
              <w:rPr>
                <w:rFonts w:eastAsia="Times New Roman" w:cs="Arial"/>
                <w:color w:val="000000"/>
                <w:sz w:val="20"/>
                <w:szCs w:val="20"/>
                <w:lang w:eastAsia="en-GB"/>
              </w:rPr>
              <w:t xml:space="preserve"> výzkumu“, (2) „Začínající výzkumníci/výzkumnice a vyrovnávání příležitostí v projektech aplikovaného výzkumu“, (3) „Podpora inovačního potenciálu společenských věd, humanitních věd a umění“, (4) „Mezinárodní spolupráce“, (5) „Průřezová podpora“.</w:t>
            </w:r>
          </w:p>
        </w:tc>
      </w:tr>
      <w:tr w:rsidR="00FA1845" w:rsidRPr="00AB6847" w14:paraId="2523A6D8" w14:textId="77777777" w:rsidTr="008D2230">
        <w:trPr>
          <w:trHeight w:val="792"/>
        </w:trPr>
        <w:tc>
          <w:tcPr>
            <w:tcW w:w="1526" w:type="dxa"/>
            <w:vMerge/>
            <w:tcBorders>
              <w:left w:val="single" w:sz="8" w:space="0" w:color="92CDDB"/>
              <w:bottom w:val="single" w:sz="4" w:space="0" w:color="92CDDB"/>
              <w:right w:val="single" w:sz="8" w:space="0" w:color="92CDDB"/>
            </w:tcBorders>
            <w:vAlign w:val="center"/>
          </w:tcPr>
          <w:p w14:paraId="1E5C6E56" w14:textId="77777777" w:rsidR="00FA1845" w:rsidRPr="00ED79BC" w:rsidRDefault="00FA1845" w:rsidP="00307AF7">
            <w:pPr>
              <w:spacing w:after="0" w:line="240" w:lineRule="auto"/>
              <w:rPr>
                <w:rFonts w:eastAsia="Times New Roman" w:cs="Arial"/>
                <w:color w:val="000000"/>
                <w:sz w:val="20"/>
                <w:szCs w:val="20"/>
                <w:highlight w:val="yellow"/>
                <w:lang w:eastAsia="en-GB"/>
              </w:rPr>
            </w:pPr>
          </w:p>
        </w:tc>
        <w:tc>
          <w:tcPr>
            <w:tcW w:w="615" w:type="dxa"/>
            <w:tcBorders>
              <w:top w:val="nil"/>
              <w:left w:val="nil"/>
              <w:bottom w:val="single" w:sz="8" w:space="0" w:color="92CDDB"/>
              <w:right w:val="single" w:sz="8" w:space="0" w:color="92CDDB"/>
            </w:tcBorders>
            <w:vAlign w:val="center"/>
          </w:tcPr>
          <w:p w14:paraId="5B0190C3" w14:textId="77777777" w:rsidR="00FA1845" w:rsidRPr="00AB6847" w:rsidRDefault="00FA1845" w:rsidP="00307AF7">
            <w:pPr>
              <w:spacing w:after="0" w:line="240" w:lineRule="auto"/>
              <w:jc w:val="center"/>
              <w:rPr>
                <w:rFonts w:eastAsia="Times New Roman" w:cs="Arial"/>
                <w:color w:val="000000"/>
                <w:sz w:val="20"/>
                <w:szCs w:val="20"/>
                <w:lang w:eastAsia="en-GB"/>
              </w:rPr>
            </w:pPr>
            <w:r>
              <w:rPr>
                <w:rFonts w:eastAsia="Times New Roman" w:cs="Arial"/>
                <w:color w:val="000000"/>
                <w:sz w:val="20"/>
                <w:szCs w:val="20"/>
                <w:lang w:eastAsia="en-GB"/>
              </w:rPr>
              <w:t>TT</w:t>
            </w:r>
          </w:p>
        </w:tc>
        <w:tc>
          <w:tcPr>
            <w:tcW w:w="5905" w:type="dxa"/>
            <w:tcBorders>
              <w:top w:val="nil"/>
              <w:left w:val="nil"/>
              <w:bottom w:val="single" w:sz="8" w:space="0" w:color="92CDDB"/>
              <w:right w:val="single" w:sz="8" w:space="0" w:color="92CDDB"/>
            </w:tcBorders>
            <w:vAlign w:val="center"/>
          </w:tcPr>
          <w:p w14:paraId="661B7988" w14:textId="77777777" w:rsidR="00FA1845" w:rsidRPr="00AB6847" w:rsidRDefault="00FA1845" w:rsidP="00307AF7">
            <w:pPr>
              <w:spacing w:after="0" w:line="240" w:lineRule="auto"/>
              <w:rPr>
                <w:rFonts w:eastAsia="Times New Roman" w:cs="Arial"/>
                <w:color w:val="000000"/>
                <w:sz w:val="20"/>
                <w:szCs w:val="20"/>
                <w:lang w:eastAsia="en-GB"/>
              </w:rPr>
            </w:pPr>
            <w:r>
              <w:rPr>
                <w:rFonts w:eastAsia="Times New Roman" w:cs="Arial"/>
                <w:color w:val="000000"/>
                <w:sz w:val="20"/>
                <w:szCs w:val="20"/>
                <w:lang w:eastAsia="en-GB"/>
              </w:rPr>
              <w:t>BETA3</w:t>
            </w:r>
          </w:p>
        </w:tc>
        <w:tc>
          <w:tcPr>
            <w:tcW w:w="7088" w:type="dxa"/>
            <w:tcBorders>
              <w:top w:val="single" w:sz="8" w:space="0" w:color="92CDDB"/>
              <w:left w:val="single" w:sz="8" w:space="0" w:color="92CDDB"/>
              <w:bottom w:val="single" w:sz="8" w:space="0" w:color="92CDDB"/>
              <w:right w:val="single" w:sz="8" w:space="0" w:color="92CDDB"/>
            </w:tcBorders>
            <w:vAlign w:val="center"/>
          </w:tcPr>
          <w:p w14:paraId="47123770" w14:textId="1D926CD8" w:rsidR="00FA1845" w:rsidRPr="00AB6847" w:rsidRDefault="00FA1845" w:rsidP="00307AF7">
            <w:pPr>
              <w:spacing w:after="0" w:line="240" w:lineRule="auto"/>
              <w:jc w:val="both"/>
              <w:rPr>
                <w:rFonts w:eastAsia="Times New Roman" w:cs="Arial"/>
                <w:color w:val="000000"/>
                <w:sz w:val="20"/>
                <w:szCs w:val="20"/>
                <w:lang w:eastAsia="en-GB"/>
              </w:rPr>
            </w:pPr>
            <w:r>
              <w:rPr>
                <w:rFonts w:cs="Arial"/>
                <w:color w:val="000000"/>
                <w:sz w:val="20"/>
                <w:szCs w:val="20"/>
              </w:rPr>
              <w:t>P</w:t>
            </w:r>
            <w:r w:rsidRPr="00B051BA">
              <w:rPr>
                <w:rFonts w:cs="Arial"/>
                <w:color w:val="000000"/>
                <w:sz w:val="20"/>
                <w:szCs w:val="20"/>
              </w:rPr>
              <w:t>odpora realizace výzkumných aktivit ve snaze posílit vývoj nových nebo zdokonalení současných postupů, regulačních mechanismů, dozorových činností, dovedností, služeb, informačních a řídících produktů určených pro</w:t>
            </w:r>
            <w:r w:rsidR="008D2230">
              <w:rPr>
                <w:rFonts w:cs="Arial"/>
                <w:color w:val="000000"/>
                <w:sz w:val="20"/>
                <w:szCs w:val="20"/>
              </w:rPr>
              <w:t> </w:t>
            </w:r>
            <w:r w:rsidRPr="00B051BA">
              <w:rPr>
                <w:rFonts w:cs="Arial"/>
                <w:b/>
                <w:bCs/>
                <w:color w:val="000000"/>
                <w:sz w:val="20"/>
                <w:szCs w:val="20"/>
              </w:rPr>
              <w:t>kvalitnější a</w:t>
            </w:r>
            <w:r>
              <w:rPr>
                <w:rFonts w:cs="Arial"/>
                <w:b/>
                <w:bCs/>
                <w:color w:val="000000"/>
                <w:sz w:val="20"/>
                <w:szCs w:val="20"/>
              </w:rPr>
              <w:t> </w:t>
            </w:r>
            <w:r w:rsidRPr="00B051BA">
              <w:rPr>
                <w:rFonts w:cs="Arial"/>
                <w:b/>
                <w:bCs/>
                <w:color w:val="000000"/>
                <w:sz w:val="20"/>
                <w:szCs w:val="20"/>
              </w:rPr>
              <w:t>efektivnější výkon státní správy.</w:t>
            </w:r>
          </w:p>
        </w:tc>
        <w:tc>
          <w:tcPr>
            <w:tcW w:w="6341" w:type="dxa"/>
            <w:tcBorders>
              <w:top w:val="nil"/>
              <w:left w:val="nil"/>
              <w:bottom w:val="single" w:sz="8" w:space="0" w:color="92CDDB"/>
              <w:right w:val="single" w:sz="8" w:space="0" w:color="92CDDB"/>
            </w:tcBorders>
            <w:vAlign w:val="center"/>
          </w:tcPr>
          <w:p w14:paraId="20E5A625" w14:textId="77777777" w:rsidR="00FA1845" w:rsidRPr="00AB6847" w:rsidRDefault="00FA1845" w:rsidP="00307AF7">
            <w:pPr>
              <w:pStyle w:val="Odstavecseseznamem"/>
              <w:spacing w:after="0" w:line="240" w:lineRule="auto"/>
              <w:ind w:left="31"/>
              <w:jc w:val="both"/>
              <w:rPr>
                <w:rFonts w:eastAsia="Times New Roman" w:cs="Arial"/>
                <w:color w:val="000000"/>
                <w:sz w:val="20"/>
                <w:szCs w:val="20"/>
                <w:lang w:eastAsia="en-GB"/>
              </w:rPr>
            </w:pPr>
            <w:r>
              <w:rPr>
                <w:rFonts w:eastAsia="Times New Roman" w:cs="Arial"/>
                <w:color w:val="000000"/>
                <w:sz w:val="20"/>
                <w:szCs w:val="20"/>
                <w:lang w:eastAsia="en-GB"/>
              </w:rPr>
              <w:t>-</w:t>
            </w:r>
          </w:p>
        </w:tc>
      </w:tr>
      <w:tr w:rsidR="00FA1845" w:rsidRPr="00AB5BC3" w14:paraId="67734E32" w14:textId="77777777" w:rsidTr="008D2230">
        <w:trPr>
          <w:trHeight w:val="792"/>
        </w:trPr>
        <w:tc>
          <w:tcPr>
            <w:tcW w:w="1526" w:type="dxa"/>
            <w:tcBorders>
              <w:top w:val="single" w:sz="4" w:space="0" w:color="92CDDB"/>
              <w:left w:val="single" w:sz="8" w:space="0" w:color="92CDDB"/>
              <w:bottom w:val="single" w:sz="8" w:space="0" w:color="92CDDB"/>
              <w:right w:val="single" w:sz="8" w:space="0" w:color="92CDDB"/>
            </w:tcBorders>
            <w:vAlign w:val="center"/>
            <w:hideMark/>
          </w:tcPr>
          <w:p w14:paraId="63C4784B" w14:textId="77777777" w:rsidR="00FA1845" w:rsidRPr="00ED79BC" w:rsidRDefault="00FA1845" w:rsidP="00307AF7">
            <w:pPr>
              <w:spacing w:after="0" w:line="240" w:lineRule="auto"/>
              <w:jc w:val="center"/>
              <w:rPr>
                <w:rFonts w:eastAsia="Times New Roman" w:cs="Arial"/>
                <w:color w:val="000000"/>
                <w:sz w:val="20"/>
                <w:szCs w:val="20"/>
                <w:highlight w:val="yellow"/>
                <w:lang w:eastAsia="en-GB"/>
              </w:rPr>
            </w:pPr>
            <w:r w:rsidRPr="00AB5BC3">
              <w:rPr>
                <w:rFonts w:eastAsia="Times New Roman" w:cs="Arial"/>
                <w:color w:val="000000"/>
                <w:sz w:val="20"/>
                <w:szCs w:val="20"/>
                <w:lang w:eastAsia="en-GB"/>
              </w:rPr>
              <w:t>MPO</w:t>
            </w:r>
          </w:p>
        </w:tc>
        <w:tc>
          <w:tcPr>
            <w:tcW w:w="615" w:type="dxa"/>
            <w:tcBorders>
              <w:top w:val="nil"/>
              <w:left w:val="nil"/>
              <w:bottom w:val="single" w:sz="8" w:space="0" w:color="92CDDB"/>
              <w:right w:val="single" w:sz="8" w:space="0" w:color="92CDDB"/>
            </w:tcBorders>
            <w:vAlign w:val="center"/>
            <w:hideMark/>
          </w:tcPr>
          <w:p w14:paraId="0347CE8F" w14:textId="77777777" w:rsidR="00FA1845" w:rsidRPr="00AB5BC3" w:rsidRDefault="00FA1845" w:rsidP="00307AF7">
            <w:pPr>
              <w:spacing w:after="0" w:line="240" w:lineRule="auto"/>
              <w:jc w:val="center"/>
              <w:rPr>
                <w:rFonts w:eastAsia="Times New Roman" w:cs="Arial"/>
                <w:color w:val="000000"/>
                <w:sz w:val="20"/>
                <w:szCs w:val="20"/>
                <w:lang w:eastAsia="en-GB"/>
              </w:rPr>
            </w:pPr>
            <w:r w:rsidRPr="00AB5BC3">
              <w:rPr>
                <w:rFonts w:eastAsia="Times New Roman" w:cs="Arial"/>
                <w:color w:val="000000"/>
                <w:sz w:val="20"/>
                <w:szCs w:val="20"/>
                <w:lang w:eastAsia="en-GB"/>
              </w:rPr>
              <w:t>FX</w:t>
            </w:r>
          </w:p>
        </w:tc>
        <w:tc>
          <w:tcPr>
            <w:tcW w:w="5905" w:type="dxa"/>
            <w:tcBorders>
              <w:top w:val="nil"/>
              <w:left w:val="nil"/>
              <w:bottom w:val="single" w:sz="8" w:space="0" w:color="92CDDB"/>
              <w:right w:val="single" w:sz="8" w:space="0" w:color="92CDDB"/>
            </w:tcBorders>
            <w:vAlign w:val="center"/>
            <w:hideMark/>
          </w:tcPr>
          <w:p w14:paraId="74CBFA58" w14:textId="77777777" w:rsidR="00FA1845" w:rsidRPr="00AB5BC3" w:rsidRDefault="00FA1845" w:rsidP="00307AF7">
            <w:pPr>
              <w:spacing w:after="0" w:line="240" w:lineRule="auto"/>
              <w:rPr>
                <w:rFonts w:eastAsia="Times New Roman" w:cs="Arial"/>
                <w:color w:val="000000"/>
                <w:sz w:val="20"/>
                <w:szCs w:val="20"/>
                <w:lang w:eastAsia="en-GB"/>
              </w:rPr>
            </w:pPr>
            <w:proofErr w:type="spellStart"/>
            <w:r w:rsidRPr="00AB5BC3">
              <w:rPr>
                <w:rFonts w:eastAsia="Times New Roman" w:cs="Arial"/>
                <w:color w:val="000000"/>
                <w:sz w:val="20"/>
                <w:szCs w:val="20"/>
                <w:lang w:eastAsia="en-GB"/>
              </w:rPr>
              <w:t>The</w:t>
            </w:r>
            <w:proofErr w:type="spellEnd"/>
            <w:r w:rsidRPr="00AB5BC3">
              <w:rPr>
                <w:rFonts w:eastAsia="Times New Roman" w:cs="Arial"/>
                <w:color w:val="000000"/>
                <w:sz w:val="20"/>
                <w:szCs w:val="20"/>
                <w:lang w:eastAsia="en-GB"/>
              </w:rPr>
              <w:t xml:space="preserve"> Country </w:t>
            </w:r>
            <w:proofErr w:type="spellStart"/>
            <w:r w:rsidRPr="00AB5BC3">
              <w:rPr>
                <w:rFonts w:eastAsia="Times New Roman" w:cs="Arial"/>
                <w:color w:val="000000"/>
                <w:sz w:val="20"/>
                <w:szCs w:val="20"/>
                <w:lang w:eastAsia="en-GB"/>
              </w:rPr>
              <w:t>for</w:t>
            </w:r>
            <w:proofErr w:type="spellEnd"/>
            <w:r w:rsidRPr="00AB5BC3">
              <w:rPr>
                <w:rFonts w:eastAsia="Times New Roman" w:cs="Arial"/>
                <w:color w:val="000000"/>
                <w:sz w:val="20"/>
                <w:szCs w:val="20"/>
                <w:lang w:eastAsia="en-GB"/>
              </w:rPr>
              <w:t xml:space="preserve"> </w:t>
            </w:r>
            <w:proofErr w:type="spellStart"/>
            <w:r w:rsidRPr="00AB5BC3">
              <w:rPr>
                <w:rFonts w:eastAsia="Times New Roman" w:cs="Arial"/>
                <w:color w:val="000000"/>
                <w:sz w:val="20"/>
                <w:szCs w:val="20"/>
                <w:lang w:eastAsia="en-GB"/>
              </w:rPr>
              <w:t>the</w:t>
            </w:r>
            <w:proofErr w:type="spellEnd"/>
            <w:r w:rsidRPr="00AB5BC3">
              <w:rPr>
                <w:rFonts w:eastAsia="Times New Roman" w:cs="Arial"/>
                <w:color w:val="000000"/>
                <w:sz w:val="20"/>
                <w:szCs w:val="20"/>
                <w:lang w:eastAsia="en-GB"/>
              </w:rPr>
              <w:t xml:space="preserve"> </w:t>
            </w:r>
            <w:proofErr w:type="spellStart"/>
            <w:r w:rsidRPr="00AB5BC3">
              <w:rPr>
                <w:rFonts w:eastAsia="Times New Roman" w:cs="Arial"/>
                <w:color w:val="000000"/>
                <w:sz w:val="20"/>
                <w:szCs w:val="20"/>
                <w:lang w:eastAsia="en-GB"/>
              </w:rPr>
              <w:t>Future</w:t>
            </w:r>
            <w:proofErr w:type="spellEnd"/>
          </w:p>
        </w:tc>
        <w:tc>
          <w:tcPr>
            <w:tcW w:w="7088" w:type="dxa"/>
            <w:tcBorders>
              <w:top w:val="nil"/>
              <w:left w:val="single" w:sz="8" w:space="0" w:color="92CDDB"/>
              <w:bottom w:val="single" w:sz="8" w:space="0" w:color="92CDDB"/>
              <w:right w:val="single" w:sz="8" w:space="0" w:color="92CDDB"/>
            </w:tcBorders>
            <w:vAlign w:val="center"/>
            <w:hideMark/>
          </w:tcPr>
          <w:p w14:paraId="504FFD3A" w14:textId="5E93E19F" w:rsidR="00FA1845" w:rsidRPr="00AB5BC3" w:rsidRDefault="00FA1845" w:rsidP="00307AF7">
            <w:pPr>
              <w:spacing w:after="0" w:line="240" w:lineRule="auto"/>
              <w:jc w:val="both"/>
              <w:rPr>
                <w:rFonts w:cs="Arial"/>
                <w:b/>
                <w:bCs/>
                <w:color w:val="000000"/>
                <w:sz w:val="20"/>
                <w:szCs w:val="20"/>
              </w:rPr>
            </w:pPr>
            <w:r w:rsidRPr="00AB5BC3">
              <w:rPr>
                <w:rFonts w:cs="Arial"/>
                <w:b/>
                <w:bCs/>
                <w:color w:val="000000"/>
                <w:sz w:val="20"/>
                <w:szCs w:val="20"/>
              </w:rPr>
              <w:t>Zvýšení mezinárodní konkurenceschopnosti podniků prostřednictvím propojení spolupráce mezi akademickou sférou, podnikatelským sektorem, inovačním prostředím a většího využití výsledků výzkumu a</w:t>
            </w:r>
            <w:r w:rsidR="008D2230">
              <w:rPr>
                <w:rFonts w:cs="Arial"/>
                <w:b/>
                <w:bCs/>
                <w:color w:val="000000"/>
                <w:sz w:val="20"/>
                <w:szCs w:val="20"/>
              </w:rPr>
              <w:t> </w:t>
            </w:r>
            <w:r w:rsidRPr="00AB5BC3">
              <w:rPr>
                <w:rFonts w:cs="Arial"/>
                <w:b/>
                <w:bCs/>
                <w:color w:val="000000"/>
                <w:sz w:val="20"/>
                <w:szCs w:val="20"/>
              </w:rPr>
              <w:t>vývoje do praxe, a</w:t>
            </w:r>
            <w:r>
              <w:rPr>
                <w:rFonts w:cs="Arial"/>
                <w:b/>
                <w:bCs/>
                <w:color w:val="000000"/>
                <w:sz w:val="20"/>
                <w:szCs w:val="20"/>
              </w:rPr>
              <w:t> </w:t>
            </w:r>
            <w:r w:rsidRPr="00AB5BC3">
              <w:rPr>
                <w:rFonts w:cs="Arial"/>
                <w:b/>
                <w:bCs/>
                <w:color w:val="000000"/>
                <w:sz w:val="20"/>
                <w:szCs w:val="20"/>
              </w:rPr>
              <w:t>to včetně usnadnění vstupu na nové trhy či</w:t>
            </w:r>
            <w:r w:rsidR="008D2230">
              <w:rPr>
                <w:rFonts w:cs="Arial"/>
                <w:b/>
                <w:bCs/>
                <w:color w:val="000000"/>
                <w:sz w:val="20"/>
                <w:szCs w:val="20"/>
              </w:rPr>
              <w:t> </w:t>
            </w:r>
            <w:r w:rsidRPr="00AB5BC3">
              <w:rPr>
                <w:rFonts w:cs="Arial"/>
                <w:b/>
                <w:bCs/>
                <w:color w:val="000000"/>
                <w:sz w:val="20"/>
                <w:szCs w:val="20"/>
              </w:rPr>
              <w:t>posunem výše v globálních hodnotových řetězcích.</w:t>
            </w:r>
          </w:p>
          <w:p w14:paraId="27B28332" w14:textId="38FB54FF" w:rsidR="00FA1845" w:rsidRPr="00AB5BC3" w:rsidRDefault="00FA1845" w:rsidP="00307AF7">
            <w:pPr>
              <w:spacing w:after="0" w:line="240" w:lineRule="auto"/>
              <w:jc w:val="both"/>
              <w:rPr>
                <w:rFonts w:eastAsia="Times New Roman" w:cs="Arial"/>
                <w:color w:val="000000"/>
                <w:sz w:val="20"/>
                <w:szCs w:val="20"/>
                <w:lang w:eastAsia="en-GB"/>
              </w:rPr>
            </w:pPr>
            <w:r w:rsidRPr="00AB5BC3">
              <w:rPr>
                <w:rFonts w:cs="Arial"/>
                <w:color w:val="000000"/>
                <w:sz w:val="20"/>
                <w:szCs w:val="20"/>
              </w:rPr>
              <w:t>Program je zaměřen na řadu aktivit směřujících ke zvýšení inovační výkonnosti české ekonomiky. V souladu s vizí Inovační strategie České republiky 2019–2030 je</w:t>
            </w:r>
            <w:r>
              <w:rPr>
                <w:rFonts w:cs="Arial"/>
                <w:color w:val="000000"/>
                <w:sz w:val="20"/>
                <w:szCs w:val="20"/>
              </w:rPr>
              <w:t> </w:t>
            </w:r>
            <w:r w:rsidRPr="00AB5BC3">
              <w:rPr>
                <w:rFonts w:cs="Arial"/>
                <w:color w:val="000000"/>
                <w:sz w:val="20"/>
                <w:szCs w:val="20"/>
              </w:rPr>
              <w:t>proto konečným cílem zařadit se mezi inovační lídry Evropy. Budou podporovány především projekty rozvíjející nové technologie a materiály, zvyšující míru automatizace a</w:t>
            </w:r>
            <w:r>
              <w:rPr>
                <w:rFonts w:cs="Arial"/>
                <w:color w:val="000000"/>
                <w:sz w:val="20"/>
                <w:szCs w:val="20"/>
              </w:rPr>
              <w:t> </w:t>
            </w:r>
            <w:r w:rsidRPr="00AB5BC3">
              <w:rPr>
                <w:rFonts w:cs="Arial"/>
                <w:color w:val="000000"/>
                <w:sz w:val="20"/>
                <w:szCs w:val="20"/>
              </w:rPr>
              <w:t>robotizace a využití digitálních technologií. Vymezení preferovaných technologií bude upřesňováno v</w:t>
            </w:r>
            <w:r w:rsidR="008D2230">
              <w:rPr>
                <w:rFonts w:cs="Arial"/>
                <w:color w:val="000000"/>
                <w:sz w:val="20"/>
                <w:szCs w:val="20"/>
              </w:rPr>
              <w:t> </w:t>
            </w:r>
            <w:r w:rsidRPr="00AB5BC3">
              <w:rPr>
                <w:rFonts w:cs="Arial"/>
                <w:color w:val="000000"/>
                <w:sz w:val="20"/>
                <w:szCs w:val="20"/>
              </w:rPr>
              <w:t>návaznosti na relevantní dokumenty Evropské unie i</w:t>
            </w:r>
            <w:r>
              <w:rPr>
                <w:rFonts w:cs="Arial"/>
                <w:color w:val="000000"/>
                <w:sz w:val="20"/>
                <w:szCs w:val="20"/>
              </w:rPr>
              <w:t> </w:t>
            </w:r>
            <w:r w:rsidRPr="00AB5BC3">
              <w:rPr>
                <w:rFonts w:cs="Arial"/>
                <w:color w:val="000000"/>
                <w:sz w:val="20"/>
                <w:szCs w:val="20"/>
              </w:rPr>
              <w:t>na</w:t>
            </w:r>
            <w:r>
              <w:rPr>
                <w:rFonts w:cs="Arial"/>
                <w:color w:val="000000"/>
                <w:sz w:val="20"/>
                <w:szCs w:val="20"/>
              </w:rPr>
              <w:t> </w:t>
            </w:r>
            <w:r w:rsidRPr="00AB5BC3">
              <w:rPr>
                <w:rFonts w:cs="Arial"/>
                <w:color w:val="000000"/>
                <w:sz w:val="20"/>
                <w:szCs w:val="20"/>
              </w:rPr>
              <w:t>probíhající proces identifikace priorit jednotlivých aplikačních odvětví v RIS3 strategii ČR.</w:t>
            </w:r>
          </w:p>
        </w:tc>
        <w:tc>
          <w:tcPr>
            <w:tcW w:w="6341" w:type="dxa"/>
            <w:tcBorders>
              <w:top w:val="nil"/>
              <w:left w:val="nil"/>
              <w:bottom w:val="single" w:sz="8" w:space="0" w:color="92CDDB"/>
              <w:right w:val="single" w:sz="8" w:space="0" w:color="92CDDB"/>
            </w:tcBorders>
            <w:vAlign w:val="center"/>
            <w:hideMark/>
          </w:tcPr>
          <w:p w14:paraId="065FE8F0" w14:textId="77777777" w:rsidR="00FA1845" w:rsidRPr="00AB5BC3" w:rsidRDefault="00FA1845" w:rsidP="00FA1845">
            <w:pPr>
              <w:pStyle w:val="Odstavecseseznamem"/>
              <w:numPr>
                <w:ilvl w:val="0"/>
                <w:numId w:val="14"/>
              </w:numPr>
              <w:spacing w:after="0" w:line="240" w:lineRule="auto"/>
              <w:ind w:left="350"/>
              <w:jc w:val="both"/>
              <w:rPr>
                <w:rFonts w:eastAsia="Arial" w:cs="Arial"/>
                <w:color w:val="000000"/>
                <w:sz w:val="20"/>
                <w:szCs w:val="20"/>
              </w:rPr>
            </w:pPr>
            <w:bookmarkStart w:id="60" w:name="_Toc486952565"/>
            <w:r w:rsidRPr="00AB5BC3">
              <w:rPr>
                <w:rFonts w:eastAsia="Arial" w:cs="Arial"/>
                <w:b/>
                <w:color w:val="000000"/>
                <w:sz w:val="20"/>
                <w:szCs w:val="20"/>
              </w:rPr>
              <w:t>Podprogram 1 „Start-upy“</w:t>
            </w:r>
            <w:bookmarkEnd w:id="60"/>
            <w:r w:rsidRPr="00AB5BC3">
              <w:rPr>
                <w:rFonts w:eastAsia="Arial" w:cs="Arial"/>
                <w:color w:val="000000"/>
                <w:sz w:val="20"/>
                <w:szCs w:val="20"/>
              </w:rPr>
              <w:t xml:space="preserve"> </w:t>
            </w:r>
            <w:r w:rsidRPr="00AB5BC3">
              <w:rPr>
                <w:rFonts w:eastAsia="Times New Roman" w:cs="Arial"/>
                <w:color w:val="000000"/>
                <w:sz w:val="20"/>
                <w:szCs w:val="20"/>
                <w:lang w:eastAsia="en-GB"/>
              </w:rPr>
              <w:t xml:space="preserve">– </w:t>
            </w:r>
            <w:r w:rsidRPr="00AB5BC3">
              <w:rPr>
                <w:rFonts w:eastAsia="Arial" w:cs="Arial"/>
                <w:color w:val="000000"/>
                <w:sz w:val="20"/>
                <w:szCs w:val="20"/>
              </w:rPr>
              <w:t>zvýšení počtu nově vznikajících inovativních společností a zrychlení jejich rozvoje a dále společností s globálním inovačním potenciálem a urychlení jejich internacionalizace.</w:t>
            </w:r>
          </w:p>
          <w:p w14:paraId="2877F583" w14:textId="77777777" w:rsidR="00FA1845" w:rsidRPr="00AB5BC3" w:rsidRDefault="00FA1845" w:rsidP="00FA1845">
            <w:pPr>
              <w:pStyle w:val="Odstavecseseznamem"/>
              <w:numPr>
                <w:ilvl w:val="0"/>
                <w:numId w:val="14"/>
              </w:numPr>
              <w:spacing w:after="0" w:line="240" w:lineRule="auto"/>
              <w:ind w:left="350"/>
              <w:jc w:val="both"/>
              <w:rPr>
                <w:rFonts w:eastAsia="Times New Roman" w:cs="Arial"/>
                <w:color w:val="000000"/>
                <w:sz w:val="20"/>
                <w:szCs w:val="20"/>
                <w:lang w:eastAsia="en-GB"/>
              </w:rPr>
            </w:pPr>
            <w:bookmarkStart w:id="61" w:name="_Toc486952568"/>
            <w:r w:rsidRPr="00AB5BC3">
              <w:rPr>
                <w:rFonts w:eastAsia="Arial" w:cs="Arial"/>
                <w:b/>
                <w:color w:val="000000"/>
                <w:sz w:val="20"/>
                <w:szCs w:val="20"/>
              </w:rPr>
              <w:t>Podprogram 2 „</w:t>
            </w:r>
            <w:bookmarkEnd w:id="61"/>
            <w:r w:rsidRPr="00AB5BC3">
              <w:rPr>
                <w:rFonts w:eastAsia="Arial" w:cs="Arial"/>
                <w:b/>
                <w:color w:val="000000"/>
                <w:sz w:val="20"/>
                <w:szCs w:val="20"/>
              </w:rPr>
              <w:t>Digitální lídři“</w:t>
            </w:r>
            <w:r w:rsidRPr="00AB5BC3">
              <w:rPr>
                <w:rFonts w:eastAsia="Arial" w:cs="Arial"/>
                <w:color w:val="000000"/>
                <w:sz w:val="20"/>
                <w:szCs w:val="20"/>
              </w:rPr>
              <w:t xml:space="preserve"> </w:t>
            </w:r>
            <w:r w:rsidRPr="00AB5BC3">
              <w:rPr>
                <w:rFonts w:eastAsia="Times New Roman" w:cs="Arial"/>
                <w:color w:val="000000"/>
                <w:sz w:val="20"/>
                <w:szCs w:val="20"/>
                <w:lang w:eastAsia="en-GB"/>
              </w:rPr>
              <w:t>–</w:t>
            </w:r>
            <w:r w:rsidRPr="00AB5BC3">
              <w:rPr>
                <w:rFonts w:eastAsia="Arial" w:cs="Arial"/>
                <w:color w:val="000000"/>
                <w:sz w:val="20"/>
                <w:szCs w:val="20"/>
              </w:rPr>
              <w:t xml:space="preserve"> podpoření vzniku Digital Innovation </w:t>
            </w:r>
            <w:proofErr w:type="spellStart"/>
            <w:r w:rsidRPr="00AB5BC3">
              <w:rPr>
                <w:rFonts w:eastAsia="Arial" w:cs="Arial"/>
                <w:color w:val="000000"/>
                <w:sz w:val="20"/>
                <w:szCs w:val="20"/>
              </w:rPr>
              <w:t>Hubs</w:t>
            </w:r>
            <w:proofErr w:type="spellEnd"/>
            <w:r w:rsidRPr="00AB5BC3">
              <w:rPr>
                <w:rFonts w:eastAsia="Arial" w:cs="Arial"/>
                <w:color w:val="000000"/>
                <w:sz w:val="20"/>
                <w:szCs w:val="20"/>
              </w:rPr>
              <w:t xml:space="preserve"> (DIH) a rozvoje jejich služeb podle potřeb strategie Digitální Česko.</w:t>
            </w:r>
          </w:p>
          <w:p w14:paraId="1D127085" w14:textId="77777777" w:rsidR="00FA1845" w:rsidRPr="00AB5BC3" w:rsidRDefault="00FA1845" w:rsidP="00FA1845">
            <w:pPr>
              <w:pStyle w:val="Odstavecseseznamem"/>
              <w:numPr>
                <w:ilvl w:val="0"/>
                <w:numId w:val="14"/>
              </w:numPr>
              <w:spacing w:after="0" w:line="240" w:lineRule="auto"/>
              <w:ind w:left="350"/>
              <w:jc w:val="both"/>
              <w:rPr>
                <w:rFonts w:eastAsia="Times New Roman" w:cs="Arial"/>
                <w:color w:val="000000"/>
                <w:sz w:val="20"/>
                <w:szCs w:val="20"/>
                <w:lang w:eastAsia="en-GB"/>
              </w:rPr>
            </w:pPr>
            <w:r w:rsidRPr="00AB5BC3">
              <w:rPr>
                <w:rFonts w:eastAsia="Arial" w:cs="Arial"/>
                <w:b/>
                <w:color w:val="000000"/>
                <w:sz w:val="20"/>
                <w:szCs w:val="20"/>
              </w:rPr>
              <w:t>Podprogram 3 „Inovace do praxe“</w:t>
            </w:r>
            <w:r w:rsidRPr="00AB5BC3">
              <w:rPr>
                <w:rFonts w:eastAsia="Arial" w:cs="Arial"/>
                <w:color w:val="000000"/>
                <w:sz w:val="20"/>
                <w:szCs w:val="20"/>
              </w:rPr>
              <w:t xml:space="preserve"> </w:t>
            </w:r>
            <w:r w:rsidRPr="00AB5BC3">
              <w:rPr>
                <w:rFonts w:eastAsia="Times New Roman" w:cs="Arial"/>
                <w:color w:val="000000"/>
                <w:sz w:val="20"/>
                <w:szCs w:val="20"/>
                <w:lang w:eastAsia="en-GB"/>
              </w:rPr>
              <w:t xml:space="preserve">– </w:t>
            </w:r>
            <w:r w:rsidRPr="00AB5BC3">
              <w:rPr>
                <w:rFonts w:eastAsia="Arial" w:cs="Arial"/>
                <w:color w:val="000000"/>
                <w:sz w:val="20"/>
                <w:szCs w:val="20"/>
              </w:rPr>
              <w:t>zvýšení intenzity prosazování inovací ve</w:t>
            </w:r>
            <w:r>
              <w:rPr>
                <w:rFonts w:eastAsia="Arial" w:cs="Arial"/>
                <w:color w:val="000000"/>
                <w:sz w:val="20"/>
                <w:szCs w:val="20"/>
              </w:rPr>
              <w:t> </w:t>
            </w:r>
            <w:r w:rsidRPr="00AB5BC3">
              <w:rPr>
                <w:rFonts w:eastAsia="Arial" w:cs="Arial"/>
                <w:color w:val="000000"/>
                <w:sz w:val="20"/>
                <w:szCs w:val="20"/>
              </w:rPr>
              <w:t>firmách s důrazem na MSP v souladu s definovanými standardy Průmyslu 4.0 a klíčovými trendy perspektivních odvětví.</w:t>
            </w:r>
          </w:p>
        </w:tc>
      </w:tr>
      <w:tr w:rsidR="00FA1845" w:rsidRPr="00AB5BC3" w14:paraId="2A9065F4" w14:textId="77777777" w:rsidTr="008D2230">
        <w:trPr>
          <w:trHeight w:val="792"/>
        </w:trPr>
        <w:tc>
          <w:tcPr>
            <w:tcW w:w="1526" w:type="dxa"/>
            <w:tcBorders>
              <w:top w:val="nil"/>
              <w:left w:val="single" w:sz="8" w:space="0" w:color="92CDDB"/>
              <w:bottom w:val="single" w:sz="8" w:space="0" w:color="92CDDB"/>
              <w:right w:val="single" w:sz="8" w:space="0" w:color="92CDDB"/>
            </w:tcBorders>
            <w:noWrap/>
            <w:vAlign w:val="center"/>
            <w:hideMark/>
          </w:tcPr>
          <w:p w14:paraId="4D8BB0A0" w14:textId="77777777" w:rsidR="00FA1845" w:rsidRPr="00AB5BC3" w:rsidRDefault="00FA1845" w:rsidP="00307AF7">
            <w:pPr>
              <w:spacing w:after="0" w:line="240" w:lineRule="auto"/>
              <w:jc w:val="center"/>
              <w:rPr>
                <w:rFonts w:eastAsia="Times New Roman" w:cs="Arial"/>
                <w:color w:val="000000"/>
                <w:sz w:val="20"/>
                <w:szCs w:val="20"/>
                <w:lang w:eastAsia="en-GB"/>
              </w:rPr>
            </w:pPr>
            <w:r w:rsidRPr="00AB5BC3">
              <w:rPr>
                <w:rFonts w:eastAsia="Times New Roman" w:cs="Arial"/>
                <w:color w:val="000000"/>
                <w:sz w:val="20"/>
                <w:szCs w:val="20"/>
                <w:lang w:eastAsia="en-GB"/>
              </w:rPr>
              <w:t>MK</w:t>
            </w:r>
          </w:p>
        </w:tc>
        <w:tc>
          <w:tcPr>
            <w:tcW w:w="615" w:type="dxa"/>
            <w:tcBorders>
              <w:top w:val="nil"/>
              <w:left w:val="nil"/>
              <w:bottom w:val="single" w:sz="8" w:space="0" w:color="92CDDB"/>
              <w:right w:val="single" w:sz="8" w:space="0" w:color="92CDDB"/>
            </w:tcBorders>
            <w:vAlign w:val="center"/>
            <w:hideMark/>
          </w:tcPr>
          <w:p w14:paraId="0303C983" w14:textId="77777777" w:rsidR="00FA1845" w:rsidRPr="00AB5BC3" w:rsidRDefault="00FA1845" w:rsidP="00307AF7">
            <w:pPr>
              <w:spacing w:after="0" w:line="240" w:lineRule="auto"/>
              <w:jc w:val="center"/>
              <w:rPr>
                <w:rFonts w:eastAsia="Times New Roman" w:cs="Arial"/>
                <w:color w:val="000000"/>
                <w:sz w:val="20"/>
                <w:szCs w:val="20"/>
                <w:lang w:eastAsia="en-GB"/>
              </w:rPr>
            </w:pPr>
            <w:r w:rsidRPr="00AB5BC3">
              <w:rPr>
                <w:rFonts w:eastAsia="Times New Roman" w:cs="Arial"/>
                <w:color w:val="000000"/>
                <w:sz w:val="20"/>
                <w:szCs w:val="20"/>
                <w:lang w:eastAsia="en-GB"/>
              </w:rPr>
              <w:t>D</w:t>
            </w:r>
            <w:r>
              <w:rPr>
                <w:rFonts w:eastAsia="Times New Roman" w:cs="Arial"/>
                <w:color w:val="000000"/>
                <w:sz w:val="20"/>
                <w:szCs w:val="20"/>
                <w:lang w:eastAsia="en-GB"/>
              </w:rPr>
              <w:t>H</w:t>
            </w:r>
          </w:p>
        </w:tc>
        <w:tc>
          <w:tcPr>
            <w:tcW w:w="5905" w:type="dxa"/>
            <w:tcBorders>
              <w:top w:val="nil"/>
              <w:left w:val="nil"/>
              <w:bottom w:val="single" w:sz="8" w:space="0" w:color="92CDDB"/>
              <w:right w:val="single" w:sz="8" w:space="0" w:color="92CDDB"/>
            </w:tcBorders>
            <w:vAlign w:val="center"/>
            <w:hideMark/>
          </w:tcPr>
          <w:p w14:paraId="435662D5" w14:textId="77777777" w:rsidR="00FA1845" w:rsidRPr="00AB5BC3" w:rsidRDefault="00FA1845" w:rsidP="00307AF7">
            <w:pPr>
              <w:spacing w:after="0" w:line="240" w:lineRule="auto"/>
              <w:rPr>
                <w:rFonts w:eastAsia="Times New Roman" w:cs="Arial"/>
                <w:color w:val="000000"/>
                <w:sz w:val="20"/>
                <w:szCs w:val="20"/>
                <w:lang w:eastAsia="en-GB"/>
              </w:rPr>
            </w:pPr>
            <w:r w:rsidRPr="00741BC4">
              <w:rPr>
                <w:rFonts w:cs="Arial"/>
                <w:color w:val="000000"/>
                <w:sz w:val="20"/>
                <w:szCs w:val="20"/>
              </w:rPr>
              <w:t>Program NAKI III</w:t>
            </w:r>
          </w:p>
        </w:tc>
        <w:tc>
          <w:tcPr>
            <w:tcW w:w="7088" w:type="dxa"/>
            <w:tcBorders>
              <w:top w:val="nil"/>
              <w:left w:val="single" w:sz="8" w:space="0" w:color="92CDDB"/>
              <w:bottom w:val="single" w:sz="8" w:space="0" w:color="92CDDB"/>
              <w:right w:val="single" w:sz="8" w:space="0" w:color="92CDDB"/>
            </w:tcBorders>
            <w:vAlign w:val="center"/>
            <w:hideMark/>
          </w:tcPr>
          <w:p w14:paraId="641A60B8" w14:textId="77777777" w:rsidR="00FA1845" w:rsidRPr="00AB5BC3" w:rsidRDefault="00FA1845" w:rsidP="00307AF7">
            <w:pPr>
              <w:spacing w:after="0" w:line="240" w:lineRule="auto"/>
              <w:jc w:val="both"/>
              <w:rPr>
                <w:rFonts w:eastAsia="Times New Roman" w:cs="Arial"/>
                <w:color w:val="000000"/>
                <w:sz w:val="20"/>
                <w:szCs w:val="20"/>
                <w:lang w:eastAsia="en-GB"/>
              </w:rPr>
            </w:pPr>
            <w:r w:rsidRPr="00E56B5B">
              <w:rPr>
                <w:rFonts w:cs="Arial"/>
                <w:color w:val="000000"/>
                <w:sz w:val="20"/>
                <w:szCs w:val="20"/>
              </w:rPr>
              <w:t xml:space="preserve">Hlavním cílem Programu je </w:t>
            </w:r>
            <w:r w:rsidRPr="00E56B5B">
              <w:rPr>
                <w:rFonts w:cs="Arial"/>
                <w:b/>
                <w:bCs/>
                <w:color w:val="000000"/>
                <w:sz w:val="20"/>
                <w:szCs w:val="20"/>
              </w:rPr>
              <w:t>zaměřit výzkum v oblasti národní a kulturní identity a umění</w:t>
            </w:r>
            <w:r w:rsidRPr="00E56B5B">
              <w:rPr>
                <w:rFonts w:cs="Arial"/>
                <w:color w:val="000000"/>
                <w:sz w:val="20"/>
                <w:szCs w:val="20"/>
              </w:rPr>
              <w:t>. Tento cíl bude realizován v souladu s platnou Koncepcí</w:t>
            </w:r>
            <w:r>
              <w:rPr>
                <w:rFonts w:cs="Arial"/>
                <w:color w:val="000000"/>
                <w:sz w:val="20"/>
                <w:szCs w:val="20"/>
              </w:rPr>
              <w:t>.</w:t>
            </w:r>
          </w:p>
        </w:tc>
        <w:tc>
          <w:tcPr>
            <w:tcW w:w="6341" w:type="dxa"/>
            <w:tcBorders>
              <w:top w:val="nil"/>
              <w:left w:val="nil"/>
              <w:bottom w:val="single" w:sz="8" w:space="0" w:color="92CDDB"/>
              <w:right w:val="single" w:sz="8" w:space="0" w:color="92CDDB"/>
            </w:tcBorders>
            <w:vAlign w:val="center"/>
            <w:hideMark/>
          </w:tcPr>
          <w:p w14:paraId="62FD4D6E" w14:textId="77777777" w:rsidR="00FA1845" w:rsidRPr="00AB5BC3" w:rsidRDefault="00FA1845" w:rsidP="00307AF7">
            <w:pPr>
              <w:spacing w:after="0" w:line="240" w:lineRule="auto"/>
              <w:jc w:val="both"/>
              <w:rPr>
                <w:rFonts w:eastAsia="Times New Roman" w:cs="Arial"/>
                <w:color w:val="000000"/>
                <w:sz w:val="20"/>
                <w:szCs w:val="20"/>
                <w:lang w:eastAsia="en-GB"/>
              </w:rPr>
            </w:pPr>
            <w:r w:rsidRPr="00AB5BC3">
              <w:rPr>
                <w:rFonts w:eastAsia="Times New Roman" w:cs="Arial"/>
                <w:color w:val="000000"/>
                <w:sz w:val="20"/>
                <w:szCs w:val="20"/>
                <w:lang w:eastAsia="en-GB"/>
              </w:rPr>
              <w:t> -</w:t>
            </w:r>
          </w:p>
        </w:tc>
      </w:tr>
      <w:tr w:rsidR="00FA1845" w:rsidRPr="00B223F1" w14:paraId="0FB82826" w14:textId="77777777" w:rsidTr="008D2230">
        <w:trPr>
          <w:trHeight w:val="792"/>
        </w:trPr>
        <w:tc>
          <w:tcPr>
            <w:tcW w:w="1526" w:type="dxa"/>
            <w:tcBorders>
              <w:top w:val="nil"/>
              <w:left w:val="single" w:sz="8" w:space="0" w:color="92CDDB"/>
              <w:bottom w:val="single" w:sz="8" w:space="0" w:color="92CDDB"/>
              <w:right w:val="single" w:sz="8" w:space="0" w:color="92CDDB"/>
            </w:tcBorders>
            <w:vAlign w:val="center"/>
            <w:hideMark/>
          </w:tcPr>
          <w:p w14:paraId="00A41830" w14:textId="77777777" w:rsidR="00FA1845" w:rsidRPr="00B223F1" w:rsidRDefault="00FA1845" w:rsidP="00307AF7">
            <w:pPr>
              <w:spacing w:after="0" w:line="240" w:lineRule="auto"/>
              <w:jc w:val="center"/>
              <w:rPr>
                <w:rFonts w:eastAsia="Times New Roman" w:cs="Arial"/>
                <w:color w:val="000000"/>
                <w:sz w:val="20"/>
                <w:szCs w:val="20"/>
                <w:lang w:eastAsia="en-GB"/>
              </w:rPr>
            </w:pPr>
            <w:r w:rsidRPr="00B223F1">
              <w:rPr>
                <w:rFonts w:eastAsia="Times New Roman" w:cs="Arial"/>
                <w:color w:val="000000"/>
                <w:sz w:val="20"/>
                <w:szCs w:val="20"/>
                <w:lang w:eastAsia="en-GB"/>
              </w:rPr>
              <w:t>MO</w:t>
            </w:r>
          </w:p>
        </w:tc>
        <w:tc>
          <w:tcPr>
            <w:tcW w:w="615" w:type="dxa"/>
            <w:tcBorders>
              <w:top w:val="nil"/>
              <w:left w:val="nil"/>
              <w:bottom w:val="single" w:sz="8" w:space="0" w:color="92CDDB"/>
              <w:right w:val="single" w:sz="8" w:space="0" w:color="92CDDB"/>
            </w:tcBorders>
            <w:vAlign w:val="center"/>
            <w:hideMark/>
          </w:tcPr>
          <w:p w14:paraId="3240950C" w14:textId="77777777" w:rsidR="00FA1845" w:rsidRPr="00B223F1" w:rsidRDefault="00FA1845" w:rsidP="00307AF7">
            <w:pPr>
              <w:spacing w:after="0" w:line="240" w:lineRule="auto"/>
              <w:jc w:val="center"/>
              <w:rPr>
                <w:rFonts w:eastAsia="Times New Roman" w:cs="Arial"/>
                <w:color w:val="000000"/>
                <w:sz w:val="20"/>
                <w:szCs w:val="20"/>
                <w:lang w:eastAsia="en-GB"/>
              </w:rPr>
            </w:pPr>
            <w:r w:rsidRPr="00B223F1">
              <w:rPr>
                <w:rFonts w:eastAsia="Times New Roman" w:cs="Arial"/>
                <w:color w:val="000000"/>
                <w:sz w:val="20"/>
                <w:szCs w:val="20"/>
                <w:lang w:eastAsia="en-GB"/>
              </w:rPr>
              <w:t>OY</w:t>
            </w:r>
          </w:p>
        </w:tc>
        <w:tc>
          <w:tcPr>
            <w:tcW w:w="5905" w:type="dxa"/>
            <w:tcBorders>
              <w:top w:val="nil"/>
              <w:left w:val="nil"/>
              <w:bottom w:val="single" w:sz="8" w:space="0" w:color="92CDDB"/>
              <w:right w:val="single" w:sz="8" w:space="0" w:color="92CDDB"/>
            </w:tcBorders>
            <w:vAlign w:val="center"/>
            <w:hideMark/>
          </w:tcPr>
          <w:p w14:paraId="72A2BC42" w14:textId="77777777" w:rsidR="00FA1845" w:rsidRPr="00B223F1" w:rsidRDefault="00FA1845" w:rsidP="00307AF7">
            <w:pPr>
              <w:spacing w:after="0" w:line="240" w:lineRule="auto"/>
              <w:rPr>
                <w:rFonts w:eastAsia="Times New Roman" w:cs="Arial"/>
                <w:color w:val="000000"/>
                <w:sz w:val="20"/>
                <w:szCs w:val="20"/>
                <w:lang w:eastAsia="en-GB"/>
              </w:rPr>
            </w:pPr>
            <w:r w:rsidRPr="00B223F1">
              <w:rPr>
                <w:rFonts w:eastAsia="Times New Roman" w:cs="Arial"/>
                <w:color w:val="000000"/>
                <w:sz w:val="20"/>
                <w:szCs w:val="20"/>
                <w:lang w:eastAsia="en-GB"/>
              </w:rPr>
              <w:t>Ambice</w:t>
            </w:r>
          </w:p>
        </w:tc>
        <w:tc>
          <w:tcPr>
            <w:tcW w:w="7088" w:type="dxa"/>
            <w:tcBorders>
              <w:top w:val="nil"/>
              <w:left w:val="single" w:sz="8" w:space="0" w:color="92CDDB"/>
              <w:bottom w:val="single" w:sz="8" w:space="0" w:color="92CDDB"/>
              <w:right w:val="single" w:sz="8" w:space="0" w:color="92CDDB"/>
            </w:tcBorders>
            <w:vAlign w:val="center"/>
            <w:hideMark/>
          </w:tcPr>
          <w:p w14:paraId="681D1F95" w14:textId="77777777" w:rsidR="00FA1845" w:rsidRPr="00B223F1" w:rsidRDefault="00FA1845" w:rsidP="00307AF7">
            <w:pPr>
              <w:spacing w:after="0" w:line="240" w:lineRule="auto"/>
              <w:jc w:val="both"/>
              <w:rPr>
                <w:rFonts w:eastAsia="Times New Roman" w:cs="Arial"/>
                <w:b/>
                <w:bCs/>
                <w:color w:val="000000"/>
                <w:sz w:val="20"/>
                <w:szCs w:val="20"/>
                <w:lang w:eastAsia="en-GB"/>
              </w:rPr>
            </w:pPr>
            <w:r w:rsidRPr="00B223F1">
              <w:rPr>
                <w:rFonts w:cs="Arial"/>
                <w:b/>
                <w:bCs/>
                <w:color w:val="000000"/>
                <w:sz w:val="20"/>
                <w:szCs w:val="20"/>
              </w:rPr>
              <w:t>Zajištění obranyschopnosti země a dosažení deklarovaných politicko-vojenských ambicí ČR formou rozvoje schopností OS a složek MO.</w:t>
            </w:r>
          </w:p>
        </w:tc>
        <w:tc>
          <w:tcPr>
            <w:tcW w:w="6341" w:type="dxa"/>
            <w:tcBorders>
              <w:top w:val="nil"/>
              <w:left w:val="nil"/>
              <w:bottom w:val="single" w:sz="8" w:space="0" w:color="92CDDB"/>
              <w:right w:val="single" w:sz="8" w:space="0" w:color="92CDDB"/>
            </w:tcBorders>
            <w:vAlign w:val="center"/>
            <w:hideMark/>
          </w:tcPr>
          <w:p w14:paraId="40517311" w14:textId="77777777" w:rsidR="00FA1845" w:rsidRPr="00B223F1" w:rsidRDefault="00FA1845" w:rsidP="00307AF7">
            <w:pPr>
              <w:spacing w:after="0" w:line="240" w:lineRule="auto"/>
              <w:jc w:val="both"/>
              <w:rPr>
                <w:rFonts w:eastAsia="Times New Roman" w:cs="Arial"/>
                <w:color w:val="000000"/>
                <w:sz w:val="20"/>
                <w:szCs w:val="20"/>
                <w:lang w:eastAsia="en-GB"/>
              </w:rPr>
            </w:pPr>
            <w:r w:rsidRPr="00B223F1">
              <w:rPr>
                <w:rFonts w:eastAsia="Times New Roman" w:cs="Arial"/>
                <w:color w:val="000000"/>
                <w:sz w:val="20"/>
                <w:szCs w:val="20"/>
                <w:lang w:eastAsia="en-GB"/>
              </w:rPr>
              <w:t> -</w:t>
            </w:r>
          </w:p>
        </w:tc>
      </w:tr>
      <w:tr w:rsidR="00FA1845" w:rsidRPr="00966A45" w14:paraId="2C37A357" w14:textId="77777777" w:rsidTr="008D2230">
        <w:trPr>
          <w:trHeight w:val="792"/>
        </w:trPr>
        <w:tc>
          <w:tcPr>
            <w:tcW w:w="1526" w:type="dxa"/>
            <w:tcBorders>
              <w:top w:val="nil"/>
              <w:left w:val="single" w:sz="8" w:space="0" w:color="92CDDB"/>
              <w:right w:val="single" w:sz="8" w:space="0" w:color="92CDDB"/>
            </w:tcBorders>
            <w:vAlign w:val="center"/>
          </w:tcPr>
          <w:p w14:paraId="26E8EC88" w14:textId="77777777" w:rsidR="00FA1845" w:rsidRPr="000B1EF6" w:rsidRDefault="00FA1845" w:rsidP="00307AF7">
            <w:pPr>
              <w:spacing w:after="0" w:line="240" w:lineRule="auto"/>
              <w:jc w:val="center"/>
              <w:rPr>
                <w:rFonts w:eastAsia="Times New Roman" w:cs="Arial"/>
                <w:color w:val="000000"/>
                <w:sz w:val="20"/>
                <w:szCs w:val="20"/>
                <w:lang w:eastAsia="en-GB"/>
              </w:rPr>
            </w:pPr>
          </w:p>
        </w:tc>
        <w:tc>
          <w:tcPr>
            <w:tcW w:w="615" w:type="dxa"/>
            <w:tcBorders>
              <w:top w:val="nil"/>
              <w:left w:val="nil"/>
              <w:bottom w:val="single" w:sz="8" w:space="0" w:color="92CDDB"/>
              <w:right w:val="single" w:sz="8" w:space="0" w:color="92CDDB"/>
            </w:tcBorders>
            <w:vAlign w:val="center"/>
          </w:tcPr>
          <w:p w14:paraId="50C6F61F" w14:textId="77777777" w:rsidR="00FA1845" w:rsidRPr="00966A45" w:rsidRDefault="00FA1845" w:rsidP="00307AF7">
            <w:pPr>
              <w:spacing w:after="0" w:line="240" w:lineRule="auto"/>
              <w:jc w:val="center"/>
              <w:rPr>
                <w:rFonts w:eastAsia="Times New Roman" w:cs="Arial"/>
                <w:color w:val="000000"/>
                <w:sz w:val="20"/>
                <w:szCs w:val="20"/>
                <w:lang w:eastAsia="en-GB"/>
              </w:rPr>
            </w:pPr>
            <w:r w:rsidRPr="000B1EF6">
              <w:rPr>
                <w:rFonts w:eastAsia="Times New Roman" w:cs="Arial"/>
                <w:color w:val="000000"/>
                <w:sz w:val="20"/>
                <w:szCs w:val="20"/>
                <w:lang w:eastAsia="en-GB"/>
              </w:rPr>
              <w:t>VB</w:t>
            </w:r>
          </w:p>
        </w:tc>
        <w:tc>
          <w:tcPr>
            <w:tcW w:w="5905" w:type="dxa"/>
            <w:tcBorders>
              <w:top w:val="nil"/>
              <w:left w:val="nil"/>
              <w:bottom w:val="single" w:sz="8" w:space="0" w:color="92CDDB"/>
              <w:right w:val="single" w:sz="8" w:space="0" w:color="92CDDB"/>
            </w:tcBorders>
            <w:vAlign w:val="center"/>
          </w:tcPr>
          <w:p w14:paraId="7BDCDF7F" w14:textId="77777777" w:rsidR="00FA1845" w:rsidRPr="00966A45" w:rsidRDefault="00FA1845" w:rsidP="00307AF7">
            <w:pPr>
              <w:spacing w:after="0" w:line="240" w:lineRule="auto"/>
              <w:rPr>
                <w:rFonts w:eastAsia="Times New Roman" w:cs="Arial"/>
                <w:color w:val="000000"/>
                <w:sz w:val="20"/>
                <w:szCs w:val="20"/>
                <w:lang w:eastAsia="en-GB"/>
              </w:rPr>
            </w:pPr>
            <w:r w:rsidRPr="000B1EF6">
              <w:rPr>
                <w:rFonts w:eastAsia="Times New Roman" w:cs="Arial"/>
                <w:color w:val="000000"/>
                <w:sz w:val="20"/>
                <w:szCs w:val="20"/>
                <w:lang w:eastAsia="en-GB"/>
              </w:rPr>
              <w:t>Program bezpečnostního výzkumu ČR 2021-2026: vývoj, testování a</w:t>
            </w:r>
            <w:r>
              <w:rPr>
                <w:rFonts w:eastAsia="Times New Roman" w:cs="Arial"/>
                <w:color w:val="000000"/>
                <w:sz w:val="20"/>
                <w:szCs w:val="20"/>
                <w:lang w:eastAsia="en-GB"/>
              </w:rPr>
              <w:t> </w:t>
            </w:r>
            <w:r w:rsidRPr="000B1EF6">
              <w:rPr>
                <w:rFonts w:eastAsia="Times New Roman" w:cs="Arial"/>
                <w:color w:val="000000"/>
                <w:sz w:val="20"/>
                <w:szCs w:val="20"/>
                <w:lang w:eastAsia="en-GB"/>
              </w:rPr>
              <w:t>evaluace nových bezpečnostních technologií (SECTECH)</w:t>
            </w:r>
          </w:p>
        </w:tc>
        <w:tc>
          <w:tcPr>
            <w:tcW w:w="7088" w:type="dxa"/>
            <w:tcBorders>
              <w:top w:val="nil"/>
              <w:left w:val="single" w:sz="8" w:space="0" w:color="92CDDB"/>
              <w:bottom w:val="single" w:sz="8" w:space="0" w:color="92CDDB"/>
              <w:right w:val="single" w:sz="8" w:space="0" w:color="92CDDB"/>
            </w:tcBorders>
            <w:vAlign w:val="center"/>
          </w:tcPr>
          <w:p w14:paraId="6376FBFA" w14:textId="0840601B" w:rsidR="00FA1845" w:rsidRPr="00966A45" w:rsidRDefault="00FA1845" w:rsidP="00307AF7">
            <w:pPr>
              <w:spacing w:after="0" w:line="240" w:lineRule="auto"/>
              <w:jc w:val="both"/>
              <w:rPr>
                <w:rFonts w:eastAsia="Times New Roman" w:cs="Arial"/>
                <w:b/>
                <w:bCs/>
                <w:color w:val="000000"/>
                <w:sz w:val="20"/>
                <w:szCs w:val="20"/>
                <w:lang w:eastAsia="en-GB"/>
              </w:rPr>
            </w:pPr>
            <w:r w:rsidRPr="000B1EF6">
              <w:rPr>
                <w:rFonts w:cs="Arial"/>
                <w:b/>
                <w:bCs/>
                <w:color w:val="000000"/>
                <w:sz w:val="20"/>
                <w:szCs w:val="20"/>
              </w:rPr>
              <w:t>Hlavním cílem je prostřednictvím mobilizace potenciálu podnikového sektoru, zejm. začínajících, malých a středních podniků, k participaci na</w:t>
            </w:r>
            <w:r w:rsidR="008D2230">
              <w:rPr>
                <w:rFonts w:cs="Arial"/>
                <w:b/>
                <w:bCs/>
                <w:color w:val="000000"/>
                <w:sz w:val="20"/>
                <w:szCs w:val="20"/>
              </w:rPr>
              <w:t> </w:t>
            </w:r>
            <w:r w:rsidRPr="000B1EF6">
              <w:rPr>
                <w:rFonts w:cs="Arial"/>
                <w:b/>
                <w:bCs/>
                <w:color w:val="000000"/>
                <w:sz w:val="20"/>
                <w:szCs w:val="20"/>
              </w:rPr>
              <w:t>vývoji a</w:t>
            </w:r>
            <w:r>
              <w:rPr>
                <w:rFonts w:cs="Arial"/>
                <w:b/>
                <w:bCs/>
                <w:color w:val="000000"/>
                <w:sz w:val="20"/>
                <w:szCs w:val="20"/>
              </w:rPr>
              <w:t> </w:t>
            </w:r>
            <w:r w:rsidRPr="000B1EF6">
              <w:rPr>
                <w:rFonts w:cs="Arial"/>
                <w:b/>
                <w:bCs/>
                <w:color w:val="000000"/>
                <w:sz w:val="20"/>
                <w:szCs w:val="20"/>
              </w:rPr>
              <w:t xml:space="preserve">transferu nových bezpečnostních technologií podpořit dosažení technologické a technické úrovně, která umožní jednotlivým složkám bezpečnostního systému ČR získávat, osvojovat si, udržovat </w:t>
            </w:r>
            <w:r w:rsidRPr="000B1EF6">
              <w:rPr>
                <w:rFonts w:cs="Arial"/>
                <w:b/>
                <w:bCs/>
                <w:color w:val="000000"/>
                <w:sz w:val="20"/>
                <w:szCs w:val="20"/>
              </w:rPr>
              <w:lastRenderedPageBreak/>
              <w:t>a</w:t>
            </w:r>
            <w:r w:rsidR="008D2230">
              <w:rPr>
                <w:rFonts w:cs="Arial"/>
                <w:b/>
                <w:bCs/>
                <w:color w:val="000000"/>
                <w:sz w:val="20"/>
                <w:szCs w:val="20"/>
              </w:rPr>
              <w:t> </w:t>
            </w:r>
            <w:r w:rsidRPr="000B1EF6">
              <w:rPr>
                <w:rFonts w:cs="Arial"/>
                <w:b/>
                <w:bCs/>
                <w:color w:val="000000"/>
                <w:sz w:val="20"/>
                <w:szCs w:val="20"/>
              </w:rPr>
              <w:t>rozvíjet specifické schopnosti pro zajištění bezpečnosti státu a jeho občanů.</w:t>
            </w:r>
          </w:p>
        </w:tc>
        <w:tc>
          <w:tcPr>
            <w:tcW w:w="6341" w:type="dxa"/>
            <w:tcBorders>
              <w:top w:val="nil"/>
              <w:left w:val="nil"/>
              <w:bottom w:val="single" w:sz="8" w:space="0" w:color="92CDDB"/>
              <w:right w:val="single" w:sz="8" w:space="0" w:color="92CDDB"/>
            </w:tcBorders>
            <w:vAlign w:val="center"/>
          </w:tcPr>
          <w:p w14:paraId="66AD94F0" w14:textId="77777777" w:rsidR="00FA1845" w:rsidRPr="00966A45" w:rsidRDefault="00FA1845" w:rsidP="00307AF7">
            <w:pPr>
              <w:spacing w:after="0" w:line="240" w:lineRule="auto"/>
              <w:jc w:val="both"/>
              <w:rPr>
                <w:rFonts w:eastAsia="Times New Roman" w:cs="Arial"/>
                <w:color w:val="000000"/>
                <w:sz w:val="20"/>
                <w:szCs w:val="20"/>
                <w:lang w:eastAsia="en-GB"/>
              </w:rPr>
            </w:pPr>
            <w:r w:rsidRPr="000B1EF6">
              <w:rPr>
                <w:rFonts w:eastAsia="Times New Roman" w:cs="Arial"/>
                <w:color w:val="000000"/>
                <w:sz w:val="20"/>
                <w:szCs w:val="20"/>
                <w:lang w:eastAsia="en-GB"/>
              </w:rPr>
              <w:lastRenderedPageBreak/>
              <w:t> -</w:t>
            </w:r>
          </w:p>
        </w:tc>
      </w:tr>
      <w:tr w:rsidR="00FA1845" w:rsidRPr="00ED79BC" w14:paraId="7B74A36D" w14:textId="77777777" w:rsidTr="008D2230">
        <w:trPr>
          <w:trHeight w:val="792"/>
        </w:trPr>
        <w:tc>
          <w:tcPr>
            <w:tcW w:w="1526" w:type="dxa"/>
            <w:vMerge w:val="restart"/>
            <w:tcBorders>
              <w:top w:val="nil"/>
              <w:left w:val="single" w:sz="8" w:space="0" w:color="92CDDB"/>
              <w:right w:val="single" w:sz="8" w:space="0" w:color="92CDDB"/>
            </w:tcBorders>
            <w:vAlign w:val="center"/>
            <w:hideMark/>
          </w:tcPr>
          <w:p w14:paraId="6D820683" w14:textId="77777777" w:rsidR="00FA1845" w:rsidRPr="00ED79BC" w:rsidRDefault="00FA1845" w:rsidP="00307AF7">
            <w:pPr>
              <w:spacing w:after="0" w:line="240" w:lineRule="auto"/>
              <w:jc w:val="center"/>
              <w:rPr>
                <w:rFonts w:eastAsia="Times New Roman" w:cs="Arial"/>
                <w:color w:val="000000"/>
                <w:sz w:val="20"/>
                <w:szCs w:val="20"/>
                <w:highlight w:val="yellow"/>
                <w:lang w:eastAsia="en-GB"/>
              </w:rPr>
            </w:pPr>
            <w:r w:rsidRPr="000B1EF6">
              <w:rPr>
                <w:rFonts w:eastAsia="Times New Roman" w:cs="Arial"/>
                <w:color w:val="000000"/>
                <w:sz w:val="20"/>
                <w:szCs w:val="20"/>
                <w:lang w:eastAsia="en-GB"/>
              </w:rPr>
              <w:t>MV</w:t>
            </w:r>
          </w:p>
        </w:tc>
        <w:tc>
          <w:tcPr>
            <w:tcW w:w="615" w:type="dxa"/>
            <w:tcBorders>
              <w:top w:val="nil"/>
              <w:left w:val="nil"/>
              <w:bottom w:val="single" w:sz="8" w:space="0" w:color="92CDDB"/>
              <w:right w:val="single" w:sz="8" w:space="0" w:color="92CDDB"/>
            </w:tcBorders>
            <w:vAlign w:val="center"/>
            <w:hideMark/>
          </w:tcPr>
          <w:p w14:paraId="3040BB7D" w14:textId="77777777" w:rsidR="00FA1845" w:rsidRPr="00966A45" w:rsidRDefault="00FA1845" w:rsidP="00307AF7">
            <w:pPr>
              <w:spacing w:after="0" w:line="240" w:lineRule="auto"/>
              <w:jc w:val="center"/>
              <w:rPr>
                <w:rFonts w:eastAsia="Times New Roman" w:cs="Arial"/>
                <w:color w:val="000000"/>
                <w:sz w:val="20"/>
                <w:szCs w:val="20"/>
                <w:lang w:eastAsia="en-GB"/>
              </w:rPr>
            </w:pPr>
            <w:r w:rsidRPr="00966A45">
              <w:rPr>
                <w:rFonts w:eastAsia="Times New Roman" w:cs="Arial"/>
                <w:color w:val="000000"/>
                <w:sz w:val="20"/>
                <w:szCs w:val="20"/>
                <w:lang w:eastAsia="en-GB"/>
              </w:rPr>
              <w:t>VC</w:t>
            </w:r>
          </w:p>
        </w:tc>
        <w:tc>
          <w:tcPr>
            <w:tcW w:w="5905" w:type="dxa"/>
            <w:tcBorders>
              <w:top w:val="nil"/>
              <w:left w:val="nil"/>
              <w:bottom w:val="single" w:sz="8" w:space="0" w:color="92CDDB"/>
              <w:right w:val="single" w:sz="8" w:space="0" w:color="92CDDB"/>
            </w:tcBorders>
            <w:vAlign w:val="center"/>
            <w:hideMark/>
          </w:tcPr>
          <w:p w14:paraId="3E657377" w14:textId="77777777" w:rsidR="00FA1845" w:rsidRPr="00966A45" w:rsidRDefault="00FA1845" w:rsidP="00307AF7">
            <w:pPr>
              <w:spacing w:after="0" w:line="240" w:lineRule="auto"/>
              <w:rPr>
                <w:rFonts w:eastAsia="Times New Roman" w:cs="Arial"/>
                <w:color w:val="000000"/>
                <w:sz w:val="20"/>
                <w:szCs w:val="20"/>
                <w:lang w:eastAsia="en-GB"/>
              </w:rPr>
            </w:pPr>
            <w:r w:rsidRPr="00966A45">
              <w:rPr>
                <w:rFonts w:eastAsia="Times New Roman" w:cs="Arial"/>
                <w:color w:val="000000"/>
                <w:sz w:val="20"/>
                <w:szCs w:val="20"/>
                <w:lang w:eastAsia="en-GB"/>
              </w:rPr>
              <w:t>Program bezpečnostního výzkumu pro potřeby státu 2022-2027 (SECPRO)</w:t>
            </w:r>
          </w:p>
        </w:tc>
        <w:tc>
          <w:tcPr>
            <w:tcW w:w="7088" w:type="dxa"/>
            <w:tcBorders>
              <w:top w:val="nil"/>
              <w:left w:val="single" w:sz="8" w:space="0" w:color="92CDDB"/>
              <w:bottom w:val="single" w:sz="8" w:space="0" w:color="92CDDB"/>
              <w:right w:val="single" w:sz="8" w:space="0" w:color="92CDDB"/>
            </w:tcBorders>
            <w:vAlign w:val="center"/>
            <w:hideMark/>
          </w:tcPr>
          <w:p w14:paraId="550B79E4" w14:textId="1615D655" w:rsidR="00FA1845" w:rsidRPr="00966A45" w:rsidRDefault="00FA1845" w:rsidP="00307AF7">
            <w:pPr>
              <w:spacing w:after="0" w:line="240" w:lineRule="auto"/>
              <w:jc w:val="both"/>
              <w:rPr>
                <w:rFonts w:eastAsia="Times New Roman" w:cs="Arial"/>
                <w:color w:val="000000"/>
                <w:sz w:val="20"/>
                <w:szCs w:val="20"/>
                <w:lang w:eastAsia="en-GB"/>
              </w:rPr>
            </w:pPr>
            <w:r w:rsidRPr="00966A45">
              <w:rPr>
                <w:rFonts w:eastAsia="Times New Roman" w:cs="Arial"/>
                <w:b/>
                <w:bCs/>
                <w:color w:val="000000"/>
                <w:sz w:val="20"/>
                <w:szCs w:val="20"/>
                <w:lang w:eastAsia="en-GB"/>
              </w:rPr>
              <w:t>Zvýšení bezpečnosti státu a občanů ČR prostřednictvím podpory výzkumných potřeb orgánů státní správy</w:t>
            </w:r>
            <w:r w:rsidRPr="00966A45">
              <w:rPr>
                <w:rFonts w:eastAsia="Times New Roman" w:cs="Arial"/>
                <w:color w:val="000000"/>
                <w:sz w:val="20"/>
                <w:szCs w:val="20"/>
                <w:lang w:eastAsia="en-GB"/>
              </w:rPr>
              <w:t>, které umožní jednotlivým aktérům na poli zajišťování bezpečnosti získávat, osvojovat si, udržovat a</w:t>
            </w:r>
            <w:r w:rsidR="008D2230">
              <w:rPr>
                <w:rFonts w:eastAsia="Times New Roman" w:cs="Arial"/>
                <w:color w:val="000000"/>
                <w:sz w:val="20"/>
                <w:szCs w:val="20"/>
                <w:lang w:eastAsia="en-GB"/>
              </w:rPr>
              <w:t> </w:t>
            </w:r>
            <w:r w:rsidRPr="00966A45">
              <w:rPr>
                <w:rFonts w:eastAsia="Times New Roman" w:cs="Arial"/>
                <w:color w:val="000000"/>
                <w:sz w:val="20"/>
                <w:szCs w:val="20"/>
                <w:lang w:eastAsia="en-GB"/>
              </w:rPr>
              <w:t>rozvíjet potřebné specifické schopnosti pro efektivní zabezpečování úkolů v</w:t>
            </w:r>
            <w:r w:rsidR="008D2230">
              <w:rPr>
                <w:rFonts w:eastAsia="Times New Roman" w:cs="Arial"/>
                <w:color w:val="000000"/>
                <w:sz w:val="20"/>
                <w:szCs w:val="20"/>
                <w:lang w:eastAsia="en-GB"/>
              </w:rPr>
              <w:t> </w:t>
            </w:r>
            <w:r w:rsidRPr="00966A45">
              <w:rPr>
                <w:rFonts w:eastAsia="Times New Roman" w:cs="Arial"/>
                <w:color w:val="000000"/>
                <w:sz w:val="20"/>
                <w:szCs w:val="20"/>
                <w:lang w:eastAsia="en-GB"/>
              </w:rPr>
              <w:t>jejich působnosti.</w:t>
            </w:r>
          </w:p>
        </w:tc>
        <w:tc>
          <w:tcPr>
            <w:tcW w:w="6341" w:type="dxa"/>
            <w:tcBorders>
              <w:top w:val="nil"/>
              <w:left w:val="nil"/>
              <w:bottom w:val="single" w:sz="8" w:space="0" w:color="92CDDB"/>
              <w:right w:val="single" w:sz="8" w:space="0" w:color="92CDDB"/>
            </w:tcBorders>
            <w:vAlign w:val="center"/>
            <w:hideMark/>
          </w:tcPr>
          <w:p w14:paraId="344FFB9E" w14:textId="77777777" w:rsidR="00FA1845" w:rsidRPr="00ED79BC" w:rsidRDefault="00FA1845" w:rsidP="00307AF7">
            <w:pPr>
              <w:spacing w:after="0" w:line="240" w:lineRule="auto"/>
              <w:jc w:val="both"/>
              <w:rPr>
                <w:rFonts w:eastAsia="Times New Roman" w:cs="Arial"/>
                <w:color w:val="000000"/>
                <w:sz w:val="20"/>
                <w:szCs w:val="20"/>
                <w:highlight w:val="yellow"/>
                <w:lang w:eastAsia="en-GB"/>
              </w:rPr>
            </w:pPr>
            <w:r w:rsidRPr="00966A45">
              <w:rPr>
                <w:rFonts w:eastAsia="Times New Roman" w:cs="Arial"/>
                <w:color w:val="000000"/>
                <w:sz w:val="20"/>
                <w:szCs w:val="20"/>
                <w:lang w:eastAsia="en-GB"/>
              </w:rPr>
              <w:t> -</w:t>
            </w:r>
          </w:p>
        </w:tc>
      </w:tr>
      <w:tr w:rsidR="00FA1845" w:rsidRPr="000B1EF6" w14:paraId="4C37CC35" w14:textId="77777777" w:rsidTr="008D2230">
        <w:trPr>
          <w:trHeight w:val="792"/>
        </w:trPr>
        <w:tc>
          <w:tcPr>
            <w:tcW w:w="1526" w:type="dxa"/>
            <w:vMerge/>
            <w:tcBorders>
              <w:left w:val="single" w:sz="8" w:space="0" w:color="92CDDB"/>
              <w:right w:val="single" w:sz="8" w:space="0" w:color="92CDDB"/>
            </w:tcBorders>
            <w:vAlign w:val="center"/>
            <w:hideMark/>
          </w:tcPr>
          <w:p w14:paraId="44AE944B" w14:textId="77777777" w:rsidR="00FA1845" w:rsidRPr="00ED79BC" w:rsidRDefault="00FA1845" w:rsidP="00307AF7">
            <w:pPr>
              <w:spacing w:after="0" w:line="240" w:lineRule="auto"/>
              <w:rPr>
                <w:rFonts w:eastAsia="Times New Roman" w:cs="Arial"/>
                <w:color w:val="000000"/>
                <w:sz w:val="20"/>
                <w:szCs w:val="20"/>
                <w:highlight w:val="yellow"/>
                <w:lang w:eastAsia="en-GB"/>
              </w:rPr>
            </w:pPr>
          </w:p>
        </w:tc>
        <w:tc>
          <w:tcPr>
            <w:tcW w:w="615" w:type="dxa"/>
            <w:tcBorders>
              <w:top w:val="nil"/>
              <w:left w:val="nil"/>
              <w:bottom w:val="single" w:sz="8" w:space="0" w:color="92CDDB"/>
              <w:right w:val="single" w:sz="8" w:space="0" w:color="92CDDB"/>
            </w:tcBorders>
            <w:vAlign w:val="center"/>
            <w:hideMark/>
          </w:tcPr>
          <w:p w14:paraId="787BD949" w14:textId="77777777" w:rsidR="00FA1845" w:rsidRPr="000B1EF6" w:rsidRDefault="00FA1845" w:rsidP="00307AF7">
            <w:pPr>
              <w:spacing w:after="0" w:line="240" w:lineRule="auto"/>
              <w:jc w:val="center"/>
              <w:rPr>
                <w:rFonts w:eastAsia="Times New Roman" w:cs="Arial"/>
                <w:color w:val="000000"/>
                <w:sz w:val="20"/>
                <w:szCs w:val="20"/>
                <w:lang w:eastAsia="en-GB"/>
              </w:rPr>
            </w:pPr>
            <w:r w:rsidRPr="000B1EF6">
              <w:rPr>
                <w:rFonts w:eastAsia="Times New Roman" w:cs="Arial"/>
                <w:color w:val="000000"/>
                <w:sz w:val="20"/>
                <w:szCs w:val="20"/>
                <w:lang w:eastAsia="en-GB"/>
              </w:rPr>
              <w:t>VJ</w:t>
            </w:r>
          </w:p>
        </w:tc>
        <w:tc>
          <w:tcPr>
            <w:tcW w:w="5905" w:type="dxa"/>
            <w:tcBorders>
              <w:top w:val="nil"/>
              <w:left w:val="nil"/>
              <w:bottom w:val="single" w:sz="8" w:space="0" w:color="92CDDB"/>
              <w:right w:val="single" w:sz="8" w:space="0" w:color="92CDDB"/>
            </w:tcBorders>
            <w:vAlign w:val="center"/>
            <w:hideMark/>
          </w:tcPr>
          <w:p w14:paraId="424BAFC5" w14:textId="77777777" w:rsidR="00FA1845" w:rsidRPr="000B1EF6" w:rsidRDefault="00FA1845" w:rsidP="00307AF7">
            <w:pPr>
              <w:spacing w:after="0" w:line="240" w:lineRule="auto"/>
              <w:rPr>
                <w:rFonts w:eastAsia="Times New Roman" w:cs="Arial"/>
                <w:color w:val="000000"/>
                <w:sz w:val="20"/>
                <w:szCs w:val="20"/>
                <w:lang w:eastAsia="en-GB"/>
              </w:rPr>
            </w:pPr>
            <w:r w:rsidRPr="000B1EF6">
              <w:rPr>
                <w:rFonts w:eastAsia="Times New Roman" w:cs="Arial"/>
                <w:color w:val="000000"/>
                <w:sz w:val="20"/>
                <w:szCs w:val="20"/>
                <w:lang w:eastAsia="en-GB"/>
              </w:rPr>
              <w:t>Strategická podpora rozvoje bezpečnostního výzkumu ČR 2019–2025 IMPAKT</w:t>
            </w:r>
          </w:p>
        </w:tc>
        <w:tc>
          <w:tcPr>
            <w:tcW w:w="7088" w:type="dxa"/>
            <w:tcBorders>
              <w:top w:val="nil"/>
              <w:left w:val="single" w:sz="8" w:space="0" w:color="92CDDB"/>
              <w:bottom w:val="single" w:sz="8" w:space="0" w:color="92CDDB"/>
              <w:right w:val="single" w:sz="8" w:space="0" w:color="92CDDB"/>
            </w:tcBorders>
            <w:vAlign w:val="center"/>
            <w:hideMark/>
          </w:tcPr>
          <w:p w14:paraId="6CA2E1EB" w14:textId="5D2EC74B" w:rsidR="00FA1845" w:rsidRPr="000B1EF6" w:rsidRDefault="00FA1845" w:rsidP="00307AF7">
            <w:pPr>
              <w:spacing w:after="0" w:line="240" w:lineRule="auto"/>
              <w:jc w:val="both"/>
              <w:rPr>
                <w:rFonts w:eastAsia="Times New Roman" w:cs="Arial"/>
                <w:color w:val="000000"/>
                <w:sz w:val="20"/>
                <w:szCs w:val="20"/>
                <w:lang w:eastAsia="en-GB"/>
              </w:rPr>
            </w:pPr>
            <w:r w:rsidRPr="000B1EF6">
              <w:rPr>
                <w:rFonts w:cs="Arial"/>
                <w:b/>
                <w:bCs/>
                <w:color w:val="000000"/>
                <w:sz w:val="20"/>
                <w:szCs w:val="20"/>
              </w:rPr>
              <w:t>Dosažení takové poznatkové, technologické a technické úrovně, která umožní České republice získat, osvojovat si, udržovat a rozvíjet specifické schopnosti potřebné pro zajištění bezpečnosti státu a jeho občanů</w:t>
            </w:r>
            <w:r w:rsidRPr="000B1EF6">
              <w:rPr>
                <w:rFonts w:cs="Arial"/>
                <w:color w:val="000000"/>
                <w:sz w:val="20"/>
                <w:szCs w:val="20"/>
              </w:rPr>
              <w:t>. Program vytváří podmínky pro využití a rozvoj potenciálu akademického a veřejného výzkumného sektoru, které zajišťují synergickou a</w:t>
            </w:r>
            <w:r w:rsidR="008D2230">
              <w:rPr>
                <w:rFonts w:cs="Arial"/>
                <w:color w:val="000000"/>
                <w:sz w:val="20"/>
                <w:szCs w:val="20"/>
              </w:rPr>
              <w:t> </w:t>
            </w:r>
            <w:r w:rsidRPr="000B1EF6">
              <w:rPr>
                <w:rFonts w:cs="Arial"/>
                <w:color w:val="000000"/>
                <w:sz w:val="20"/>
                <w:szCs w:val="20"/>
              </w:rPr>
              <w:t>dlouhodobou výzkumnou podporu bezpečnostního systému ČR.</w:t>
            </w:r>
          </w:p>
        </w:tc>
        <w:tc>
          <w:tcPr>
            <w:tcW w:w="6341" w:type="dxa"/>
            <w:tcBorders>
              <w:top w:val="nil"/>
              <w:left w:val="nil"/>
              <w:bottom w:val="single" w:sz="8" w:space="0" w:color="92CDDB"/>
              <w:right w:val="single" w:sz="8" w:space="0" w:color="92CDDB"/>
            </w:tcBorders>
            <w:vAlign w:val="center"/>
            <w:hideMark/>
          </w:tcPr>
          <w:p w14:paraId="3FC1EDE8" w14:textId="77777777" w:rsidR="00FA1845" w:rsidRPr="000B1EF6" w:rsidRDefault="00FA1845" w:rsidP="00FA1845">
            <w:pPr>
              <w:pStyle w:val="Odstavecseseznamem"/>
              <w:numPr>
                <w:ilvl w:val="0"/>
                <w:numId w:val="15"/>
              </w:numPr>
              <w:autoSpaceDE w:val="0"/>
              <w:autoSpaceDN w:val="0"/>
              <w:adjustRightInd w:val="0"/>
              <w:spacing w:after="0" w:line="240" w:lineRule="auto"/>
              <w:ind w:left="350"/>
              <w:jc w:val="both"/>
              <w:rPr>
                <w:rFonts w:eastAsia="Arial" w:cs="Arial"/>
                <w:color w:val="000000"/>
                <w:sz w:val="20"/>
                <w:szCs w:val="20"/>
              </w:rPr>
            </w:pPr>
            <w:r w:rsidRPr="000B1EF6">
              <w:rPr>
                <w:rFonts w:eastAsia="Arial" w:cs="Arial"/>
                <w:b/>
                <w:color w:val="000000"/>
                <w:sz w:val="20"/>
                <w:szCs w:val="20"/>
              </w:rPr>
              <w:t>Podprogram 1 „Společné výzkumné projekty</w:t>
            </w:r>
            <w:r w:rsidRPr="000B1EF6">
              <w:rPr>
                <w:rFonts w:eastAsia="Times New Roman" w:cs="Arial"/>
                <w:b/>
                <w:color w:val="000000"/>
                <w:sz w:val="20"/>
                <w:szCs w:val="20"/>
                <w:lang w:eastAsia="en-GB"/>
              </w:rPr>
              <w:t>“</w:t>
            </w:r>
            <w:r w:rsidRPr="000B1EF6">
              <w:rPr>
                <w:rFonts w:eastAsia="Arial" w:cs="Arial"/>
                <w:color w:val="000000"/>
                <w:sz w:val="20"/>
                <w:szCs w:val="20"/>
              </w:rPr>
              <w:t xml:space="preserve"> </w:t>
            </w:r>
            <w:r w:rsidRPr="000B1EF6">
              <w:rPr>
                <w:rFonts w:eastAsia="Times New Roman" w:cs="Arial"/>
                <w:color w:val="000000"/>
                <w:sz w:val="20"/>
                <w:szCs w:val="20"/>
                <w:lang w:eastAsia="en-GB"/>
              </w:rPr>
              <w:t>–</w:t>
            </w:r>
            <w:r w:rsidRPr="000B1EF6">
              <w:rPr>
                <w:rFonts w:eastAsia="Arial" w:cs="Arial"/>
                <w:color w:val="000000"/>
                <w:sz w:val="20"/>
                <w:szCs w:val="20"/>
              </w:rPr>
              <w:t xml:space="preserve"> zajištění koordinované dlouhodobé výzkumné podpory schopností bezpečnostního systému.</w:t>
            </w:r>
          </w:p>
          <w:p w14:paraId="0DD0A8BD" w14:textId="77777777" w:rsidR="00FA1845" w:rsidRPr="000B1EF6" w:rsidRDefault="00FA1845" w:rsidP="00FA1845">
            <w:pPr>
              <w:pStyle w:val="Odstavecseseznamem"/>
              <w:numPr>
                <w:ilvl w:val="0"/>
                <w:numId w:val="15"/>
              </w:numPr>
              <w:autoSpaceDE w:val="0"/>
              <w:autoSpaceDN w:val="0"/>
              <w:adjustRightInd w:val="0"/>
              <w:spacing w:after="0" w:line="240" w:lineRule="auto"/>
              <w:ind w:left="350"/>
              <w:jc w:val="both"/>
              <w:rPr>
                <w:rFonts w:eastAsia="Arial" w:cs="Arial"/>
                <w:color w:val="000000"/>
                <w:sz w:val="20"/>
                <w:szCs w:val="20"/>
              </w:rPr>
            </w:pPr>
            <w:r w:rsidRPr="000B1EF6">
              <w:rPr>
                <w:rFonts w:eastAsia="Arial" w:cs="Arial"/>
                <w:b/>
                <w:color w:val="000000"/>
                <w:sz w:val="20"/>
                <w:szCs w:val="20"/>
              </w:rPr>
              <w:t>Podprogram 2 „Rozvoj lidských zdrojů pro bezpečnostní výzkum“</w:t>
            </w:r>
            <w:r w:rsidRPr="000B1EF6">
              <w:rPr>
                <w:rFonts w:eastAsia="Arial" w:cs="Arial"/>
                <w:color w:val="000000"/>
                <w:sz w:val="20"/>
                <w:szCs w:val="20"/>
              </w:rPr>
              <w:t xml:space="preserve"> </w:t>
            </w:r>
            <w:r w:rsidRPr="000B1EF6">
              <w:rPr>
                <w:rFonts w:eastAsia="Times New Roman" w:cs="Arial"/>
                <w:color w:val="000000"/>
                <w:sz w:val="20"/>
                <w:szCs w:val="20"/>
                <w:lang w:eastAsia="en-GB"/>
              </w:rPr>
              <w:t>–</w:t>
            </w:r>
            <w:r w:rsidRPr="000B1EF6">
              <w:rPr>
                <w:rFonts w:eastAsia="Arial" w:cs="Arial"/>
                <w:color w:val="000000"/>
                <w:sz w:val="20"/>
                <w:szCs w:val="20"/>
              </w:rPr>
              <w:t xml:space="preserve"> podpoření rozvoje výzkumných týmů dlouhodobě specializovaných na bezpečnostní výzkum.</w:t>
            </w:r>
          </w:p>
          <w:p w14:paraId="18E60AC4" w14:textId="77777777" w:rsidR="00FA1845" w:rsidRPr="000B1EF6" w:rsidRDefault="00FA1845" w:rsidP="00FA1845">
            <w:pPr>
              <w:pStyle w:val="Odstavecseseznamem"/>
              <w:numPr>
                <w:ilvl w:val="0"/>
                <w:numId w:val="15"/>
              </w:numPr>
              <w:autoSpaceDE w:val="0"/>
              <w:autoSpaceDN w:val="0"/>
              <w:adjustRightInd w:val="0"/>
              <w:spacing w:after="0" w:line="240" w:lineRule="auto"/>
              <w:ind w:left="350"/>
              <w:jc w:val="both"/>
              <w:rPr>
                <w:rFonts w:eastAsia="Arial" w:cs="Arial"/>
                <w:color w:val="000000"/>
                <w:sz w:val="20"/>
                <w:szCs w:val="20"/>
              </w:rPr>
            </w:pPr>
            <w:r w:rsidRPr="000B1EF6">
              <w:rPr>
                <w:rFonts w:eastAsia="Arial" w:cs="Arial"/>
                <w:b/>
                <w:color w:val="000000"/>
                <w:sz w:val="20"/>
                <w:szCs w:val="20"/>
              </w:rPr>
              <w:t>Podprogram 3 „Rozvoj iniciativy v bezpečnostním výzkumu“</w:t>
            </w:r>
            <w:r w:rsidRPr="000B1EF6">
              <w:rPr>
                <w:rFonts w:eastAsia="Arial" w:cs="Arial"/>
                <w:color w:val="000000"/>
                <w:sz w:val="20"/>
                <w:szCs w:val="20"/>
              </w:rPr>
              <w:t xml:space="preserve"> – podpoření rozvoje internacionalizační iniciativy v komunitě bezpečnostního výzkumu.</w:t>
            </w:r>
          </w:p>
        </w:tc>
      </w:tr>
      <w:tr w:rsidR="00FA1845" w:rsidRPr="00F33DF0" w14:paraId="25426294" w14:textId="77777777" w:rsidTr="008D2230">
        <w:trPr>
          <w:trHeight w:val="792"/>
        </w:trPr>
        <w:tc>
          <w:tcPr>
            <w:tcW w:w="1526" w:type="dxa"/>
            <w:vMerge/>
            <w:tcBorders>
              <w:left w:val="single" w:sz="8" w:space="0" w:color="92CDDB"/>
              <w:bottom w:val="single" w:sz="8" w:space="0" w:color="92CDDB"/>
              <w:right w:val="single" w:sz="8" w:space="0" w:color="92CDDB"/>
            </w:tcBorders>
            <w:vAlign w:val="center"/>
          </w:tcPr>
          <w:p w14:paraId="13A1E047" w14:textId="77777777" w:rsidR="00FA1845" w:rsidRPr="00ED79BC" w:rsidRDefault="00FA1845" w:rsidP="00307AF7">
            <w:pPr>
              <w:spacing w:after="0" w:line="240" w:lineRule="auto"/>
              <w:rPr>
                <w:rFonts w:eastAsia="Times New Roman" w:cs="Arial"/>
                <w:color w:val="000000"/>
                <w:sz w:val="20"/>
                <w:szCs w:val="20"/>
                <w:highlight w:val="yellow"/>
                <w:lang w:eastAsia="en-GB"/>
              </w:rPr>
            </w:pPr>
          </w:p>
        </w:tc>
        <w:tc>
          <w:tcPr>
            <w:tcW w:w="615" w:type="dxa"/>
            <w:tcBorders>
              <w:top w:val="nil"/>
              <w:left w:val="nil"/>
              <w:bottom w:val="single" w:sz="8" w:space="0" w:color="92CDDB"/>
              <w:right w:val="single" w:sz="8" w:space="0" w:color="92CDDB"/>
            </w:tcBorders>
            <w:vAlign w:val="center"/>
          </w:tcPr>
          <w:p w14:paraId="4425C129" w14:textId="77777777" w:rsidR="00FA1845" w:rsidRPr="000B1EF6" w:rsidRDefault="00FA1845" w:rsidP="00307AF7">
            <w:pPr>
              <w:spacing w:after="0" w:line="240" w:lineRule="auto"/>
              <w:jc w:val="center"/>
              <w:rPr>
                <w:rFonts w:eastAsia="Times New Roman" w:cs="Arial"/>
                <w:color w:val="000000"/>
                <w:sz w:val="20"/>
                <w:szCs w:val="20"/>
                <w:lang w:eastAsia="en-GB"/>
              </w:rPr>
            </w:pPr>
            <w:r>
              <w:rPr>
                <w:rFonts w:eastAsia="Times New Roman" w:cs="Arial"/>
                <w:color w:val="000000"/>
                <w:sz w:val="20"/>
                <w:szCs w:val="20"/>
                <w:lang w:eastAsia="en-GB"/>
              </w:rPr>
              <w:t>VK</w:t>
            </w:r>
          </w:p>
        </w:tc>
        <w:tc>
          <w:tcPr>
            <w:tcW w:w="5905" w:type="dxa"/>
            <w:tcBorders>
              <w:top w:val="nil"/>
              <w:left w:val="nil"/>
              <w:bottom w:val="single" w:sz="8" w:space="0" w:color="92CDDB"/>
              <w:right w:val="single" w:sz="8" w:space="0" w:color="92CDDB"/>
            </w:tcBorders>
            <w:vAlign w:val="center"/>
          </w:tcPr>
          <w:p w14:paraId="777012AA" w14:textId="77777777" w:rsidR="00FA1845" w:rsidRPr="000B1EF6" w:rsidRDefault="00FA1845" w:rsidP="00307AF7">
            <w:pPr>
              <w:spacing w:after="0" w:line="240" w:lineRule="auto"/>
              <w:rPr>
                <w:rFonts w:eastAsia="Times New Roman" w:cs="Arial"/>
                <w:color w:val="000000"/>
                <w:sz w:val="20"/>
                <w:szCs w:val="20"/>
                <w:lang w:eastAsia="en-GB"/>
              </w:rPr>
            </w:pPr>
            <w:r w:rsidRPr="00C057F6">
              <w:rPr>
                <w:rFonts w:eastAsia="Times New Roman" w:cs="Arial"/>
                <w:color w:val="000000"/>
                <w:sz w:val="20"/>
                <w:szCs w:val="20"/>
                <w:lang w:eastAsia="en-GB"/>
              </w:rPr>
              <w:t>Otevřené výzvy v</w:t>
            </w:r>
            <w:r>
              <w:rPr>
                <w:rFonts w:eastAsia="Times New Roman" w:cs="Arial"/>
                <w:color w:val="000000"/>
                <w:sz w:val="20"/>
                <w:szCs w:val="20"/>
                <w:lang w:eastAsia="en-GB"/>
              </w:rPr>
              <w:t> </w:t>
            </w:r>
            <w:r w:rsidRPr="00C057F6">
              <w:rPr>
                <w:rFonts w:eastAsia="Times New Roman" w:cs="Arial"/>
                <w:color w:val="000000"/>
                <w:sz w:val="20"/>
                <w:szCs w:val="20"/>
                <w:lang w:eastAsia="en-GB"/>
              </w:rPr>
              <w:t>bezpečnostním výzkumu 2023-2029 (OPSEC)</w:t>
            </w:r>
          </w:p>
        </w:tc>
        <w:tc>
          <w:tcPr>
            <w:tcW w:w="7088" w:type="dxa"/>
            <w:tcBorders>
              <w:top w:val="nil"/>
              <w:left w:val="single" w:sz="8" w:space="0" w:color="92CDDB"/>
              <w:bottom w:val="single" w:sz="8" w:space="0" w:color="92CDDB"/>
              <w:right w:val="single" w:sz="8" w:space="0" w:color="92CDDB"/>
            </w:tcBorders>
            <w:vAlign w:val="center"/>
          </w:tcPr>
          <w:p w14:paraId="2188FC9F" w14:textId="004AFD33" w:rsidR="00FA1845" w:rsidRPr="000B1EF6" w:rsidRDefault="00FA1845" w:rsidP="00307AF7">
            <w:pPr>
              <w:spacing w:after="0" w:line="240" w:lineRule="auto"/>
              <w:jc w:val="both"/>
              <w:rPr>
                <w:rFonts w:cs="Arial"/>
                <w:b/>
                <w:bCs/>
                <w:color w:val="000000"/>
                <w:sz w:val="20"/>
                <w:szCs w:val="20"/>
              </w:rPr>
            </w:pPr>
            <w:r w:rsidRPr="00C057F6">
              <w:rPr>
                <w:rFonts w:cs="Arial"/>
                <w:b/>
                <w:bCs/>
                <w:color w:val="000000"/>
                <w:sz w:val="20"/>
                <w:szCs w:val="20"/>
              </w:rPr>
              <w:t>Hlavním cílem Programu je systematicky podněcovat a rozvíjet zájem výzkumné a inovační sféry o zapojení do řešení bezpečnostních výzev pro</w:t>
            </w:r>
            <w:r>
              <w:rPr>
                <w:rFonts w:cs="Arial"/>
                <w:b/>
                <w:bCs/>
                <w:color w:val="000000"/>
                <w:sz w:val="20"/>
                <w:szCs w:val="20"/>
              </w:rPr>
              <w:t> </w:t>
            </w:r>
            <w:r w:rsidRPr="00C057F6">
              <w:rPr>
                <w:rFonts w:cs="Arial"/>
                <w:b/>
                <w:bCs/>
                <w:color w:val="000000"/>
                <w:sz w:val="20"/>
                <w:szCs w:val="20"/>
              </w:rPr>
              <w:t>moderní společnost a tvořit tak základnu pro rozvoj konkurenceschopných bezpečnostních inovací.</w:t>
            </w:r>
          </w:p>
        </w:tc>
        <w:tc>
          <w:tcPr>
            <w:tcW w:w="6341" w:type="dxa"/>
            <w:tcBorders>
              <w:top w:val="nil"/>
              <w:left w:val="nil"/>
              <w:bottom w:val="single" w:sz="8" w:space="0" w:color="92CDDB"/>
              <w:right w:val="single" w:sz="8" w:space="0" w:color="92CDDB"/>
            </w:tcBorders>
            <w:vAlign w:val="center"/>
          </w:tcPr>
          <w:p w14:paraId="1F5012CA" w14:textId="55BEFD13" w:rsidR="00FA1845" w:rsidRDefault="00FA1845" w:rsidP="00FA1845">
            <w:pPr>
              <w:pStyle w:val="Odstavecseseznamem"/>
              <w:numPr>
                <w:ilvl w:val="0"/>
                <w:numId w:val="15"/>
              </w:numPr>
              <w:autoSpaceDE w:val="0"/>
              <w:autoSpaceDN w:val="0"/>
              <w:adjustRightInd w:val="0"/>
              <w:spacing w:after="0" w:line="240" w:lineRule="auto"/>
              <w:ind w:left="350"/>
              <w:jc w:val="both"/>
              <w:rPr>
                <w:rFonts w:eastAsia="Arial" w:cs="Arial"/>
                <w:b/>
                <w:color w:val="000000"/>
                <w:sz w:val="20"/>
                <w:szCs w:val="20"/>
              </w:rPr>
            </w:pPr>
            <w:r w:rsidRPr="00F33DF0">
              <w:rPr>
                <w:rFonts w:eastAsia="Arial" w:cs="Arial"/>
                <w:b/>
                <w:color w:val="000000"/>
                <w:sz w:val="20"/>
                <w:szCs w:val="20"/>
              </w:rPr>
              <w:t>Podprogram 1 „Rozvoj schopností vymáhání práva“ –je</w:t>
            </w:r>
            <w:r w:rsidR="009718D4">
              <w:rPr>
                <w:rFonts w:eastAsia="Arial" w:cs="Arial"/>
                <w:b/>
                <w:color w:val="000000"/>
                <w:sz w:val="20"/>
                <w:szCs w:val="20"/>
              </w:rPr>
              <w:t> </w:t>
            </w:r>
            <w:r w:rsidRPr="00F33DF0">
              <w:rPr>
                <w:rFonts w:eastAsia="Arial" w:cs="Arial"/>
                <w:b/>
                <w:color w:val="000000"/>
                <w:sz w:val="20"/>
                <w:szCs w:val="20"/>
              </w:rPr>
              <w:t>cíleně zaměřen na priority MKBV 2017+ „Efektivní zásah“ a „Adaptabilní bezpečnostní systém“ v oblasti boje proti organizovanému zločinu a dalším závažným formám kriminality, s důrazem na priority Koncepce rozvoje Policie ČR a</w:t>
            </w:r>
            <w:r>
              <w:rPr>
                <w:rFonts w:eastAsia="Arial" w:cs="Arial"/>
                <w:b/>
                <w:color w:val="000000"/>
                <w:sz w:val="20"/>
                <w:szCs w:val="20"/>
              </w:rPr>
              <w:t> </w:t>
            </w:r>
            <w:r w:rsidRPr="00F33DF0">
              <w:rPr>
                <w:rFonts w:eastAsia="Arial" w:cs="Arial"/>
                <w:b/>
                <w:color w:val="000000"/>
                <w:sz w:val="20"/>
                <w:szCs w:val="20"/>
              </w:rPr>
              <w:t>dalších souvisejících dokumentů.</w:t>
            </w:r>
          </w:p>
          <w:p w14:paraId="5DED9D9B" w14:textId="5AB628C7" w:rsidR="00FA1845" w:rsidRPr="00F33DF0" w:rsidRDefault="00FA1845" w:rsidP="00FA1845">
            <w:pPr>
              <w:pStyle w:val="Odstavecseseznamem"/>
              <w:numPr>
                <w:ilvl w:val="0"/>
                <w:numId w:val="15"/>
              </w:numPr>
              <w:autoSpaceDE w:val="0"/>
              <w:autoSpaceDN w:val="0"/>
              <w:adjustRightInd w:val="0"/>
              <w:spacing w:after="0" w:line="240" w:lineRule="auto"/>
              <w:ind w:left="350"/>
              <w:jc w:val="both"/>
              <w:rPr>
                <w:rFonts w:eastAsia="Arial" w:cs="Arial"/>
                <w:b/>
                <w:color w:val="000000"/>
                <w:sz w:val="20"/>
                <w:szCs w:val="20"/>
              </w:rPr>
            </w:pPr>
            <w:r w:rsidRPr="00F33DF0">
              <w:rPr>
                <w:rFonts w:cs="Arial"/>
                <w:b/>
                <w:bCs/>
                <w:color w:val="000000"/>
                <w:sz w:val="20"/>
                <w:szCs w:val="20"/>
              </w:rPr>
              <w:t>Podprogram 2 „Krizová připravenost bezpečnostních a</w:t>
            </w:r>
            <w:r w:rsidR="009718D4">
              <w:rPr>
                <w:rFonts w:cs="Arial"/>
                <w:b/>
                <w:bCs/>
                <w:color w:val="000000"/>
                <w:sz w:val="20"/>
                <w:szCs w:val="20"/>
              </w:rPr>
              <w:t> </w:t>
            </w:r>
            <w:r w:rsidRPr="00F33DF0">
              <w:rPr>
                <w:rFonts w:cs="Arial"/>
                <w:b/>
                <w:bCs/>
                <w:color w:val="000000"/>
                <w:sz w:val="20"/>
                <w:szCs w:val="20"/>
              </w:rPr>
              <w:t xml:space="preserve">záchranných sborů“ </w:t>
            </w:r>
            <w:r w:rsidRPr="00F33DF0">
              <w:rPr>
                <w:rFonts w:cs="Arial"/>
                <w:color w:val="000000"/>
                <w:sz w:val="20"/>
                <w:szCs w:val="20"/>
              </w:rPr>
              <w:t>– je cíleně zaměřen na priority MKBV2017+ „Efektivní zásah“ a „Adaptabilní bezpečnostní systém“ v oblasti krizové připravenosti bezpečnostních a</w:t>
            </w:r>
            <w:r w:rsidR="0013298F">
              <w:rPr>
                <w:rFonts w:cs="Arial"/>
                <w:color w:val="000000"/>
                <w:sz w:val="20"/>
                <w:szCs w:val="20"/>
              </w:rPr>
              <w:t> </w:t>
            </w:r>
            <w:r w:rsidRPr="00F33DF0">
              <w:rPr>
                <w:rFonts w:cs="Arial"/>
                <w:color w:val="000000"/>
                <w:sz w:val="20"/>
                <w:szCs w:val="20"/>
              </w:rPr>
              <w:t>záchranných sborů s důrazem na priority rozvojových dokumentů v oblasti krizového řízení a ochrany obyvatelstva.</w:t>
            </w:r>
          </w:p>
          <w:p w14:paraId="7FC4356C" w14:textId="18A783C8" w:rsidR="00FA1845" w:rsidRPr="00F33DF0" w:rsidRDefault="00FA1845" w:rsidP="00FA1845">
            <w:pPr>
              <w:pStyle w:val="Odstavecseseznamem"/>
              <w:numPr>
                <w:ilvl w:val="0"/>
                <w:numId w:val="15"/>
              </w:numPr>
              <w:autoSpaceDE w:val="0"/>
              <w:autoSpaceDN w:val="0"/>
              <w:adjustRightInd w:val="0"/>
              <w:spacing w:after="0" w:line="240" w:lineRule="auto"/>
              <w:ind w:left="350"/>
              <w:jc w:val="both"/>
              <w:rPr>
                <w:rFonts w:eastAsia="Arial" w:cs="Arial"/>
                <w:b/>
                <w:color w:val="000000"/>
                <w:sz w:val="20"/>
                <w:szCs w:val="20"/>
              </w:rPr>
            </w:pPr>
            <w:r w:rsidRPr="00F33DF0">
              <w:rPr>
                <w:rFonts w:cs="Arial"/>
                <w:b/>
                <w:bCs/>
                <w:color w:val="000000"/>
                <w:sz w:val="20"/>
                <w:szCs w:val="20"/>
              </w:rPr>
              <w:t>Podprogram 3 „Odolná společnost“</w:t>
            </w:r>
            <w:r w:rsidRPr="00F33DF0">
              <w:rPr>
                <w:rFonts w:cs="Arial"/>
                <w:color w:val="000000"/>
                <w:sz w:val="20"/>
                <w:szCs w:val="20"/>
              </w:rPr>
              <w:t> – se zaměřuje primárně na prioritu MKBV2017+ „</w:t>
            </w:r>
            <w:proofErr w:type="spellStart"/>
            <w:r w:rsidRPr="00F33DF0">
              <w:rPr>
                <w:rFonts w:cs="Arial"/>
                <w:color w:val="000000"/>
                <w:sz w:val="20"/>
                <w:szCs w:val="20"/>
              </w:rPr>
              <w:t>Resilientní</w:t>
            </w:r>
            <w:proofErr w:type="spellEnd"/>
            <w:r w:rsidRPr="00F33DF0">
              <w:rPr>
                <w:rFonts w:cs="Arial"/>
                <w:color w:val="000000"/>
                <w:sz w:val="20"/>
                <w:szCs w:val="20"/>
              </w:rPr>
              <w:t xml:space="preserve"> komunity.“ Jedná se o</w:t>
            </w:r>
            <w:r w:rsidR="009718D4">
              <w:rPr>
                <w:rFonts w:cs="Arial"/>
                <w:color w:val="000000"/>
                <w:sz w:val="20"/>
                <w:szCs w:val="20"/>
              </w:rPr>
              <w:t> </w:t>
            </w:r>
            <w:r w:rsidRPr="00F33DF0">
              <w:rPr>
                <w:rFonts w:cs="Arial"/>
                <w:color w:val="000000"/>
                <w:sz w:val="20"/>
                <w:szCs w:val="20"/>
              </w:rPr>
              <w:t>podprogram charakteristický velkou diverzitou témat, specificky se jedná o témata, kde dochází k překryvu mezi činností bezpečnostního systému a aktivitami dalších aktérů jako je</w:t>
            </w:r>
            <w:r w:rsidR="009718D4">
              <w:rPr>
                <w:rFonts w:cs="Arial"/>
                <w:color w:val="000000"/>
                <w:sz w:val="20"/>
                <w:szCs w:val="20"/>
              </w:rPr>
              <w:t> </w:t>
            </w:r>
            <w:r w:rsidRPr="00F33DF0">
              <w:rPr>
                <w:rFonts w:cs="Arial"/>
                <w:color w:val="000000"/>
                <w:sz w:val="20"/>
                <w:szCs w:val="20"/>
              </w:rPr>
              <w:t>například prevence kriminality, environmentální bezpečnost či</w:t>
            </w:r>
            <w:r w:rsidR="009718D4">
              <w:rPr>
                <w:rFonts w:cs="Arial"/>
                <w:color w:val="000000"/>
                <w:sz w:val="20"/>
                <w:szCs w:val="20"/>
              </w:rPr>
              <w:t> </w:t>
            </w:r>
            <w:r w:rsidRPr="00F33DF0">
              <w:rPr>
                <w:rFonts w:cs="Arial"/>
                <w:color w:val="000000"/>
                <w:sz w:val="20"/>
                <w:szCs w:val="20"/>
              </w:rPr>
              <w:t>ochrana obyvatelstva.</w:t>
            </w:r>
          </w:p>
        </w:tc>
      </w:tr>
      <w:tr w:rsidR="00646FD6" w:rsidRPr="00F33DF0" w14:paraId="4332FECC" w14:textId="77777777" w:rsidTr="008D2230">
        <w:trPr>
          <w:trHeight w:val="792"/>
        </w:trPr>
        <w:tc>
          <w:tcPr>
            <w:tcW w:w="1526" w:type="dxa"/>
            <w:vMerge w:val="restart"/>
            <w:tcBorders>
              <w:left w:val="single" w:sz="8" w:space="0" w:color="92CDDB"/>
              <w:right w:val="single" w:sz="8" w:space="0" w:color="92CDDB"/>
            </w:tcBorders>
            <w:vAlign w:val="center"/>
          </w:tcPr>
          <w:p w14:paraId="6EDA6ECC" w14:textId="0CED1838" w:rsidR="00646FD6" w:rsidRPr="00ED79BC" w:rsidRDefault="00646FD6" w:rsidP="00646FD6">
            <w:pPr>
              <w:spacing w:after="0" w:line="240" w:lineRule="auto"/>
              <w:jc w:val="center"/>
              <w:rPr>
                <w:rFonts w:eastAsia="Times New Roman" w:cs="Arial"/>
                <w:color w:val="000000"/>
                <w:sz w:val="20"/>
                <w:szCs w:val="20"/>
                <w:highlight w:val="yellow"/>
                <w:lang w:eastAsia="en-GB"/>
              </w:rPr>
            </w:pPr>
            <w:proofErr w:type="spellStart"/>
            <w:r w:rsidRPr="0085669E">
              <w:rPr>
                <w:rFonts w:eastAsia="Times New Roman" w:cs="Arial"/>
                <w:color w:val="000000"/>
                <w:sz w:val="20"/>
                <w:szCs w:val="20"/>
                <w:lang w:eastAsia="en-GB"/>
              </w:rPr>
              <w:t>MZd</w:t>
            </w:r>
            <w:proofErr w:type="spellEnd"/>
          </w:p>
        </w:tc>
        <w:tc>
          <w:tcPr>
            <w:tcW w:w="615" w:type="dxa"/>
            <w:tcBorders>
              <w:top w:val="nil"/>
              <w:left w:val="nil"/>
              <w:bottom w:val="single" w:sz="8" w:space="0" w:color="92CDDB"/>
              <w:right w:val="single" w:sz="8" w:space="0" w:color="92CDDB"/>
            </w:tcBorders>
            <w:vAlign w:val="center"/>
          </w:tcPr>
          <w:p w14:paraId="4CD97488" w14:textId="11BD6875" w:rsidR="00646FD6" w:rsidRDefault="00646FD6" w:rsidP="00646FD6">
            <w:pPr>
              <w:spacing w:after="0" w:line="240" w:lineRule="auto"/>
              <w:jc w:val="center"/>
              <w:rPr>
                <w:rFonts w:eastAsia="Times New Roman" w:cs="Arial"/>
                <w:color w:val="000000"/>
                <w:sz w:val="20"/>
                <w:szCs w:val="20"/>
                <w:lang w:eastAsia="en-GB"/>
              </w:rPr>
            </w:pPr>
            <w:r w:rsidRPr="0085669E">
              <w:rPr>
                <w:rFonts w:eastAsia="Times New Roman" w:cs="Arial"/>
                <w:color w:val="000000"/>
                <w:sz w:val="20"/>
                <w:szCs w:val="20"/>
                <w:lang w:eastAsia="en-GB"/>
              </w:rPr>
              <w:t>NU</w:t>
            </w:r>
          </w:p>
        </w:tc>
        <w:tc>
          <w:tcPr>
            <w:tcW w:w="5905" w:type="dxa"/>
            <w:tcBorders>
              <w:top w:val="nil"/>
              <w:left w:val="nil"/>
              <w:bottom w:val="single" w:sz="8" w:space="0" w:color="92CDDB"/>
              <w:right w:val="single" w:sz="8" w:space="0" w:color="92CDDB"/>
            </w:tcBorders>
            <w:vAlign w:val="center"/>
          </w:tcPr>
          <w:p w14:paraId="4D5858F3" w14:textId="31612A91" w:rsidR="00646FD6" w:rsidRPr="00C057F6" w:rsidRDefault="00646FD6" w:rsidP="00646FD6">
            <w:pPr>
              <w:spacing w:after="0" w:line="240" w:lineRule="auto"/>
              <w:rPr>
                <w:rFonts w:eastAsia="Times New Roman" w:cs="Arial"/>
                <w:color w:val="000000"/>
                <w:sz w:val="20"/>
                <w:szCs w:val="20"/>
                <w:lang w:eastAsia="en-GB"/>
              </w:rPr>
            </w:pPr>
            <w:r w:rsidRPr="0085669E">
              <w:rPr>
                <w:rFonts w:eastAsia="Times New Roman" w:cs="Arial"/>
                <w:color w:val="000000"/>
                <w:sz w:val="20"/>
                <w:szCs w:val="20"/>
                <w:lang w:eastAsia="en-GB"/>
              </w:rPr>
              <w:t>Program na podporu zdravotnického aplikovaného výzkumu na</w:t>
            </w:r>
            <w:r w:rsidR="009718D4">
              <w:rPr>
                <w:rFonts w:eastAsia="Times New Roman" w:cs="Arial"/>
                <w:color w:val="000000"/>
                <w:sz w:val="20"/>
                <w:szCs w:val="20"/>
                <w:lang w:eastAsia="en-GB"/>
              </w:rPr>
              <w:t> </w:t>
            </w:r>
            <w:r w:rsidRPr="0085669E">
              <w:rPr>
                <w:rFonts w:eastAsia="Times New Roman" w:cs="Arial"/>
                <w:color w:val="000000"/>
                <w:sz w:val="20"/>
                <w:szCs w:val="20"/>
                <w:lang w:eastAsia="en-GB"/>
              </w:rPr>
              <w:t>léta 2020–2026</w:t>
            </w:r>
          </w:p>
        </w:tc>
        <w:tc>
          <w:tcPr>
            <w:tcW w:w="7088" w:type="dxa"/>
            <w:tcBorders>
              <w:top w:val="nil"/>
              <w:left w:val="single" w:sz="8" w:space="0" w:color="92CDDB"/>
              <w:bottom w:val="single" w:sz="8" w:space="0" w:color="92CDDB"/>
              <w:right w:val="single" w:sz="8" w:space="0" w:color="92CDDB"/>
            </w:tcBorders>
            <w:vAlign w:val="center"/>
          </w:tcPr>
          <w:p w14:paraId="5159506C" w14:textId="32E878B6" w:rsidR="00646FD6" w:rsidRPr="00C057F6" w:rsidRDefault="00646FD6" w:rsidP="00646FD6">
            <w:pPr>
              <w:spacing w:after="0" w:line="240" w:lineRule="auto"/>
              <w:jc w:val="both"/>
              <w:rPr>
                <w:rFonts w:cs="Arial"/>
                <w:b/>
                <w:bCs/>
                <w:color w:val="000000"/>
                <w:sz w:val="20"/>
                <w:szCs w:val="20"/>
              </w:rPr>
            </w:pPr>
            <w:r w:rsidRPr="0085669E">
              <w:rPr>
                <w:rFonts w:cs="Arial"/>
                <w:b/>
                <w:bCs/>
                <w:color w:val="000000"/>
                <w:sz w:val="20"/>
                <w:szCs w:val="20"/>
              </w:rPr>
              <w:t>Přispět ve střednědobém i dlouhodobém horizontu ke zlepšování zdraví české populace a pokračovat v zabezpečení aktuálních potřeb ve</w:t>
            </w:r>
            <w:r w:rsidR="008D2230">
              <w:rPr>
                <w:rFonts w:cs="Arial"/>
                <w:b/>
                <w:bCs/>
                <w:color w:val="000000"/>
                <w:sz w:val="20"/>
                <w:szCs w:val="20"/>
              </w:rPr>
              <w:t> </w:t>
            </w:r>
            <w:r w:rsidRPr="0085669E">
              <w:rPr>
                <w:rFonts w:cs="Arial"/>
                <w:b/>
                <w:bCs/>
                <w:color w:val="000000"/>
                <w:sz w:val="20"/>
                <w:szCs w:val="20"/>
              </w:rPr>
              <w:t>zdravotnictví v</w:t>
            </w:r>
            <w:r>
              <w:rPr>
                <w:rFonts w:cs="Arial"/>
                <w:b/>
                <w:bCs/>
                <w:color w:val="000000"/>
                <w:sz w:val="20"/>
                <w:szCs w:val="20"/>
              </w:rPr>
              <w:t> </w:t>
            </w:r>
            <w:r w:rsidRPr="0085669E">
              <w:rPr>
                <w:rFonts w:cs="Arial"/>
                <w:b/>
                <w:bCs/>
                <w:color w:val="000000"/>
                <w:sz w:val="20"/>
                <w:szCs w:val="20"/>
              </w:rPr>
              <w:t xml:space="preserve">České republice. </w:t>
            </w:r>
            <w:r w:rsidRPr="0085669E">
              <w:rPr>
                <w:rFonts w:cs="Arial"/>
                <w:color w:val="000000"/>
                <w:sz w:val="20"/>
                <w:szCs w:val="20"/>
              </w:rPr>
              <w:t>V rámci podpořených projektů bude dosaženo nových poznatků, které přispějí ke zlepšení klinických postupů v</w:t>
            </w:r>
            <w:r w:rsidR="008D2230">
              <w:rPr>
                <w:rFonts w:cs="Arial"/>
                <w:color w:val="000000"/>
                <w:sz w:val="20"/>
                <w:szCs w:val="20"/>
              </w:rPr>
              <w:t> </w:t>
            </w:r>
            <w:r w:rsidRPr="0085669E">
              <w:rPr>
                <w:rFonts w:cs="Arial"/>
                <w:color w:val="000000"/>
                <w:sz w:val="20"/>
                <w:szCs w:val="20"/>
              </w:rPr>
              <w:t>diagnostice, léčbě a prevenci při</w:t>
            </w:r>
            <w:r>
              <w:rPr>
                <w:rFonts w:cs="Arial"/>
                <w:color w:val="000000"/>
                <w:sz w:val="20"/>
                <w:szCs w:val="20"/>
              </w:rPr>
              <w:t> </w:t>
            </w:r>
            <w:r w:rsidRPr="0085669E">
              <w:rPr>
                <w:rFonts w:cs="Arial"/>
                <w:color w:val="000000"/>
                <w:sz w:val="20"/>
                <w:szCs w:val="20"/>
              </w:rPr>
              <w:t>řešení nejčastějších, ale i vzácných nebo zcela nových onemocnění. Cílem Programu je také přispět k tomu, aby úroveň zdravotnického výzkumu v České republice byla srovnatelná s</w:t>
            </w:r>
            <w:r w:rsidR="008D2230">
              <w:rPr>
                <w:rFonts w:cs="Arial"/>
                <w:color w:val="000000"/>
                <w:sz w:val="20"/>
                <w:szCs w:val="20"/>
              </w:rPr>
              <w:t> </w:t>
            </w:r>
            <w:r w:rsidRPr="0085669E">
              <w:rPr>
                <w:rFonts w:cs="Arial"/>
                <w:color w:val="000000"/>
                <w:sz w:val="20"/>
                <w:szCs w:val="20"/>
              </w:rPr>
              <w:t>vyspělými státy Evropské unie. Program má tři hlavní oblasti: Vznik a</w:t>
            </w:r>
            <w:r>
              <w:rPr>
                <w:rFonts w:cs="Arial"/>
                <w:color w:val="000000"/>
                <w:sz w:val="20"/>
                <w:szCs w:val="20"/>
              </w:rPr>
              <w:t> </w:t>
            </w:r>
            <w:r w:rsidRPr="0085669E">
              <w:rPr>
                <w:rFonts w:cs="Arial"/>
                <w:color w:val="000000"/>
                <w:sz w:val="20"/>
                <w:szCs w:val="20"/>
              </w:rPr>
              <w:t>rozvoj chorob; Nové diagnostické a terapeutické metody a</w:t>
            </w:r>
            <w:r>
              <w:rPr>
                <w:rFonts w:cs="Arial"/>
                <w:color w:val="000000"/>
                <w:sz w:val="20"/>
                <w:szCs w:val="20"/>
              </w:rPr>
              <w:t> </w:t>
            </w:r>
            <w:r w:rsidRPr="0085669E">
              <w:rPr>
                <w:rFonts w:cs="Arial"/>
                <w:color w:val="000000"/>
                <w:sz w:val="20"/>
                <w:szCs w:val="20"/>
              </w:rPr>
              <w:t>Epidemiologie a</w:t>
            </w:r>
            <w:r w:rsidR="008D2230">
              <w:rPr>
                <w:rFonts w:cs="Arial"/>
                <w:color w:val="000000"/>
                <w:sz w:val="20"/>
                <w:szCs w:val="20"/>
              </w:rPr>
              <w:t> </w:t>
            </w:r>
            <w:r w:rsidRPr="0085669E">
              <w:rPr>
                <w:rFonts w:cs="Arial"/>
                <w:color w:val="000000"/>
                <w:sz w:val="20"/>
                <w:szCs w:val="20"/>
              </w:rPr>
              <w:t>prevence nejzávažnějších chorob, které se dále dělí na</w:t>
            </w:r>
            <w:r>
              <w:rPr>
                <w:rFonts w:cs="Arial"/>
                <w:color w:val="000000"/>
                <w:sz w:val="20"/>
                <w:szCs w:val="20"/>
              </w:rPr>
              <w:t> </w:t>
            </w:r>
            <w:r w:rsidRPr="0085669E">
              <w:rPr>
                <w:rFonts w:cs="Arial"/>
                <w:color w:val="000000"/>
                <w:sz w:val="20"/>
                <w:szCs w:val="20"/>
              </w:rPr>
              <w:t>21</w:t>
            </w:r>
            <w:r>
              <w:rPr>
                <w:rFonts w:cs="Arial"/>
                <w:color w:val="000000"/>
                <w:sz w:val="20"/>
                <w:szCs w:val="20"/>
              </w:rPr>
              <w:t> </w:t>
            </w:r>
            <w:r w:rsidRPr="0085669E">
              <w:rPr>
                <w:rFonts w:cs="Arial"/>
                <w:color w:val="000000"/>
                <w:sz w:val="20"/>
                <w:szCs w:val="20"/>
              </w:rPr>
              <w:t>podoblastí a</w:t>
            </w:r>
            <w:r w:rsidR="008D2230">
              <w:rPr>
                <w:rFonts w:cs="Arial"/>
                <w:color w:val="000000"/>
                <w:sz w:val="20"/>
                <w:szCs w:val="20"/>
              </w:rPr>
              <w:t> </w:t>
            </w:r>
            <w:r w:rsidRPr="0085669E">
              <w:rPr>
                <w:rFonts w:cs="Arial"/>
                <w:color w:val="000000"/>
                <w:sz w:val="20"/>
                <w:szCs w:val="20"/>
              </w:rPr>
              <w:t>43</w:t>
            </w:r>
            <w:r w:rsidR="008D2230">
              <w:rPr>
                <w:rFonts w:cs="Arial"/>
                <w:color w:val="000000"/>
                <w:sz w:val="20"/>
                <w:szCs w:val="20"/>
              </w:rPr>
              <w:t> </w:t>
            </w:r>
            <w:r w:rsidRPr="0085669E">
              <w:rPr>
                <w:rFonts w:cs="Arial"/>
                <w:color w:val="000000"/>
                <w:sz w:val="20"/>
                <w:szCs w:val="20"/>
              </w:rPr>
              <w:t>dílčích cílů.</w:t>
            </w:r>
          </w:p>
        </w:tc>
        <w:tc>
          <w:tcPr>
            <w:tcW w:w="6341" w:type="dxa"/>
            <w:tcBorders>
              <w:top w:val="nil"/>
              <w:left w:val="nil"/>
              <w:bottom w:val="single" w:sz="8" w:space="0" w:color="92CDDB"/>
              <w:right w:val="single" w:sz="8" w:space="0" w:color="92CDDB"/>
            </w:tcBorders>
            <w:vAlign w:val="center"/>
          </w:tcPr>
          <w:p w14:paraId="4AF598F9" w14:textId="128B2A35" w:rsidR="00646FD6" w:rsidRPr="0085669E" w:rsidRDefault="00646FD6" w:rsidP="00646FD6">
            <w:pPr>
              <w:pStyle w:val="Odstavecseseznamem"/>
              <w:numPr>
                <w:ilvl w:val="0"/>
                <w:numId w:val="16"/>
              </w:numPr>
              <w:spacing w:after="0" w:line="240" w:lineRule="auto"/>
              <w:ind w:left="339"/>
              <w:jc w:val="both"/>
              <w:rPr>
                <w:rFonts w:eastAsia="Times New Roman" w:cs="Arial"/>
                <w:color w:val="000000"/>
                <w:sz w:val="20"/>
                <w:szCs w:val="20"/>
                <w:lang w:eastAsia="en-GB"/>
              </w:rPr>
            </w:pPr>
            <w:r w:rsidRPr="0085669E">
              <w:rPr>
                <w:rFonts w:eastAsia="Times New Roman" w:cs="Arial"/>
                <w:b/>
                <w:color w:val="000000"/>
                <w:sz w:val="20"/>
                <w:szCs w:val="20"/>
                <w:lang w:eastAsia="en-GB"/>
              </w:rPr>
              <w:t>Podprogram 1</w:t>
            </w:r>
            <w:r w:rsidRPr="0085669E">
              <w:rPr>
                <w:rFonts w:eastAsia="Times New Roman" w:cs="Arial"/>
                <w:color w:val="000000"/>
                <w:sz w:val="20"/>
                <w:szCs w:val="20"/>
                <w:lang w:eastAsia="en-GB"/>
              </w:rPr>
              <w:t xml:space="preserve"> – další rozvoj stávající platformy zdravotnického aplikovaného výzkumu v ČR s tím, že je nutné zaměřit se více na</w:t>
            </w:r>
            <w:r w:rsidR="009718D4">
              <w:rPr>
                <w:rFonts w:eastAsia="Times New Roman" w:cs="Arial"/>
                <w:color w:val="000000"/>
                <w:sz w:val="20"/>
                <w:szCs w:val="20"/>
                <w:lang w:eastAsia="en-GB"/>
              </w:rPr>
              <w:t> </w:t>
            </w:r>
            <w:r w:rsidRPr="0085669E">
              <w:rPr>
                <w:rFonts w:eastAsia="Times New Roman" w:cs="Arial"/>
                <w:color w:val="000000"/>
                <w:sz w:val="20"/>
                <w:szCs w:val="20"/>
                <w:lang w:eastAsia="en-GB"/>
              </w:rPr>
              <w:t>zlepšení podmínek pro rozvoj mezinárodní spolupráce.</w:t>
            </w:r>
          </w:p>
          <w:p w14:paraId="4AFA6D3C" w14:textId="77777777" w:rsidR="00646FD6" w:rsidRPr="0085669E" w:rsidRDefault="00646FD6" w:rsidP="00646FD6">
            <w:pPr>
              <w:pStyle w:val="Odstavecseseznamem"/>
              <w:numPr>
                <w:ilvl w:val="0"/>
                <w:numId w:val="16"/>
              </w:numPr>
              <w:spacing w:after="0" w:line="240" w:lineRule="auto"/>
              <w:ind w:left="339"/>
              <w:jc w:val="both"/>
              <w:rPr>
                <w:rFonts w:eastAsia="Times New Roman" w:cs="Arial"/>
                <w:color w:val="000000"/>
                <w:sz w:val="20"/>
                <w:szCs w:val="20"/>
                <w:lang w:eastAsia="en-GB"/>
              </w:rPr>
            </w:pPr>
            <w:r w:rsidRPr="0085669E">
              <w:rPr>
                <w:rFonts w:eastAsia="Times New Roman" w:cs="Arial"/>
                <w:b/>
                <w:color w:val="000000"/>
                <w:sz w:val="20"/>
                <w:szCs w:val="20"/>
                <w:lang w:eastAsia="en-GB"/>
              </w:rPr>
              <w:t>Podprogram 2</w:t>
            </w:r>
            <w:r w:rsidRPr="0085669E">
              <w:rPr>
                <w:rFonts w:eastAsia="Times New Roman" w:cs="Arial"/>
                <w:color w:val="000000"/>
                <w:sz w:val="20"/>
                <w:szCs w:val="20"/>
                <w:lang w:eastAsia="en-GB"/>
              </w:rPr>
              <w:t xml:space="preserve"> – podpoření rozvoje mladých výzkumníků v jejich výzkumné činnosti a s tím související omlazení výzkumné obce v oblasti zdravotnictví, aby zůstala zachována kontinuita zdravotnického aplikovaného výzkumu pro budoucí generace.</w:t>
            </w:r>
          </w:p>
          <w:p w14:paraId="6A6F1985" w14:textId="043D7C67" w:rsidR="00646FD6" w:rsidRPr="00F33DF0" w:rsidRDefault="00646FD6" w:rsidP="00646FD6">
            <w:pPr>
              <w:pStyle w:val="Odstavecseseznamem"/>
              <w:numPr>
                <w:ilvl w:val="0"/>
                <w:numId w:val="15"/>
              </w:numPr>
              <w:autoSpaceDE w:val="0"/>
              <w:autoSpaceDN w:val="0"/>
              <w:adjustRightInd w:val="0"/>
              <w:spacing w:after="0" w:line="240" w:lineRule="auto"/>
              <w:ind w:left="350"/>
              <w:jc w:val="both"/>
              <w:rPr>
                <w:rFonts w:eastAsia="Arial" w:cs="Arial"/>
                <w:b/>
                <w:color w:val="000000"/>
                <w:sz w:val="20"/>
                <w:szCs w:val="20"/>
              </w:rPr>
            </w:pPr>
            <w:r w:rsidRPr="0085669E">
              <w:rPr>
                <w:rFonts w:eastAsia="Times New Roman" w:cs="Arial"/>
                <w:b/>
                <w:color w:val="000000"/>
                <w:sz w:val="20"/>
                <w:szCs w:val="20"/>
                <w:lang w:eastAsia="en-GB"/>
              </w:rPr>
              <w:t>Podprogram 3</w:t>
            </w:r>
            <w:r w:rsidRPr="0085669E">
              <w:rPr>
                <w:rFonts w:eastAsia="Times New Roman" w:cs="Arial"/>
                <w:color w:val="000000"/>
                <w:sz w:val="20"/>
                <w:szCs w:val="20"/>
                <w:lang w:eastAsia="en-GB"/>
              </w:rPr>
              <w:t xml:space="preserve"> – získání dat z proběhlé pandemie COVID-19 v ČR, provedení jejich analýzy, a tak přispět ke zdokonalení stávajících postupů, resp. vytvoření základu pro vypracování nových organizačních postupů ve zdravotní péči v ČR pro</w:t>
            </w:r>
            <w:r>
              <w:rPr>
                <w:rFonts w:eastAsia="Times New Roman" w:cs="Arial"/>
                <w:color w:val="000000"/>
                <w:sz w:val="20"/>
                <w:szCs w:val="20"/>
                <w:lang w:eastAsia="en-GB"/>
              </w:rPr>
              <w:t> </w:t>
            </w:r>
            <w:r w:rsidRPr="0085669E">
              <w:rPr>
                <w:rFonts w:eastAsia="Times New Roman" w:cs="Arial"/>
                <w:color w:val="000000"/>
                <w:sz w:val="20"/>
                <w:szCs w:val="20"/>
                <w:lang w:eastAsia="en-GB"/>
              </w:rPr>
              <w:t>případ podobných pandemií.</w:t>
            </w:r>
          </w:p>
        </w:tc>
      </w:tr>
      <w:tr w:rsidR="00646FD6" w:rsidRPr="00F33DF0" w14:paraId="64D82195" w14:textId="77777777" w:rsidTr="008D2230">
        <w:trPr>
          <w:trHeight w:val="792"/>
        </w:trPr>
        <w:tc>
          <w:tcPr>
            <w:tcW w:w="1526" w:type="dxa"/>
            <w:vMerge/>
            <w:tcBorders>
              <w:left w:val="single" w:sz="8" w:space="0" w:color="92CDDB"/>
              <w:bottom w:val="single" w:sz="8" w:space="0" w:color="92CDDB"/>
              <w:right w:val="single" w:sz="8" w:space="0" w:color="92CDDB"/>
            </w:tcBorders>
            <w:vAlign w:val="center"/>
          </w:tcPr>
          <w:p w14:paraId="34A82681" w14:textId="77777777" w:rsidR="00646FD6" w:rsidRPr="00ED79BC" w:rsidRDefault="00646FD6" w:rsidP="00646FD6">
            <w:pPr>
              <w:spacing w:after="0" w:line="240" w:lineRule="auto"/>
              <w:rPr>
                <w:rFonts w:eastAsia="Times New Roman" w:cs="Arial"/>
                <w:color w:val="000000"/>
                <w:sz w:val="20"/>
                <w:szCs w:val="20"/>
                <w:highlight w:val="yellow"/>
                <w:lang w:eastAsia="en-GB"/>
              </w:rPr>
            </w:pPr>
          </w:p>
        </w:tc>
        <w:tc>
          <w:tcPr>
            <w:tcW w:w="615" w:type="dxa"/>
            <w:tcBorders>
              <w:top w:val="nil"/>
              <w:left w:val="nil"/>
              <w:bottom w:val="single" w:sz="8" w:space="0" w:color="92CDDB"/>
              <w:right w:val="single" w:sz="8" w:space="0" w:color="92CDDB"/>
            </w:tcBorders>
            <w:vAlign w:val="center"/>
          </w:tcPr>
          <w:p w14:paraId="31D9F429" w14:textId="38E01093" w:rsidR="00646FD6" w:rsidRDefault="00646FD6" w:rsidP="00646FD6">
            <w:pPr>
              <w:spacing w:after="0" w:line="240" w:lineRule="auto"/>
              <w:jc w:val="center"/>
              <w:rPr>
                <w:rFonts w:eastAsia="Times New Roman" w:cs="Arial"/>
                <w:color w:val="000000"/>
                <w:sz w:val="20"/>
                <w:szCs w:val="20"/>
                <w:lang w:eastAsia="en-GB"/>
              </w:rPr>
            </w:pPr>
            <w:r w:rsidRPr="0085669E">
              <w:rPr>
                <w:rFonts w:eastAsia="Times New Roman" w:cs="Arial"/>
                <w:color w:val="000000"/>
                <w:sz w:val="20"/>
                <w:szCs w:val="20"/>
                <w:lang w:eastAsia="en-GB"/>
              </w:rPr>
              <w:t>NV</w:t>
            </w:r>
          </w:p>
        </w:tc>
        <w:tc>
          <w:tcPr>
            <w:tcW w:w="5905" w:type="dxa"/>
            <w:tcBorders>
              <w:top w:val="nil"/>
              <w:left w:val="nil"/>
              <w:bottom w:val="single" w:sz="8" w:space="0" w:color="92CDDB"/>
              <w:right w:val="single" w:sz="8" w:space="0" w:color="92CDDB"/>
            </w:tcBorders>
            <w:vAlign w:val="center"/>
          </w:tcPr>
          <w:p w14:paraId="1178A5CF" w14:textId="4EEA4253" w:rsidR="00646FD6" w:rsidRPr="00C057F6" w:rsidRDefault="00646FD6" w:rsidP="00646FD6">
            <w:pPr>
              <w:spacing w:after="0" w:line="240" w:lineRule="auto"/>
              <w:rPr>
                <w:rFonts w:eastAsia="Times New Roman" w:cs="Arial"/>
                <w:color w:val="000000"/>
                <w:sz w:val="20"/>
                <w:szCs w:val="20"/>
                <w:lang w:eastAsia="en-GB"/>
              </w:rPr>
            </w:pPr>
            <w:r w:rsidRPr="0085669E">
              <w:rPr>
                <w:rFonts w:eastAsia="Times New Roman" w:cs="Arial"/>
                <w:color w:val="000000"/>
                <w:sz w:val="20"/>
                <w:szCs w:val="20"/>
                <w:lang w:eastAsia="en-GB"/>
              </w:rPr>
              <w:t>Program na podporu zdravotnického aplikovaného výzkumu na</w:t>
            </w:r>
            <w:r w:rsidR="009718D4">
              <w:rPr>
                <w:rFonts w:eastAsia="Times New Roman" w:cs="Arial"/>
                <w:color w:val="000000"/>
                <w:sz w:val="20"/>
                <w:szCs w:val="20"/>
                <w:lang w:eastAsia="en-GB"/>
              </w:rPr>
              <w:t> </w:t>
            </w:r>
            <w:r w:rsidRPr="0085669E">
              <w:rPr>
                <w:rFonts w:eastAsia="Times New Roman" w:cs="Arial"/>
                <w:color w:val="000000"/>
                <w:sz w:val="20"/>
                <w:szCs w:val="20"/>
                <w:lang w:eastAsia="en-GB"/>
              </w:rPr>
              <w:t>léta 2015–2023</w:t>
            </w:r>
          </w:p>
        </w:tc>
        <w:tc>
          <w:tcPr>
            <w:tcW w:w="7088" w:type="dxa"/>
            <w:tcBorders>
              <w:top w:val="nil"/>
              <w:left w:val="single" w:sz="8" w:space="0" w:color="92CDDB"/>
              <w:bottom w:val="single" w:sz="8" w:space="0" w:color="92CDDB"/>
              <w:right w:val="single" w:sz="8" w:space="0" w:color="92CDDB"/>
            </w:tcBorders>
            <w:vAlign w:val="center"/>
          </w:tcPr>
          <w:p w14:paraId="5C7DB2AA" w14:textId="36004F51" w:rsidR="00646FD6" w:rsidRPr="00C057F6" w:rsidRDefault="00646FD6" w:rsidP="00646FD6">
            <w:pPr>
              <w:spacing w:after="0" w:line="240" w:lineRule="auto"/>
              <w:jc w:val="both"/>
              <w:rPr>
                <w:rFonts w:cs="Arial"/>
                <w:b/>
                <w:bCs/>
                <w:color w:val="000000"/>
                <w:sz w:val="20"/>
                <w:szCs w:val="20"/>
              </w:rPr>
            </w:pPr>
            <w:r w:rsidRPr="0085669E">
              <w:rPr>
                <w:rFonts w:cs="Arial"/>
                <w:b/>
                <w:bCs/>
                <w:color w:val="000000"/>
                <w:sz w:val="20"/>
                <w:szCs w:val="20"/>
              </w:rPr>
              <w:t>Zajištění mezinárodně srovnatelné úrovně zdravotnického výzkumu a</w:t>
            </w:r>
            <w:r w:rsidR="008D2230">
              <w:rPr>
                <w:rFonts w:cs="Arial"/>
                <w:b/>
                <w:bCs/>
                <w:color w:val="000000"/>
                <w:sz w:val="20"/>
                <w:szCs w:val="20"/>
              </w:rPr>
              <w:t> </w:t>
            </w:r>
            <w:r w:rsidRPr="0085669E">
              <w:rPr>
                <w:rFonts w:cs="Arial"/>
                <w:b/>
                <w:bCs/>
                <w:color w:val="000000"/>
                <w:sz w:val="20"/>
                <w:szCs w:val="20"/>
              </w:rPr>
              <w:t>využití jeho výsledků pro zlepšení zdraví české populace a</w:t>
            </w:r>
            <w:r w:rsidR="008D2230">
              <w:rPr>
                <w:rFonts w:cs="Arial"/>
                <w:b/>
                <w:bCs/>
                <w:color w:val="000000"/>
                <w:sz w:val="20"/>
                <w:szCs w:val="20"/>
              </w:rPr>
              <w:t> </w:t>
            </w:r>
            <w:r w:rsidRPr="0085669E">
              <w:rPr>
                <w:rFonts w:cs="Arial"/>
                <w:b/>
                <w:bCs/>
                <w:color w:val="000000"/>
                <w:sz w:val="20"/>
                <w:szCs w:val="20"/>
              </w:rPr>
              <w:t>pro</w:t>
            </w:r>
            <w:r w:rsidR="008D2230">
              <w:rPr>
                <w:rFonts w:cs="Arial"/>
                <w:b/>
                <w:bCs/>
                <w:color w:val="000000"/>
                <w:sz w:val="20"/>
                <w:szCs w:val="20"/>
              </w:rPr>
              <w:t> </w:t>
            </w:r>
            <w:r w:rsidRPr="0085669E">
              <w:rPr>
                <w:rFonts w:cs="Arial"/>
                <w:b/>
                <w:bCs/>
                <w:color w:val="000000"/>
                <w:sz w:val="20"/>
                <w:szCs w:val="20"/>
              </w:rPr>
              <w:t>zabezpečení aktuálních potřeb zdravotnictví v České republice.</w:t>
            </w:r>
            <w:r w:rsidRPr="0085669E">
              <w:rPr>
                <w:rFonts w:cs="Arial"/>
                <w:color w:val="000000"/>
                <w:sz w:val="20"/>
                <w:szCs w:val="20"/>
              </w:rPr>
              <w:t xml:space="preserve"> </w:t>
            </w:r>
          </w:p>
        </w:tc>
        <w:tc>
          <w:tcPr>
            <w:tcW w:w="6341" w:type="dxa"/>
            <w:tcBorders>
              <w:top w:val="nil"/>
              <w:left w:val="nil"/>
              <w:bottom w:val="single" w:sz="8" w:space="0" w:color="92CDDB"/>
              <w:right w:val="single" w:sz="8" w:space="0" w:color="92CDDB"/>
            </w:tcBorders>
            <w:vAlign w:val="center"/>
          </w:tcPr>
          <w:p w14:paraId="5D3C1400" w14:textId="7C239511" w:rsidR="00646FD6" w:rsidRPr="00F33DF0" w:rsidRDefault="00646FD6" w:rsidP="00646FD6">
            <w:pPr>
              <w:pStyle w:val="Odstavecseseznamem"/>
              <w:numPr>
                <w:ilvl w:val="0"/>
                <w:numId w:val="15"/>
              </w:numPr>
              <w:autoSpaceDE w:val="0"/>
              <w:autoSpaceDN w:val="0"/>
              <w:adjustRightInd w:val="0"/>
              <w:spacing w:after="0" w:line="240" w:lineRule="auto"/>
              <w:ind w:left="350"/>
              <w:jc w:val="both"/>
              <w:rPr>
                <w:rFonts w:eastAsia="Arial" w:cs="Arial"/>
                <w:b/>
                <w:color w:val="000000"/>
                <w:sz w:val="20"/>
                <w:szCs w:val="20"/>
              </w:rPr>
            </w:pPr>
            <w:r w:rsidRPr="0085669E">
              <w:rPr>
                <w:rFonts w:cs="Arial"/>
                <w:b/>
                <w:bCs/>
                <w:color w:val="000000"/>
                <w:sz w:val="20"/>
                <w:szCs w:val="20"/>
              </w:rPr>
              <w:t>Program má tři hlavní oblasti:</w:t>
            </w:r>
            <w:r w:rsidRPr="0085669E">
              <w:rPr>
                <w:rFonts w:cs="Arial"/>
                <w:color w:val="000000"/>
                <w:sz w:val="20"/>
                <w:szCs w:val="20"/>
              </w:rPr>
              <w:t xml:space="preserve"> Vznik a rozvoj chorob; Nové diagnostické a</w:t>
            </w:r>
            <w:r>
              <w:rPr>
                <w:rFonts w:cs="Arial"/>
                <w:color w:val="000000"/>
                <w:sz w:val="20"/>
                <w:szCs w:val="20"/>
              </w:rPr>
              <w:t> </w:t>
            </w:r>
            <w:r w:rsidRPr="0085669E">
              <w:rPr>
                <w:rFonts w:cs="Arial"/>
                <w:color w:val="000000"/>
                <w:sz w:val="20"/>
                <w:szCs w:val="20"/>
              </w:rPr>
              <w:t>terapeutické metody a Epidemiologie a prevence nejzávažnějších chorob, které se</w:t>
            </w:r>
            <w:r>
              <w:rPr>
                <w:rFonts w:cs="Arial"/>
                <w:color w:val="000000"/>
                <w:sz w:val="20"/>
                <w:szCs w:val="20"/>
              </w:rPr>
              <w:t> </w:t>
            </w:r>
            <w:r w:rsidRPr="0085669E">
              <w:rPr>
                <w:rFonts w:cs="Arial"/>
                <w:color w:val="000000"/>
                <w:sz w:val="20"/>
                <w:szCs w:val="20"/>
              </w:rPr>
              <w:t xml:space="preserve">dále dělí na 21 </w:t>
            </w:r>
            <w:r w:rsidRPr="0085669E">
              <w:rPr>
                <w:rFonts w:eastAsia="Arial" w:cs="Arial"/>
                <w:bCs/>
                <w:color w:val="000000"/>
                <w:sz w:val="20"/>
                <w:szCs w:val="20"/>
              </w:rPr>
              <w:t>podoblastí</w:t>
            </w:r>
            <w:r w:rsidRPr="0085669E">
              <w:rPr>
                <w:rFonts w:cs="Arial"/>
                <w:bCs/>
                <w:color w:val="000000"/>
                <w:sz w:val="20"/>
                <w:szCs w:val="20"/>
              </w:rPr>
              <w:t xml:space="preserve"> </w:t>
            </w:r>
            <w:r w:rsidRPr="0085669E">
              <w:rPr>
                <w:rFonts w:cs="Arial"/>
                <w:color w:val="000000"/>
                <w:sz w:val="20"/>
                <w:szCs w:val="20"/>
              </w:rPr>
              <w:t>a</w:t>
            </w:r>
            <w:r w:rsidR="009718D4">
              <w:rPr>
                <w:rFonts w:cs="Arial"/>
                <w:color w:val="000000"/>
                <w:sz w:val="20"/>
                <w:szCs w:val="20"/>
              </w:rPr>
              <w:t> </w:t>
            </w:r>
            <w:r w:rsidRPr="0085669E">
              <w:rPr>
                <w:rFonts w:cs="Arial"/>
                <w:color w:val="000000"/>
                <w:sz w:val="20"/>
                <w:szCs w:val="20"/>
              </w:rPr>
              <w:t>43</w:t>
            </w:r>
            <w:r w:rsidR="009718D4">
              <w:rPr>
                <w:rFonts w:cs="Arial"/>
                <w:color w:val="000000"/>
                <w:sz w:val="20"/>
                <w:szCs w:val="20"/>
              </w:rPr>
              <w:t> </w:t>
            </w:r>
            <w:r w:rsidRPr="0085669E">
              <w:rPr>
                <w:rFonts w:cs="Arial"/>
                <w:color w:val="000000"/>
                <w:sz w:val="20"/>
                <w:szCs w:val="20"/>
              </w:rPr>
              <w:t>dílčích cílů.</w:t>
            </w:r>
          </w:p>
        </w:tc>
      </w:tr>
      <w:tr w:rsidR="0044327D" w:rsidRPr="00F33DF0" w14:paraId="49B2A30E" w14:textId="77777777" w:rsidTr="008D2230">
        <w:trPr>
          <w:trHeight w:val="792"/>
        </w:trPr>
        <w:tc>
          <w:tcPr>
            <w:tcW w:w="1526" w:type="dxa"/>
            <w:tcBorders>
              <w:left w:val="single" w:sz="8" w:space="0" w:color="92CDDB"/>
              <w:bottom w:val="single" w:sz="8" w:space="0" w:color="92CDDB"/>
              <w:right w:val="single" w:sz="8" w:space="0" w:color="92CDDB"/>
            </w:tcBorders>
            <w:vAlign w:val="center"/>
          </w:tcPr>
          <w:p w14:paraId="31B9BF41" w14:textId="678881C7" w:rsidR="0044327D" w:rsidRPr="00ED79BC" w:rsidRDefault="0044327D" w:rsidP="0044327D">
            <w:pPr>
              <w:spacing w:after="0" w:line="240" w:lineRule="auto"/>
              <w:jc w:val="center"/>
              <w:rPr>
                <w:rFonts w:eastAsia="Times New Roman" w:cs="Arial"/>
                <w:color w:val="000000"/>
                <w:sz w:val="20"/>
                <w:szCs w:val="20"/>
                <w:highlight w:val="yellow"/>
                <w:lang w:eastAsia="en-GB"/>
              </w:rPr>
            </w:pPr>
            <w:proofErr w:type="spellStart"/>
            <w:r w:rsidRPr="0085669E">
              <w:rPr>
                <w:rFonts w:eastAsia="Times New Roman" w:cs="Arial"/>
                <w:color w:val="000000"/>
                <w:sz w:val="20"/>
                <w:szCs w:val="20"/>
                <w:lang w:eastAsia="en-GB"/>
              </w:rPr>
              <w:t>MZe</w:t>
            </w:r>
            <w:proofErr w:type="spellEnd"/>
          </w:p>
        </w:tc>
        <w:tc>
          <w:tcPr>
            <w:tcW w:w="615" w:type="dxa"/>
            <w:tcBorders>
              <w:top w:val="nil"/>
              <w:left w:val="nil"/>
              <w:bottom w:val="single" w:sz="8" w:space="0" w:color="92CDDB"/>
              <w:right w:val="single" w:sz="8" w:space="0" w:color="92CDDB"/>
            </w:tcBorders>
            <w:vAlign w:val="center"/>
          </w:tcPr>
          <w:p w14:paraId="3DEADDFB" w14:textId="6BC2297F" w:rsidR="0044327D" w:rsidRPr="0085669E" w:rsidRDefault="0044327D" w:rsidP="0044327D">
            <w:pPr>
              <w:spacing w:after="0" w:line="240" w:lineRule="auto"/>
              <w:jc w:val="center"/>
              <w:rPr>
                <w:rFonts w:eastAsia="Times New Roman" w:cs="Arial"/>
                <w:color w:val="000000"/>
                <w:sz w:val="20"/>
                <w:szCs w:val="20"/>
                <w:lang w:eastAsia="en-GB"/>
              </w:rPr>
            </w:pPr>
            <w:r w:rsidRPr="0085669E">
              <w:rPr>
                <w:rFonts w:eastAsia="Times New Roman" w:cs="Arial"/>
                <w:color w:val="000000"/>
                <w:sz w:val="20"/>
                <w:szCs w:val="20"/>
                <w:lang w:eastAsia="en-GB"/>
              </w:rPr>
              <w:t>QK</w:t>
            </w:r>
          </w:p>
        </w:tc>
        <w:tc>
          <w:tcPr>
            <w:tcW w:w="5905" w:type="dxa"/>
            <w:tcBorders>
              <w:top w:val="nil"/>
              <w:left w:val="nil"/>
              <w:bottom w:val="single" w:sz="8" w:space="0" w:color="92CDDB"/>
              <w:right w:val="single" w:sz="8" w:space="0" w:color="92CDDB"/>
            </w:tcBorders>
            <w:vAlign w:val="center"/>
          </w:tcPr>
          <w:p w14:paraId="7652B6F4" w14:textId="5E24B34F" w:rsidR="0044327D" w:rsidRPr="0085669E" w:rsidRDefault="0044327D" w:rsidP="0044327D">
            <w:pPr>
              <w:spacing w:after="0" w:line="240" w:lineRule="auto"/>
              <w:rPr>
                <w:rFonts w:eastAsia="Times New Roman" w:cs="Arial"/>
                <w:color w:val="000000"/>
                <w:sz w:val="20"/>
                <w:szCs w:val="20"/>
                <w:lang w:eastAsia="en-GB"/>
              </w:rPr>
            </w:pPr>
            <w:r w:rsidRPr="0085669E">
              <w:rPr>
                <w:rFonts w:eastAsia="Times New Roman" w:cs="Arial"/>
                <w:color w:val="000000"/>
                <w:sz w:val="20"/>
                <w:szCs w:val="20"/>
                <w:lang w:eastAsia="en-GB"/>
              </w:rPr>
              <w:t>Program aplikovaného výzkumu Ministerstva zemědělství na</w:t>
            </w:r>
            <w:r w:rsidR="009718D4">
              <w:rPr>
                <w:rFonts w:eastAsia="Times New Roman" w:cs="Arial"/>
                <w:color w:val="000000"/>
                <w:sz w:val="20"/>
                <w:szCs w:val="20"/>
                <w:lang w:eastAsia="en-GB"/>
              </w:rPr>
              <w:t> </w:t>
            </w:r>
            <w:r w:rsidRPr="0085669E">
              <w:rPr>
                <w:rFonts w:eastAsia="Times New Roman" w:cs="Arial"/>
                <w:color w:val="000000"/>
                <w:sz w:val="20"/>
                <w:szCs w:val="20"/>
                <w:lang w:eastAsia="en-GB"/>
              </w:rPr>
              <w:t>období 2017–2025, ZEMĚ</w:t>
            </w:r>
          </w:p>
        </w:tc>
        <w:tc>
          <w:tcPr>
            <w:tcW w:w="7088" w:type="dxa"/>
            <w:tcBorders>
              <w:top w:val="nil"/>
              <w:left w:val="single" w:sz="8" w:space="0" w:color="92CDDB"/>
              <w:bottom w:val="single" w:sz="8" w:space="0" w:color="92CDDB"/>
              <w:right w:val="single" w:sz="8" w:space="0" w:color="92CDDB"/>
            </w:tcBorders>
            <w:vAlign w:val="center"/>
          </w:tcPr>
          <w:p w14:paraId="5E41A780" w14:textId="321B6557" w:rsidR="0044327D" w:rsidRPr="0085669E" w:rsidRDefault="0044327D" w:rsidP="0044327D">
            <w:pPr>
              <w:spacing w:after="0" w:line="240" w:lineRule="auto"/>
              <w:jc w:val="both"/>
              <w:rPr>
                <w:rFonts w:cs="Arial"/>
                <w:b/>
                <w:bCs/>
                <w:color w:val="000000"/>
                <w:sz w:val="20"/>
                <w:szCs w:val="20"/>
              </w:rPr>
            </w:pPr>
            <w:r w:rsidRPr="0085669E">
              <w:rPr>
                <w:rFonts w:cs="Arial"/>
                <w:color w:val="000000"/>
                <w:sz w:val="20"/>
                <w:szCs w:val="20"/>
              </w:rPr>
              <w:t>Cíle programu mají přímou vazbu na cíle výzkumu, vývoje a inovací prioritních oblastí „Národních priorit orientovaného výzkumu, experimentálního vývoje a</w:t>
            </w:r>
            <w:r>
              <w:rPr>
                <w:rFonts w:cs="Arial"/>
                <w:color w:val="000000"/>
                <w:sz w:val="20"/>
                <w:szCs w:val="20"/>
              </w:rPr>
              <w:t> </w:t>
            </w:r>
            <w:r w:rsidRPr="0085669E">
              <w:rPr>
                <w:rFonts w:cs="Arial"/>
                <w:color w:val="000000"/>
                <w:sz w:val="20"/>
                <w:szCs w:val="20"/>
              </w:rPr>
              <w:t xml:space="preserve">inovací“, zejména Prioritní oblast </w:t>
            </w:r>
            <w:r w:rsidRPr="0085669E">
              <w:rPr>
                <w:rFonts w:cs="Arial"/>
                <w:color w:val="000000"/>
                <w:sz w:val="20"/>
                <w:szCs w:val="20"/>
              </w:rPr>
              <w:lastRenderedPageBreak/>
              <w:t>1.</w:t>
            </w:r>
            <w:r w:rsidR="008D2230">
              <w:rPr>
                <w:rFonts w:cs="Arial"/>
                <w:color w:val="000000"/>
                <w:sz w:val="20"/>
                <w:szCs w:val="20"/>
              </w:rPr>
              <w:t> </w:t>
            </w:r>
            <w:r w:rsidRPr="0085669E">
              <w:rPr>
                <w:rFonts w:cs="Arial"/>
                <w:color w:val="000000"/>
                <w:sz w:val="20"/>
                <w:szCs w:val="20"/>
              </w:rPr>
              <w:t>„Konkurenceschopná ekonomika založená na</w:t>
            </w:r>
            <w:r>
              <w:rPr>
                <w:rFonts w:cs="Arial"/>
                <w:color w:val="000000"/>
                <w:sz w:val="20"/>
                <w:szCs w:val="20"/>
              </w:rPr>
              <w:t> </w:t>
            </w:r>
            <w:r w:rsidRPr="0085669E">
              <w:rPr>
                <w:rFonts w:cs="Arial"/>
                <w:color w:val="000000"/>
                <w:sz w:val="20"/>
                <w:szCs w:val="20"/>
              </w:rPr>
              <w:t>znalostech“ a Prioritní oblast 3. „Prostředí pro kvalitní život“. Některé cíle Programu mohou mít vazbu i</w:t>
            </w:r>
            <w:r w:rsidR="008D2230">
              <w:rPr>
                <w:rFonts w:cs="Arial"/>
                <w:color w:val="000000"/>
                <w:sz w:val="20"/>
                <w:szCs w:val="20"/>
              </w:rPr>
              <w:t> </w:t>
            </w:r>
            <w:r w:rsidRPr="0085669E">
              <w:rPr>
                <w:rFonts w:cs="Arial"/>
                <w:color w:val="000000"/>
                <w:sz w:val="20"/>
                <w:szCs w:val="20"/>
              </w:rPr>
              <w:t>na</w:t>
            </w:r>
            <w:r w:rsidR="008D2230">
              <w:rPr>
                <w:rFonts w:cs="Arial"/>
                <w:color w:val="000000"/>
                <w:sz w:val="20"/>
                <w:szCs w:val="20"/>
              </w:rPr>
              <w:t> </w:t>
            </w:r>
            <w:r w:rsidRPr="0085669E">
              <w:rPr>
                <w:rFonts w:cs="Arial"/>
                <w:color w:val="000000"/>
                <w:sz w:val="20"/>
                <w:szCs w:val="20"/>
              </w:rPr>
              <w:t>Prioritní oblast 2. „Udržitelnost energetiky a</w:t>
            </w:r>
            <w:r>
              <w:rPr>
                <w:rFonts w:cs="Arial"/>
                <w:color w:val="000000"/>
                <w:sz w:val="20"/>
                <w:szCs w:val="20"/>
              </w:rPr>
              <w:t> </w:t>
            </w:r>
            <w:r w:rsidRPr="0085669E">
              <w:rPr>
                <w:rFonts w:cs="Arial"/>
                <w:color w:val="000000"/>
                <w:sz w:val="20"/>
                <w:szCs w:val="20"/>
              </w:rPr>
              <w:t>materiálových zdrojů“, kde se</w:t>
            </w:r>
            <w:r>
              <w:rPr>
                <w:rFonts w:cs="Arial"/>
                <w:color w:val="000000"/>
                <w:sz w:val="20"/>
                <w:szCs w:val="20"/>
              </w:rPr>
              <w:t> </w:t>
            </w:r>
            <w:r w:rsidRPr="0085669E">
              <w:rPr>
                <w:rFonts w:cs="Arial"/>
                <w:color w:val="000000"/>
                <w:sz w:val="20"/>
                <w:szCs w:val="20"/>
              </w:rPr>
              <w:t>jedná např. o obnovitelné zdroje energie nebo snižování energetické náročnosti hospodářství. Specifické cíle programu jsou definovány třemi klíčovými oblastmi a</w:t>
            </w:r>
            <w:r>
              <w:rPr>
                <w:rFonts w:cs="Arial"/>
                <w:color w:val="000000"/>
                <w:sz w:val="20"/>
                <w:szCs w:val="20"/>
              </w:rPr>
              <w:t> </w:t>
            </w:r>
            <w:r w:rsidRPr="0085669E">
              <w:rPr>
                <w:rFonts w:cs="Arial"/>
                <w:color w:val="000000"/>
                <w:sz w:val="20"/>
                <w:szCs w:val="20"/>
              </w:rPr>
              <w:t xml:space="preserve">devíti výzkumnými směry podle Koncepce výzkumu, vývoje a inovací </w:t>
            </w:r>
            <w:proofErr w:type="spellStart"/>
            <w:r w:rsidRPr="0085669E">
              <w:rPr>
                <w:rFonts w:cs="Arial"/>
                <w:color w:val="000000"/>
                <w:sz w:val="20"/>
                <w:szCs w:val="20"/>
              </w:rPr>
              <w:t>MZe</w:t>
            </w:r>
            <w:proofErr w:type="spellEnd"/>
            <w:r w:rsidRPr="0085669E">
              <w:rPr>
                <w:rFonts w:cs="Arial"/>
                <w:color w:val="000000"/>
                <w:sz w:val="20"/>
                <w:szCs w:val="20"/>
              </w:rPr>
              <w:t xml:space="preserve"> na léta 2016 až 2022.</w:t>
            </w:r>
          </w:p>
        </w:tc>
        <w:tc>
          <w:tcPr>
            <w:tcW w:w="6341" w:type="dxa"/>
            <w:tcBorders>
              <w:top w:val="nil"/>
              <w:left w:val="nil"/>
              <w:bottom w:val="single" w:sz="8" w:space="0" w:color="92CDDB"/>
              <w:right w:val="single" w:sz="8" w:space="0" w:color="92CDDB"/>
            </w:tcBorders>
            <w:vAlign w:val="center"/>
          </w:tcPr>
          <w:p w14:paraId="42686DC6" w14:textId="175C1306" w:rsidR="0044327D" w:rsidRPr="0085669E" w:rsidRDefault="0044327D" w:rsidP="0044327D">
            <w:pPr>
              <w:pStyle w:val="Odstavecseseznamem"/>
              <w:numPr>
                <w:ilvl w:val="0"/>
                <w:numId w:val="17"/>
              </w:numPr>
              <w:spacing w:after="0" w:line="240" w:lineRule="auto"/>
              <w:ind w:left="361"/>
              <w:jc w:val="both"/>
              <w:rPr>
                <w:rFonts w:eastAsia="Times New Roman" w:cs="Arial"/>
                <w:color w:val="000000"/>
                <w:sz w:val="20"/>
                <w:szCs w:val="20"/>
                <w:lang w:eastAsia="en-GB"/>
              </w:rPr>
            </w:pPr>
            <w:r w:rsidRPr="0085669E">
              <w:rPr>
                <w:rFonts w:eastAsia="Times New Roman" w:cs="Arial"/>
                <w:b/>
                <w:color w:val="000000"/>
                <w:sz w:val="20"/>
                <w:szCs w:val="20"/>
                <w:lang w:eastAsia="en-GB"/>
              </w:rPr>
              <w:lastRenderedPageBreak/>
              <w:t>Podprogram 1 „Podpora inovativního zemědělství a</w:t>
            </w:r>
            <w:r w:rsidR="009718D4">
              <w:rPr>
                <w:rFonts w:eastAsia="Times New Roman" w:cs="Arial"/>
                <w:b/>
                <w:color w:val="000000"/>
                <w:sz w:val="20"/>
                <w:szCs w:val="20"/>
                <w:lang w:eastAsia="en-GB"/>
              </w:rPr>
              <w:t> </w:t>
            </w:r>
            <w:r w:rsidRPr="0085669E">
              <w:rPr>
                <w:rFonts w:eastAsia="Times New Roman" w:cs="Arial"/>
                <w:b/>
                <w:color w:val="000000"/>
                <w:sz w:val="20"/>
                <w:szCs w:val="20"/>
                <w:lang w:eastAsia="en-GB"/>
              </w:rPr>
              <w:t>lesnictví prostřednictvím pokročilých postupů a</w:t>
            </w:r>
            <w:r w:rsidR="009718D4">
              <w:rPr>
                <w:rFonts w:eastAsia="Times New Roman" w:cs="Arial"/>
                <w:b/>
                <w:color w:val="000000"/>
                <w:sz w:val="20"/>
                <w:szCs w:val="20"/>
                <w:lang w:eastAsia="en-GB"/>
              </w:rPr>
              <w:t> </w:t>
            </w:r>
            <w:r w:rsidRPr="0085669E">
              <w:rPr>
                <w:rFonts w:eastAsia="Times New Roman" w:cs="Arial"/>
                <w:b/>
                <w:color w:val="000000"/>
                <w:sz w:val="20"/>
                <w:szCs w:val="20"/>
                <w:lang w:eastAsia="en-GB"/>
              </w:rPr>
              <w:t>technologií“</w:t>
            </w:r>
            <w:r w:rsidRPr="0085669E">
              <w:rPr>
                <w:rFonts w:eastAsia="Times New Roman" w:cs="Arial"/>
                <w:color w:val="000000"/>
                <w:sz w:val="20"/>
                <w:szCs w:val="20"/>
                <w:lang w:eastAsia="en-GB"/>
              </w:rPr>
              <w:t xml:space="preserve"> – získání prakticky využitelných poznatků </w:t>
            </w:r>
            <w:r w:rsidRPr="0085669E">
              <w:rPr>
                <w:rFonts w:eastAsia="Times New Roman" w:cs="Arial"/>
                <w:color w:val="000000"/>
                <w:sz w:val="20"/>
                <w:szCs w:val="20"/>
                <w:lang w:eastAsia="en-GB"/>
              </w:rPr>
              <w:lastRenderedPageBreak/>
              <w:t>pro</w:t>
            </w:r>
            <w:r>
              <w:rPr>
                <w:rFonts w:eastAsia="Times New Roman" w:cs="Arial"/>
                <w:color w:val="000000"/>
                <w:sz w:val="20"/>
                <w:szCs w:val="20"/>
                <w:lang w:eastAsia="en-GB"/>
              </w:rPr>
              <w:t> </w:t>
            </w:r>
            <w:r w:rsidRPr="0085669E">
              <w:rPr>
                <w:rFonts w:eastAsia="Times New Roman" w:cs="Arial"/>
                <w:color w:val="000000"/>
                <w:sz w:val="20"/>
                <w:szCs w:val="20"/>
                <w:lang w:eastAsia="en-GB"/>
              </w:rPr>
              <w:t>zvýšení rentabilní zemědělské, lesnické a potravinářské produkce při zavedení adaptačních a zmírňujících opatření v reakci na změnu klimatu se zřetelem na zachování kvality přírodních zdrojů, surovin a životního prostředí a využití pokročilých postupů a technologií; zajištění zdravé a nutričně bohaté výživy populace pro kvalitní život. Dále zajištění nových poznatků pro rozvoj trvale udržitelného a konkurenceschopného zemědělství a lesnictví s ohledem na tvorbu, využívání a ochranu půdy a vodních zdrojů a podporu ekologické stability krajiny.</w:t>
            </w:r>
          </w:p>
          <w:p w14:paraId="3B482FB4" w14:textId="7399EDA1" w:rsidR="0044327D" w:rsidRPr="0085669E" w:rsidRDefault="0044327D" w:rsidP="0044327D">
            <w:pPr>
              <w:pStyle w:val="Odstavecseseznamem"/>
              <w:numPr>
                <w:ilvl w:val="0"/>
                <w:numId w:val="17"/>
              </w:numPr>
              <w:spacing w:after="0" w:line="240" w:lineRule="auto"/>
              <w:ind w:left="361"/>
              <w:jc w:val="both"/>
              <w:rPr>
                <w:rFonts w:eastAsia="Times New Roman" w:cs="Arial"/>
                <w:color w:val="000000"/>
                <w:sz w:val="20"/>
                <w:szCs w:val="20"/>
                <w:lang w:eastAsia="en-GB"/>
              </w:rPr>
            </w:pPr>
            <w:r w:rsidRPr="0085669E">
              <w:rPr>
                <w:rFonts w:eastAsia="Times New Roman" w:cs="Arial"/>
                <w:b/>
                <w:color w:val="000000"/>
                <w:sz w:val="20"/>
                <w:szCs w:val="20"/>
                <w:lang w:eastAsia="en-GB"/>
              </w:rPr>
              <w:t>Podprogram 2 „Podpora státní politiky v agrárním sektoru“</w:t>
            </w:r>
            <w:r w:rsidRPr="0085669E">
              <w:rPr>
                <w:rFonts w:eastAsia="Times New Roman" w:cs="Arial"/>
                <w:color w:val="000000"/>
                <w:sz w:val="20"/>
                <w:szCs w:val="20"/>
                <w:lang w:eastAsia="en-GB"/>
              </w:rPr>
              <w:t xml:space="preserve"> – zvýšení zájmu výzkumných pracovníků, uživatelů výsledků i veřejnosti o výzkum, jeho výsledky a</w:t>
            </w:r>
            <w:r>
              <w:rPr>
                <w:rFonts w:eastAsia="Times New Roman" w:cs="Arial"/>
                <w:color w:val="000000"/>
                <w:sz w:val="20"/>
                <w:szCs w:val="20"/>
                <w:lang w:eastAsia="en-GB"/>
              </w:rPr>
              <w:t> </w:t>
            </w:r>
            <w:r w:rsidRPr="0085669E">
              <w:rPr>
                <w:rFonts w:eastAsia="Times New Roman" w:cs="Arial"/>
                <w:color w:val="000000"/>
                <w:sz w:val="20"/>
                <w:szCs w:val="20"/>
                <w:lang w:eastAsia="en-GB"/>
              </w:rPr>
              <w:t>svobodné rozhodování v agrárním sektoru cestou podpory soběstačnosti a tím konkurenceschopnosti a kvality života společnosti (témata, která jsou potřebná pro</w:t>
            </w:r>
            <w:r>
              <w:rPr>
                <w:rFonts w:eastAsia="Times New Roman" w:cs="Arial"/>
                <w:color w:val="000000"/>
                <w:sz w:val="20"/>
                <w:szCs w:val="20"/>
                <w:lang w:eastAsia="en-GB"/>
              </w:rPr>
              <w:t> </w:t>
            </w:r>
            <w:r w:rsidRPr="0085669E">
              <w:rPr>
                <w:rFonts w:eastAsia="Times New Roman" w:cs="Arial"/>
                <w:color w:val="000000"/>
                <w:sz w:val="20"/>
                <w:szCs w:val="20"/>
                <w:lang w:eastAsia="en-GB"/>
              </w:rPr>
              <w:t>stát, ale soukromé podniky nejsou ochotné je</w:t>
            </w:r>
            <w:r w:rsidR="009718D4">
              <w:rPr>
                <w:rFonts w:eastAsia="Times New Roman" w:cs="Arial"/>
                <w:color w:val="000000"/>
                <w:sz w:val="20"/>
                <w:szCs w:val="20"/>
                <w:lang w:eastAsia="en-GB"/>
              </w:rPr>
              <w:t> </w:t>
            </w:r>
            <w:r w:rsidRPr="0085669E">
              <w:rPr>
                <w:rFonts w:eastAsia="Times New Roman" w:cs="Arial"/>
                <w:color w:val="000000"/>
                <w:sz w:val="20"/>
                <w:szCs w:val="20"/>
                <w:lang w:eastAsia="en-GB"/>
              </w:rPr>
              <w:t>spolufinancovat, protože by to pro</w:t>
            </w:r>
            <w:r>
              <w:rPr>
                <w:rFonts w:eastAsia="Times New Roman" w:cs="Arial"/>
                <w:color w:val="000000"/>
                <w:sz w:val="20"/>
                <w:szCs w:val="20"/>
                <w:lang w:eastAsia="en-GB"/>
              </w:rPr>
              <w:t> </w:t>
            </w:r>
            <w:r w:rsidRPr="0085669E">
              <w:rPr>
                <w:rFonts w:eastAsia="Times New Roman" w:cs="Arial"/>
                <w:color w:val="000000"/>
                <w:sz w:val="20"/>
                <w:szCs w:val="20"/>
                <w:lang w:eastAsia="en-GB"/>
              </w:rPr>
              <w:t>ně mohlo být ztrátové).</w:t>
            </w:r>
          </w:p>
          <w:p w14:paraId="17C3B2E4" w14:textId="77777777" w:rsidR="0044327D" w:rsidRPr="0044327D" w:rsidRDefault="0044327D" w:rsidP="0044327D">
            <w:pPr>
              <w:autoSpaceDE w:val="0"/>
              <w:autoSpaceDN w:val="0"/>
              <w:adjustRightInd w:val="0"/>
              <w:spacing w:after="0" w:line="240" w:lineRule="auto"/>
              <w:jc w:val="both"/>
              <w:rPr>
                <w:rFonts w:cs="Arial"/>
                <w:b/>
                <w:bCs/>
                <w:color w:val="000000"/>
                <w:sz w:val="20"/>
                <w:szCs w:val="20"/>
              </w:rPr>
            </w:pPr>
          </w:p>
        </w:tc>
      </w:tr>
      <w:tr w:rsidR="0044327D" w:rsidRPr="00F33DF0" w14:paraId="32FB864F" w14:textId="77777777" w:rsidTr="008D2230">
        <w:trPr>
          <w:trHeight w:val="792"/>
        </w:trPr>
        <w:tc>
          <w:tcPr>
            <w:tcW w:w="1526" w:type="dxa"/>
            <w:vMerge w:val="restart"/>
            <w:tcBorders>
              <w:left w:val="single" w:sz="8" w:space="0" w:color="92CDDB"/>
              <w:right w:val="single" w:sz="8" w:space="0" w:color="92CDDB"/>
            </w:tcBorders>
            <w:vAlign w:val="center"/>
          </w:tcPr>
          <w:p w14:paraId="0CEA274E" w14:textId="7946B00D" w:rsidR="0044327D" w:rsidRPr="00ED79BC" w:rsidRDefault="0044327D" w:rsidP="0044327D">
            <w:pPr>
              <w:spacing w:after="0" w:line="240" w:lineRule="auto"/>
              <w:jc w:val="center"/>
              <w:rPr>
                <w:rFonts w:eastAsia="Times New Roman" w:cs="Arial"/>
                <w:color w:val="000000"/>
                <w:sz w:val="20"/>
                <w:szCs w:val="20"/>
                <w:highlight w:val="yellow"/>
                <w:lang w:eastAsia="en-GB"/>
              </w:rPr>
            </w:pPr>
            <w:r w:rsidRPr="00BF4AC5">
              <w:rPr>
                <w:rFonts w:eastAsia="Times New Roman" w:cs="Arial"/>
                <w:color w:val="000000"/>
                <w:sz w:val="20"/>
                <w:szCs w:val="20"/>
                <w:lang w:eastAsia="en-GB"/>
              </w:rPr>
              <w:lastRenderedPageBreak/>
              <w:t>MŠMT</w:t>
            </w:r>
          </w:p>
        </w:tc>
        <w:tc>
          <w:tcPr>
            <w:tcW w:w="615" w:type="dxa"/>
            <w:tcBorders>
              <w:top w:val="nil"/>
              <w:left w:val="nil"/>
              <w:bottom w:val="single" w:sz="8" w:space="0" w:color="92CDDB"/>
              <w:right w:val="single" w:sz="8" w:space="0" w:color="92CDDB"/>
            </w:tcBorders>
            <w:vAlign w:val="center"/>
          </w:tcPr>
          <w:p w14:paraId="0DF28FCA" w14:textId="062B6092" w:rsidR="0044327D" w:rsidRPr="0085669E" w:rsidRDefault="0044327D" w:rsidP="0044327D">
            <w:pPr>
              <w:spacing w:after="0" w:line="240" w:lineRule="auto"/>
              <w:jc w:val="center"/>
              <w:rPr>
                <w:rFonts w:eastAsia="Times New Roman" w:cs="Arial"/>
                <w:color w:val="000000"/>
                <w:sz w:val="20"/>
                <w:szCs w:val="20"/>
                <w:lang w:eastAsia="en-GB"/>
              </w:rPr>
            </w:pPr>
            <w:r w:rsidRPr="005275F1">
              <w:rPr>
                <w:rFonts w:eastAsia="Times New Roman" w:cs="Arial"/>
                <w:color w:val="000000"/>
                <w:sz w:val="20"/>
                <w:szCs w:val="20"/>
                <w:lang w:eastAsia="en-GB"/>
              </w:rPr>
              <w:t>LL</w:t>
            </w:r>
          </w:p>
        </w:tc>
        <w:tc>
          <w:tcPr>
            <w:tcW w:w="5905" w:type="dxa"/>
            <w:tcBorders>
              <w:top w:val="nil"/>
              <w:left w:val="nil"/>
              <w:bottom w:val="single" w:sz="8" w:space="0" w:color="92CDDB"/>
              <w:right w:val="single" w:sz="8" w:space="0" w:color="92CDDB"/>
            </w:tcBorders>
            <w:vAlign w:val="center"/>
          </w:tcPr>
          <w:p w14:paraId="2D82F18E" w14:textId="492462C2" w:rsidR="0044327D" w:rsidRPr="0085669E" w:rsidRDefault="0044327D" w:rsidP="0044327D">
            <w:pPr>
              <w:spacing w:after="0" w:line="240" w:lineRule="auto"/>
              <w:rPr>
                <w:rFonts w:eastAsia="Times New Roman" w:cs="Arial"/>
                <w:color w:val="000000"/>
                <w:sz w:val="20"/>
                <w:szCs w:val="20"/>
                <w:lang w:eastAsia="en-GB"/>
              </w:rPr>
            </w:pPr>
            <w:r w:rsidRPr="005275F1">
              <w:rPr>
                <w:rFonts w:eastAsia="Times New Roman" w:cs="Arial"/>
                <w:color w:val="000000"/>
                <w:sz w:val="20"/>
                <w:szCs w:val="20"/>
                <w:lang w:eastAsia="en-GB"/>
              </w:rPr>
              <w:t>ERC CZ</w:t>
            </w:r>
          </w:p>
        </w:tc>
        <w:tc>
          <w:tcPr>
            <w:tcW w:w="7088" w:type="dxa"/>
            <w:tcBorders>
              <w:top w:val="nil"/>
              <w:left w:val="single" w:sz="8" w:space="0" w:color="92CDDB"/>
              <w:bottom w:val="single" w:sz="8" w:space="0" w:color="92CDDB"/>
              <w:right w:val="single" w:sz="8" w:space="0" w:color="92CDDB"/>
            </w:tcBorders>
            <w:vAlign w:val="center"/>
          </w:tcPr>
          <w:p w14:paraId="13799EC5" w14:textId="13ED87C6" w:rsidR="0044327D" w:rsidRPr="0085669E" w:rsidRDefault="0044327D" w:rsidP="0044327D">
            <w:pPr>
              <w:spacing w:after="0" w:line="240" w:lineRule="auto"/>
              <w:jc w:val="both"/>
              <w:rPr>
                <w:rFonts w:cs="Arial"/>
                <w:b/>
                <w:bCs/>
                <w:color w:val="000000"/>
                <w:sz w:val="20"/>
                <w:szCs w:val="20"/>
              </w:rPr>
            </w:pPr>
            <w:r w:rsidRPr="005275F1">
              <w:rPr>
                <w:rFonts w:cs="Arial"/>
                <w:b/>
                <w:bCs/>
                <w:color w:val="000000"/>
                <w:sz w:val="20"/>
                <w:szCs w:val="20"/>
              </w:rPr>
              <w:t>Cíleně a efektivně podpořit excelentní výzkum na území ČR.</w:t>
            </w:r>
            <w:r w:rsidRPr="005275F1">
              <w:rPr>
                <w:rFonts w:cs="Arial"/>
                <w:color w:val="000000"/>
                <w:sz w:val="20"/>
                <w:szCs w:val="20"/>
              </w:rPr>
              <w:t xml:space="preserve"> ČR podpoří a bude realizovat konkrétní projekty, které obdržely v rámci mezinárodního „peer </w:t>
            </w:r>
            <w:proofErr w:type="spellStart"/>
            <w:r w:rsidRPr="005275F1">
              <w:rPr>
                <w:rFonts w:cs="Arial"/>
                <w:color w:val="000000"/>
                <w:sz w:val="20"/>
                <w:szCs w:val="20"/>
              </w:rPr>
              <w:t>review</w:t>
            </w:r>
            <w:proofErr w:type="spellEnd"/>
            <w:r w:rsidRPr="005275F1">
              <w:rPr>
                <w:rFonts w:cs="Arial"/>
                <w:color w:val="000000"/>
                <w:sz w:val="20"/>
                <w:szCs w:val="20"/>
              </w:rPr>
              <w:t>“ hodnocení panely ERC jako výsledek hodnocení vyrozumění, že "</w:t>
            </w:r>
            <w:proofErr w:type="spellStart"/>
            <w:r w:rsidRPr="005275F1">
              <w:rPr>
                <w:rFonts w:cs="Arial"/>
                <w:color w:val="000000"/>
                <w:sz w:val="20"/>
                <w:szCs w:val="20"/>
              </w:rPr>
              <w:t>The</w:t>
            </w:r>
            <w:proofErr w:type="spellEnd"/>
            <w:r w:rsidRPr="005275F1">
              <w:rPr>
                <w:rFonts w:cs="Arial"/>
                <w:color w:val="000000"/>
                <w:sz w:val="20"/>
                <w:szCs w:val="20"/>
              </w:rPr>
              <w:t xml:space="preserve"> </w:t>
            </w:r>
            <w:proofErr w:type="spellStart"/>
            <w:r w:rsidRPr="005275F1">
              <w:rPr>
                <w:rFonts w:cs="Arial"/>
                <w:color w:val="000000"/>
                <w:sz w:val="20"/>
                <w:szCs w:val="20"/>
              </w:rPr>
              <w:t>proposal</w:t>
            </w:r>
            <w:proofErr w:type="spellEnd"/>
            <w:r w:rsidRPr="005275F1">
              <w:rPr>
                <w:rFonts w:cs="Arial"/>
                <w:color w:val="000000"/>
                <w:sz w:val="20"/>
                <w:szCs w:val="20"/>
              </w:rPr>
              <w:t xml:space="preserve"> </w:t>
            </w:r>
            <w:proofErr w:type="spellStart"/>
            <w:r w:rsidRPr="005275F1">
              <w:rPr>
                <w:rFonts w:cs="Arial"/>
                <w:color w:val="000000"/>
                <w:sz w:val="20"/>
                <w:szCs w:val="20"/>
              </w:rPr>
              <w:t>is</w:t>
            </w:r>
            <w:proofErr w:type="spellEnd"/>
            <w:r>
              <w:rPr>
                <w:rFonts w:cs="Arial"/>
                <w:color w:val="000000"/>
                <w:sz w:val="20"/>
                <w:szCs w:val="20"/>
              </w:rPr>
              <w:t> </w:t>
            </w:r>
            <w:proofErr w:type="spellStart"/>
            <w:r w:rsidRPr="005275F1">
              <w:rPr>
                <w:rFonts w:cs="Arial"/>
                <w:color w:val="000000"/>
                <w:sz w:val="20"/>
                <w:szCs w:val="20"/>
              </w:rPr>
              <w:t>of</w:t>
            </w:r>
            <w:proofErr w:type="spellEnd"/>
            <w:r>
              <w:rPr>
                <w:rFonts w:cs="Arial"/>
                <w:color w:val="000000"/>
                <w:sz w:val="20"/>
                <w:szCs w:val="20"/>
              </w:rPr>
              <w:t> </w:t>
            </w:r>
            <w:proofErr w:type="spellStart"/>
            <w:r w:rsidRPr="005275F1">
              <w:rPr>
                <w:rFonts w:cs="Arial"/>
                <w:color w:val="000000"/>
                <w:sz w:val="20"/>
                <w:szCs w:val="20"/>
              </w:rPr>
              <w:t>good</w:t>
            </w:r>
            <w:proofErr w:type="spellEnd"/>
            <w:r w:rsidRPr="005275F1">
              <w:rPr>
                <w:rFonts w:cs="Arial"/>
                <w:color w:val="000000"/>
                <w:sz w:val="20"/>
                <w:szCs w:val="20"/>
              </w:rPr>
              <w:t xml:space="preserve"> </w:t>
            </w:r>
            <w:proofErr w:type="spellStart"/>
            <w:r w:rsidRPr="005275F1">
              <w:rPr>
                <w:rFonts w:cs="Arial"/>
                <w:color w:val="000000"/>
                <w:sz w:val="20"/>
                <w:szCs w:val="20"/>
              </w:rPr>
              <w:t>quality</w:t>
            </w:r>
            <w:proofErr w:type="spellEnd"/>
            <w:r w:rsidRPr="005275F1">
              <w:rPr>
                <w:rFonts w:cs="Arial"/>
                <w:color w:val="000000"/>
                <w:sz w:val="20"/>
                <w:szCs w:val="20"/>
              </w:rPr>
              <w:t xml:space="preserve"> and </w:t>
            </w:r>
            <w:proofErr w:type="spellStart"/>
            <w:r w:rsidRPr="005275F1">
              <w:rPr>
                <w:rFonts w:cs="Arial"/>
                <w:color w:val="000000"/>
                <w:sz w:val="20"/>
                <w:szCs w:val="20"/>
              </w:rPr>
              <w:t>fundable</w:t>
            </w:r>
            <w:proofErr w:type="spellEnd"/>
            <w:r w:rsidRPr="005275F1">
              <w:rPr>
                <w:rFonts w:cs="Arial"/>
                <w:color w:val="000000"/>
                <w:sz w:val="20"/>
                <w:szCs w:val="20"/>
              </w:rPr>
              <w:t xml:space="preserve"> but not </w:t>
            </w:r>
            <w:proofErr w:type="spellStart"/>
            <w:r w:rsidRPr="005275F1">
              <w:rPr>
                <w:rFonts w:cs="Arial"/>
                <w:color w:val="000000"/>
                <w:sz w:val="20"/>
                <w:szCs w:val="20"/>
              </w:rPr>
              <w:t>retained</w:t>
            </w:r>
            <w:proofErr w:type="spellEnd"/>
            <w:r w:rsidRPr="005275F1">
              <w:rPr>
                <w:rFonts w:cs="Arial"/>
                <w:color w:val="000000"/>
                <w:sz w:val="20"/>
                <w:szCs w:val="20"/>
              </w:rPr>
              <w:t xml:space="preserve"> </w:t>
            </w:r>
            <w:proofErr w:type="spellStart"/>
            <w:r w:rsidRPr="005275F1">
              <w:rPr>
                <w:rFonts w:cs="Arial"/>
                <w:color w:val="000000"/>
                <w:sz w:val="20"/>
                <w:szCs w:val="20"/>
              </w:rPr>
              <w:t>for</w:t>
            </w:r>
            <w:proofErr w:type="spellEnd"/>
            <w:r w:rsidRPr="005275F1">
              <w:rPr>
                <w:rFonts w:cs="Arial"/>
                <w:color w:val="000000"/>
                <w:sz w:val="20"/>
                <w:szCs w:val="20"/>
              </w:rPr>
              <w:t xml:space="preserve"> </w:t>
            </w:r>
            <w:proofErr w:type="spellStart"/>
            <w:r w:rsidRPr="005275F1">
              <w:rPr>
                <w:rFonts w:cs="Arial"/>
                <w:color w:val="000000"/>
                <w:sz w:val="20"/>
                <w:szCs w:val="20"/>
              </w:rPr>
              <w:t>funding</w:t>
            </w:r>
            <w:proofErr w:type="spellEnd"/>
            <w:r w:rsidRPr="005275F1">
              <w:rPr>
                <w:rFonts w:cs="Arial"/>
                <w:color w:val="000000"/>
                <w:sz w:val="20"/>
                <w:szCs w:val="20"/>
              </w:rPr>
              <w:t xml:space="preserve"> </w:t>
            </w:r>
            <w:proofErr w:type="spellStart"/>
            <w:r w:rsidRPr="005275F1">
              <w:rPr>
                <w:rFonts w:cs="Arial"/>
                <w:color w:val="000000"/>
                <w:sz w:val="20"/>
                <w:szCs w:val="20"/>
              </w:rPr>
              <w:t>due</w:t>
            </w:r>
            <w:proofErr w:type="spellEnd"/>
            <w:r w:rsidRPr="005275F1">
              <w:rPr>
                <w:rFonts w:cs="Arial"/>
                <w:color w:val="000000"/>
                <w:sz w:val="20"/>
                <w:szCs w:val="20"/>
              </w:rPr>
              <w:t xml:space="preserve"> to </w:t>
            </w:r>
            <w:proofErr w:type="spellStart"/>
            <w:r w:rsidRPr="005275F1">
              <w:rPr>
                <w:rFonts w:cs="Arial"/>
                <w:color w:val="000000"/>
                <w:sz w:val="20"/>
                <w:szCs w:val="20"/>
              </w:rPr>
              <w:t>budgetary</w:t>
            </w:r>
            <w:proofErr w:type="spellEnd"/>
            <w:r w:rsidRPr="005275F1">
              <w:rPr>
                <w:rFonts w:cs="Arial"/>
                <w:color w:val="000000"/>
                <w:sz w:val="20"/>
                <w:szCs w:val="20"/>
              </w:rPr>
              <w:t xml:space="preserve"> </w:t>
            </w:r>
            <w:proofErr w:type="spellStart"/>
            <w:r w:rsidRPr="005275F1">
              <w:rPr>
                <w:rFonts w:cs="Arial"/>
                <w:color w:val="000000"/>
                <w:sz w:val="20"/>
                <w:szCs w:val="20"/>
              </w:rPr>
              <w:t>constrains</w:t>
            </w:r>
            <w:proofErr w:type="spellEnd"/>
            <w:r w:rsidRPr="005275F1">
              <w:rPr>
                <w:rFonts w:cs="Arial"/>
                <w:color w:val="000000"/>
                <w:sz w:val="20"/>
                <w:szCs w:val="20"/>
              </w:rPr>
              <w:t>".</w:t>
            </w:r>
          </w:p>
        </w:tc>
        <w:tc>
          <w:tcPr>
            <w:tcW w:w="6341" w:type="dxa"/>
            <w:tcBorders>
              <w:top w:val="nil"/>
              <w:left w:val="nil"/>
              <w:bottom w:val="single" w:sz="8" w:space="0" w:color="92CDDB"/>
              <w:right w:val="single" w:sz="8" w:space="0" w:color="92CDDB"/>
            </w:tcBorders>
            <w:vAlign w:val="center"/>
          </w:tcPr>
          <w:p w14:paraId="3BCC984D" w14:textId="1A7E829C" w:rsidR="0044327D" w:rsidRPr="0044327D" w:rsidRDefault="0044327D" w:rsidP="0044327D">
            <w:pPr>
              <w:autoSpaceDE w:val="0"/>
              <w:autoSpaceDN w:val="0"/>
              <w:adjustRightInd w:val="0"/>
              <w:spacing w:after="0" w:line="240" w:lineRule="auto"/>
              <w:jc w:val="both"/>
              <w:rPr>
                <w:rFonts w:cs="Arial"/>
                <w:b/>
                <w:bCs/>
                <w:color w:val="000000"/>
                <w:sz w:val="20"/>
                <w:szCs w:val="20"/>
              </w:rPr>
            </w:pPr>
            <w:r w:rsidRPr="005275F1">
              <w:rPr>
                <w:rFonts w:eastAsia="Times New Roman" w:cs="Arial"/>
                <w:color w:val="000000"/>
                <w:sz w:val="20"/>
                <w:szCs w:val="20"/>
                <w:lang w:eastAsia="en-GB"/>
              </w:rPr>
              <w:t> -</w:t>
            </w:r>
          </w:p>
        </w:tc>
      </w:tr>
      <w:tr w:rsidR="0044327D" w:rsidRPr="00F33DF0" w14:paraId="0ECE6B99" w14:textId="77777777" w:rsidTr="008D2230">
        <w:trPr>
          <w:trHeight w:val="792"/>
        </w:trPr>
        <w:tc>
          <w:tcPr>
            <w:tcW w:w="1526" w:type="dxa"/>
            <w:vMerge/>
            <w:tcBorders>
              <w:left w:val="single" w:sz="8" w:space="0" w:color="92CDDB"/>
              <w:right w:val="single" w:sz="8" w:space="0" w:color="92CDDB"/>
            </w:tcBorders>
            <w:vAlign w:val="center"/>
          </w:tcPr>
          <w:p w14:paraId="64F584BF" w14:textId="6ED8411C" w:rsidR="0044327D" w:rsidRPr="00ED79BC" w:rsidRDefault="0044327D" w:rsidP="0044327D">
            <w:pPr>
              <w:spacing w:after="0" w:line="240" w:lineRule="auto"/>
              <w:rPr>
                <w:rFonts w:eastAsia="Times New Roman" w:cs="Arial"/>
                <w:color w:val="000000"/>
                <w:sz w:val="20"/>
                <w:szCs w:val="20"/>
                <w:highlight w:val="yellow"/>
                <w:lang w:eastAsia="en-GB"/>
              </w:rPr>
            </w:pPr>
          </w:p>
        </w:tc>
        <w:tc>
          <w:tcPr>
            <w:tcW w:w="615" w:type="dxa"/>
            <w:tcBorders>
              <w:top w:val="nil"/>
              <w:left w:val="nil"/>
              <w:bottom w:val="single" w:sz="8" w:space="0" w:color="92CDDB"/>
              <w:right w:val="single" w:sz="8" w:space="0" w:color="92CDDB"/>
            </w:tcBorders>
            <w:vAlign w:val="center"/>
          </w:tcPr>
          <w:p w14:paraId="39F26FC6" w14:textId="61F7754E" w:rsidR="0044327D" w:rsidRPr="0085669E" w:rsidRDefault="0044327D" w:rsidP="0044327D">
            <w:pPr>
              <w:spacing w:after="0" w:line="240" w:lineRule="auto"/>
              <w:jc w:val="center"/>
              <w:rPr>
                <w:rFonts w:eastAsia="Times New Roman" w:cs="Arial"/>
                <w:color w:val="000000"/>
                <w:sz w:val="20"/>
                <w:szCs w:val="20"/>
                <w:lang w:eastAsia="en-GB"/>
              </w:rPr>
            </w:pPr>
            <w:r w:rsidRPr="005275F1">
              <w:rPr>
                <w:rFonts w:eastAsia="Times New Roman" w:cs="Arial"/>
                <w:color w:val="000000"/>
                <w:sz w:val="20"/>
                <w:szCs w:val="20"/>
                <w:lang w:eastAsia="en-GB"/>
              </w:rPr>
              <w:t>LT</w:t>
            </w:r>
          </w:p>
        </w:tc>
        <w:tc>
          <w:tcPr>
            <w:tcW w:w="5905" w:type="dxa"/>
            <w:tcBorders>
              <w:top w:val="nil"/>
              <w:left w:val="nil"/>
              <w:bottom w:val="single" w:sz="8" w:space="0" w:color="92CDDB"/>
              <w:right w:val="single" w:sz="8" w:space="0" w:color="92CDDB"/>
            </w:tcBorders>
            <w:vAlign w:val="center"/>
          </w:tcPr>
          <w:p w14:paraId="24B6D759" w14:textId="6D5C167D" w:rsidR="0044327D" w:rsidRPr="0085669E" w:rsidRDefault="0044327D" w:rsidP="0044327D">
            <w:pPr>
              <w:spacing w:after="0" w:line="240" w:lineRule="auto"/>
              <w:rPr>
                <w:rFonts w:eastAsia="Times New Roman" w:cs="Arial"/>
                <w:color w:val="000000"/>
                <w:sz w:val="20"/>
                <w:szCs w:val="20"/>
                <w:lang w:eastAsia="en-GB"/>
              </w:rPr>
            </w:pPr>
            <w:r w:rsidRPr="005275F1">
              <w:rPr>
                <w:rFonts w:eastAsia="Times New Roman" w:cs="Arial"/>
                <w:color w:val="000000"/>
                <w:sz w:val="20"/>
                <w:szCs w:val="20"/>
                <w:lang w:eastAsia="en-GB"/>
              </w:rPr>
              <w:t>INTER-EXCELLENCE</w:t>
            </w:r>
          </w:p>
        </w:tc>
        <w:tc>
          <w:tcPr>
            <w:tcW w:w="7088" w:type="dxa"/>
            <w:tcBorders>
              <w:top w:val="nil"/>
              <w:left w:val="single" w:sz="8" w:space="0" w:color="92CDDB"/>
              <w:bottom w:val="single" w:sz="8" w:space="0" w:color="92CDDB"/>
              <w:right w:val="single" w:sz="8" w:space="0" w:color="92CDDB"/>
            </w:tcBorders>
            <w:vAlign w:val="center"/>
          </w:tcPr>
          <w:p w14:paraId="00D79B7F" w14:textId="77777777" w:rsidR="0044327D" w:rsidRPr="005275F1" w:rsidRDefault="0044327D" w:rsidP="0044327D">
            <w:pPr>
              <w:spacing w:after="0" w:line="240" w:lineRule="auto"/>
              <w:jc w:val="both"/>
              <w:rPr>
                <w:rFonts w:cs="Arial"/>
                <w:b/>
                <w:bCs/>
                <w:color w:val="000000"/>
                <w:sz w:val="20"/>
                <w:szCs w:val="20"/>
              </w:rPr>
            </w:pPr>
            <w:r w:rsidRPr="005275F1">
              <w:rPr>
                <w:rFonts w:cs="Arial"/>
                <w:b/>
                <w:bCs/>
                <w:color w:val="000000"/>
                <w:sz w:val="20"/>
                <w:szCs w:val="20"/>
              </w:rPr>
              <w:t xml:space="preserve">Rozvoj a posilování kvality českého </w:t>
            </w:r>
            <w:proofErr w:type="spellStart"/>
            <w:r w:rsidRPr="005275F1">
              <w:rPr>
                <w:rFonts w:cs="Arial"/>
                <w:b/>
                <w:bCs/>
                <w:color w:val="000000"/>
                <w:sz w:val="20"/>
                <w:szCs w:val="20"/>
              </w:rPr>
              <w:t>VaV</w:t>
            </w:r>
            <w:proofErr w:type="spellEnd"/>
            <w:r w:rsidRPr="005275F1">
              <w:rPr>
                <w:rFonts w:cs="Arial"/>
                <w:b/>
                <w:bCs/>
                <w:color w:val="000000"/>
                <w:sz w:val="20"/>
                <w:szCs w:val="20"/>
              </w:rPr>
              <w:t xml:space="preserve"> prostřednictvím mezinárodní spolupráce, dosažení synergií v realizovaných aktivitách při kombinaci s</w:t>
            </w:r>
            <w:r>
              <w:rPr>
                <w:rFonts w:cs="Arial"/>
                <w:b/>
                <w:bCs/>
                <w:color w:val="000000"/>
                <w:sz w:val="20"/>
                <w:szCs w:val="20"/>
              </w:rPr>
              <w:t> </w:t>
            </w:r>
            <w:r w:rsidRPr="005275F1">
              <w:rPr>
                <w:rFonts w:cs="Arial"/>
                <w:b/>
                <w:bCs/>
                <w:color w:val="000000"/>
                <w:sz w:val="20"/>
                <w:szCs w:val="20"/>
              </w:rPr>
              <w:t>dalšími mechanismy podpor, pákového efektu při rozvoji těchto aktivit a</w:t>
            </w:r>
            <w:r>
              <w:rPr>
                <w:rFonts w:cs="Arial"/>
                <w:b/>
                <w:bCs/>
                <w:color w:val="000000"/>
                <w:sz w:val="20"/>
                <w:szCs w:val="20"/>
              </w:rPr>
              <w:t> </w:t>
            </w:r>
            <w:r w:rsidRPr="005275F1">
              <w:rPr>
                <w:rFonts w:cs="Arial"/>
                <w:b/>
                <w:bCs/>
                <w:color w:val="000000"/>
                <w:sz w:val="20"/>
                <w:szCs w:val="20"/>
              </w:rPr>
              <w:t>vybudování efektivních vazeb na mezinárodní výzkumnou komunitu.</w:t>
            </w:r>
          </w:p>
          <w:p w14:paraId="157031B3" w14:textId="5B76A25D" w:rsidR="0044327D" w:rsidRPr="0085669E" w:rsidRDefault="0044327D" w:rsidP="0044327D">
            <w:pPr>
              <w:spacing w:after="0" w:line="240" w:lineRule="auto"/>
              <w:jc w:val="both"/>
              <w:rPr>
                <w:rFonts w:cs="Arial"/>
                <w:b/>
                <w:bCs/>
                <w:color w:val="000000"/>
                <w:sz w:val="20"/>
                <w:szCs w:val="20"/>
              </w:rPr>
            </w:pPr>
            <w:r w:rsidRPr="005275F1">
              <w:rPr>
                <w:rFonts w:cs="Arial"/>
                <w:color w:val="000000"/>
                <w:sz w:val="20"/>
                <w:szCs w:val="20"/>
              </w:rPr>
              <w:t>Program je nástrojem strategického zaměření podpory mezinárodní spolupráce. Je</w:t>
            </w:r>
            <w:r>
              <w:rPr>
                <w:rFonts w:cs="Arial"/>
                <w:color w:val="000000"/>
                <w:sz w:val="20"/>
                <w:szCs w:val="20"/>
              </w:rPr>
              <w:t> </w:t>
            </w:r>
            <w:r w:rsidRPr="005275F1">
              <w:rPr>
                <w:rFonts w:cs="Arial"/>
                <w:color w:val="000000"/>
                <w:sz w:val="20"/>
                <w:szCs w:val="20"/>
              </w:rPr>
              <w:t>zaměřen na podporu iniciace a dalšího rozvoje mezinárodní spolupráce ve</w:t>
            </w:r>
            <w:r>
              <w:rPr>
                <w:rFonts w:cs="Arial"/>
                <w:color w:val="000000"/>
                <w:sz w:val="20"/>
                <w:szCs w:val="20"/>
              </w:rPr>
              <w:t> </w:t>
            </w:r>
            <w:r w:rsidRPr="005275F1">
              <w:rPr>
                <w:rFonts w:cs="Arial"/>
                <w:color w:val="000000"/>
                <w:sz w:val="20"/>
                <w:szCs w:val="20"/>
              </w:rPr>
              <w:t>výzkumu a vývoji a integraci České republiky do evropských i</w:t>
            </w:r>
            <w:r w:rsidR="008D2230">
              <w:rPr>
                <w:rFonts w:cs="Arial"/>
                <w:color w:val="000000"/>
                <w:sz w:val="20"/>
                <w:szCs w:val="20"/>
              </w:rPr>
              <w:t> </w:t>
            </w:r>
            <w:r w:rsidRPr="005275F1">
              <w:rPr>
                <w:rFonts w:cs="Arial"/>
                <w:color w:val="000000"/>
                <w:sz w:val="20"/>
                <w:szCs w:val="20"/>
              </w:rPr>
              <w:t>světových výzkumných struktur. Zprostředkuje českým pracovištím účast v</w:t>
            </w:r>
            <w:r w:rsidR="008D2230">
              <w:rPr>
                <w:rFonts w:cs="Arial"/>
                <w:color w:val="000000"/>
                <w:sz w:val="20"/>
                <w:szCs w:val="20"/>
              </w:rPr>
              <w:t> </w:t>
            </w:r>
            <w:r w:rsidRPr="005275F1">
              <w:rPr>
                <w:rFonts w:cs="Arial"/>
                <w:color w:val="000000"/>
                <w:sz w:val="20"/>
                <w:szCs w:val="20"/>
              </w:rPr>
              <w:t>projektech evropské spolupráce a</w:t>
            </w:r>
            <w:r>
              <w:rPr>
                <w:rFonts w:cs="Arial"/>
                <w:color w:val="000000"/>
                <w:sz w:val="20"/>
                <w:szCs w:val="20"/>
              </w:rPr>
              <w:t> </w:t>
            </w:r>
            <w:r w:rsidRPr="005275F1">
              <w:rPr>
                <w:rFonts w:cs="Arial"/>
                <w:color w:val="000000"/>
                <w:sz w:val="20"/>
                <w:szCs w:val="20"/>
              </w:rPr>
              <w:t>bilaterální spolupráce se zeměmi mimo Evropskou unii. Vytvoří českým výzkumným týmům podmínky pro zpřístupnění mezinárodních výsledků, poznatků a</w:t>
            </w:r>
            <w:r>
              <w:rPr>
                <w:rFonts w:cs="Arial"/>
                <w:color w:val="000000"/>
                <w:sz w:val="20"/>
                <w:szCs w:val="20"/>
              </w:rPr>
              <w:t> </w:t>
            </w:r>
            <w:r w:rsidRPr="005275F1">
              <w:rPr>
                <w:rFonts w:cs="Arial"/>
                <w:color w:val="000000"/>
                <w:sz w:val="20"/>
                <w:szCs w:val="20"/>
              </w:rPr>
              <w:t>dovedností a umožní jim podílet se na jejich tvorbě a využití. Důrazem na</w:t>
            </w:r>
            <w:r>
              <w:rPr>
                <w:rFonts w:cs="Arial"/>
                <w:color w:val="000000"/>
                <w:sz w:val="20"/>
                <w:szCs w:val="20"/>
              </w:rPr>
              <w:t> </w:t>
            </w:r>
            <w:r w:rsidRPr="005275F1">
              <w:rPr>
                <w:rFonts w:cs="Arial"/>
                <w:color w:val="000000"/>
                <w:sz w:val="20"/>
                <w:szCs w:val="20"/>
              </w:rPr>
              <w:t>posilování mezinárodní spolupráce Program přispěje ke zvýšení kvality výsledků výzkumu a</w:t>
            </w:r>
            <w:r>
              <w:rPr>
                <w:rFonts w:cs="Arial"/>
                <w:color w:val="000000"/>
                <w:sz w:val="20"/>
                <w:szCs w:val="20"/>
              </w:rPr>
              <w:t> </w:t>
            </w:r>
            <w:r w:rsidRPr="005275F1">
              <w:rPr>
                <w:rFonts w:cs="Arial"/>
                <w:color w:val="000000"/>
                <w:sz w:val="20"/>
                <w:szCs w:val="20"/>
              </w:rPr>
              <w:t>vývoje a</w:t>
            </w:r>
            <w:r w:rsidR="008D2230">
              <w:rPr>
                <w:rFonts w:cs="Arial"/>
                <w:color w:val="000000"/>
                <w:sz w:val="20"/>
                <w:szCs w:val="20"/>
              </w:rPr>
              <w:t> </w:t>
            </w:r>
            <w:r w:rsidRPr="005275F1">
              <w:rPr>
                <w:rFonts w:cs="Arial"/>
                <w:color w:val="000000"/>
                <w:sz w:val="20"/>
                <w:szCs w:val="20"/>
              </w:rPr>
              <w:t>k zajištění vazeb výzkumu v prioritních oblastech České republiky na</w:t>
            </w:r>
            <w:r>
              <w:rPr>
                <w:rFonts w:cs="Arial"/>
                <w:color w:val="000000"/>
                <w:sz w:val="20"/>
                <w:szCs w:val="20"/>
              </w:rPr>
              <w:t> </w:t>
            </w:r>
            <w:r w:rsidRPr="005275F1">
              <w:rPr>
                <w:rFonts w:cs="Arial"/>
                <w:color w:val="000000"/>
                <w:sz w:val="20"/>
                <w:szCs w:val="20"/>
              </w:rPr>
              <w:t>mezinárodní aktivity. Systém výzkumu a vývoje v České republice zůstává přes veškerá opatření poměrně uzavřený. Nízká účast českých pracovišť v</w:t>
            </w:r>
            <w:r>
              <w:rPr>
                <w:rFonts w:cs="Arial"/>
                <w:color w:val="000000"/>
                <w:sz w:val="20"/>
                <w:szCs w:val="20"/>
              </w:rPr>
              <w:t> </w:t>
            </w:r>
            <w:r w:rsidRPr="005275F1">
              <w:rPr>
                <w:rFonts w:cs="Arial"/>
                <w:color w:val="000000"/>
                <w:sz w:val="20"/>
                <w:szCs w:val="20"/>
              </w:rPr>
              <w:t>rámcových programech Evropské unie, malý počet špičkových, mezinárodně uznávaných výsledků výzkumu a vývoje, vysoký podíl publikací bez zahraničního spoluautora a</w:t>
            </w:r>
            <w:r>
              <w:rPr>
                <w:rFonts w:cs="Arial"/>
                <w:color w:val="000000"/>
                <w:sz w:val="20"/>
                <w:szCs w:val="20"/>
              </w:rPr>
              <w:t> </w:t>
            </w:r>
            <w:r w:rsidRPr="005275F1">
              <w:rPr>
                <w:rFonts w:cs="Arial"/>
                <w:color w:val="000000"/>
                <w:sz w:val="20"/>
                <w:szCs w:val="20"/>
              </w:rPr>
              <w:t>třeba i nedostatečný podíl české vědecké komunity na utváření evropského výzkumného prostoru svědčí o</w:t>
            </w:r>
            <w:r w:rsidR="008D2230">
              <w:rPr>
                <w:rFonts w:cs="Arial"/>
                <w:color w:val="000000"/>
                <w:sz w:val="20"/>
                <w:szCs w:val="20"/>
              </w:rPr>
              <w:t> </w:t>
            </w:r>
            <w:r w:rsidRPr="005275F1">
              <w:rPr>
                <w:rFonts w:cs="Arial"/>
                <w:color w:val="000000"/>
                <w:sz w:val="20"/>
                <w:szCs w:val="20"/>
              </w:rPr>
              <w:t>neuspokojivé míře zapojení českých výzkumných pracovišť do evropské a</w:t>
            </w:r>
            <w:r w:rsidR="008D2230">
              <w:rPr>
                <w:rFonts w:cs="Arial"/>
                <w:color w:val="000000"/>
                <w:sz w:val="20"/>
                <w:szCs w:val="20"/>
              </w:rPr>
              <w:t> </w:t>
            </w:r>
            <w:r w:rsidRPr="005275F1">
              <w:rPr>
                <w:rFonts w:cs="Arial"/>
                <w:color w:val="000000"/>
                <w:sz w:val="20"/>
                <w:szCs w:val="20"/>
              </w:rPr>
              <w:t>potažmo i mezinárodní spolupráce. Zaměření Programu na</w:t>
            </w:r>
            <w:r>
              <w:rPr>
                <w:rFonts w:cs="Arial"/>
                <w:color w:val="000000"/>
                <w:sz w:val="20"/>
                <w:szCs w:val="20"/>
              </w:rPr>
              <w:t> </w:t>
            </w:r>
            <w:r w:rsidRPr="005275F1">
              <w:rPr>
                <w:rFonts w:cs="Arial"/>
                <w:color w:val="000000"/>
                <w:sz w:val="20"/>
                <w:szCs w:val="20"/>
              </w:rPr>
              <w:t>podporu výzkumných aktivit blízkých trhu napomůže k vytvoření silné základny aplikovaného výzkumu v České republice.</w:t>
            </w:r>
          </w:p>
        </w:tc>
        <w:tc>
          <w:tcPr>
            <w:tcW w:w="6341" w:type="dxa"/>
            <w:tcBorders>
              <w:top w:val="nil"/>
              <w:left w:val="nil"/>
              <w:bottom w:val="single" w:sz="8" w:space="0" w:color="92CDDB"/>
              <w:right w:val="single" w:sz="8" w:space="0" w:color="92CDDB"/>
            </w:tcBorders>
            <w:vAlign w:val="center"/>
          </w:tcPr>
          <w:p w14:paraId="25D1C9F8" w14:textId="341E59B9" w:rsidR="0044327D" w:rsidRPr="005275F1" w:rsidRDefault="0044327D" w:rsidP="0044327D">
            <w:pPr>
              <w:pStyle w:val="Odstavecseseznamem"/>
              <w:numPr>
                <w:ilvl w:val="0"/>
                <w:numId w:val="18"/>
              </w:numPr>
              <w:spacing w:after="0" w:line="240" w:lineRule="auto"/>
              <w:ind w:left="350"/>
              <w:jc w:val="both"/>
              <w:rPr>
                <w:rFonts w:eastAsia="Times New Roman" w:cs="Arial"/>
                <w:color w:val="000000"/>
                <w:sz w:val="20"/>
                <w:szCs w:val="20"/>
                <w:lang w:eastAsia="en-GB"/>
              </w:rPr>
            </w:pPr>
            <w:r w:rsidRPr="005275F1">
              <w:rPr>
                <w:rFonts w:eastAsia="Times New Roman" w:cs="Arial"/>
                <w:b/>
                <w:color w:val="000000"/>
                <w:sz w:val="20"/>
                <w:szCs w:val="20"/>
                <w:lang w:eastAsia="en-GB"/>
              </w:rPr>
              <w:t>Podprogram „INTER-ACTION“</w:t>
            </w:r>
            <w:r w:rsidRPr="005275F1">
              <w:rPr>
                <w:rFonts w:eastAsia="Times New Roman" w:cs="Arial"/>
                <w:color w:val="000000"/>
                <w:sz w:val="20"/>
                <w:szCs w:val="20"/>
                <w:lang w:eastAsia="en-GB"/>
              </w:rPr>
              <w:t xml:space="preserve"> – podpoření spolupráce českých výzkumných pracovišť a jejich partnerských pracovišť v zemích, ke kterým se váže platná dohoda/prováděcí dokument charakteru bilaterální mezivládní nebo mezirezortní dohody pro</w:t>
            </w:r>
            <w:r w:rsidR="009718D4">
              <w:rPr>
                <w:rFonts w:eastAsia="Times New Roman" w:cs="Arial"/>
                <w:color w:val="000000"/>
                <w:sz w:val="20"/>
                <w:szCs w:val="20"/>
                <w:lang w:eastAsia="en-GB"/>
              </w:rPr>
              <w:t> </w:t>
            </w:r>
            <w:r w:rsidRPr="005275F1">
              <w:rPr>
                <w:rFonts w:eastAsia="Times New Roman" w:cs="Arial"/>
                <w:color w:val="000000"/>
                <w:sz w:val="20"/>
                <w:szCs w:val="20"/>
                <w:lang w:eastAsia="en-GB"/>
              </w:rPr>
              <w:t xml:space="preserve">aktivity </w:t>
            </w:r>
            <w:proofErr w:type="spellStart"/>
            <w:r w:rsidRPr="005275F1">
              <w:rPr>
                <w:rFonts w:eastAsia="Times New Roman" w:cs="Arial"/>
                <w:color w:val="000000"/>
                <w:sz w:val="20"/>
                <w:szCs w:val="20"/>
                <w:lang w:eastAsia="en-GB"/>
              </w:rPr>
              <w:t>VaV</w:t>
            </w:r>
            <w:proofErr w:type="spellEnd"/>
            <w:r w:rsidRPr="005275F1">
              <w:rPr>
                <w:rFonts w:eastAsia="Times New Roman" w:cs="Arial"/>
                <w:color w:val="000000"/>
                <w:sz w:val="20"/>
                <w:szCs w:val="20"/>
                <w:lang w:eastAsia="en-GB"/>
              </w:rPr>
              <w:t>.</w:t>
            </w:r>
          </w:p>
          <w:p w14:paraId="7C3E0781" w14:textId="376C39F3" w:rsidR="0044327D" w:rsidRPr="005275F1" w:rsidRDefault="0044327D" w:rsidP="0044327D">
            <w:pPr>
              <w:pStyle w:val="Odstavecseseznamem"/>
              <w:numPr>
                <w:ilvl w:val="0"/>
                <w:numId w:val="18"/>
              </w:numPr>
              <w:spacing w:after="0" w:line="240" w:lineRule="auto"/>
              <w:ind w:left="350"/>
              <w:jc w:val="both"/>
              <w:rPr>
                <w:rFonts w:eastAsia="Times New Roman" w:cs="Arial"/>
                <w:color w:val="000000"/>
                <w:sz w:val="20"/>
                <w:szCs w:val="20"/>
                <w:lang w:eastAsia="en-GB"/>
              </w:rPr>
            </w:pPr>
            <w:r w:rsidRPr="005275F1">
              <w:rPr>
                <w:rFonts w:eastAsia="Times New Roman" w:cs="Arial"/>
                <w:b/>
                <w:color w:val="000000"/>
                <w:sz w:val="20"/>
                <w:szCs w:val="20"/>
                <w:lang w:eastAsia="en-GB"/>
              </w:rPr>
              <w:t>Podprogram „INTER-COST“</w:t>
            </w:r>
            <w:r w:rsidRPr="005275F1">
              <w:rPr>
                <w:rFonts w:eastAsia="Times New Roman" w:cs="Arial"/>
                <w:color w:val="000000"/>
                <w:sz w:val="20"/>
                <w:szCs w:val="20"/>
                <w:lang w:eastAsia="en-GB"/>
              </w:rPr>
              <w:t xml:space="preserve"> – zapojení českých vědeckých týmů do evropské mnohostranné spolupráce COST v oblasti základního nebo aplikovaného výzkumu, a to formou nových akcí (tj. tematických okruhů vybíraných k podpoře příslušnými orgány COST), navrhovaných těmito českými vědeckými týmy, nebo jejich připojením se k akcím (tematickým okruhům) již</w:t>
            </w:r>
            <w:r w:rsidR="009718D4">
              <w:rPr>
                <w:rFonts w:eastAsia="Times New Roman" w:cs="Arial"/>
                <w:color w:val="000000"/>
                <w:sz w:val="20"/>
                <w:szCs w:val="20"/>
                <w:lang w:eastAsia="en-GB"/>
              </w:rPr>
              <w:t> </w:t>
            </w:r>
            <w:r w:rsidRPr="005275F1">
              <w:rPr>
                <w:rFonts w:eastAsia="Times New Roman" w:cs="Arial"/>
                <w:color w:val="000000"/>
                <w:sz w:val="20"/>
                <w:szCs w:val="20"/>
                <w:lang w:eastAsia="en-GB"/>
              </w:rPr>
              <w:t>navrženým jinými vědeckými týmy.</w:t>
            </w:r>
          </w:p>
          <w:p w14:paraId="72B2ECF3" w14:textId="77777777" w:rsidR="0044327D" w:rsidRPr="005275F1" w:rsidRDefault="0044327D" w:rsidP="0044327D">
            <w:pPr>
              <w:pStyle w:val="Odstavecseseznamem"/>
              <w:numPr>
                <w:ilvl w:val="0"/>
                <w:numId w:val="18"/>
              </w:numPr>
              <w:spacing w:after="0" w:line="240" w:lineRule="auto"/>
              <w:ind w:left="350"/>
              <w:jc w:val="both"/>
              <w:rPr>
                <w:rFonts w:eastAsia="Times New Roman" w:cs="Arial"/>
                <w:color w:val="000000"/>
                <w:sz w:val="20"/>
                <w:szCs w:val="20"/>
                <w:lang w:eastAsia="en-GB"/>
              </w:rPr>
            </w:pPr>
            <w:r w:rsidRPr="005275F1">
              <w:rPr>
                <w:rFonts w:eastAsia="Times New Roman" w:cs="Arial"/>
                <w:b/>
                <w:color w:val="000000"/>
                <w:sz w:val="20"/>
                <w:szCs w:val="20"/>
                <w:lang w:eastAsia="en-GB"/>
              </w:rPr>
              <w:t>Podprogram „INTER-TRANSFER“</w:t>
            </w:r>
            <w:r w:rsidRPr="005275F1">
              <w:rPr>
                <w:rFonts w:eastAsia="Times New Roman" w:cs="Arial"/>
                <w:color w:val="000000"/>
                <w:sz w:val="20"/>
                <w:szCs w:val="20"/>
                <w:lang w:eastAsia="en-GB"/>
              </w:rPr>
              <w:t xml:space="preserve"> – podpoření účasti českých vědeckých pracovníků na mezinárodních projektech </w:t>
            </w:r>
            <w:proofErr w:type="spellStart"/>
            <w:r w:rsidRPr="005275F1">
              <w:rPr>
                <w:rFonts w:eastAsia="Times New Roman" w:cs="Arial"/>
                <w:color w:val="000000"/>
                <w:sz w:val="20"/>
                <w:szCs w:val="20"/>
                <w:lang w:eastAsia="en-GB"/>
              </w:rPr>
              <w:t>VaV</w:t>
            </w:r>
            <w:proofErr w:type="spellEnd"/>
            <w:r w:rsidRPr="005275F1">
              <w:rPr>
                <w:rFonts w:eastAsia="Times New Roman" w:cs="Arial"/>
                <w:color w:val="000000"/>
                <w:sz w:val="20"/>
                <w:szCs w:val="20"/>
                <w:lang w:eastAsia="en-GB"/>
              </w:rPr>
              <w:t>, a to prostřednictvím podpory jejich zapojení do špičkových mezinárodních výzkumných týmů lokalizovaných ve</w:t>
            </w:r>
            <w:r>
              <w:rPr>
                <w:rFonts w:eastAsia="Times New Roman" w:cs="Arial"/>
                <w:color w:val="000000"/>
                <w:sz w:val="20"/>
                <w:szCs w:val="20"/>
                <w:lang w:eastAsia="en-GB"/>
              </w:rPr>
              <w:t> </w:t>
            </w:r>
            <w:r w:rsidRPr="005275F1">
              <w:rPr>
                <w:rFonts w:eastAsia="Times New Roman" w:cs="Arial"/>
                <w:color w:val="000000"/>
                <w:sz w:val="20"/>
                <w:szCs w:val="20"/>
                <w:lang w:eastAsia="en-GB"/>
              </w:rPr>
              <w:t>výzkumných centrech a/nebo projektech mezinárodních organizací nebo vládních institucí v zahraničí v případě, kdy je v nich umožněno přímé členství uchazeče, nebo v případě, kdy účast na aktivitách organizace mezinárodního nebo vládního charakteru v zahraničí není umožněna již existujícím členstvím České republiky v klubu členských zemí a poplatky zaplacenými státem v souvislosti s tímto členstvím.</w:t>
            </w:r>
          </w:p>
          <w:p w14:paraId="553927AD" w14:textId="3A6AE49C" w:rsidR="0044327D" w:rsidRPr="005275F1" w:rsidRDefault="0044327D" w:rsidP="0044327D">
            <w:pPr>
              <w:pStyle w:val="Odstavecseseznamem"/>
              <w:numPr>
                <w:ilvl w:val="0"/>
                <w:numId w:val="18"/>
              </w:numPr>
              <w:spacing w:after="0" w:line="240" w:lineRule="auto"/>
              <w:ind w:left="350"/>
              <w:jc w:val="both"/>
              <w:rPr>
                <w:rFonts w:eastAsia="Times New Roman" w:cs="Arial"/>
                <w:color w:val="000000"/>
                <w:sz w:val="20"/>
                <w:szCs w:val="20"/>
                <w:lang w:eastAsia="en-GB"/>
              </w:rPr>
            </w:pPr>
            <w:r w:rsidRPr="005275F1">
              <w:rPr>
                <w:rFonts w:eastAsia="Times New Roman" w:cs="Arial"/>
                <w:b/>
                <w:color w:val="000000"/>
                <w:sz w:val="20"/>
                <w:szCs w:val="20"/>
                <w:lang w:eastAsia="en-GB"/>
              </w:rPr>
              <w:t>Podprogram „INTER-INFORM“</w:t>
            </w:r>
            <w:r w:rsidRPr="005275F1">
              <w:rPr>
                <w:rFonts w:eastAsia="Times New Roman" w:cs="Arial"/>
                <w:color w:val="000000"/>
                <w:sz w:val="20"/>
                <w:szCs w:val="20"/>
                <w:lang w:eastAsia="en-GB"/>
              </w:rPr>
              <w:t xml:space="preserve"> – podpoření budování a</w:t>
            </w:r>
            <w:r w:rsidR="009718D4">
              <w:rPr>
                <w:rFonts w:eastAsia="Times New Roman" w:cs="Arial"/>
                <w:color w:val="000000"/>
                <w:sz w:val="20"/>
                <w:szCs w:val="20"/>
                <w:lang w:eastAsia="en-GB"/>
              </w:rPr>
              <w:t> </w:t>
            </w:r>
            <w:r w:rsidRPr="005275F1">
              <w:rPr>
                <w:rFonts w:eastAsia="Times New Roman" w:cs="Arial"/>
                <w:color w:val="000000"/>
                <w:sz w:val="20"/>
                <w:szCs w:val="20"/>
                <w:lang w:eastAsia="en-GB"/>
              </w:rPr>
              <w:t xml:space="preserve">udržitelnosti informačních sítí a služeb ve </w:t>
            </w:r>
            <w:proofErr w:type="spellStart"/>
            <w:r w:rsidRPr="005275F1">
              <w:rPr>
                <w:rFonts w:eastAsia="Times New Roman" w:cs="Arial"/>
                <w:color w:val="000000"/>
                <w:sz w:val="20"/>
                <w:szCs w:val="20"/>
                <w:lang w:eastAsia="en-GB"/>
              </w:rPr>
              <w:t>VaV</w:t>
            </w:r>
            <w:proofErr w:type="spellEnd"/>
            <w:r w:rsidRPr="005275F1">
              <w:rPr>
                <w:rFonts w:eastAsia="Times New Roman" w:cs="Arial"/>
                <w:color w:val="000000"/>
                <w:sz w:val="20"/>
                <w:szCs w:val="20"/>
                <w:lang w:eastAsia="en-GB"/>
              </w:rPr>
              <w:t xml:space="preserve"> v zájmu zvýšení účasti českých výzkumných pracovišť v mezinárodních programech </w:t>
            </w:r>
            <w:proofErr w:type="spellStart"/>
            <w:r w:rsidRPr="005275F1">
              <w:rPr>
                <w:rFonts w:eastAsia="Times New Roman" w:cs="Arial"/>
                <w:color w:val="000000"/>
                <w:sz w:val="20"/>
                <w:szCs w:val="20"/>
                <w:lang w:eastAsia="en-GB"/>
              </w:rPr>
              <w:t>VaV</w:t>
            </w:r>
            <w:proofErr w:type="spellEnd"/>
            <w:r w:rsidRPr="005275F1">
              <w:rPr>
                <w:rFonts w:eastAsia="Times New Roman" w:cs="Arial"/>
                <w:color w:val="000000"/>
                <w:sz w:val="20"/>
                <w:szCs w:val="20"/>
                <w:lang w:eastAsia="en-GB"/>
              </w:rPr>
              <w:t>.</w:t>
            </w:r>
          </w:p>
          <w:p w14:paraId="23DFB9C4" w14:textId="77777777" w:rsidR="008D2230" w:rsidRDefault="0044327D" w:rsidP="008D2230">
            <w:pPr>
              <w:pStyle w:val="Odstavecseseznamem"/>
              <w:numPr>
                <w:ilvl w:val="0"/>
                <w:numId w:val="18"/>
              </w:numPr>
              <w:spacing w:after="0" w:line="240" w:lineRule="auto"/>
              <w:ind w:left="350"/>
              <w:jc w:val="both"/>
              <w:rPr>
                <w:rFonts w:eastAsia="Times New Roman" w:cs="Arial"/>
                <w:color w:val="000000"/>
                <w:sz w:val="20"/>
                <w:szCs w:val="20"/>
                <w:lang w:eastAsia="en-GB"/>
              </w:rPr>
            </w:pPr>
            <w:r w:rsidRPr="005275F1">
              <w:rPr>
                <w:rFonts w:eastAsia="Times New Roman" w:cs="Arial"/>
                <w:b/>
                <w:color w:val="000000"/>
                <w:sz w:val="20"/>
                <w:szCs w:val="20"/>
                <w:lang w:eastAsia="en-GB"/>
              </w:rPr>
              <w:t>Podprogram „INTER-VECTOR“</w:t>
            </w:r>
            <w:r w:rsidRPr="005275F1">
              <w:rPr>
                <w:rFonts w:eastAsia="Times New Roman" w:cs="Arial"/>
                <w:color w:val="000000"/>
                <w:sz w:val="20"/>
                <w:szCs w:val="20"/>
                <w:lang w:eastAsia="en-GB"/>
              </w:rPr>
              <w:t xml:space="preserve"> – posílení aktivního zastoupení českých výzkumných pracovníků v řídících orgánech špičkových nevládních organizací mezinárodního charakteru zabývajících se </w:t>
            </w:r>
            <w:proofErr w:type="spellStart"/>
            <w:r w:rsidRPr="005275F1">
              <w:rPr>
                <w:rFonts w:eastAsia="Times New Roman" w:cs="Arial"/>
                <w:color w:val="000000"/>
                <w:sz w:val="20"/>
                <w:szCs w:val="20"/>
                <w:lang w:eastAsia="en-GB"/>
              </w:rPr>
              <w:t>VaV</w:t>
            </w:r>
            <w:proofErr w:type="spellEnd"/>
            <w:r w:rsidRPr="005275F1">
              <w:rPr>
                <w:rFonts w:eastAsia="Times New Roman" w:cs="Arial"/>
                <w:color w:val="000000"/>
                <w:sz w:val="20"/>
                <w:szCs w:val="20"/>
                <w:lang w:eastAsia="en-GB"/>
              </w:rPr>
              <w:t>.</w:t>
            </w:r>
          </w:p>
          <w:p w14:paraId="0C2F54A1" w14:textId="1E18436F" w:rsidR="0044327D" w:rsidRPr="008D2230" w:rsidRDefault="0044327D" w:rsidP="008D2230">
            <w:pPr>
              <w:pStyle w:val="Odstavecseseznamem"/>
              <w:numPr>
                <w:ilvl w:val="0"/>
                <w:numId w:val="18"/>
              </w:numPr>
              <w:spacing w:after="0" w:line="240" w:lineRule="auto"/>
              <w:ind w:left="350"/>
              <w:jc w:val="both"/>
              <w:rPr>
                <w:rFonts w:eastAsia="Times New Roman" w:cs="Arial"/>
                <w:color w:val="000000"/>
                <w:sz w:val="20"/>
                <w:szCs w:val="20"/>
                <w:lang w:eastAsia="en-GB"/>
              </w:rPr>
            </w:pPr>
            <w:r w:rsidRPr="008D2230">
              <w:rPr>
                <w:rFonts w:eastAsia="Times New Roman" w:cs="Arial"/>
                <w:b/>
                <w:color w:val="000000"/>
                <w:sz w:val="20"/>
                <w:szCs w:val="20"/>
                <w:lang w:eastAsia="en-GB"/>
              </w:rPr>
              <w:t>Podprogram „INTER-EUREKA“</w:t>
            </w:r>
            <w:r w:rsidRPr="008D2230">
              <w:rPr>
                <w:rFonts w:eastAsia="Times New Roman" w:cs="Arial"/>
                <w:color w:val="000000"/>
                <w:sz w:val="20"/>
                <w:szCs w:val="20"/>
                <w:lang w:eastAsia="en-GB"/>
              </w:rPr>
              <w:t xml:space="preserve"> – podpoření mezinárodní spolupráce mezi průmyslovými podniky a výzkumnými </w:t>
            </w:r>
            <w:r w:rsidRPr="008D2230">
              <w:rPr>
                <w:rFonts w:eastAsia="Times New Roman" w:cs="Arial"/>
                <w:color w:val="000000"/>
                <w:sz w:val="20"/>
                <w:szCs w:val="20"/>
                <w:lang w:eastAsia="en-GB"/>
              </w:rPr>
              <w:lastRenderedPageBreak/>
              <w:t>organizacemi, přímo navazující na mezinárodní program EUREKA.</w:t>
            </w:r>
          </w:p>
        </w:tc>
      </w:tr>
      <w:tr w:rsidR="0044327D" w:rsidRPr="00F33DF0" w14:paraId="2CD6282D" w14:textId="77777777" w:rsidTr="008D2230">
        <w:trPr>
          <w:trHeight w:val="792"/>
        </w:trPr>
        <w:tc>
          <w:tcPr>
            <w:tcW w:w="1526" w:type="dxa"/>
            <w:vMerge/>
            <w:tcBorders>
              <w:left w:val="single" w:sz="8" w:space="0" w:color="92CDDB"/>
              <w:bottom w:val="single" w:sz="8" w:space="0" w:color="92CDDB"/>
              <w:right w:val="single" w:sz="8" w:space="0" w:color="92CDDB"/>
            </w:tcBorders>
            <w:vAlign w:val="center"/>
          </w:tcPr>
          <w:p w14:paraId="4401F7D6" w14:textId="77777777" w:rsidR="0044327D" w:rsidRPr="00ED79BC" w:rsidRDefault="0044327D" w:rsidP="0044327D">
            <w:pPr>
              <w:spacing w:after="0" w:line="240" w:lineRule="auto"/>
              <w:rPr>
                <w:rFonts w:eastAsia="Times New Roman" w:cs="Arial"/>
                <w:color w:val="000000"/>
                <w:sz w:val="20"/>
                <w:szCs w:val="20"/>
                <w:highlight w:val="yellow"/>
                <w:lang w:eastAsia="en-GB"/>
              </w:rPr>
            </w:pPr>
          </w:p>
        </w:tc>
        <w:tc>
          <w:tcPr>
            <w:tcW w:w="615" w:type="dxa"/>
            <w:tcBorders>
              <w:top w:val="nil"/>
              <w:left w:val="nil"/>
              <w:bottom w:val="single" w:sz="8" w:space="0" w:color="92CDDB"/>
              <w:right w:val="single" w:sz="8" w:space="0" w:color="92CDDB"/>
            </w:tcBorders>
            <w:vAlign w:val="center"/>
          </w:tcPr>
          <w:p w14:paraId="1A8D9786" w14:textId="429B25A3" w:rsidR="0044327D" w:rsidRPr="0085669E" w:rsidRDefault="0044327D" w:rsidP="0044327D">
            <w:pPr>
              <w:spacing w:after="0" w:line="240" w:lineRule="auto"/>
              <w:jc w:val="center"/>
              <w:rPr>
                <w:rFonts w:eastAsia="Times New Roman" w:cs="Arial"/>
                <w:color w:val="000000"/>
                <w:sz w:val="20"/>
                <w:szCs w:val="20"/>
                <w:lang w:eastAsia="en-GB"/>
              </w:rPr>
            </w:pPr>
            <w:r>
              <w:rPr>
                <w:rFonts w:eastAsia="Times New Roman" w:cs="Arial"/>
                <w:color w:val="000000"/>
                <w:sz w:val="20"/>
                <w:szCs w:val="20"/>
                <w:lang w:eastAsia="en-GB"/>
              </w:rPr>
              <w:t>LU</w:t>
            </w:r>
          </w:p>
        </w:tc>
        <w:tc>
          <w:tcPr>
            <w:tcW w:w="5905" w:type="dxa"/>
            <w:tcBorders>
              <w:top w:val="nil"/>
              <w:left w:val="nil"/>
              <w:bottom w:val="single" w:sz="8" w:space="0" w:color="92CDDB"/>
              <w:right w:val="single" w:sz="8" w:space="0" w:color="92CDDB"/>
            </w:tcBorders>
            <w:vAlign w:val="center"/>
          </w:tcPr>
          <w:p w14:paraId="44FAADCC" w14:textId="54FFA5D8" w:rsidR="0044327D" w:rsidRPr="0085669E" w:rsidRDefault="0044327D" w:rsidP="0044327D">
            <w:pPr>
              <w:spacing w:after="0" w:line="240" w:lineRule="auto"/>
              <w:rPr>
                <w:rFonts w:eastAsia="Times New Roman" w:cs="Arial"/>
                <w:color w:val="000000"/>
                <w:sz w:val="20"/>
                <w:szCs w:val="20"/>
                <w:lang w:eastAsia="en-GB"/>
              </w:rPr>
            </w:pPr>
            <w:r w:rsidRPr="00647D78">
              <w:rPr>
                <w:rFonts w:eastAsia="Times New Roman" w:cs="Arial"/>
                <w:color w:val="000000"/>
                <w:sz w:val="20"/>
                <w:szCs w:val="20"/>
                <w:lang w:eastAsia="en-GB"/>
              </w:rPr>
              <w:t>INTER-EXCELLENCE II</w:t>
            </w:r>
          </w:p>
        </w:tc>
        <w:tc>
          <w:tcPr>
            <w:tcW w:w="7088" w:type="dxa"/>
            <w:tcBorders>
              <w:top w:val="nil"/>
              <w:left w:val="single" w:sz="8" w:space="0" w:color="92CDDB"/>
              <w:bottom w:val="single" w:sz="8" w:space="0" w:color="92CDDB"/>
              <w:right w:val="single" w:sz="8" w:space="0" w:color="92CDDB"/>
            </w:tcBorders>
            <w:vAlign w:val="center"/>
          </w:tcPr>
          <w:p w14:paraId="5FEA34D6" w14:textId="19BF3C9F" w:rsidR="0044327D" w:rsidRPr="0085669E" w:rsidRDefault="0044327D" w:rsidP="0044327D">
            <w:pPr>
              <w:spacing w:after="0" w:line="240" w:lineRule="auto"/>
              <w:jc w:val="both"/>
              <w:rPr>
                <w:rFonts w:cs="Arial"/>
                <w:b/>
                <w:bCs/>
                <w:color w:val="000000"/>
                <w:sz w:val="20"/>
                <w:szCs w:val="20"/>
              </w:rPr>
            </w:pPr>
            <w:r w:rsidRPr="00DB2D65">
              <w:rPr>
                <w:rFonts w:cs="Arial"/>
                <w:b/>
                <w:color w:val="000000"/>
                <w:sz w:val="20"/>
                <w:szCs w:val="20"/>
              </w:rPr>
              <w:t>Podpora mezinárodní spolupráce ve výzkumu, vývoji a inovacích jako příspěvek ke zvyšování znalostní a vzdělanostní úrovně ČR, k řešení společenských výzev a ke zvyšování přidané hodnoty ekonomiky ČR.</w:t>
            </w:r>
            <w:r w:rsidRPr="00647D78">
              <w:rPr>
                <w:rFonts w:cs="Arial"/>
                <w:color w:val="000000"/>
                <w:sz w:val="20"/>
                <w:szCs w:val="20"/>
              </w:rPr>
              <w:t xml:space="preserve"> Toho bude dosaženo plněním 4</w:t>
            </w:r>
            <w:r>
              <w:rPr>
                <w:rFonts w:cs="Arial"/>
                <w:color w:val="000000"/>
                <w:sz w:val="20"/>
                <w:szCs w:val="20"/>
              </w:rPr>
              <w:t> </w:t>
            </w:r>
            <w:r w:rsidRPr="00647D78">
              <w:rPr>
                <w:rFonts w:cs="Arial"/>
                <w:color w:val="000000"/>
                <w:sz w:val="20"/>
                <w:szCs w:val="20"/>
              </w:rPr>
              <w:t>obecných cílů programu: 1. zvýšením úrovně strategického zacílení mezinárodní spolupráce ve výzkumu, vývoji a</w:t>
            </w:r>
            <w:r w:rsidR="008D2230">
              <w:rPr>
                <w:rFonts w:cs="Arial"/>
                <w:color w:val="000000"/>
                <w:sz w:val="20"/>
                <w:szCs w:val="20"/>
              </w:rPr>
              <w:t> </w:t>
            </w:r>
            <w:r w:rsidRPr="00647D78">
              <w:rPr>
                <w:rFonts w:cs="Arial"/>
                <w:color w:val="000000"/>
                <w:sz w:val="20"/>
                <w:szCs w:val="20"/>
              </w:rPr>
              <w:t>inovacích podle společenských výzev a strategických priorit ČR; 2.</w:t>
            </w:r>
            <w:r w:rsidR="008D2230">
              <w:rPr>
                <w:rFonts w:cs="Arial"/>
                <w:color w:val="000000"/>
                <w:sz w:val="20"/>
                <w:szCs w:val="20"/>
              </w:rPr>
              <w:t> </w:t>
            </w:r>
            <w:r w:rsidRPr="00647D78">
              <w:rPr>
                <w:rFonts w:cs="Arial"/>
                <w:color w:val="000000"/>
                <w:sz w:val="20"/>
                <w:szCs w:val="20"/>
              </w:rPr>
              <w:t>podporou růstu kvality a</w:t>
            </w:r>
            <w:r>
              <w:rPr>
                <w:rFonts w:cs="Arial"/>
                <w:color w:val="000000"/>
                <w:sz w:val="20"/>
                <w:szCs w:val="20"/>
              </w:rPr>
              <w:t> </w:t>
            </w:r>
            <w:r w:rsidRPr="00647D78">
              <w:rPr>
                <w:rFonts w:cs="Arial"/>
                <w:color w:val="000000"/>
                <w:sz w:val="20"/>
                <w:szCs w:val="20"/>
              </w:rPr>
              <w:t>zvyšování míry excelence výzkumu, vývoje a</w:t>
            </w:r>
            <w:r>
              <w:rPr>
                <w:rFonts w:cs="Arial"/>
                <w:color w:val="000000"/>
                <w:sz w:val="20"/>
                <w:szCs w:val="20"/>
              </w:rPr>
              <w:t> </w:t>
            </w:r>
            <w:r w:rsidRPr="00647D78">
              <w:rPr>
                <w:rFonts w:cs="Arial"/>
                <w:color w:val="000000"/>
                <w:sz w:val="20"/>
                <w:szCs w:val="20"/>
              </w:rPr>
              <w:t>inovací v ČR skrze participaci na</w:t>
            </w:r>
            <w:r>
              <w:rPr>
                <w:rFonts w:cs="Arial"/>
                <w:color w:val="000000"/>
                <w:sz w:val="20"/>
                <w:szCs w:val="20"/>
              </w:rPr>
              <w:t> </w:t>
            </w:r>
            <w:r w:rsidRPr="00647D78">
              <w:rPr>
                <w:rFonts w:cs="Arial"/>
                <w:color w:val="000000"/>
                <w:sz w:val="20"/>
                <w:szCs w:val="20"/>
              </w:rPr>
              <w:t>projektech mezinárodního výzkumu, vývoje a</w:t>
            </w:r>
            <w:r>
              <w:rPr>
                <w:rFonts w:cs="Arial"/>
                <w:color w:val="000000"/>
                <w:sz w:val="20"/>
                <w:szCs w:val="20"/>
              </w:rPr>
              <w:t> </w:t>
            </w:r>
            <w:r w:rsidRPr="00647D78">
              <w:rPr>
                <w:rFonts w:cs="Arial"/>
                <w:color w:val="000000"/>
                <w:sz w:val="20"/>
                <w:szCs w:val="20"/>
              </w:rPr>
              <w:t>inovací (bilaterálních i</w:t>
            </w:r>
            <w:r>
              <w:rPr>
                <w:rFonts w:cs="Arial"/>
                <w:color w:val="000000"/>
                <w:sz w:val="20"/>
                <w:szCs w:val="20"/>
              </w:rPr>
              <w:t> </w:t>
            </w:r>
            <w:r w:rsidRPr="00647D78">
              <w:rPr>
                <w:rFonts w:cs="Arial"/>
                <w:color w:val="000000"/>
                <w:sz w:val="20"/>
                <w:szCs w:val="20"/>
              </w:rPr>
              <w:t>multilaterálních); 3. rozvojem mezinárodní spolupráce výzkumných organizací a</w:t>
            </w:r>
            <w:r>
              <w:rPr>
                <w:rFonts w:cs="Arial"/>
                <w:color w:val="000000"/>
                <w:sz w:val="20"/>
                <w:szCs w:val="20"/>
              </w:rPr>
              <w:t> </w:t>
            </w:r>
            <w:r w:rsidRPr="00647D78">
              <w:rPr>
                <w:rFonts w:cs="Arial"/>
                <w:color w:val="000000"/>
                <w:sz w:val="20"/>
                <w:szCs w:val="20"/>
              </w:rPr>
              <w:t>podniků; 4. podporou růstu úrovně řízení lidských zdrojů na</w:t>
            </w:r>
            <w:r>
              <w:rPr>
                <w:rFonts w:cs="Arial"/>
                <w:color w:val="000000"/>
                <w:sz w:val="20"/>
                <w:szCs w:val="20"/>
              </w:rPr>
              <w:t> </w:t>
            </w:r>
            <w:r w:rsidRPr="00647D78">
              <w:rPr>
                <w:rFonts w:cs="Arial"/>
                <w:color w:val="000000"/>
                <w:sz w:val="20"/>
                <w:szCs w:val="20"/>
              </w:rPr>
              <w:t xml:space="preserve">poli mezinárodního výzkumu, vývoje a inovací. </w:t>
            </w:r>
          </w:p>
        </w:tc>
        <w:tc>
          <w:tcPr>
            <w:tcW w:w="6341" w:type="dxa"/>
            <w:tcBorders>
              <w:top w:val="nil"/>
              <w:left w:val="nil"/>
              <w:bottom w:val="single" w:sz="8" w:space="0" w:color="92CDDB"/>
              <w:right w:val="single" w:sz="8" w:space="0" w:color="92CDDB"/>
            </w:tcBorders>
            <w:vAlign w:val="center"/>
          </w:tcPr>
          <w:p w14:paraId="4919E26F" w14:textId="6D4590D7" w:rsidR="0044327D" w:rsidRPr="00F60222" w:rsidRDefault="0044327D" w:rsidP="0044327D">
            <w:pPr>
              <w:pStyle w:val="Odstavecseseznamem"/>
              <w:numPr>
                <w:ilvl w:val="0"/>
                <w:numId w:val="21"/>
              </w:numPr>
              <w:spacing w:after="0" w:line="240" w:lineRule="auto"/>
              <w:ind w:left="313"/>
              <w:jc w:val="both"/>
              <w:rPr>
                <w:rFonts w:eastAsia="Times New Roman" w:cs="Arial"/>
                <w:color w:val="000000"/>
                <w:sz w:val="20"/>
                <w:szCs w:val="20"/>
                <w:lang w:eastAsia="en-GB"/>
              </w:rPr>
            </w:pPr>
            <w:r w:rsidRPr="00F60222">
              <w:rPr>
                <w:rFonts w:eastAsia="Times New Roman" w:cs="Arial"/>
                <w:b/>
                <w:color w:val="000000"/>
                <w:sz w:val="20"/>
                <w:szCs w:val="20"/>
                <w:lang w:eastAsia="en-GB"/>
              </w:rPr>
              <w:t xml:space="preserve">Podprogram „INTER-ACTION“ – </w:t>
            </w:r>
            <w:r w:rsidRPr="00F60222">
              <w:rPr>
                <w:rFonts w:eastAsia="Times New Roman" w:cs="Arial"/>
                <w:color w:val="000000"/>
                <w:sz w:val="20"/>
                <w:szCs w:val="20"/>
                <w:lang w:eastAsia="en-GB"/>
              </w:rPr>
              <w:t xml:space="preserve">podpoření řešení plnohodnotných výzkumných projektů na principu </w:t>
            </w:r>
            <w:proofErr w:type="spellStart"/>
            <w:r w:rsidRPr="00F60222">
              <w:rPr>
                <w:rFonts w:eastAsia="Times New Roman" w:cs="Arial"/>
                <w:color w:val="000000"/>
                <w:sz w:val="20"/>
                <w:szCs w:val="20"/>
                <w:lang w:eastAsia="en-GB"/>
              </w:rPr>
              <w:t>bottom</w:t>
            </w:r>
            <w:proofErr w:type="spellEnd"/>
            <w:r w:rsidRPr="00F60222">
              <w:rPr>
                <w:rFonts w:eastAsia="Times New Roman" w:cs="Arial"/>
                <w:color w:val="000000"/>
                <w:sz w:val="20"/>
                <w:szCs w:val="20"/>
                <w:lang w:eastAsia="en-GB"/>
              </w:rPr>
              <w:t>-up s partnerem/partnery z daného státu v kategoriích základního i</w:t>
            </w:r>
            <w:r w:rsidR="009718D4">
              <w:rPr>
                <w:rFonts w:eastAsia="Times New Roman" w:cs="Arial"/>
                <w:color w:val="000000"/>
                <w:sz w:val="20"/>
                <w:szCs w:val="20"/>
                <w:lang w:eastAsia="en-GB"/>
              </w:rPr>
              <w:t> </w:t>
            </w:r>
            <w:r w:rsidRPr="00F60222">
              <w:rPr>
                <w:rFonts w:eastAsia="Times New Roman" w:cs="Arial"/>
                <w:color w:val="000000"/>
                <w:sz w:val="20"/>
                <w:szCs w:val="20"/>
                <w:lang w:eastAsia="en-GB"/>
              </w:rPr>
              <w:t>aplikovaného výzkumu.</w:t>
            </w:r>
          </w:p>
          <w:p w14:paraId="6202410C" w14:textId="77777777" w:rsidR="009718D4" w:rsidRDefault="0044327D" w:rsidP="009718D4">
            <w:pPr>
              <w:pStyle w:val="Odstavecseseznamem"/>
              <w:numPr>
                <w:ilvl w:val="0"/>
                <w:numId w:val="21"/>
              </w:numPr>
              <w:spacing w:after="0" w:line="240" w:lineRule="auto"/>
              <w:ind w:left="313"/>
              <w:jc w:val="both"/>
              <w:rPr>
                <w:rFonts w:eastAsia="Times New Roman" w:cs="Arial"/>
                <w:color w:val="000000"/>
                <w:sz w:val="20"/>
                <w:szCs w:val="20"/>
                <w:lang w:eastAsia="en-GB"/>
              </w:rPr>
            </w:pPr>
            <w:r w:rsidRPr="00F60222">
              <w:rPr>
                <w:rFonts w:eastAsia="Times New Roman" w:cs="Arial"/>
                <w:b/>
                <w:color w:val="000000"/>
                <w:sz w:val="20"/>
                <w:szCs w:val="20"/>
                <w:lang w:eastAsia="en-GB"/>
              </w:rPr>
              <w:t xml:space="preserve">Podprogram „INTER-COST“ </w:t>
            </w:r>
            <w:r w:rsidRPr="00F60222">
              <w:rPr>
                <w:rFonts w:eastAsia="Times New Roman" w:cs="Arial"/>
                <w:color w:val="000000"/>
                <w:sz w:val="20"/>
                <w:szCs w:val="20"/>
                <w:lang w:eastAsia="en-GB"/>
              </w:rPr>
              <w:t>– podpoření projektů, které budou představovat přispění českých výzkumníků k naplnění cílů příslušné akce COST. Podprogram je</w:t>
            </w:r>
            <w:r>
              <w:rPr>
                <w:rFonts w:eastAsia="Times New Roman" w:cs="Arial"/>
                <w:color w:val="000000"/>
                <w:sz w:val="20"/>
                <w:szCs w:val="20"/>
                <w:lang w:eastAsia="en-GB"/>
              </w:rPr>
              <w:t> </w:t>
            </w:r>
            <w:r w:rsidRPr="00F60222">
              <w:rPr>
                <w:rFonts w:eastAsia="Times New Roman" w:cs="Arial"/>
                <w:color w:val="000000"/>
                <w:sz w:val="20"/>
                <w:szCs w:val="20"/>
                <w:lang w:eastAsia="en-GB"/>
              </w:rPr>
              <w:t xml:space="preserve">navázán na program COST. </w:t>
            </w:r>
          </w:p>
          <w:p w14:paraId="36F9EBC1" w14:textId="3A9018E5" w:rsidR="0044327D" w:rsidRPr="009718D4" w:rsidRDefault="0044327D" w:rsidP="009718D4">
            <w:pPr>
              <w:pStyle w:val="Odstavecseseznamem"/>
              <w:numPr>
                <w:ilvl w:val="0"/>
                <w:numId w:val="21"/>
              </w:numPr>
              <w:spacing w:after="0" w:line="240" w:lineRule="auto"/>
              <w:ind w:left="313"/>
              <w:jc w:val="both"/>
              <w:rPr>
                <w:rFonts w:eastAsia="Times New Roman" w:cs="Arial"/>
                <w:color w:val="000000"/>
                <w:sz w:val="20"/>
                <w:szCs w:val="20"/>
                <w:lang w:eastAsia="en-GB"/>
              </w:rPr>
            </w:pPr>
            <w:r w:rsidRPr="009718D4">
              <w:rPr>
                <w:rFonts w:eastAsia="Times New Roman" w:cs="Arial"/>
                <w:b/>
                <w:color w:val="000000"/>
                <w:sz w:val="20"/>
                <w:szCs w:val="20"/>
                <w:lang w:eastAsia="en-GB"/>
              </w:rPr>
              <w:t>Podprogram „INTER-EUREKA“</w:t>
            </w:r>
            <w:r w:rsidRPr="009718D4">
              <w:rPr>
                <w:rFonts w:eastAsia="Times New Roman" w:cs="Arial"/>
                <w:color w:val="000000"/>
                <w:sz w:val="20"/>
                <w:szCs w:val="20"/>
                <w:lang w:eastAsia="en-GB"/>
              </w:rPr>
              <w:t xml:space="preserve"> – podpoření mezinárodní spolupráce mezi průmyslovými podniky a výzkumnými organizacemi zapojením do mezinárodní sítě EUREKA a</w:t>
            </w:r>
            <w:r w:rsidR="009718D4">
              <w:rPr>
                <w:rFonts w:eastAsia="Times New Roman" w:cs="Arial"/>
                <w:color w:val="000000"/>
                <w:sz w:val="20"/>
                <w:szCs w:val="20"/>
                <w:lang w:eastAsia="en-GB"/>
              </w:rPr>
              <w:t> </w:t>
            </w:r>
            <w:r w:rsidRPr="009718D4">
              <w:rPr>
                <w:rFonts w:eastAsia="Times New Roman" w:cs="Arial"/>
                <w:color w:val="000000"/>
                <w:sz w:val="20"/>
                <w:szCs w:val="20"/>
                <w:lang w:eastAsia="en-GB"/>
              </w:rPr>
              <w:t xml:space="preserve">integrace mezinárodního rozměru do </w:t>
            </w:r>
            <w:proofErr w:type="spellStart"/>
            <w:r w:rsidRPr="009718D4">
              <w:rPr>
                <w:rFonts w:eastAsia="Times New Roman" w:cs="Arial"/>
                <w:color w:val="000000"/>
                <w:sz w:val="20"/>
                <w:szCs w:val="20"/>
                <w:lang w:eastAsia="en-GB"/>
              </w:rPr>
              <w:t>VaVaI</w:t>
            </w:r>
            <w:proofErr w:type="spellEnd"/>
            <w:r w:rsidRPr="009718D4">
              <w:rPr>
                <w:rFonts w:eastAsia="Times New Roman" w:cs="Arial"/>
                <w:color w:val="000000"/>
                <w:sz w:val="20"/>
                <w:szCs w:val="20"/>
                <w:lang w:eastAsia="en-GB"/>
              </w:rPr>
              <w:t xml:space="preserve"> aktivit podniků.</w:t>
            </w:r>
          </w:p>
        </w:tc>
      </w:tr>
    </w:tbl>
    <w:p w14:paraId="12D3D7EC" w14:textId="77777777" w:rsidR="00FA1845" w:rsidRPr="00ED79BC" w:rsidRDefault="00FA1845" w:rsidP="0021475A">
      <w:pPr>
        <w:rPr>
          <w:highlight w:val="yellow"/>
        </w:rPr>
        <w:sectPr w:rsidR="00FA1845" w:rsidRPr="00ED79BC" w:rsidSect="00B659E0">
          <w:pgSz w:w="23811" w:h="16838" w:orient="landscape" w:code="8"/>
          <w:pgMar w:top="1134" w:right="1418" w:bottom="1134" w:left="1134" w:header="708" w:footer="708" w:gutter="0"/>
          <w:cols w:space="708"/>
          <w:docGrid w:linePitch="360"/>
        </w:sectPr>
      </w:pPr>
    </w:p>
    <w:p w14:paraId="554ACE95" w14:textId="31E41C78" w:rsidR="00FB6512" w:rsidRDefault="0021475A" w:rsidP="00FB6512">
      <w:pPr>
        <w:pStyle w:val="Plohanadpis"/>
      </w:pPr>
      <w:bookmarkStart w:id="62" w:name="_Toc215589324"/>
      <w:r w:rsidRPr="00B83532">
        <w:lastRenderedPageBreak/>
        <w:t xml:space="preserve">P. 4 Přehled </w:t>
      </w:r>
      <w:bookmarkStart w:id="63" w:name="_Hlk117072115"/>
      <w:r w:rsidRPr="00B83532">
        <w:t xml:space="preserve">resortních koncepcí </w:t>
      </w:r>
      <w:proofErr w:type="spellStart"/>
      <w:r w:rsidRPr="00B83532">
        <w:t>VaVaI</w:t>
      </w:r>
      <w:bookmarkEnd w:id="62"/>
      <w:bookmarkEnd w:id="63"/>
      <w:proofErr w:type="spellEnd"/>
    </w:p>
    <w:p w14:paraId="6A72435A" w14:textId="7318EB85" w:rsidR="00B83532" w:rsidRPr="00B83532" w:rsidRDefault="00B83532" w:rsidP="00B83532">
      <w:pPr>
        <w:rPr>
          <w:lang w:eastAsia="cs-CZ"/>
        </w:rPr>
      </w:pPr>
      <w:r w:rsidRPr="00B83532">
        <w:rPr>
          <w:highlight w:val="yellow"/>
          <w:lang w:eastAsia="cs-CZ"/>
        </w:rPr>
        <w:t>Bude aktualizováno.</w:t>
      </w:r>
    </w:p>
    <w:tbl>
      <w:tblPr>
        <w:tblW w:w="5084" w:type="pct"/>
        <w:jc w:val="center"/>
        <w:tblLayout w:type="fixed"/>
        <w:tblLook w:val="04A0" w:firstRow="1" w:lastRow="0" w:firstColumn="1" w:lastColumn="0" w:noHBand="0" w:noVBand="1"/>
      </w:tblPr>
      <w:tblGrid>
        <w:gridCol w:w="916"/>
        <w:gridCol w:w="5230"/>
        <w:gridCol w:w="1253"/>
        <w:gridCol w:w="1387"/>
        <w:gridCol w:w="1234"/>
      </w:tblGrid>
      <w:tr w:rsidR="00A571C0" w:rsidRPr="00ED79BC" w14:paraId="520C59EB" w14:textId="77777777" w:rsidTr="00307AF7">
        <w:trPr>
          <w:trHeight w:val="371"/>
          <w:tblHeader/>
          <w:jc w:val="center"/>
        </w:trPr>
        <w:tc>
          <w:tcPr>
            <w:tcW w:w="457" w:type="pct"/>
            <w:tcBorders>
              <w:top w:val="single" w:sz="8" w:space="0" w:color="auto"/>
              <w:left w:val="single" w:sz="8" w:space="0" w:color="auto"/>
              <w:bottom w:val="single" w:sz="8" w:space="0" w:color="auto"/>
              <w:right w:val="nil"/>
            </w:tcBorders>
            <w:shd w:val="clear" w:color="auto" w:fill="F2F2F2" w:themeFill="background1" w:themeFillShade="F2"/>
            <w:noWrap/>
            <w:vAlign w:val="center"/>
            <w:hideMark/>
          </w:tcPr>
          <w:p w14:paraId="19DF933A" w14:textId="77777777" w:rsidR="00A571C0" w:rsidRPr="009B2D46" w:rsidRDefault="00A571C0" w:rsidP="00307AF7">
            <w:pPr>
              <w:spacing w:after="0" w:line="240" w:lineRule="auto"/>
              <w:jc w:val="center"/>
              <w:rPr>
                <w:rFonts w:eastAsia="Times New Roman" w:cs="Arial"/>
                <w:b/>
                <w:bCs/>
                <w:color w:val="000000"/>
                <w:sz w:val="18"/>
                <w:szCs w:val="18"/>
                <w:lang w:eastAsia="en-GB"/>
              </w:rPr>
            </w:pPr>
            <w:r w:rsidRPr="009B2D46">
              <w:rPr>
                <w:rFonts w:eastAsia="Times New Roman" w:cs="Arial"/>
                <w:b/>
                <w:bCs/>
                <w:color w:val="000000"/>
                <w:sz w:val="18"/>
                <w:szCs w:val="18"/>
                <w:lang w:eastAsia="en-GB"/>
              </w:rPr>
              <w:t>Resort</w:t>
            </w:r>
          </w:p>
        </w:tc>
        <w:tc>
          <w:tcPr>
            <w:tcW w:w="2610" w:type="pct"/>
            <w:tcBorders>
              <w:top w:val="single" w:sz="8" w:space="0" w:color="auto"/>
              <w:left w:val="single" w:sz="8" w:space="0" w:color="auto"/>
              <w:bottom w:val="single" w:sz="8" w:space="0" w:color="auto"/>
              <w:right w:val="nil"/>
            </w:tcBorders>
            <w:shd w:val="clear" w:color="auto" w:fill="F2F2F2" w:themeFill="background1" w:themeFillShade="F2"/>
            <w:vAlign w:val="center"/>
            <w:hideMark/>
          </w:tcPr>
          <w:p w14:paraId="311FC5A1" w14:textId="77777777" w:rsidR="00A571C0" w:rsidRPr="009B2D46" w:rsidRDefault="00A571C0" w:rsidP="00307AF7">
            <w:pPr>
              <w:spacing w:after="0" w:line="240" w:lineRule="auto"/>
              <w:jc w:val="center"/>
              <w:rPr>
                <w:rFonts w:eastAsia="Times New Roman" w:cs="Arial"/>
                <w:b/>
                <w:bCs/>
                <w:color w:val="000000"/>
                <w:sz w:val="18"/>
                <w:szCs w:val="18"/>
                <w:lang w:eastAsia="en-GB"/>
              </w:rPr>
            </w:pPr>
            <w:r w:rsidRPr="009B2D46">
              <w:rPr>
                <w:rFonts w:eastAsia="Times New Roman" w:cs="Arial"/>
                <w:b/>
                <w:bCs/>
                <w:color w:val="000000"/>
                <w:sz w:val="18"/>
                <w:szCs w:val="18"/>
                <w:lang w:eastAsia="en-GB"/>
              </w:rPr>
              <w:t>Koncepce</w:t>
            </w:r>
          </w:p>
        </w:tc>
        <w:tc>
          <w:tcPr>
            <w:tcW w:w="625" w:type="pct"/>
            <w:tcBorders>
              <w:top w:val="single" w:sz="8" w:space="0" w:color="auto"/>
              <w:left w:val="single" w:sz="8" w:space="0" w:color="auto"/>
              <w:bottom w:val="single" w:sz="8" w:space="0" w:color="auto"/>
              <w:right w:val="nil"/>
            </w:tcBorders>
            <w:shd w:val="clear" w:color="auto" w:fill="F2F2F2" w:themeFill="background1" w:themeFillShade="F2"/>
            <w:vAlign w:val="center"/>
            <w:hideMark/>
          </w:tcPr>
          <w:p w14:paraId="2AED75C0" w14:textId="77777777" w:rsidR="00A571C0" w:rsidRPr="009B2D46" w:rsidRDefault="00A571C0" w:rsidP="00307AF7">
            <w:pPr>
              <w:spacing w:after="0" w:line="240" w:lineRule="auto"/>
              <w:jc w:val="center"/>
              <w:rPr>
                <w:rFonts w:eastAsia="Times New Roman" w:cs="Arial"/>
                <w:b/>
                <w:bCs/>
                <w:color w:val="000000"/>
                <w:sz w:val="18"/>
                <w:szCs w:val="18"/>
                <w:lang w:eastAsia="en-GB"/>
              </w:rPr>
            </w:pPr>
            <w:r w:rsidRPr="009B2D46">
              <w:rPr>
                <w:rFonts w:eastAsia="Times New Roman" w:cs="Arial"/>
                <w:b/>
                <w:bCs/>
                <w:color w:val="000000"/>
                <w:sz w:val="18"/>
                <w:szCs w:val="18"/>
                <w:lang w:eastAsia="en-GB"/>
              </w:rPr>
              <w:t>Platnost (rok)</w:t>
            </w:r>
          </w:p>
        </w:tc>
        <w:tc>
          <w:tcPr>
            <w:tcW w:w="692" w:type="pct"/>
            <w:tcBorders>
              <w:top w:val="single" w:sz="8" w:space="0" w:color="auto"/>
              <w:left w:val="single" w:sz="8" w:space="0" w:color="auto"/>
              <w:bottom w:val="single" w:sz="8" w:space="0" w:color="auto"/>
              <w:right w:val="single" w:sz="8" w:space="0" w:color="808080"/>
            </w:tcBorders>
            <w:shd w:val="clear" w:color="auto" w:fill="F2F2F2" w:themeFill="background1" w:themeFillShade="F2"/>
            <w:noWrap/>
            <w:vAlign w:val="center"/>
            <w:hideMark/>
          </w:tcPr>
          <w:p w14:paraId="72CB0C6E" w14:textId="77777777" w:rsidR="00A571C0" w:rsidRPr="009B2D46" w:rsidRDefault="00A571C0" w:rsidP="00307AF7">
            <w:pPr>
              <w:spacing w:after="0" w:line="240" w:lineRule="auto"/>
              <w:jc w:val="center"/>
              <w:rPr>
                <w:rFonts w:eastAsia="Times New Roman" w:cs="Arial"/>
                <w:b/>
                <w:bCs/>
                <w:color w:val="000000"/>
                <w:sz w:val="18"/>
                <w:szCs w:val="18"/>
                <w:lang w:eastAsia="en-GB"/>
              </w:rPr>
            </w:pPr>
            <w:r w:rsidRPr="009B2D46">
              <w:rPr>
                <w:rFonts w:eastAsia="Times New Roman" w:cs="Arial"/>
                <w:b/>
                <w:bCs/>
                <w:color w:val="000000"/>
                <w:sz w:val="18"/>
                <w:szCs w:val="18"/>
                <w:lang w:eastAsia="en-GB"/>
              </w:rPr>
              <w:t>Schváleno vládou ČR</w:t>
            </w:r>
          </w:p>
        </w:tc>
        <w:tc>
          <w:tcPr>
            <w:tcW w:w="616" w:type="pct"/>
            <w:tcBorders>
              <w:top w:val="single" w:sz="8" w:space="0" w:color="auto"/>
              <w:left w:val="nil"/>
              <w:bottom w:val="single" w:sz="8" w:space="0" w:color="auto"/>
              <w:right w:val="single" w:sz="8" w:space="0" w:color="auto"/>
            </w:tcBorders>
            <w:shd w:val="clear" w:color="auto" w:fill="F2F2F2" w:themeFill="background1" w:themeFillShade="F2"/>
            <w:noWrap/>
            <w:vAlign w:val="center"/>
            <w:hideMark/>
          </w:tcPr>
          <w:p w14:paraId="72A8D550" w14:textId="77777777" w:rsidR="00A571C0" w:rsidRPr="009B2D46" w:rsidRDefault="00A571C0" w:rsidP="00307AF7">
            <w:pPr>
              <w:spacing w:after="0" w:line="240" w:lineRule="auto"/>
              <w:jc w:val="center"/>
              <w:rPr>
                <w:rFonts w:eastAsia="Times New Roman" w:cs="Arial"/>
                <w:b/>
                <w:bCs/>
                <w:color w:val="000000"/>
                <w:sz w:val="18"/>
                <w:szCs w:val="18"/>
                <w:lang w:eastAsia="en-GB"/>
              </w:rPr>
            </w:pPr>
            <w:r w:rsidRPr="009B2D46">
              <w:rPr>
                <w:rFonts w:eastAsia="Times New Roman" w:cs="Arial"/>
                <w:b/>
                <w:bCs/>
                <w:color w:val="000000"/>
                <w:sz w:val="18"/>
                <w:szCs w:val="18"/>
                <w:lang w:eastAsia="en-GB"/>
              </w:rPr>
              <w:t>Usnesení</w:t>
            </w:r>
          </w:p>
        </w:tc>
      </w:tr>
      <w:tr w:rsidR="00A571C0" w:rsidRPr="00ED79BC" w14:paraId="4AA636D5" w14:textId="77777777" w:rsidTr="001F6785">
        <w:trPr>
          <w:trHeight w:val="510"/>
          <w:jc w:val="center"/>
        </w:trPr>
        <w:tc>
          <w:tcPr>
            <w:tcW w:w="457" w:type="pct"/>
            <w:vMerge w:val="restart"/>
            <w:tcBorders>
              <w:top w:val="nil"/>
              <w:left w:val="single" w:sz="8" w:space="0" w:color="auto"/>
              <w:bottom w:val="single" w:sz="8" w:space="0" w:color="000000"/>
              <w:right w:val="single" w:sz="8" w:space="0" w:color="auto"/>
            </w:tcBorders>
            <w:shd w:val="clear" w:color="000000" w:fill="F2F2F2"/>
            <w:noWrap/>
            <w:vAlign w:val="center"/>
            <w:hideMark/>
          </w:tcPr>
          <w:p w14:paraId="3EE26FF4" w14:textId="77777777" w:rsidR="00A571C0" w:rsidRPr="009278B3" w:rsidRDefault="00A571C0" w:rsidP="00307AF7">
            <w:pPr>
              <w:spacing w:after="0" w:line="240" w:lineRule="auto"/>
              <w:jc w:val="center"/>
              <w:rPr>
                <w:rFonts w:eastAsia="Times New Roman" w:cs="Arial"/>
                <w:b/>
                <w:bCs/>
                <w:color w:val="000000"/>
                <w:sz w:val="18"/>
                <w:szCs w:val="18"/>
                <w:lang w:eastAsia="en-GB"/>
              </w:rPr>
            </w:pPr>
            <w:r w:rsidRPr="009278B3">
              <w:rPr>
                <w:rFonts w:eastAsia="Times New Roman" w:cs="Arial"/>
                <w:b/>
                <w:bCs/>
                <w:color w:val="000000"/>
                <w:sz w:val="18"/>
                <w:szCs w:val="18"/>
                <w:lang w:eastAsia="en-GB"/>
              </w:rPr>
              <w:t>MK</w:t>
            </w:r>
          </w:p>
        </w:tc>
        <w:tc>
          <w:tcPr>
            <w:tcW w:w="2610" w:type="pct"/>
            <w:tcBorders>
              <w:top w:val="nil"/>
              <w:left w:val="nil"/>
              <w:bottom w:val="nil"/>
              <w:right w:val="nil"/>
            </w:tcBorders>
            <w:shd w:val="clear" w:color="auto" w:fill="F2DBDB" w:themeFill="accent2" w:themeFillTint="33"/>
            <w:vAlign w:val="center"/>
            <w:hideMark/>
          </w:tcPr>
          <w:p w14:paraId="0FEDA67B" w14:textId="77777777" w:rsidR="00A571C0" w:rsidRPr="009278B3" w:rsidRDefault="00A571C0" w:rsidP="00084251">
            <w:pPr>
              <w:spacing w:line="240" w:lineRule="auto"/>
              <w:rPr>
                <w:rFonts w:eastAsia="Times New Roman" w:cs="Arial"/>
                <w:b/>
                <w:bCs/>
                <w:color w:val="000000"/>
                <w:sz w:val="18"/>
                <w:szCs w:val="18"/>
                <w:lang w:eastAsia="en-GB"/>
              </w:rPr>
            </w:pPr>
            <w:r w:rsidRPr="009278B3">
              <w:rPr>
                <w:rFonts w:eastAsia="Times New Roman" w:cs="Arial"/>
                <w:b/>
                <w:bCs/>
                <w:color w:val="000000"/>
                <w:sz w:val="18"/>
                <w:szCs w:val="18"/>
                <w:lang w:eastAsia="en-GB"/>
              </w:rPr>
              <w:t>Meziresortní koncepce aplikovaného výzkumu a</w:t>
            </w:r>
            <w:r>
              <w:rPr>
                <w:rFonts w:eastAsia="Times New Roman" w:cs="Arial"/>
                <w:b/>
                <w:bCs/>
                <w:color w:val="000000"/>
                <w:sz w:val="18"/>
                <w:szCs w:val="18"/>
                <w:lang w:eastAsia="en-GB"/>
              </w:rPr>
              <w:t> </w:t>
            </w:r>
            <w:r w:rsidRPr="009278B3">
              <w:rPr>
                <w:rFonts w:eastAsia="Times New Roman" w:cs="Arial"/>
                <w:b/>
                <w:bCs/>
                <w:color w:val="000000"/>
                <w:sz w:val="18"/>
                <w:szCs w:val="18"/>
                <w:lang w:eastAsia="en-GB"/>
              </w:rPr>
              <w:t>vývoje národní a kulturní identity na léta 2016 až</w:t>
            </w:r>
            <w:r>
              <w:rPr>
                <w:rFonts w:eastAsia="Times New Roman" w:cs="Arial"/>
                <w:b/>
                <w:bCs/>
                <w:color w:val="000000"/>
                <w:sz w:val="18"/>
                <w:szCs w:val="18"/>
                <w:lang w:eastAsia="en-GB"/>
              </w:rPr>
              <w:t> </w:t>
            </w:r>
            <w:r w:rsidRPr="009278B3">
              <w:rPr>
                <w:rFonts w:eastAsia="Times New Roman" w:cs="Arial"/>
                <w:b/>
                <w:bCs/>
                <w:color w:val="000000"/>
                <w:sz w:val="18"/>
                <w:szCs w:val="18"/>
                <w:lang w:eastAsia="en-GB"/>
              </w:rPr>
              <w:t>2022</w:t>
            </w:r>
          </w:p>
        </w:tc>
        <w:tc>
          <w:tcPr>
            <w:tcW w:w="625" w:type="pct"/>
            <w:tcBorders>
              <w:top w:val="nil"/>
              <w:left w:val="single" w:sz="8" w:space="0" w:color="auto"/>
              <w:bottom w:val="nil"/>
              <w:right w:val="nil"/>
            </w:tcBorders>
            <w:shd w:val="clear" w:color="auto" w:fill="F2DBDB" w:themeFill="accent2" w:themeFillTint="33"/>
            <w:vAlign w:val="center"/>
            <w:hideMark/>
          </w:tcPr>
          <w:p w14:paraId="2B18710F" w14:textId="77777777" w:rsidR="00A571C0" w:rsidRPr="009278B3" w:rsidRDefault="00A571C0" w:rsidP="00307AF7">
            <w:pPr>
              <w:spacing w:after="0" w:line="240" w:lineRule="auto"/>
              <w:jc w:val="center"/>
              <w:rPr>
                <w:rFonts w:eastAsia="Times New Roman" w:cs="Arial"/>
                <w:color w:val="000000"/>
                <w:sz w:val="18"/>
                <w:szCs w:val="18"/>
                <w:lang w:eastAsia="en-GB"/>
              </w:rPr>
            </w:pPr>
            <w:r w:rsidRPr="009278B3">
              <w:rPr>
                <w:rFonts w:eastAsia="Times New Roman" w:cs="Arial"/>
                <w:color w:val="000000"/>
                <w:sz w:val="18"/>
                <w:szCs w:val="18"/>
                <w:lang w:eastAsia="en-GB"/>
              </w:rPr>
              <w:t>2022</w:t>
            </w:r>
          </w:p>
        </w:tc>
        <w:tc>
          <w:tcPr>
            <w:tcW w:w="692" w:type="pct"/>
            <w:tcBorders>
              <w:top w:val="nil"/>
              <w:left w:val="single" w:sz="8" w:space="0" w:color="auto"/>
              <w:bottom w:val="nil"/>
              <w:right w:val="single" w:sz="8" w:space="0" w:color="808080"/>
            </w:tcBorders>
            <w:noWrap/>
            <w:vAlign w:val="center"/>
            <w:hideMark/>
          </w:tcPr>
          <w:p w14:paraId="63B62503" w14:textId="77777777" w:rsidR="00A571C0" w:rsidRPr="009278B3" w:rsidRDefault="00A571C0" w:rsidP="00307AF7">
            <w:pPr>
              <w:spacing w:after="0" w:line="240" w:lineRule="auto"/>
              <w:jc w:val="center"/>
              <w:rPr>
                <w:rFonts w:eastAsia="Times New Roman" w:cs="Arial"/>
                <w:color w:val="000000"/>
                <w:sz w:val="18"/>
                <w:szCs w:val="18"/>
                <w:lang w:eastAsia="en-GB"/>
              </w:rPr>
            </w:pPr>
            <w:r w:rsidRPr="009278B3">
              <w:rPr>
                <w:rFonts w:eastAsia="Times New Roman" w:cs="Arial"/>
                <w:color w:val="000000"/>
                <w:sz w:val="18"/>
                <w:szCs w:val="18"/>
                <w:lang w:eastAsia="en-GB"/>
              </w:rPr>
              <w:t>27.11 2013</w:t>
            </w:r>
          </w:p>
        </w:tc>
        <w:tc>
          <w:tcPr>
            <w:tcW w:w="616" w:type="pct"/>
            <w:tcBorders>
              <w:top w:val="nil"/>
              <w:left w:val="nil"/>
              <w:bottom w:val="nil"/>
              <w:right w:val="single" w:sz="8" w:space="0" w:color="auto"/>
            </w:tcBorders>
            <w:noWrap/>
            <w:vAlign w:val="center"/>
            <w:hideMark/>
          </w:tcPr>
          <w:p w14:paraId="5DB6D8C0" w14:textId="77777777" w:rsidR="00A571C0" w:rsidRPr="009278B3" w:rsidRDefault="00A571C0" w:rsidP="00307AF7">
            <w:pPr>
              <w:spacing w:after="0" w:line="240" w:lineRule="auto"/>
              <w:jc w:val="center"/>
              <w:rPr>
                <w:rFonts w:eastAsia="Times New Roman" w:cs="Arial"/>
                <w:color w:val="000000"/>
                <w:sz w:val="18"/>
                <w:szCs w:val="18"/>
                <w:lang w:eastAsia="en-GB"/>
              </w:rPr>
            </w:pPr>
            <w:r w:rsidRPr="009278B3">
              <w:rPr>
                <w:rFonts w:eastAsia="Times New Roman" w:cs="Arial"/>
                <w:color w:val="000000"/>
                <w:sz w:val="18"/>
                <w:szCs w:val="18"/>
                <w:lang w:eastAsia="en-GB"/>
              </w:rPr>
              <w:t>886/2013</w:t>
            </w:r>
          </w:p>
        </w:tc>
      </w:tr>
      <w:tr w:rsidR="00A571C0" w:rsidRPr="00ED79BC" w14:paraId="7B760666" w14:textId="77777777" w:rsidTr="001F6785">
        <w:trPr>
          <w:trHeight w:val="510"/>
          <w:jc w:val="center"/>
        </w:trPr>
        <w:tc>
          <w:tcPr>
            <w:tcW w:w="457" w:type="pct"/>
            <w:vMerge/>
            <w:tcBorders>
              <w:top w:val="nil"/>
              <w:left w:val="single" w:sz="8" w:space="0" w:color="auto"/>
              <w:bottom w:val="single" w:sz="8" w:space="0" w:color="000000"/>
              <w:right w:val="single" w:sz="8" w:space="0" w:color="auto"/>
            </w:tcBorders>
            <w:vAlign w:val="center"/>
            <w:hideMark/>
          </w:tcPr>
          <w:p w14:paraId="65927799" w14:textId="77777777" w:rsidR="00A571C0" w:rsidRPr="00ED79BC" w:rsidRDefault="00A571C0" w:rsidP="00307AF7">
            <w:pPr>
              <w:spacing w:after="0" w:line="240" w:lineRule="auto"/>
              <w:rPr>
                <w:rFonts w:eastAsia="Times New Roman" w:cs="Arial"/>
                <w:b/>
                <w:bCs/>
                <w:color w:val="000000"/>
                <w:sz w:val="18"/>
                <w:szCs w:val="18"/>
                <w:highlight w:val="yellow"/>
                <w:lang w:eastAsia="en-GB"/>
              </w:rPr>
            </w:pPr>
          </w:p>
        </w:tc>
        <w:tc>
          <w:tcPr>
            <w:tcW w:w="2610" w:type="pct"/>
            <w:tcBorders>
              <w:top w:val="nil"/>
              <w:left w:val="nil"/>
              <w:bottom w:val="nil"/>
              <w:right w:val="nil"/>
            </w:tcBorders>
            <w:shd w:val="clear" w:color="auto" w:fill="F2DBDB" w:themeFill="accent2" w:themeFillTint="33"/>
            <w:vAlign w:val="center"/>
            <w:hideMark/>
          </w:tcPr>
          <w:p w14:paraId="3F0309D7" w14:textId="77777777" w:rsidR="00A571C0" w:rsidRPr="009278B3" w:rsidRDefault="00A571C0" w:rsidP="00084251">
            <w:pPr>
              <w:spacing w:line="240" w:lineRule="auto"/>
              <w:rPr>
                <w:rFonts w:eastAsia="Times New Roman" w:cs="Arial"/>
                <w:color w:val="000000"/>
                <w:sz w:val="18"/>
                <w:szCs w:val="18"/>
                <w:lang w:eastAsia="en-GB"/>
              </w:rPr>
            </w:pPr>
            <w:r w:rsidRPr="009278B3">
              <w:rPr>
                <w:rFonts w:eastAsia="Times New Roman" w:cs="Arial"/>
                <w:color w:val="000000"/>
                <w:sz w:val="18"/>
                <w:szCs w:val="18"/>
                <w:lang w:eastAsia="en-GB"/>
              </w:rPr>
              <w:t>https://www.mkcr.cz/meziresortni-koncepce-aplikovaneho-vyzkumu-a-vyvoje-narodni-a-kulturni-identity-na-leta-2016-2022-852.html</w:t>
            </w:r>
          </w:p>
        </w:tc>
        <w:tc>
          <w:tcPr>
            <w:tcW w:w="625" w:type="pct"/>
            <w:tcBorders>
              <w:top w:val="nil"/>
              <w:left w:val="single" w:sz="8" w:space="0" w:color="auto"/>
              <w:bottom w:val="nil"/>
              <w:right w:val="nil"/>
            </w:tcBorders>
            <w:shd w:val="clear" w:color="auto" w:fill="F2DBDB" w:themeFill="accent2" w:themeFillTint="33"/>
            <w:vAlign w:val="center"/>
            <w:hideMark/>
          </w:tcPr>
          <w:p w14:paraId="729D4E1A" w14:textId="77777777" w:rsidR="00A571C0" w:rsidRPr="009278B3" w:rsidRDefault="00A571C0" w:rsidP="00307AF7">
            <w:pPr>
              <w:spacing w:after="0" w:line="240" w:lineRule="auto"/>
              <w:jc w:val="center"/>
              <w:rPr>
                <w:rFonts w:eastAsia="Times New Roman" w:cs="Arial"/>
                <w:color w:val="000000"/>
                <w:sz w:val="18"/>
                <w:szCs w:val="18"/>
                <w:lang w:eastAsia="en-GB"/>
              </w:rPr>
            </w:pPr>
            <w:r w:rsidRPr="009278B3">
              <w:rPr>
                <w:rFonts w:eastAsia="Times New Roman" w:cs="Arial"/>
                <w:color w:val="000000"/>
                <w:sz w:val="18"/>
                <w:szCs w:val="18"/>
                <w:lang w:eastAsia="en-GB"/>
              </w:rPr>
              <w:t> </w:t>
            </w:r>
          </w:p>
        </w:tc>
        <w:tc>
          <w:tcPr>
            <w:tcW w:w="692" w:type="pct"/>
            <w:tcBorders>
              <w:top w:val="nil"/>
              <w:left w:val="single" w:sz="8" w:space="0" w:color="auto"/>
              <w:bottom w:val="nil"/>
              <w:right w:val="single" w:sz="8" w:space="0" w:color="808080"/>
            </w:tcBorders>
            <w:noWrap/>
            <w:vAlign w:val="center"/>
            <w:hideMark/>
          </w:tcPr>
          <w:p w14:paraId="17CA22D9" w14:textId="77777777" w:rsidR="00A571C0" w:rsidRPr="009278B3" w:rsidRDefault="00A571C0" w:rsidP="00307AF7">
            <w:pPr>
              <w:spacing w:after="0" w:line="240" w:lineRule="auto"/>
              <w:jc w:val="center"/>
              <w:rPr>
                <w:rFonts w:eastAsia="Times New Roman" w:cs="Arial"/>
                <w:color w:val="000000"/>
                <w:sz w:val="18"/>
                <w:szCs w:val="18"/>
                <w:lang w:eastAsia="en-GB"/>
              </w:rPr>
            </w:pPr>
            <w:r w:rsidRPr="009278B3">
              <w:rPr>
                <w:rFonts w:eastAsia="Times New Roman" w:cs="Arial"/>
                <w:color w:val="000000"/>
                <w:sz w:val="18"/>
                <w:szCs w:val="18"/>
                <w:lang w:eastAsia="en-GB"/>
              </w:rPr>
              <w:t> </w:t>
            </w:r>
          </w:p>
        </w:tc>
        <w:tc>
          <w:tcPr>
            <w:tcW w:w="616" w:type="pct"/>
            <w:tcBorders>
              <w:top w:val="nil"/>
              <w:left w:val="nil"/>
              <w:bottom w:val="nil"/>
              <w:right w:val="single" w:sz="8" w:space="0" w:color="auto"/>
            </w:tcBorders>
            <w:noWrap/>
            <w:vAlign w:val="center"/>
            <w:hideMark/>
          </w:tcPr>
          <w:p w14:paraId="40A7ABC9" w14:textId="77777777" w:rsidR="00A571C0" w:rsidRPr="009278B3" w:rsidRDefault="00A571C0" w:rsidP="00307AF7">
            <w:pPr>
              <w:spacing w:after="0" w:line="240" w:lineRule="auto"/>
              <w:jc w:val="center"/>
              <w:rPr>
                <w:rFonts w:eastAsia="Times New Roman" w:cs="Arial"/>
                <w:color w:val="000000"/>
                <w:sz w:val="18"/>
                <w:szCs w:val="18"/>
                <w:lang w:eastAsia="en-GB"/>
              </w:rPr>
            </w:pPr>
            <w:r w:rsidRPr="009278B3">
              <w:rPr>
                <w:rFonts w:eastAsia="Times New Roman" w:cs="Arial"/>
                <w:color w:val="000000"/>
                <w:sz w:val="18"/>
                <w:szCs w:val="18"/>
                <w:lang w:eastAsia="en-GB"/>
              </w:rPr>
              <w:t> </w:t>
            </w:r>
          </w:p>
        </w:tc>
      </w:tr>
      <w:tr w:rsidR="00A571C0" w:rsidRPr="00ED79BC" w14:paraId="67146050" w14:textId="77777777" w:rsidTr="00307AF7">
        <w:trPr>
          <w:trHeight w:val="510"/>
          <w:jc w:val="center"/>
        </w:trPr>
        <w:tc>
          <w:tcPr>
            <w:tcW w:w="457" w:type="pct"/>
            <w:vMerge/>
            <w:tcBorders>
              <w:top w:val="nil"/>
              <w:left w:val="single" w:sz="8" w:space="0" w:color="auto"/>
              <w:bottom w:val="single" w:sz="8" w:space="0" w:color="000000"/>
              <w:right w:val="single" w:sz="8" w:space="0" w:color="auto"/>
            </w:tcBorders>
            <w:vAlign w:val="center"/>
            <w:hideMark/>
          </w:tcPr>
          <w:p w14:paraId="79E062B9" w14:textId="77777777" w:rsidR="00A571C0" w:rsidRPr="00ED79BC" w:rsidRDefault="00A571C0" w:rsidP="00307AF7">
            <w:pPr>
              <w:spacing w:after="0" w:line="240" w:lineRule="auto"/>
              <w:rPr>
                <w:rFonts w:eastAsia="Times New Roman" w:cs="Arial"/>
                <w:b/>
                <w:bCs/>
                <w:color w:val="000000"/>
                <w:sz w:val="18"/>
                <w:szCs w:val="18"/>
                <w:highlight w:val="yellow"/>
                <w:lang w:eastAsia="en-GB"/>
              </w:rPr>
            </w:pPr>
          </w:p>
        </w:tc>
        <w:tc>
          <w:tcPr>
            <w:tcW w:w="2610" w:type="pct"/>
            <w:tcBorders>
              <w:top w:val="nil"/>
              <w:left w:val="nil"/>
              <w:bottom w:val="nil"/>
              <w:right w:val="nil"/>
            </w:tcBorders>
            <w:vAlign w:val="center"/>
            <w:hideMark/>
          </w:tcPr>
          <w:p w14:paraId="30385429" w14:textId="77777777" w:rsidR="00A571C0" w:rsidRPr="00F84D13" w:rsidRDefault="00A571C0" w:rsidP="00084251">
            <w:pPr>
              <w:spacing w:line="240" w:lineRule="auto"/>
              <w:rPr>
                <w:rFonts w:eastAsia="Times New Roman" w:cs="Arial"/>
                <w:b/>
                <w:bCs/>
                <w:color w:val="000000"/>
                <w:sz w:val="18"/>
                <w:szCs w:val="18"/>
                <w:lang w:eastAsia="en-GB"/>
              </w:rPr>
            </w:pPr>
            <w:r>
              <w:rPr>
                <w:rFonts w:eastAsia="Times New Roman" w:cs="Arial"/>
                <w:b/>
                <w:bCs/>
                <w:color w:val="000000"/>
                <w:sz w:val="18"/>
                <w:szCs w:val="18"/>
                <w:lang w:eastAsia="en-GB"/>
              </w:rPr>
              <w:t>K</w:t>
            </w:r>
            <w:r w:rsidRPr="00F84D13">
              <w:rPr>
                <w:rFonts w:eastAsia="Times New Roman" w:cs="Arial"/>
                <w:b/>
                <w:bCs/>
                <w:color w:val="000000"/>
                <w:sz w:val="18"/>
                <w:szCs w:val="18"/>
                <w:lang w:eastAsia="en-GB"/>
              </w:rPr>
              <w:t xml:space="preserve">oncepce aplikovaného výzkumu </w:t>
            </w:r>
            <w:r>
              <w:rPr>
                <w:rFonts w:eastAsia="Times New Roman" w:cs="Arial"/>
                <w:b/>
                <w:bCs/>
                <w:color w:val="000000"/>
                <w:sz w:val="18"/>
                <w:szCs w:val="18"/>
                <w:lang w:eastAsia="en-GB"/>
              </w:rPr>
              <w:t xml:space="preserve">v oblasti </w:t>
            </w:r>
            <w:r w:rsidRPr="00F84D13">
              <w:rPr>
                <w:rFonts w:eastAsia="Times New Roman" w:cs="Arial"/>
                <w:b/>
                <w:bCs/>
                <w:color w:val="000000"/>
                <w:sz w:val="18"/>
                <w:szCs w:val="18"/>
                <w:lang w:eastAsia="en-GB"/>
              </w:rPr>
              <w:t>národní a</w:t>
            </w:r>
            <w:r>
              <w:rPr>
                <w:rFonts w:eastAsia="Times New Roman" w:cs="Arial"/>
                <w:b/>
                <w:bCs/>
                <w:color w:val="000000"/>
                <w:sz w:val="18"/>
                <w:szCs w:val="18"/>
                <w:lang w:eastAsia="en-GB"/>
              </w:rPr>
              <w:t> </w:t>
            </w:r>
            <w:r w:rsidRPr="00F84D13">
              <w:rPr>
                <w:rFonts w:eastAsia="Times New Roman" w:cs="Arial"/>
                <w:b/>
                <w:bCs/>
                <w:color w:val="000000"/>
                <w:sz w:val="18"/>
                <w:szCs w:val="18"/>
                <w:lang w:eastAsia="en-GB"/>
              </w:rPr>
              <w:t>kulturní identity</w:t>
            </w:r>
            <w:r>
              <w:rPr>
                <w:rFonts w:eastAsia="Times New Roman" w:cs="Arial"/>
                <w:b/>
                <w:bCs/>
                <w:color w:val="000000"/>
                <w:sz w:val="18"/>
                <w:szCs w:val="18"/>
                <w:lang w:eastAsia="en-GB"/>
              </w:rPr>
              <w:t xml:space="preserve"> Ministerstva kultury</w:t>
            </w:r>
            <w:r w:rsidRPr="00F84D13">
              <w:rPr>
                <w:rFonts w:eastAsia="Times New Roman" w:cs="Arial"/>
                <w:b/>
                <w:bCs/>
                <w:color w:val="000000"/>
                <w:sz w:val="18"/>
                <w:szCs w:val="18"/>
                <w:lang w:eastAsia="en-GB"/>
              </w:rPr>
              <w:t xml:space="preserve"> na léta 2023–2030</w:t>
            </w:r>
          </w:p>
        </w:tc>
        <w:tc>
          <w:tcPr>
            <w:tcW w:w="625" w:type="pct"/>
            <w:tcBorders>
              <w:top w:val="nil"/>
              <w:left w:val="single" w:sz="8" w:space="0" w:color="auto"/>
              <w:bottom w:val="nil"/>
              <w:right w:val="nil"/>
            </w:tcBorders>
            <w:vAlign w:val="center"/>
            <w:hideMark/>
          </w:tcPr>
          <w:p w14:paraId="7C017398" w14:textId="77777777" w:rsidR="00A571C0" w:rsidRPr="00F84D13" w:rsidRDefault="00A571C0" w:rsidP="00307AF7">
            <w:pPr>
              <w:spacing w:after="0" w:line="240" w:lineRule="auto"/>
              <w:jc w:val="center"/>
              <w:rPr>
                <w:rFonts w:eastAsia="Times New Roman" w:cs="Arial"/>
                <w:color w:val="000000"/>
                <w:sz w:val="18"/>
                <w:szCs w:val="18"/>
                <w:lang w:eastAsia="en-GB"/>
              </w:rPr>
            </w:pPr>
            <w:r w:rsidRPr="00F84D13">
              <w:rPr>
                <w:rFonts w:eastAsia="Times New Roman" w:cs="Arial"/>
                <w:color w:val="000000"/>
                <w:sz w:val="18"/>
                <w:szCs w:val="18"/>
                <w:lang w:eastAsia="en-GB"/>
              </w:rPr>
              <w:t>2030</w:t>
            </w:r>
          </w:p>
        </w:tc>
        <w:tc>
          <w:tcPr>
            <w:tcW w:w="692" w:type="pct"/>
            <w:tcBorders>
              <w:top w:val="nil"/>
              <w:left w:val="single" w:sz="8" w:space="0" w:color="auto"/>
              <w:bottom w:val="nil"/>
              <w:right w:val="single" w:sz="8" w:space="0" w:color="808080"/>
            </w:tcBorders>
            <w:noWrap/>
            <w:vAlign w:val="center"/>
            <w:hideMark/>
          </w:tcPr>
          <w:p w14:paraId="5EBC9217" w14:textId="77777777" w:rsidR="00A571C0" w:rsidRPr="00F84D13" w:rsidRDefault="00A571C0" w:rsidP="00307AF7">
            <w:pPr>
              <w:spacing w:after="0" w:line="240" w:lineRule="auto"/>
              <w:jc w:val="center"/>
              <w:rPr>
                <w:rFonts w:eastAsia="Times New Roman" w:cs="Arial"/>
                <w:color w:val="000000"/>
                <w:sz w:val="18"/>
                <w:szCs w:val="18"/>
                <w:lang w:eastAsia="en-GB"/>
              </w:rPr>
            </w:pPr>
            <w:r w:rsidRPr="00F84D13">
              <w:rPr>
                <w:rFonts w:eastAsia="Times New Roman" w:cs="Arial"/>
                <w:color w:val="000000"/>
                <w:sz w:val="18"/>
                <w:szCs w:val="18"/>
                <w:lang w:eastAsia="en-GB"/>
              </w:rPr>
              <w:t>5. 10. 2020</w:t>
            </w:r>
          </w:p>
        </w:tc>
        <w:tc>
          <w:tcPr>
            <w:tcW w:w="616" w:type="pct"/>
            <w:tcBorders>
              <w:top w:val="nil"/>
              <w:left w:val="nil"/>
              <w:bottom w:val="nil"/>
              <w:right w:val="single" w:sz="8" w:space="0" w:color="auto"/>
            </w:tcBorders>
            <w:noWrap/>
            <w:vAlign w:val="center"/>
            <w:hideMark/>
          </w:tcPr>
          <w:p w14:paraId="033D7093" w14:textId="77777777" w:rsidR="00A571C0" w:rsidRPr="00F84D13" w:rsidRDefault="00A571C0" w:rsidP="00307AF7">
            <w:pPr>
              <w:spacing w:after="0" w:line="240" w:lineRule="auto"/>
              <w:jc w:val="center"/>
              <w:rPr>
                <w:rFonts w:eastAsia="Times New Roman" w:cs="Arial"/>
                <w:color w:val="000000"/>
                <w:sz w:val="18"/>
                <w:szCs w:val="18"/>
                <w:lang w:eastAsia="en-GB"/>
              </w:rPr>
            </w:pPr>
            <w:r w:rsidRPr="00F84D13">
              <w:rPr>
                <w:rFonts w:eastAsia="Times New Roman" w:cs="Arial"/>
                <w:color w:val="000000"/>
                <w:sz w:val="18"/>
                <w:szCs w:val="18"/>
                <w:lang w:eastAsia="en-GB"/>
              </w:rPr>
              <w:t>985/2020</w:t>
            </w:r>
          </w:p>
        </w:tc>
      </w:tr>
      <w:tr w:rsidR="00A571C0" w:rsidRPr="00ED79BC" w14:paraId="4F01B8B9" w14:textId="77777777" w:rsidTr="00307AF7">
        <w:trPr>
          <w:trHeight w:val="510"/>
          <w:jc w:val="center"/>
        </w:trPr>
        <w:tc>
          <w:tcPr>
            <w:tcW w:w="457" w:type="pct"/>
            <w:vMerge/>
            <w:tcBorders>
              <w:top w:val="nil"/>
              <w:left w:val="single" w:sz="8" w:space="0" w:color="auto"/>
              <w:bottom w:val="single" w:sz="8" w:space="0" w:color="000000"/>
              <w:right w:val="single" w:sz="8" w:space="0" w:color="auto"/>
            </w:tcBorders>
            <w:vAlign w:val="center"/>
            <w:hideMark/>
          </w:tcPr>
          <w:p w14:paraId="13BFBDA7" w14:textId="77777777" w:rsidR="00A571C0" w:rsidRPr="00ED79BC" w:rsidRDefault="00A571C0" w:rsidP="00307AF7">
            <w:pPr>
              <w:spacing w:after="0" w:line="240" w:lineRule="auto"/>
              <w:rPr>
                <w:rFonts w:eastAsia="Times New Roman" w:cs="Arial"/>
                <w:b/>
                <w:bCs/>
                <w:color w:val="000000"/>
                <w:sz w:val="18"/>
                <w:szCs w:val="18"/>
                <w:highlight w:val="yellow"/>
                <w:lang w:eastAsia="en-GB"/>
              </w:rPr>
            </w:pPr>
          </w:p>
        </w:tc>
        <w:tc>
          <w:tcPr>
            <w:tcW w:w="2610" w:type="pct"/>
            <w:tcBorders>
              <w:top w:val="nil"/>
              <w:left w:val="nil"/>
              <w:bottom w:val="single" w:sz="8" w:space="0" w:color="auto"/>
              <w:right w:val="nil"/>
            </w:tcBorders>
            <w:vAlign w:val="center"/>
            <w:hideMark/>
          </w:tcPr>
          <w:p w14:paraId="3DDB58F4" w14:textId="77777777" w:rsidR="00A571C0" w:rsidRPr="00F84D13" w:rsidRDefault="00A571C0" w:rsidP="00307AF7">
            <w:pPr>
              <w:spacing w:after="0" w:line="240" w:lineRule="auto"/>
              <w:rPr>
                <w:rFonts w:eastAsia="Times New Roman" w:cs="Arial"/>
                <w:color w:val="000000"/>
                <w:sz w:val="18"/>
                <w:szCs w:val="18"/>
                <w:lang w:eastAsia="en-GB"/>
              </w:rPr>
            </w:pPr>
            <w:r w:rsidRPr="00F84D13">
              <w:rPr>
                <w:rFonts w:eastAsia="Times New Roman" w:cs="Arial"/>
                <w:color w:val="000000"/>
                <w:sz w:val="18"/>
                <w:szCs w:val="18"/>
                <w:lang w:eastAsia="en-GB"/>
              </w:rPr>
              <w:t>https://www.mkcr.cz/meziresortni-koncepce-aplikovaneho-vyzkumu-a-vyvoje-narodni-a-kulturni-identity-na-leta-2023-2030-2440.html</w:t>
            </w:r>
          </w:p>
        </w:tc>
        <w:tc>
          <w:tcPr>
            <w:tcW w:w="625" w:type="pct"/>
            <w:tcBorders>
              <w:top w:val="nil"/>
              <w:left w:val="single" w:sz="8" w:space="0" w:color="auto"/>
              <w:bottom w:val="single" w:sz="8" w:space="0" w:color="auto"/>
              <w:right w:val="nil"/>
            </w:tcBorders>
            <w:vAlign w:val="center"/>
            <w:hideMark/>
          </w:tcPr>
          <w:p w14:paraId="22F065B4" w14:textId="77777777" w:rsidR="00A571C0" w:rsidRPr="00F84D13" w:rsidRDefault="00A571C0" w:rsidP="00307AF7">
            <w:pPr>
              <w:spacing w:after="0" w:line="240" w:lineRule="auto"/>
              <w:jc w:val="center"/>
              <w:rPr>
                <w:rFonts w:eastAsia="Times New Roman" w:cs="Arial"/>
                <w:color w:val="000000"/>
                <w:sz w:val="18"/>
                <w:szCs w:val="18"/>
                <w:lang w:eastAsia="en-GB"/>
              </w:rPr>
            </w:pPr>
            <w:r w:rsidRPr="00F84D13">
              <w:rPr>
                <w:rFonts w:eastAsia="Times New Roman" w:cs="Arial"/>
                <w:color w:val="000000"/>
                <w:sz w:val="18"/>
                <w:szCs w:val="18"/>
                <w:lang w:eastAsia="en-GB"/>
              </w:rPr>
              <w:t> </w:t>
            </w:r>
          </w:p>
        </w:tc>
        <w:tc>
          <w:tcPr>
            <w:tcW w:w="692" w:type="pct"/>
            <w:tcBorders>
              <w:top w:val="nil"/>
              <w:left w:val="single" w:sz="8" w:space="0" w:color="auto"/>
              <w:bottom w:val="single" w:sz="8" w:space="0" w:color="auto"/>
              <w:right w:val="single" w:sz="8" w:space="0" w:color="808080"/>
            </w:tcBorders>
            <w:noWrap/>
            <w:vAlign w:val="center"/>
            <w:hideMark/>
          </w:tcPr>
          <w:p w14:paraId="7B7A74CB" w14:textId="77777777" w:rsidR="00A571C0" w:rsidRPr="00F84D13" w:rsidRDefault="00A571C0" w:rsidP="00307AF7">
            <w:pPr>
              <w:spacing w:after="0" w:line="240" w:lineRule="auto"/>
              <w:jc w:val="center"/>
              <w:rPr>
                <w:rFonts w:eastAsia="Times New Roman" w:cs="Arial"/>
                <w:color w:val="000000"/>
                <w:sz w:val="18"/>
                <w:szCs w:val="18"/>
                <w:lang w:eastAsia="en-GB"/>
              </w:rPr>
            </w:pPr>
            <w:r w:rsidRPr="00F84D13">
              <w:rPr>
                <w:rFonts w:eastAsia="Times New Roman" w:cs="Arial"/>
                <w:color w:val="000000"/>
                <w:sz w:val="18"/>
                <w:szCs w:val="18"/>
                <w:lang w:eastAsia="en-GB"/>
              </w:rPr>
              <w:t> </w:t>
            </w:r>
          </w:p>
        </w:tc>
        <w:tc>
          <w:tcPr>
            <w:tcW w:w="616" w:type="pct"/>
            <w:tcBorders>
              <w:top w:val="nil"/>
              <w:left w:val="nil"/>
              <w:bottom w:val="single" w:sz="8" w:space="0" w:color="auto"/>
              <w:right w:val="single" w:sz="8" w:space="0" w:color="auto"/>
            </w:tcBorders>
            <w:noWrap/>
            <w:vAlign w:val="center"/>
            <w:hideMark/>
          </w:tcPr>
          <w:p w14:paraId="23DF77C0" w14:textId="77777777" w:rsidR="00A571C0" w:rsidRPr="00F84D13" w:rsidRDefault="00A571C0" w:rsidP="00307AF7">
            <w:pPr>
              <w:spacing w:after="0" w:line="240" w:lineRule="auto"/>
              <w:jc w:val="center"/>
              <w:rPr>
                <w:rFonts w:eastAsia="Times New Roman" w:cs="Arial"/>
                <w:color w:val="000000"/>
                <w:sz w:val="18"/>
                <w:szCs w:val="18"/>
                <w:lang w:eastAsia="en-GB"/>
              </w:rPr>
            </w:pPr>
            <w:r w:rsidRPr="00F84D13">
              <w:rPr>
                <w:rFonts w:eastAsia="Times New Roman" w:cs="Arial"/>
                <w:color w:val="000000"/>
                <w:sz w:val="18"/>
                <w:szCs w:val="18"/>
                <w:lang w:eastAsia="en-GB"/>
              </w:rPr>
              <w:t> </w:t>
            </w:r>
          </w:p>
        </w:tc>
      </w:tr>
      <w:tr w:rsidR="00A571C0" w:rsidRPr="00ED79BC" w14:paraId="5A64235D" w14:textId="77777777" w:rsidTr="00307AF7">
        <w:trPr>
          <w:trHeight w:val="510"/>
          <w:jc w:val="center"/>
        </w:trPr>
        <w:tc>
          <w:tcPr>
            <w:tcW w:w="457" w:type="pct"/>
            <w:vMerge w:val="restart"/>
            <w:tcBorders>
              <w:top w:val="nil"/>
              <w:left w:val="single" w:sz="8" w:space="0" w:color="auto"/>
              <w:bottom w:val="single" w:sz="8" w:space="0" w:color="000000"/>
              <w:right w:val="single" w:sz="8" w:space="0" w:color="auto"/>
            </w:tcBorders>
            <w:shd w:val="clear" w:color="000000" w:fill="F2F2F2"/>
            <w:noWrap/>
            <w:vAlign w:val="center"/>
            <w:hideMark/>
          </w:tcPr>
          <w:p w14:paraId="10185EFC" w14:textId="77777777" w:rsidR="00A571C0" w:rsidRPr="009278B3" w:rsidRDefault="00A571C0" w:rsidP="00307AF7">
            <w:pPr>
              <w:spacing w:after="0" w:line="240" w:lineRule="auto"/>
              <w:jc w:val="center"/>
              <w:rPr>
                <w:rFonts w:eastAsia="Times New Roman" w:cs="Arial"/>
                <w:b/>
                <w:bCs/>
                <w:color w:val="000000"/>
                <w:sz w:val="18"/>
                <w:szCs w:val="18"/>
                <w:lang w:eastAsia="en-GB"/>
              </w:rPr>
            </w:pPr>
            <w:r w:rsidRPr="009278B3">
              <w:rPr>
                <w:rFonts w:eastAsia="Times New Roman" w:cs="Arial"/>
                <w:b/>
                <w:bCs/>
                <w:color w:val="000000"/>
                <w:sz w:val="18"/>
                <w:szCs w:val="18"/>
                <w:lang w:eastAsia="en-GB"/>
              </w:rPr>
              <w:t>MPO</w:t>
            </w:r>
          </w:p>
        </w:tc>
        <w:tc>
          <w:tcPr>
            <w:tcW w:w="2610" w:type="pct"/>
            <w:vMerge w:val="restart"/>
            <w:tcBorders>
              <w:top w:val="nil"/>
              <w:left w:val="single" w:sz="8" w:space="0" w:color="auto"/>
              <w:bottom w:val="single" w:sz="8" w:space="0" w:color="000000"/>
              <w:right w:val="single" w:sz="8" w:space="0" w:color="auto"/>
            </w:tcBorders>
            <w:vAlign w:val="center"/>
            <w:hideMark/>
          </w:tcPr>
          <w:p w14:paraId="1200B1DB" w14:textId="77777777" w:rsidR="00A571C0" w:rsidRPr="00682790" w:rsidRDefault="00A571C0" w:rsidP="00307AF7">
            <w:pPr>
              <w:spacing w:line="240" w:lineRule="auto"/>
              <w:rPr>
                <w:rFonts w:eastAsia="Times New Roman" w:cs="Arial"/>
                <w:b/>
                <w:color w:val="000000"/>
                <w:sz w:val="18"/>
                <w:szCs w:val="18"/>
                <w:lang w:eastAsia="en-GB"/>
              </w:rPr>
            </w:pPr>
            <w:r w:rsidRPr="00682790">
              <w:rPr>
                <w:rFonts w:eastAsia="Times New Roman" w:cs="Arial"/>
                <w:b/>
                <w:color w:val="000000"/>
                <w:sz w:val="18"/>
                <w:szCs w:val="18"/>
                <w:lang w:eastAsia="en-GB"/>
              </w:rPr>
              <w:t>Národní výzkumná a inovační strategie pro</w:t>
            </w:r>
            <w:r>
              <w:rPr>
                <w:rFonts w:eastAsia="Times New Roman" w:cs="Arial"/>
                <w:b/>
                <w:color w:val="000000"/>
                <w:sz w:val="18"/>
                <w:szCs w:val="18"/>
                <w:lang w:eastAsia="en-GB"/>
              </w:rPr>
              <w:t> </w:t>
            </w:r>
            <w:r w:rsidRPr="00682790">
              <w:rPr>
                <w:rFonts w:eastAsia="Times New Roman" w:cs="Arial"/>
                <w:b/>
                <w:color w:val="000000"/>
                <w:sz w:val="18"/>
                <w:szCs w:val="18"/>
                <w:lang w:eastAsia="en-GB"/>
              </w:rPr>
              <w:t>inteligentní specializaci České republiky na roky 2021–2027</w:t>
            </w:r>
            <w:r w:rsidRPr="006344E1">
              <w:rPr>
                <w:rFonts w:eastAsia="Times New Roman" w:cs="Arial"/>
                <w:b/>
                <w:iCs/>
                <w:color w:val="000000"/>
                <w:sz w:val="18"/>
                <w:szCs w:val="18"/>
                <w:lang w:eastAsia="en-GB"/>
              </w:rPr>
              <w:t xml:space="preserve"> (*)</w:t>
            </w:r>
          </w:p>
          <w:p w14:paraId="3FB3DCE6" w14:textId="09C903B9" w:rsidR="00A571C0" w:rsidRPr="009278B3" w:rsidRDefault="00A571C0" w:rsidP="00307AF7">
            <w:pPr>
              <w:spacing w:after="0" w:line="240" w:lineRule="auto"/>
              <w:rPr>
                <w:rFonts w:eastAsia="Times New Roman" w:cs="Arial"/>
                <w:iCs/>
                <w:color w:val="000000"/>
                <w:sz w:val="18"/>
                <w:szCs w:val="18"/>
                <w:lang w:eastAsia="en-GB"/>
              </w:rPr>
            </w:pPr>
            <w:r w:rsidRPr="006344E1">
              <w:rPr>
                <w:rFonts w:eastAsia="Times New Roman" w:cs="Arial"/>
                <w:iCs/>
                <w:color w:val="000000"/>
                <w:sz w:val="18"/>
                <w:szCs w:val="18"/>
                <w:lang w:eastAsia="en-GB"/>
              </w:rPr>
              <w:t>https://www.mpo.cz/assets/cz/podnikani/ris3-strategie/dokumenty/2022/1/RIS3-Strategie-_A_RIS3-Strategie_.pdf</w:t>
            </w:r>
          </w:p>
        </w:tc>
        <w:tc>
          <w:tcPr>
            <w:tcW w:w="625" w:type="pct"/>
            <w:tcBorders>
              <w:top w:val="nil"/>
              <w:left w:val="nil"/>
              <w:bottom w:val="nil"/>
              <w:right w:val="nil"/>
            </w:tcBorders>
            <w:vAlign w:val="center"/>
            <w:hideMark/>
          </w:tcPr>
          <w:p w14:paraId="722E4230" w14:textId="77777777" w:rsidR="00A571C0" w:rsidRPr="00682790" w:rsidRDefault="00A571C0" w:rsidP="00307AF7">
            <w:pPr>
              <w:spacing w:after="0" w:line="240" w:lineRule="auto"/>
              <w:jc w:val="center"/>
              <w:rPr>
                <w:rFonts w:eastAsia="Times New Roman" w:cs="Arial"/>
                <w:color w:val="000000"/>
                <w:sz w:val="18"/>
                <w:szCs w:val="18"/>
                <w:lang w:eastAsia="en-GB"/>
              </w:rPr>
            </w:pPr>
            <w:r w:rsidRPr="009278B3">
              <w:rPr>
                <w:rFonts w:eastAsia="Times New Roman" w:cs="Arial"/>
                <w:i/>
                <w:iCs/>
                <w:color w:val="000000"/>
                <w:sz w:val="18"/>
                <w:szCs w:val="18"/>
                <w:lang w:eastAsia="en-GB"/>
              </w:rPr>
              <w:t> </w:t>
            </w:r>
            <w:r w:rsidRPr="00682790">
              <w:rPr>
                <w:rFonts w:eastAsia="Times New Roman" w:cs="Arial"/>
                <w:color w:val="000000"/>
                <w:sz w:val="18"/>
                <w:szCs w:val="18"/>
                <w:lang w:eastAsia="en-GB"/>
              </w:rPr>
              <w:t>2027</w:t>
            </w:r>
          </w:p>
        </w:tc>
        <w:tc>
          <w:tcPr>
            <w:tcW w:w="692" w:type="pct"/>
            <w:tcBorders>
              <w:top w:val="nil"/>
              <w:left w:val="single" w:sz="8" w:space="0" w:color="auto"/>
              <w:bottom w:val="nil"/>
              <w:right w:val="single" w:sz="8" w:space="0" w:color="808080"/>
            </w:tcBorders>
            <w:noWrap/>
            <w:vAlign w:val="center"/>
            <w:hideMark/>
          </w:tcPr>
          <w:p w14:paraId="73AE1515" w14:textId="77777777" w:rsidR="00A571C0" w:rsidRPr="009278B3" w:rsidRDefault="00A571C0" w:rsidP="00307AF7">
            <w:pPr>
              <w:spacing w:after="0" w:line="240" w:lineRule="auto"/>
              <w:jc w:val="center"/>
              <w:rPr>
                <w:rFonts w:eastAsia="Times New Roman" w:cs="Arial"/>
                <w:color w:val="000000"/>
                <w:sz w:val="18"/>
                <w:szCs w:val="18"/>
                <w:lang w:eastAsia="en-GB"/>
              </w:rPr>
            </w:pPr>
            <w:r w:rsidRPr="009278B3">
              <w:rPr>
                <w:rFonts w:eastAsia="Times New Roman" w:cs="Arial"/>
                <w:color w:val="000000"/>
                <w:sz w:val="18"/>
                <w:szCs w:val="18"/>
                <w:lang w:eastAsia="en-GB"/>
              </w:rPr>
              <w:t xml:space="preserve"> 25. </w:t>
            </w:r>
            <w:r>
              <w:rPr>
                <w:rFonts w:eastAsia="Times New Roman" w:cs="Arial"/>
                <w:color w:val="000000"/>
                <w:sz w:val="18"/>
                <w:szCs w:val="18"/>
                <w:lang w:eastAsia="en-GB"/>
              </w:rPr>
              <w:t>1. 2021</w:t>
            </w:r>
          </w:p>
        </w:tc>
        <w:tc>
          <w:tcPr>
            <w:tcW w:w="616" w:type="pct"/>
            <w:tcBorders>
              <w:top w:val="nil"/>
              <w:left w:val="nil"/>
              <w:bottom w:val="nil"/>
              <w:right w:val="single" w:sz="8" w:space="0" w:color="auto"/>
            </w:tcBorders>
            <w:noWrap/>
            <w:vAlign w:val="center"/>
            <w:hideMark/>
          </w:tcPr>
          <w:p w14:paraId="786BCB53" w14:textId="77777777" w:rsidR="00A571C0" w:rsidRPr="009278B3" w:rsidRDefault="00A571C0" w:rsidP="00307AF7">
            <w:pPr>
              <w:spacing w:after="0" w:line="240" w:lineRule="auto"/>
              <w:jc w:val="center"/>
              <w:rPr>
                <w:rFonts w:eastAsia="Times New Roman" w:cs="Arial"/>
                <w:color w:val="000000"/>
                <w:sz w:val="18"/>
                <w:szCs w:val="18"/>
                <w:lang w:eastAsia="en-GB"/>
              </w:rPr>
            </w:pPr>
            <w:r w:rsidRPr="009278B3">
              <w:rPr>
                <w:rFonts w:eastAsia="Times New Roman" w:cs="Arial"/>
                <w:color w:val="000000"/>
                <w:sz w:val="18"/>
                <w:szCs w:val="18"/>
                <w:lang w:eastAsia="en-GB"/>
              </w:rPr>
              <w:t> 66/2021</w:t>
            </w:r>
          </w:p>
        </w:tc>
      </w:tr>
      <w:tr w:rsidR="00A571C0" w:rsidRPr="00ED79BC" w14:paraId="4E112C37" w14:textId="77777777" w:rsidTr="00307AF7">
        <w:trPr>
          <w:trHeight w:val="510"/>
          <w:jc w:val="center"/>
        </w:trPr>
        <w:tc>
          <w:tcPr>
            <w:tcW w:w="457" w:type="pct"/>
            <w:vMerge/>
            <w:tcBorders>
              <w:top w:val="nil"/>
              <w:left w:val="single" w:sz="8" w:space="0" w:color="auto"/>
              <w:bottom w:val="single" w:sz="8" w:space="0" w:color="000000"/>
              <w:right w:val="single" w:sz="8" w:space="0" w:color="auto"/>
            </w:tcBorders>
            <w:vAlign w:val="center"/>
            <w:hideMark/>
          </w:tcPr>
          <w:p w14:paraId="4EAD9C7F" w14:textId="77777777" w:rsidR="00A571C0" w:rsidRPr="00ED79BC" w:rsidRDefault="00A571C0" w:rsidP="00307AF7">
            <w:pPr>
              <w:spacing w:after="0" w:line="240" w:lineRule="auto"/>
              <w:rPr>
                <w:rFonts w:eastAsia="Times New Roman" w:cs="Arial"/>
                <w:b/>
                <w:bCs/>
                <w:color w:val="000000"/>
                <w:sz w:val="18"/>
                <w:szCs w:val="18"/>
                <w:highlight w:val="yellow"/>
                <w:lang w:eastAsia="en-GB"/>
              </w:rPr>
            </w:pPr>
          </w:p>
        </w:tc>
        <w:tc>
          <w:tcPr>
            <w:tcW w:w="2610" w:type="pct"/>
            <w:vMerge/>
            <w:tcBorders>
              <w:top w:val="nil"/>
              <w:left w:val="single" w:sz="8" w:space="0" w:color="auto"/>
              <w:bottom w:val="single" w:sz="8" w:space="0" w:color="000000"/>
              <w:right w:val="single" w:sz="8" w:space="0" w:color="auto"/>
            </w:tcBorders>
            <w:vAlign w:val="center"/>
            <w:hideMark/>
          </w:tcPr>
          <w:p w14:paraId="75599BAF" w14:textId="77777777" w:rsidR="00A571C0" w:rsidRPr="00ED79BC" w:rsidRDefault="00A571C0" w:rsidP="00307AF7">
            <w:pPr>
              <w:spacing w:after="0" w:line="240" w:lineRule="auto"/>
              <w:rPr>
                <w:rFonts w:eastAsia="Times New Roman" w:cs="Arial"/>
                <w:i/>
                <w:iCs/>
                <w:color w:val="000000"/>
                <w:sz w:val="18"/>
                <w:szCs w:val="18"/>
                <w:highlight w:val="yellow"/>
                <w:lang w:eastAsia="en-GB"/>
              </w:rPr>
            </w:pPr>
          </w:p>
        </w:tc>
        <w:tc>
          <w:tcPr>
            <w:tcW w:w="625" w:type="pct"/>
            <w:tcBorders>
              <w:top w:val="nil"/>
              <w:left w:val="nil"/>
              <w:bottom w:val="single" w:sz="8" w:space="0" w:color="auto"/>
              <w:right w:val="nil"/>
            </w:tcBorders>
            <w:vAlign w:val="center"/>
            <w:hideMark/>
          </w:tcPr>
          <w:p w14:paraId="09B689D4" w14:textId="77777777" w:rsidR="00A571C0" w:rsidRPr="009278B3" w:rsidRDefault="00A571C0" w:rsidP="00307AF7">
            <w:pPr>
              <w:spacing w:after="0" w:line="240" w:lineRule="auto"/>
              <w:jc w:val="center"/>
              <w:rPr>
                <w:rFonts w:eastAsia="Times New Roman" w:cs="Arial"/>
                <w:color w:val="000000"/>
                <w:sz w:val="18"/>
                <w:szCs w:val="18"/>
                <w:lang w:eastAsia="en-GB"/>
              </w:rPr>
            </w:pPr>
            <w:r w:rsidRPr="009278B3">
              <w:rPr>
                <w:rFonts w:eastAsia="Times New Roman" w:cs="Arial"/>
                <w:color w:val="000000"/>
                <w:sz w:val="18"/>
                <w:szCs w:val="18"/>
                <w:lang w:eastAsia="en-GB"/>
              </w:rPr>
              <w:t> </w:t>
            </w:r>
          </w:p>
        </w:tc>
        <w:tc>
          <w:tcPr>
            <w:tcW w:w="692" w:type="pct"/>
            <w:tcBorders>
              <w:top w:val="nil"/>
              <w:left w:val="single" w:sz="8" w:space="0" w:color="auto"/>
              <w:bottom w:val="single" w:sz="8" w:space="0" w:color="auto"/>
              <w:right w:val="single" w:sz="8" w:space="0" w:color="808080"/>
            </w:tcBorders>
            <w:noWrap/>
            <w:vAlign w:val="center"/>
            <w:hideMark/>
          </w:tcPr>
          <w:p w14:paraId="3AD24A3B" w14:textId="77777777" w:rsidR="00A571C0" w:rsidRPr="009278B3" w:rsidRDefault="00A571C0" w:rsidP="00307AF7">
            <w:pPr>
              <w:spacing w:after="0" w:line="240" w:lineRule="auto"/>
              <w:jc w:val="center"/>
              <w:rPr>
                <w:rFonts w:eastAsia="Times New Roman" w:cs="Arial"/>
                <w:color w:val="000000"/>
                <w:sz w:val="18"/>
                <w:szCs w:val="18"/>
                <w:lang w:eastAsia="en-GB"/>
              </w:rPr>
            </w:pPr>
            <w:r w:rsidRPr="009278B3">
              <w:rPr>
                <w:rFonts w:eastAsia="Times New Roman" w:cs="Arial"/>
                <w:color w:val="000000"/>
                <w:sz w:val="18"/>
                <w:szCs w:val="18"/>
                <w:lang w:eastAsia="en-GB"/>
              </w:rPr>
              <w:t> </w:t>
            </w:r>
          </w:p>
        </w:tc>
        <w:tc>
          <w:tcPr>
            <w:tcW w:w="616" w:type="pct"/>
            <w:tcBorders>
              <w:top w:val="nil"/>
              <w:left w:val="nil"/>
              <w:bottom w:val="single" w:sz="8" w:space="0" w:color="auto"/>
              <w:right w:val="single" w:sz="8" w:space="0" w:color="auto"/>
            </w:tcBorders>
            <w:noWrap/>
            <w:vAlign w:val="center"/>
            <w:hideMark/>
          </w:tcPr>
          <w:p w14:paraId="30768676" w14:textId="77777777" w:rsidR="00A571C0" w:rsidRPr="009278B3" w:rsidRDefault="00A571C0" w:rsidP="00307AF7">
            <w:pPr>
              <w:spacing w:after="0" w:line="240" w:lineRule="auto"/>
              <w:jc w:val="center"/>
              <w:rPr>
                <w:rFonts w:eastAsia="Times New Roman" w:cs="Arial"/>
                <w:color w:val="000000"/>
                <w:sz w:val="18"/>
                <w:szCs w:val="18"/>
                <w:lang w:eastAsia="en-GB"/>
              </w:rPr>
            </w:pPr>
            <w:r w:rsidRPr="009278B3">
              <w:rPr>
                <w:rFonts w:eastAsia="Times New Roman" w:cs="Arial"/>
                <w:color w:val="000000"/>
                <w:sz w:val="18"/>
                <w:szCs w:val="18"/>
                <w:lang w:eastAsia="en-GB"/>
              </w:rPr>
              <w:t> </w:t>
            </w:r>
          </w:p>
        </w:tc>
      </w:tr>
      <w:tr w:rsidR="00A571C0" w:rsidRPr="00ED79BC" w14:paraId="20A45A4D" w14:textId="77777777" w:rsidTr="00307AF7">
        <w:trPr>
          <w:trHeight w:val="510"/>
          <w:jc w:val="center"/>
        </w:trPr>
        <w:tc>
          <w:tcPr>
            <w:tcW w:w="457" w:type="pct"/>
            <w:vMerge w:val="restart"/>
            <w:tcBorders>
              <w:top w:val="nil"/>
              <w:left w:val="single" w:sz="8" w:space="0" w:color="auto"/>
              <w:bottom w:val="single" w:sz="8" w:space="0" w:color="000000"/>
              <w:right w:val="single" w:sz="8" w:space="0" w:color="auto"/>
            </w:tcBorders>
            <w:shd w:val="clear" w:color="000000" w:fill="F2F2F2"/>
            <w:noWrap/>
            <w:vAlign w:val="center"/>
            <w:hideMark/>
          </w:tcPr>
          <w:p w14:paraId="03DA2189" w14:textId="77777777" w:rsidR="00A571C0" w:rsidRPr="00C33EB7" w:rsidRDefault="00A571C0" w:rsidP="00307AF7">
            <w:pPr>
              <w:spacing w:after="0" w:line="240" w:lineRule="auto"/>
              <w:jc w:val="center"/>
              <w:rPr>
                <w:rFonts w:eastAsia="Times New Roman" w:cs="Arial"/>
                <w:b/>
                <w:bCs/>
                <w:color w:val="000000"/>
                <w:sz w:val="18"/>
                <w:szCs w:val="18"/>
                <w:lang w:eastAsia="en-GB"/>
              </w:rPr>
            </w:pPr>
            <w:r w:rsidRPr="00C33EB7">
              <w:rPr>
                <w:rFonts w:eastAsia="Times New Roman" w:cs="Arial"/>
                <w:b/>
                <w:bCs/>
                <w:color w:val="000000"/>
                <w:sz w:val="18"/>
                <w:szCs w:val="18"/>
                <w:lang w:eastAsia="en-GB"/>
              </w:rPr>
              <w:t>MV</w:t>
            </w:r>
          </w:p>
        </w:tc>
        <w:tc>
          <w:tcPr>
            <w:tcW w:w="2610" w:type="pct"/>
            <w:tcBorders>
              <w:top w:val="nil"/>
              <w:left w:val="nil"/>
              <w:bottom w:val="nil"/>
              <w:right w:val="nil"/>
            </w:tcBorders>
            <w:vAlign w:val="center"/>
            <w:hideMark/>
          </w:tcPr>
          <w:p w14:paraId="6245394B" w14:textId="77777777" w:rsidR="00A571C0" w:rsidRPr="00C33EB7" w:rsidRDefault="00A571C0" w:rsidP="00084251">
            <w:pPr>
              <w:spacing w:line="240" w:lineRule="auto"/>
              <w:rPr>
                <w:rFonts w:eastAsia="Times New Roman" w:cs="Arial"/>
                <w:b/>
                <w:bCs/>
                <w:color w:val="000000"/>
                <w:sz w:val="18"/>
                <w:szCs w:val="18"/>
                <w:lang w:eastAsia="en-GB"/>
              </w:rPr>
            </w:pPr>
            <w:r w:rsidRPr="00C33EB7">
              <w:rPr>
                <w:rFonts w:eastAsia="Times New Roman" w:cs="Arial"/>
                <w:b/>
                <w:bCs/>
                <w:color w:val="000000"/>
                <w:sz w:val="18"/>
                <w:szCs w:val="18"/>
                <w:lang w:eastAsia="en-GB"/>
              </w:rPr>
              <w:t>Meziresortní koncepce podpory bezpečnostního výzkumu ČR 2017-2023 s výhledem do roku 2030</w:t>
            </w:r>
          </w:p>
        </w:tc>
        <w:tc>
          <w:tcPr>
            <w:tcW w:w="625" w:type="pct"/>
            <w:tcBorders>
              <w:top w:val="nil"/>
              <w:left w:val="single" w:sz="8" w:space="0" w:color="auto"/>
              <w:bottom w:val="nil"/>
              <w:right w:val="nil"/>
            </w:tcBorders>
            <w:vAlign w:val="center"/>
            <w:hideMark/>
          </w:tcPr>
          <w:p w14:paraId="14B3D8C0" w14:textId="77777777" w:rsidR="00A571C0" w:rsidRPr="00C33EB7" w:rsidRDefault="00A571C0" w:rsidP="00307AF7">
            <w:pPr>
              <w:spacing w:after="0" w:line="240" w:lineRule="auto"/>
              <w:jc w:val="center"/>
              <w:rPr>
                <w:rFonts w:eastAsia="Times New Roman" w:cs="Arial"/>
                <w:color w:val="000000"/>
                <w:sz w:val="18"/>
                <w:szCs w:val="18"/>
                <w:lang w:eastAsia="en-GB"/>
              </w:rPr>
            </w:pPr>
            <w:r w:rsidRPr="00C33EB7">
              <w:rPr>
                <w:rFonts w:eastAsia="Times New Roman" w:cs="Arial"/>
                <w:color w:val="000000"/>
                <w:sz w:val="18"/>
                <w:szCs w:val="18"/>
                <w:lang w:eastAsia="en-GB"/>
              </w:rPr>
              <w:t>2030</w:t>
            </w:r>
          </w:p>
        </w:tc>
        <w:tc>
          <w:tcPr>
            <w:tcW w:w="692" w:type="pct"/>
            <w:tcBorders>
              <w:top w:val="nil"/>
              <w:left w:val="single" w:sz="8" w:space="0" w:color="auto"/>
              <w:bottom w:val="nil"/>
              <w:right w:val="single" w:sz="8" w:space="0" w:color="808080"/>
            </w:tcBorders>
            <w:noWrap/>
            <w:vAlign w:val="center"/>
            <w:hideMark/>
          </w:tcPr>
          <w:p w14:paraId="528F03CF" w14:textId="77777777" w:rsidR="00A571C0" w:rsidRPr="00C33EB7" w:rsidRDefault="00A571C0" w:rsidP="00307AF7">
            <w:pPr>
              <w:spacing w:after="0" w:line="240" w:lineRule="auto"/>
              <w:jc w:val="center"/>
              <w:rPr>
                <w:rFonts w:eastAsia="Times New Roman" w:cs="Arial"/>
                <w:color w:val="000000"/>
                <w:sz w:val="18"/>
                <w:szCs w:val="18"/>
                <w:lang w:eastAsia="en-GB"/>
              </w:rPr>
            </w:pPr>
            <w:r w:rsidRPr="00C33EB7">
              <w:rPr>
                <w:rFonts w:eastAsia="Times New Roman" w:cs="Arial"/>
                <w:color w:val="000000"/>
                <w:sz w:val="18"/>
                <w:szCs w:val="18"/>
                <w:lang w:eastAsia="en-GB"/>
              </w:rPr>
              <w:t>10. 7. 2017</w:t>
            </w:r>
          </w:p>
        </w:tc>
        <w:tc>
          <w:tcPr>
            <w:tcW w:w="616" w:type="pct"/>
            <w:tcBorders>
              <w:top w:val="nil"/>
              <w:left w:val="nil"/>
              <w:bottom w:val="nil"/>
              <w:right w:val="single" w:sz="8" w:space="0" w:color="auto"/>
            </w:tcBorders>
            <w:noWrap/>
            <w:vAlign w:val="center"/>
            <w:hideMark/>
          </w:tcPr>
          <w:p w14:paraId="5391EFAB" w14:textId="77777777" w:rsidR="00A571C0" w:rsidRPr="00C33EB7" w:rsidRDefault="00A571C0" w:rsidP="00307AF7">
            <w:pPr>
              <w:spacing w:after="0" w:line="240" w:lineRule="auto"/>
              <w:jc w:val="center"/>
              <w:rPr>
                <w:rFonts w:eastAsia="Times New Roman" w:cs="Arial"/>
                <w:color w:val="000000"/>
                <w:sz w:val="18"/>
                <w:szCs w:val="18"/>
                <w:lang w:eastAsia="en-GB"/>
              </w:rPr>
            </w:pPr>
            <w:r w:rsidRPr="00C33EB7">
              <w:rPr>
                <w:rFonts w:eastAsia="Times New Roman" w:cs="Arial"/>
                <w:color w:val="000000"/>
                <w:sz w:val="18"/>
                <w:szCs w:val="18"/>
                <w:lang w:eastAsia="en-GB"/>
              </w:rPr>
              <w:t>509/2017</w:t>
            </w:r>
          </w:p>
        </w:tc>
      </w:tr>
      <w:tr w:rsidR="00A571C0" w:rsidRPr="00ED79BC" w14:paraId="72A207C2" w14:textId="77777777" w:rsidTr="00307AF7">
        <w:trPr>
          <w:trHeight w:val="510"/>
          <w:jc w:val="center"/>
        </w:trPr>
        <w:tc>
          <w:tcPr>
            <w:tcW w:w="457" w:type="pct"/>
            <w:vMerge/>
            <w:tcBorders>
              <w:top w:val="nil"/>
              <w:left w:val="single" w:sz="8" w:space="0" w:color="auto"/>
              <w:bottom w:val="single" w:sz="8" w:space="0" w:color="000000"/>
              <w:right w:val="single" w:sz="8" w:space="0" w:color="auto"/>
            </w:tcBorders>
            <w:vAlign w:val="center"/>
            <w:hideMark/>
          </w:tcPr>
          <w:p w14:paraId="5C28F405" w14:textId="77777777" w:rsidR="00A571C0" w:rsidRPr="00C33EB7" w:rsidRDefault="00A571C0" w:rsidP="00307AF7">
            <w:pPr>
              <w:spacing w:after="0" w:line="240" w:lineRule="auto"/>
              <w:rPr>
                <w:rFonts w:eastAsia="Times New Roman" w:cs="Arial"/>
                <w:b/>
                <w:bCs/>
                <w:color w:val="000000"/>
                <w:sz w:val="18"/>
                <w:szCs w:val="18"/>
                <w:lang w:eastAsia="en-GB"/>
              </w:rPr>
            </w:pPr>
          </w:p>
        </w:tc>
        <w:tc>
          <w:tcPr>
            <w:tcW w:w="2610" w:type="pct"/>
            <w:tcBorders>
              <w:top w:val="nil"/>
              <w:left w:val="nil"/>
              <w:bottom w:val="single" w:sz="8" w:space="0" w:color="auto"/>
              <w:right w:val="nil"/>
            </w:tcBorders>
            <w:vAlign w:val="center"/>
            <w:hideMark/>
          </w:tcPr>
          <w:p w14:paraId="2A263890" w14:textId="56612BB7" w:rsidR="00A571C0" w:rsidRPr="00C33EB7" w:rsidRDefault="00A571C0" w:rsidP="00307AF7">
            <w:pPr>
              <w:spacing w:after="0" w:line="240" w:lineRule="auto"/>
              <w:rPr>
                <w:rFonts w:eastAsia="Times New Roman" w:cs="Arial"/>
                <w:color w:val="000000"/>
                <w:sz w:val="18"/>
                <w:szCs w:val="18"/>
                <w:lang w:eastAsia="en-GB"/>
              </w:rPr>
            </w:pPr>
            <w:r w:rsidRPr="00A571C0">
              <w:rPr>
                <w:rFonts w:eastAsia="Times New Roman" w:cs="Arial"/>
                <w:iCs/>
                <w:color w:val="000000"/>
                <w:sz w:val="18"/>
                <w:szCs w:val="18"/>
                <w:lang w:eastAsia="en-GB"/>
              </w:rPr>
              <w:t>https://mv.gov.cz/vyzkum/clanek/koncepce-meziresortni-koncepce-podpory-bezpecnostniho-vyzkumu-cr.aspx</w:t>
            </w:r>
          </w:p>
        </w:tc>
        <w:tc>
          <w:tcPr>
            <w:tcW w:w="625" w:type="pct"/>
            <w:tcBorders>
              <w:top w:val="nil"/>
              <w:left w:val="single" w:sz="8" w:space="0" w:color="auto"/>
              <w:bottom w:val="single" w:sz="8" w:space="0" w:color="auto"/>
              <w:right w:val="nil"/>
            </w:tcBorders>
            <w:vAlign w:val="center"/>
            <w:hideMark/>
          </w:tcPr>
          <w:p w14:paraId="1754B080" w14:textId="77777777" w:rsidR="00A571C0" w:rsidRPr="00C33EB7" w:rsidRDefault="00A571C0" w:rsidP="00307AF7">
            <w:pPr>
              <w:spacing w:after="0" w:line="240" w:lineRule="auto"/>
              <w:jc w:val="center"/>
              <w:rPr>
                <w:rFonts w:eastAsia="Times New Roman" w:cs="Arial"/>
                <w:color w:val="000000"/>
                <w:sz w:val="18"/>
                <w:szCs w:val="18"/>
                <w:lang w:eastAsia="en-GB"/>
              </w:rPr>
            </w:pPr>
            <w:r w:rsidRPr="00C33EB7">
              <w:rPr>
                <w:rFonts w:eastAsia="Times New Roman" w:cs="Arial"/>
                <w:color w:val="000000"/>
                <w:sz w:val="18"/>
                <w:szCs w:val="18"/>
                <w:lang w:eastAsia="en-GB"/>
              </w:rPr>
              <w:t> </w:t>
            </w:r>
          </w:p>
        </w:tc>
        <w:tc>
          <w:tcPr>
            <w:tcW w:w="692" w:type="pct"/>
            <w:tcBorders>
              <w:top w:val="nil"/>
              <w:left w:val="single" w:sz="8" w:space="0" w:color="auto"/>
              <w:bottom w:val="single" w:sz="8" w:space="0" w:color="auto"/>
              <w:right w:val="single" w:sz="8" w:space="0" w:color="808080"/>
            </w:tcBorders>
            <w:noWrap/>
            <w:vAlign w:val="center"/>
            <w:hideMark/>
          </w:tcPr>
          <w:p w14:paraId="2703DD38" w14:textId="77777777" w:rsidR="00A571C0" w:rsidRPr="00C33EB7" w:rsidRDefault="00A571C0" w:rsidP="00307AF7">
            <w:pPr>
              <w:spacing w:after="0" w:line="240" w:lineRule="auto"/>
              <w:jc w:val="center"/>
              <w:rPr>
                <w:rFonts w:eastAsia="Times New Roman" w:cs="Arial"/>
                <w:color w:val="000000"/>
                <w:sz w:val="18"/>
                <w:szCs w:val="18"/>
                <w:lang w:eastAsia="en-GB"/>
              </w:rPr>
            </w:pPr>
            <w:r w:rsidRPr="00C33EB7">
              <w:rPr>
                <w:rFonts w:eastAsia="Times New Roman" w:cs="Arial"/>
                <w:color w:val="000000"/>
                <w:sz w:val="18"/>
                <w:szCs w:val="18"/>
                <w:lang w:eastAsia="en-GB"/>
              </w:rPr>
              <w:t> </w:t>
            </w:r>
          </w:p>
        </w:tc>
        <w:tc>
          <w:tcPr>
            <w:tcW w:w="616" w:type="pct"/>
            <w:tcBorders>
              <w:top w:val="nil"/>
              <w:left w:val="nil"/>
              <w:bottom w:val="single" w:sz="8" w:space="0" w:color="auto"/>
              <w:right w:val="single" w:sz="8" w:space="0" w:color="auto"/>
            </w:tcBorders>
            <w:noWrap/>
            <w:vAlign w:val="center"/>
            <w:hideMark/>
          </w:tcPr>
          <w:p w14:paraId="5A4A6218" w14:textId="77777777" w:rsidR="00A571C0" w:rsidRPr="00C33EB7" w:rsidRDefault="00A571C0" w:rsidP="00307AF7">
            <w:pPr>
              <w:spacing w:after="0" w:line="240" w:lineRule="auto"/>
              <w:jc w:val="center"/>
              <w:rPr>
                <w:rFonts w:eastAsia="Times New Roman" w:cs="Arial"/>
                <w:color w:val="000000"/>
                <w:sz w:val="18"/>
                <w:szCs w:val="18"/>
                <w:lang w:eastAsia="en-GB"/>
              </w:rPr>
            </w:pPr>
            <w:r w:rsidRPr="00C33EB7">
              <w:rPr>
                <w:rFonts w:eastAsia="Times New Roman" w:cs="Arial"/>
                <w:color w:val="000000"/>
                <w:sz w:val="18"/>
                <w:szCs w:val="18"/>
                <w:lang w:eastAsia="en-GB"/>
              </w:rPr>
              <w:t> </w:t>
            </w:r>
          </w:p>
        </w:tc>
      </w:tr>
      <w:tr w:rsidR="00A571C0" w:rsidRPr="00ED79BC" w14:paraId="4A371710" w14:textId="77777777" w:rsidTr="001F6785">
        <w:trPr>
          <w:trHeight w:val="413"/>
          <w:jc w:val="center"/>
        </w:trPr>
        <w:tc>
          <w:tcPr>
            <w:tcW w:w="457" w:type="pct"/>
            <w:vMerge w:val="restart"/>
            <w:tcBorders>
              <w:top w:val="nil"/>
              <w:left w:val="single" w:sz="8" w:space="0" w:color="auto"/>
              <w:bottom w:val="single" w:sz="8" w:space="0" w:color="000000"/>
              <w:right w:val="single" w:sz="8" w:space="0" w:color="auto"/>
            </w:tcBorders>
            <w:shd w:val="clear" w:color="000000" w:fill="F2F2F2"/>
            <w:noWrap/>
            <w:vAlign w:val="center"/>
            <w:hideMark/>
          </w:tcPr>
          <w:p w14:paraId="4D10A3E6" w14:textId="77777777" w:rsidR="00A571C0" w:rsidRPr="006A0D6C" w:rsidRDefault="00A571C0" w:rsidP="00307AF7">
            <w:pPr>
              <w:spacing w:after="0" w:line="240" w:lineRule="auto"/>
              <w:jc w:val="center"/>
              <w:rPr>
                <w:rFonts w:eastAsia="Times New Roman" w:cs="Arial"/>
                <w:b/>
                <w:bCs/>
                <w:color w:val="000000"/>
                <w:sz w:val="18"/>
                <w:szCs w:val="18"/>
                <w:lang w:eastAsia="en-GB"/>
              </w:rPr>
            </w:pPr>
            <w:proofErr w:type="spellStart"/>
            <w:r w:rsidRPr="006A0D6C">
              <w:rPr>
                <w:rFonts w:eastAsia="Times New Roman" w:cs="Arial"/>
                <w:b/>
                <w:bCs/>
                <w:color w:val="000000"/>
                <w:sz w:val="18"/>
                <w:szCs w:val="18"/>
                <w:lang w:eastAsia="en-GB"/>
              </w:rPr>
              <w:t>MZd</w:t>
            </w:r>
            <w:proofErr w:type="spellEnd"/>
          </w:p>
        </w:tc>
        <w:tc>
          <w:tcPr>
            <w:tcW w:w="2610" w:type="pct"/>
            <w:tcBorders>
              <w:top w:val="nil"/>
              <w:left w:val="nil"/>
              <w:bottom w:val="nil"/>
              <w:right w:val="nil"/>
            </w:tcBorders>
            <w:shd w:val="clear" w:color="auto" w:fill="F2DBDB" w:themeFill="accent2" w:themeFillTint="33"/>
            <w:vAlign w:val="center"/>
            <w:hideMark/>
          </w:tcPr>
          <w:p w14:paraId="126C834D" w14:textId="77777777" w:rsidR="00A571C0" w:rsidRPr="006A0D6C" w:rsidRDefault="00A571C0" w:rsidP="00307AF7">
            <w:pPr>
              <w:spacing w:after="0" w:line="240" w:lineRule="auto"/>
              <w:rPr>
                <w:rFonts w:eastAsia="Times New Roman" w:cs="Arial"/>
                <w:b/>
                <w:bCs/>
                <w:color w:val="000000"/>
                <w:sz w:val="18"/>
                <w:szCs w:val="18"/>
                <w:lang w:eastAsia="en-GB"/>
              </w:rPr>
            </w:pPr>
            <w:r w:rsidRPr="006A0D6C">
              <w:rPr>
                <w:rFonts w:eastAsia="Times New Roman" w:cs="Arial"/>
                <w:b/>
                <w:bCs/>
                <w:color w:val="000000"/>
                <w:sz w:val="18"/>
                <w:szCs w:val="18"/>
                <w:lang w:eastAsia="en-GB"/>
              </w:rPr>
              <w:t xml:space="preserve">Koncepce zdravotnického výzkumu do roku 2022 </w:t>
            </w:r>
          </w:p>
        </w:tc>
        <w:tc>
          <w:tcPr>
            <w:tcW w:w="625" w:type="pct"/>
            <w:tcBorders>
              <w:top w:val="nil"/>
              <w:left w:val="single" w:sz="8" w:space="0" w:color="auto"/>
              <w:bottom w:val="nil"/>
              <w:right w:val="nil"/>
            </w:tcBorders>
            <w:shd w:val="clear" w:color="auto" w:fill="F2DBDB" w:themeFill="accent2" w:themeFillTint="33"/>
            <w:vAlign w:val="center"/>
            <w:hideMark/>
          </w:tcPr>
          <w:p w14:paraId="67F5E528" w14:textId="77777777" w:rsidR="00A571C0" w:rsidRPr="006A0D6C" w:rsidRDefault="00A571C0" w:rsidP="00307AF7">
            <w:pPr>
              <w:spacing w:after="0" w:line="240" w:lineRule="auto"/>
              <w:jc w:val="center"/>
              <w:rPr>
                <w:rFonts w:eastAsia="Times New Roman" w:cs="Arial"/>
                <w:color w:val="000000"/>
                <w:sz w:val="18"/>
                <w:szCs w:val="18"/>
                <w:lang w:eastAsia="en-GB"/>
              </w:rPr>
            </w:pPr>
            <w:r w:rsidRPr="006A0D6C">
              <w:rPr>
                <w:rFonts w:eastAsia="Times New Roman" w:cs="Arial"/>
                <w:color w:val="000000"/>
                <w:sz w:val="18"/>
                <w:szCs w:val="18"/>
                <w:lang w:eastAsia="en-GB"/>
              </w:rPr>
              <w:t>2022</w:t>
            </w:r>
          </w:p>
        </w:tc>
        <w:tc>
          <w:tcPr>
            <w:tcW w:w="692" w:type="pct"/>
            <w:tcBorders>
              <w:top w:val="nil"/>
              <w:left w:val="single" w:sz="8" w:space="0" w:color="auto"/>
              <w:bottom w:val="nil"/>
              <w:right w:val="single" w:sz="8" w:space="0" w:color="808080"/>
            </w:tcBorders>
            <w:noWrap/>
            <w:vAlign w:val="center"/>
            <w:hideMark/>
          </w:tcPr>
          <w:p w14:paraId="5F65149C" w14:textId="77777777" w:rsidR="00A571C0" w:rsidRPr="006A0D6C" w:rsidRDefault="00A571C0" w:rsidP="00307AF7">
            <w:pPr>
              <w:spacing w:after="0" w:line="240" w:lineRule="auto"/>
              <w:jc w:val="center"/>
              <w:rPr>
                <w:rFonts w:eastAsia="Times New Roman" w:cs="Arial"/>
                <w:color w:val="000000"/>
                <w:sz w:val="18"/>
                <w:szCs w:val="18"/>
                <w:lang w:eastAsia="en-GB"/>
              </w:rPr>
            </w:pPr>
            <w:r w:rsidRPr="006A0D6C">
              <w:rPr>
                <w:rFonts w:eastAsia="Times New Roman" w:cs="Arial"/>
                <w:color w:val="000000"/>
                <w:sz w:val="18"/>
                <w:szCs w:val="18"/>
                <w:lang w:eastAsia="en-GB"/>
              </w:rPr>
              <w:t>22. 1. 2014</w:t>
            </w:r>
          </w:p>
        </w:tc>
        <w:tc>
          <w:tcPr>
            <w:tcW w:w="616" w:type="pct"/>
            <w:tcBorders>
              <w:top w:val="nil"/>
              <w:left w:val="nil"/>
              <w:bottom w:val="nil"/>
              <w:right w:val="single" w:sz="8" w:space="0" w:color="auto"/>
            </w:tcBorders>
            <w:noWrap/>
            <w:vAlign w:val="center"/>
            <w:hideMark/>
          </w:tcPr>
          <w:p w14:paraId="43D47FC9" w14:textId="77777777" w:rsidR="00A571C0" w:rsidRPr="006A0D6C" w:rsidRDefault="00A571C0" w:rsidP="00307AF7">
            <w:pPr>
              <w:spacing w:after="0" w:line="240" w:lineRule="auto"/>
              <w:jc w:val="center"/>
              <w:rPr>
                <w:rFonts w:eastAsia="Times New Roman" w:cs="Arial"/>
                <w:color w:val="000000"/>
                <w:sz w:val="18"/>
                <w:szCs w:val="18"/>
                <w:lang w:eastAsia="en-GB"/>
              </w:rPr>
            </w:pPr>
            <w:r w:rsidRPr="006A0D6C">
              <w:rPr>
                <w:rFonts w:eastAsia="Times New Roman" w:cs="Arial"/>
                <w:color w:val="000000"/>
                <w:sz w:val="18"/>
                <w:szCs w:val="18"/>
                <w:lang w:eastAsia="en-GB"/>
              </w:rPr>
              <w:t>58/2014</w:t>
            </w:r>
          </w:p>
        </w:tc>
      </w:tr>
      <w:tr w:rsidR="00A571C0" w:rsidRPr="00ED79BC" w14:paraId="35F376D8" w14:textId="77777777" w:rsidTr="001F6785">
        <w:trPr>
          <w:trHeight w:val="1016"/>
          <w:jc w:val="center"/>
        </w:trPr>
        <w:tc>
          <w:tcPr>
            <w:tcW w:w="457" w:type="pct"/>
            <w:vMerge/>
            <w:tcBorders>
              <w:top w:val="nil"/>
              <w:left w:val="single" w:sz="8" w:space="0" w:color="auto"/>
              <w:bottom w:val="single" w:sz="8" w:space="0" w:color="000000"/>
              <w:right w:val="single" w:sz="8" w:space="0" w:color="auto"/>
            </w:tcBorders>
            <w:vAlign w:val="center"/>
            <w:hideMark/>
          </w:tcPr>
          <w:p w14:paraId="3E7CA0DF" w14:textId="77777777" w:rsidR="00A571C0" w:rsidRPr="006A0D6C" w:rsidRDefault="00A571C0" w:rsidP="00307AF7">
            <w:pPr>
              <w:spacing w:after="0" w:line="240" w:lineRule="auto"/>
              <w:rPr>
                <w:rFonts w:eastAsia="Times New Roman" w:cs="Arial"/>
                <w:b/>
                <w:bCs/>
                <w:color w:val="000000"/>
                <w:sz w:val="18"/>
                <w:szCs w:val="18"/>
                <w:lang w:eastAsia="en-GB"/>
              </w:rPr>
            </w:pPr>
          </w:p>
        </w:tc>
        <w:tc>
          <w:tcPr>
            <w:tcW w:w="2610" w:type="pct"/>
            <w:tcBorders>
              <w:top w:val="nil"/>
              <w:left w:val="nil"/>
              <w:bottom w:val="nil"/>
              <w:right w:val="nil"/>
            </w:tcBorders>
            <w:shd w:val="clear" w:color="auto" w:fill="F2DBDB" w:themeFill="accent2" w:themeFillTint="33"/>
            <w:vAlign w:val="center"/>
            <w:hideMark/>
          </w:tcPr>
          <w:p w14:paraId="4E345F9B" w14:textId="55EAC310" w:rsidR="00A571C0" w:rsidRPr="00CE37D1" w:rsidRDefault="00084251" w:rsidP="00307AF7">
            <w:pPr>
              <w:spacing w:after="0" w:line="240" w:lineRule="auto"/>
              <w:rPr>
                <w:rFonts w:eastAsia="Times New Roman" w:cs="Arial"/>
                <w:color w:val="000000"/>
                <w:sz w:val="17"/>
                <w:szCs w:val="17"/>
                <w:lang w:eastAsia="en-GB"/>
              </w:rPr>
            </w:pPr>
            <w:r w:rsidRPr="00084251">
              <w:rPr>
                <w:rFonts w:eastAsia="Times New Roman" w:cs="Arial"/>
                <w:color w:val="000000"/>
                <w:sz w:val="18"/>
                <w:szCs w:val="18"/>
                <w:lang w:eastAsia="en-GB"/>
              </w:rPr>
              <w:t>https://mzd.gov.cz/wp-content/uploads/wepub/8727/19643/Koncepce%20zdravotnick%c3%a9ho%20v%c3%bdzkumu%20do%20roku%202022.pdf</w:t>
            </w:r>
          </w:p>
        </w:tc>
        <w:tc>
          <w:tcPr>
            <w:tcW w:w="625" w:type="pct"/>
            <w:tcBorders>
              <w:top w:val="nil"/>
              <w:left w:val="single" w:sz="8" w:space="0" w:color="auto"/>
              <w:bottom w:val="nil"/>
              <w:right w:val="nil"/>
            </w:tcBorders>
            <w:shd w:val="clear" w:color="auto" w:fill="F2DBDB" w:themeFill="accent2" w:themeFillTint="33"/>
            <w:vAlign w:val="center"/>
            <w:hideMark/>
          </w:tcPr>
          <w:p w14:paraId="4A4499EB" w14:textId="77777777" w:rsidR="00A571C0" w:rsidRPr="006A0D6C" w:rsidRDefault="00A571C0" w:rsidP="00307AF7">
            <w:pPr>
              <w:spacing w:after="0" w:line="240" w:lineRule="auto"/>
              <w:jc w:val="center"/>
              <w:rPr>
                <w:rFonts w:eastAsia="Times New Roman" w:cs="Arial"/>
                <w:color w:val="000000"/>
                <w:sz w:val="18"/>
                <w:szCs w:val="18"/>
                <w:lang w:eastAsia="en-GB"/>
              </w:rPr>
            </w:pPr>
            <w:r w:rsidRPr="006A0D6C">
              <w:rPr>
                <w:rFonts w:eastAsia="Times New Roman" w:cs="Arial"/>
                <w:color w:val="000000"/>
                <w:sz w:val="18"/>
                <w:szCs w:val="18"/>
                <w:lang w:eastAsia="en-GB"/>
              </w:rPr>
              <w:t> </w:t>
            </w:r>
          </w:p>
        </w:tc>
        <w:tc>
          <w:tcPr>
            <w:tcW w:w="692" w:type="pct"/>
            <w:tcBorders>
              <w:top w:val="nil"/>
              <w:left w:val="single" w:sz="8" w:space="0" w:color="auto"/>
              <w:bottom w:val="nil"/>
              <w:right w:val="single" w:sz="8" w:space="0" w:color="808080"/>
            </w:tcBorders>
            <w:noWrap/>
            <w:vAlign w:val="center"/>
            <w:hideMark/>
          </w:tcPr>
          <w:p w14:paraId="44D1B9B1" w14:textId="77777777" w:rsidR="00A571C0" w:rsidRPr="006A0D6C" w:rsidRDefault="00A571C0" w:rsidP="00307AF7">
            <w:pPr>
              <w:spacing w:after="0" w:line="240" w:lineRule="auto"/>
              <w:jc w:val="center"/>
              <w:rPr>
                <w:rFonts w:eastAsia="Times New Roman" w:cs="Arial"/>
                <w:color w:val="000000"/>
                <w:sz w:val="18"/>
                <w:szCs w:val="18"/>
                <w:lang w:eastAsia="en-GB"/>
              </w:rPr>
            </w:pPr>
            <w:r w:rsidRPr="006A0D6C">
              <w:rPr>
                <w:rFonts w:eastAsia="Times New Roman" w:cs="Arial"/>
                <w:color w:val="000000"/>
                <w:sz w:val="18"/>
                <w:szCs w:val="18"/>
                <w:lang w:eastAsia="en-GB"/>
              </w:rPr>
              <w:t> </w:t>
            </w:r>
          </w:p>
        </w:tc>
        <w:tc>
          <w:tcPr>
            <w:tcW w:w="616" w:type="pct"/>
            <w:tcBorders>
              <w:top w:val="nil"/>
              <w:left w:val="nil"/>
              <w:bottom w:val="nil"/>
              <w:right w:val="single" w:sz="8" w:space="0" w:color="auto"/>
            </w:tcBorders>
            <w:noWrap/>
            <w:vAlign w:val="center"/>
            <w:hideMark/>
          </w:tcPr>
          <w:p w14:paraId="3CCD95AA" w14:textId="77777777" w:rsidR="00A571C0" w:rsidRPr="006A0D6C" w:rsidRDefault="00A571C0" w:rsidP="00307AF7">
            <w:pPr>
              <w:spacing w:after="0" w:line="240" w:lineRule="auto"/>
              <w:jc w:val="center"/>
              <w:rPr>
                <w:rFonts w:eastAsia="Times New Roman" w:cs="Arial"/>
                <w:color w:val="000000"/>
                <w:sz w:val="18"/>
                <w:szCs w:val="18"/>
                <w:lang w:eastAsia="en-GB"/>
              </w:rPr>
            </w:pPr>
            <w:r w:rsidRPr="006A0D6C">
              <w:rPr>
                <w:rFonts w:eastAsia="Times New Roman" w:cs="Arial"/>
                <w:color w:val="000000"/>
                <w:sz w:val="18"/>
                <w:szCs w:val="18"/>
                <w:lang w:eastAsia="en-GB"/>
              </w:rPr>
              <w:t> </w:t>
            </w:r>
          </w:p>
        </w:tc>
      </w:tr>
      <w:tr w:rsidR="00A571C0" w:rsidRPr="00ED79BC" w14:paraId="013A38A7" w14:textId="77777777" w:rsidTr="00307AF7">
        <w:trPr>
          <w:trHeight w:val="510"/>
          <w:jc w:val="center"/>
        </w:trPr>
        <w:tc>
          <w:tcPr>
            <w:tcW w:w="457" w:type="pct"/>
            <w:vMerge/>
            <w:tcBorders>
              <w:top w:val="nil"/>
              <w:left w:val="single" w:sz="8" w:space="0" w:color="auto"/>
              <w:bottom w:val="single" w:sz="8" w:space="0" w:color="000000"/>
              <w:right w:val="single" w:sz="8" w:space="0" w:color="auto"/>
            </w:tcBorders>
            <w:vAlign w:val="center"/>
            <w:hideMark/>
          </w:tcPr>
          <w:p w14:paraId="58231F5F" w14:textId="77777777" w:rsidR="00A571C0" w:rsidRPr="006A0D6C" w:rsidRDefault="00A571C0" w:rsidP="00307AF7">
            <w:pPr>
              <w:spacing w:after="0" w:line="240" w:lineRule="auto"/>
              <w:rPr>
                <w:rFonts w:eastAsia="Times New Roman" w:cs="Arial"/>
                <w:b/>
                <w:bCs/>
                <w:color w:val="000000"/>
                <w:sz w:val="18"/>
                <w:szCs w:val="18"/>
                <w:lang w:eastAsia="en-GB"/>
              </w:rPr>
            </w:pPr>
          </w:p>
        </w:tc>
        <w:tc>
          <w:tcPr>
            <w:tcW w:w="2610" w:type="pct"/>
            <w:tcBorders>
              <w:top w:val="nil"/>
              <w:left w:val="nil"/>
              <w:bottom w:val="single" w:sz="8" w:space="0" w:color="auto"/>
              <w:right w:val="nil"/>
            </w:tcBorders>
            <w:vAlign w:val="center"/>
            <w:hideMark/>
          </w:tcPr>
          <w:p w14:paraId="5F51E6E1" w14:textId="64132D5D" w:rsidR="00084251" w:rsidRPr="006A0D6C" w:rsidRDefault="00A571C0" w:rsidP="00084251">
            <w:pPr>
              <w:spacing w:line="240" w:lineRule="auto"/>
              <w:rPr>
                <w:rFonts w:eastAsia="Times New Roman" w:cs="Arial"/>
                <w:b/>
                <w:color w:val="000000"/>
                <w:sz w:val="18"/>
                <w:szCs w:val="18"/>
                <w:lang w:eastAsia="en-GB"/>
              </w:rPr>
            </w:pPr>
            <w:r w:rsidRPr="006A0D6C">
              <w:rPr>
                <w:rFonts w:eastAsia="Times New Roman" w:cs="Arial"/>
                <w:b/>
                <w:color w:val="000000"/>
                <w:sz w:val="18"/>
                <w:szCs w:val="18"/>
                <w:lang w:eastAsia="en-GB"/>
              </w:rPr>
              <w:t>Koncepce zdravotnického výzkumu do roku 2030</w:t>
            </w:r>
          </w:p>
          <w:p w14:paraId="401270AC" w14:textId="57BF5F1B" w:rsidR="00A571C0" w:rsidRPr="006A0D6C" w:rsidRDefault="00084251" w:rsidP="00307AF7">
            <w:pPr>
              <w:spacing w:after="0" w:line="240" w:lineRule="auto"/>
              <w:rPr>
                <w:rFonts w:eastAsia="Times New Roman" w:cs="Arial"/>
                <w:color w:val="000000"/>
                <w:sz w:val="18"/>
                <w:szCs w:val="18"/>
                <w:lang w:eastAsia="en-GB"/>
              </w:rPr>
            </w:pPr>
            <w:r w:rsidRPr="00084251">
              <w:rPr>
                <w:rFonts w:eastAsia="Times New Roman" w:cs="Arial"/>
                <w:color w:val="000000"/>
                <w:sz w:val="18"/>
                <w:szCs w:val="18"/>
                <w:lang w:eastAsia="en-GB"/>
              </w:rPr>
              <w:t>https://mzd.gov.cz/wp-content/uploads/2022/12/Koncepce-zdravotnickeho-vyzkumu-do-roku-2030.pdf</w:t>
            </w:r>
          </w:p>
        </w:tc>
        <w:tc>
          <w:tcPr>
            <w:tcW w:w="625" w:type="pct"/>
            <w:tcBorders>
              <w:top w:val="nil"/>
              <w:left w:val="single" w:sz="8" w:space="0" w:color="auto"/>
              <w:bottom w:val="single" w:sz="8" w:space="0" w:color="auto"/>
              <w:right w:val="nil"/>
            </w:tcBorders>
            <w:vAlign w:val="center"/>
            <w:hideMark/>
          </w:tcPr>
          <w:p w14:paraId="1E794BAE" w14:textId="77777777" w:rsidR="00A571C0" w:rsidRPr="006A0D6C" w:rsidRDefault="00A571C0" w:rsidP="00307AF7">
            <w:pPr>
              <w:spacing w:after="0" w:line="240" w:lineRule="auto"/>
              <w:jc w:val="center"/>
              <w:rPr>
                <w:rFonts w:eastAsia="Times New Roman" w:cs="Arial"/>
                <w:color w:val="000000"/>
                <w:sz w:val="18"/>
                <w:szCs w:val="18"/>
                <w:lang w:eastAsia="en-GB"/>
              </w:rPr>
            </w:pPr>
            <w:r w:rsidRPr="006A0D6C">
              <w:rPr>
                <w:rFonts w:eastAsia="Times New Roman" w:cs="Arial"/>
                <w:color w:val="000000"/>
                <w:sz w:val="18"/>
                <w:szCs w:val="18"/>
                <w:lang w:eastAsia="en-GB"/>
              </w:rPr>
              <w:t> 2030</w:t>
            </w:r>
          </w:p>
        </w:tc>
        <w:tc>
          <w:tcPr>
            <w:tcW w:w="692" w:type="pct"/>
            <w:tcBorders>
              <w:top w:val="nil"/>
              <w:left w:val="single" w:sz="8" w:space="0" w:color="auto"/>
              <w:bottom w:val="single" w:sz="8" w:space="0" w:color="auto"/>
              <w:right w:val="single" w:sz="8" w:space="0" w:color="808080"/>
            </w:tcBorders>
            <w:noWrap/>
            <w:vAlign w:val="center"/>
            <w:hideMark/>
          </w:tcPr>
          <w:p w14:paraId="2E5919D8" w14:textId="77777777" w:rsidR="00A571C0" w:rsidRPr="006A0D6C" w:rsidRDefault="00A571C0" w:rsidP="00307AF7">
            <w:pPr>
              <w:spacing w:after="0" w:line="240" w:lineRule="auto"/>
              <w:jc w:val="center"/>
              <w:rPr>
                <w:rFonts w:eastAsia="Times New Roman" w:cs="Arial"/>
                <w:color w:val="000000"/>
                <w:sz w:val="18"/>
                <w:szCs w:val="18"/>
                <w:lang w:eastAsia="en-GB"/>
              </w:rPr>
            </w:pPr>
            <w:r w:rsidRPr="006A0D6C">
              <w:rPr>
                <w:rFonts w:eastAsia="Times New Roman" w:cs="Arial"/>
                <w:color w:val="000000"/>
                <w:sz w:val="18"/>
                <w:szCs w:val="18"/>
                <w:lang w:eastAsia="en-GB"/>
              </w:rPr>
              <w:t>14. 12. 2022</w:t>
            </w:r>
          </w:p>
        </w:tc>
        <w:tc>
          <w:tcPr>
            <w:tcW w:w="616" w:type="pct"/>
            <w:tcBorders>
              <w:top w:val="nil"/>
              <w:left w:val="nil"/>
              <w:bottom w:val="single" w:sz="8" w:space="0" w:color="auto"/>
              <w:right w:val="single" w:sz="8" w:space="0" w:color="auto"/>
            </w:tcBorders>
            <w:noWrap/>
            <w:vAlign w:val="center"/>
            <w:hideMark/>
          </w:tcPr>
          <w:p w14:paraId="2B413FD3" w14:textId="77777777" w:rsidR="00A571C0" w:rsidRPr="006A0D6C" w:rsidRDefault="00A571C0" w:rsidP="00307AF7">
            <w:pPr>
              <w:spacing w:after="0" w:line="240" w:lineRule="auto"/>
              <w:jc w:val="center"/>
              <w:rPr>
                <w:rFonts w:eastAsia="Times New Roman" w:cs="Arial"/>
                <w:color w:val="000000"/>
                <w:sz w:val="18"/>
                <w:szCs w:val="18"/>
                <w:lang w:eastAsia="en-GB"/>
              </w:rPr>
            </w:pPr>
            <w:r w:rsidRPr="006A0D6C">
              <w:rPr>
                <w:rFonts w:eastAsia="Times New Roman" w:cs="Arial"/>
                <w:color w:val="000000"/>
                <w:sz w:val="18"/>
                <w:szCs w:val="18"/>
                <w:lang w:eastAsia="en-GB"/>
              </w:rPr>
              <w:t>1050/2022</w:t>
            </w:r>
          </w:p>
        </w:tc>
      </w:tr>
      <w:tr w:rsidR="00A571C0" w:rsidRPr="001E71DC" w14:paraId="06069BCD" w14:textId="77777777" w:rsidTr="001F6785">
        <w:trPr>
          <w:trHeight w:val="510"/>
          <w:jc w:val="center"/>
        </w:trPr>
        <w:tc>
          <w:tcPr>
            <w:tcW w:w="457" w:type="pct"/>
            <w:vMerge w:val="restart"/>
            <w:tcBorders>
              <w:top w:val="nil"/>
              <w:left w:val="single" w:sz="8" w:space="0" w:color="auto"/>
              <w:bottom w:val="single" w:sz="8" w:space="0" w:color="000000"/>
              <w:right w:val="single" w:sz="8" w:space="0" w:color="auto"/>
            </w:tcBorders>
            <w:shd w:val="clear" w:color="000000" w:fill="F2F2F2"/>
            <w:noWrap/>
            <w:vAlign w:val="center"/>
            <w:hideMark/>
          </w:tcPr>
          <w:p w14:paraId="319C1E95" w14:textId="77777777" w:rsidR="00A571C0" w:rsidRPr="001E71DC" w:rsidRDefault="00A571C0" w:rsidP="00307AF7">
            <w:pPr>
              <w:spacing w:after="0" w:line="240" w:lineRule="auto"/>
              <w:jc w:val="center"/>
              <w:rPr>
                <w:rFonts w:eastAsia="Times New Roman" w:cs="Arial"/>
                <w:b/>
                <w:bCs/>
                <w:color w:val="000000"/>
                <w:sz w:val="18"/>
                <w:szCs w:val="18"/>
                <w:lang w:eastAsia="en-GB"/>
              </w:rPr>
            </w:pPr>
            <w:proofErr w:type="spellStart"/>
            <w:r w:rsidRPr="001E71DC">
              <w:rPr>
                <w:rFonts w:eastAsia="Times New Roman" w:cs="Arial"/>
                <w:b/>
                <w:bCs/>
                <w:color w:val="000000"/>
                <w:sz w:val="18"/>
                <w:szCs w:val="18"/>
                <w:lang w:eastAsia="en-GB"/>
              </w:rPr>
              <w:t>MZe</w:t>
            </w:r>
            <w:proofErr w:type="spellEnd"/>
          </w:p>
        </w:tc>
        <w:tc>
          <w:tcPr>
            <w:tcW w:w="2610" w:type="pct"/>
            <w:tcBorders>
              <w:top w:val="nil"/>
              <w:left w:val="nil"/>
              <w:bottom w:val="nil"/>
              <w:right w:val="nil"/>
            </w:tcBorders>
            <w:shd w:val="clear" w:color="auto" w:fill="F2DBDB" w:themeFill="accent2" w:themeFillTint="33"/>
            <w:vAlign w:val="center"/>
            <w:hideMark/>
          </w:tcPr>
          <w:p w14:paraId="4D4E11A5" w14:textId="77777777" w:rsidR="00A571C0" w:rsidRPr="001E71DC" w:rsidRDefault="00A571C0" w:rsidP="00084251">
            <w:pPr>
              <w:spacing w:line="240" w:lineRule="auto"/>
              <w:rPr>
                <w:rFonts w:eastAsia="Times New Roman" w:cs="Arial"/>
                <w:b/>
                <w:bCs/>
                <w:color w:val="000000"/>
                <w:sz w:val="18"/>
                <w:szCs w:val="18"/>
                <w:lang w:eastAsia="en-GB"/>
              </w:rPr>
            </w:pPr>
            <w:r w:rsidRPr="001E71DC">
              <w:rPr>
                <w:rFonts w:eastAsia="Times New Roman" w:cs="Arial"/>
                <w:b/>
                <w:bCs/>
                <w:color w:val="000000"/>
                <w:sz w:val="18"/>
                <w:szCs w:val="18"/>
                <w:lang w:eastAsia="en-GB"/>
              </w:rPr>
              <w:t>Koncepce výzkumu, vývoje a inovací Ministerstva zemědělství na léta 2016-2022</w:t>
            </w:r>
          </w:p>
        </w:tc>
        <w:tc>
          <w:tcPr>
            <w:tcW w:w="625" w:type="pct"/>
            <w:tcBorders>
              <w:top w:val="nil"/>
              <w:left w:val="single" w:sz="8" w:space="0" w:color="auto"/>
              <w:bottom w:val="nil"/>
              <w:right w:val="nil"/>
            </w:tcBorders>
            <w:shd w:val="clear" w:color="auto" w:fill="F2DBDB" w:themeFill="accent2" w:themeFillTint="33"/>
            <w:vAlign w:val="center"/>
            <w:hideMark/>
          </w:tcPr>
          <w:p w14:paraId="4707D247" w14:textId="77777777" w:rsidR="00A571C0" w:rsidRPr="001E71DC" w:rsidRDefault="00A571C0" w:rsidP="00307AF7">
            <w:pPr>
              <w:spacing w:after="0" w:line="240" w:lineRule="auto"/>
              <w:jc w:val="center"/>
              <w:rPr>
                <w:rFonts w:eastAsia="Times New Roman" w:cs="Arial"/>
                <w:color w:val="000000"/>
                <w:sz w:val="18"/>
                <w:szCs w:val="18"/>
                <w:lang w:eastAsia="en-GB"/>
              </w:rPr>
            </w:pPr>
            <w:r w:rsidRPr="001E71DC">
              <w:rPr>
                <w:rFonts w:eastAsia="Times New Roman" w:cs="Arial"/>
                <w:color w:val="000000"/>
                <w:sz w:val="18"/>
                <w:szCs w:val="18"/>
                <w:lang w:eastAsia="en-GB"/>
              </w:rPr>
              <w:t>2022</w:t>
            </w:r>
          </w:p>
        </w:tc>
        <w:tc>
          <w:tcPr>
            <w:tcW w:w="692" w:type="pct"/>
            <w:tcBorders>
              <w:top w:val="nil"/>
              <w:left w:val="single" w:sz="8" w:space="0" w:color="auto"/>
              <w:bottom w:val="nil"/>
              <w:right w:val="single" w:sz="8" w:space="0" w:color="808080"/>
            </w:tcBorders>
            <w:noWrap/>
            <w:vAlign w:val="center"/>
            <w:hideMark/>
          </w:tcPr>
          <w:p w14:paraId="121ABC2C" w14:textId="77777777" w:rsidR="00A571C0" w:rsidRPr="001E71DC" w:rsidRDefault="00A571C0" w:rsidP="00307AF7">
            <w:pPr>
              <w:spacing w:after="0" w:line="240" w:lineRule="auto"/>
              <w:jc w:val="center"/>
              <w:rPr>
                <w:rFonts w:eastAsia="Times New Roman" w:cs="Arial"/>
                <w:color w:val="000000"/>
                <w:sz w:val="18"/>
                <w:szCs w:val="18"/>
                <w:lang w:eastAsia="en-GB"/>
              </w:rPr>
            </w:pPr>
            <w:r w:rsidRPr="001E71DC">
              <w:rPr>
                <w:rFonts w:eastAsia="Times New Roman" w:cs="Arial"/>
                <w:color w:val="000000"/>
                <w:sz w:val="18"/>
                <w:szCs w:val="18"/>
                <w:lang w:eastAsia="en-GB"/>
              </w:rPr>
              <w:t>3. 2. 2016</w:t>
            </w:r>
          </w:p>
        </w:tc>
        <w:tc>
          <w:tcPr>
            <w:tcW w:w="616" w:type="pct"/>
            <w:tcBorders>
              <w:top w:val="nil"/>
              <w:left w:val="nil"/>
              <w:bottom w:val="nil"/>
              <w:right w:val="single" w:sz="8" w:space="0" w:color="auto"/>
            </w:tcBorders>
            <w:noWrap/>
            <w:vAlign w:val="center"/>
            <w:hideMark/>
          </w:tcPr>
          <w:p w14:paraId="26B19750" w14:textId="77777777" w:rsidR="00A571C0" w:rsidRPr="001E71DC" w:rsidRDefault="00A571C0" w:rsidP="00307AF7">
            <w:pPr>
              <w:spacing w:after="0" w:line="240" w:lineRule="auto"/>
              <w:jc w:val="center"/>
              <w:rPr>
                <w:rFonts w:eastAsia="Times New Roman" w:cs="Arial"/>
                <w:color w:val="000000"/>
                <w:sz w:val="18"/>
                <w:szCs w:val="18"/>
                <w:lang w:eastAsia="en-GB"/>
              </w:rPr>
            </w:pPr>
            <w:r w:rsidRPr="001E71DC">
              <w:rPr>
                <w:rFonts w:eastAsia="Times New Roman" w:cs="Arial"/>
                <w:color w:val="000000"/>
                <w:sz w:val="18"/>
                <w:szCs w:val="18"/>
                <w:lang w:eastAsia="en-GB"/>
              </w:rPr>
              <w:t>82/2016</w:t>
            </w:r>
          </w:p>
        </w:tc>
      </w:tr>
      <w:tr w:rsidR="00A571C0" w:rsidRPr="001E71DC" w14:paraId="5F1FAA50" w14:textId="77777777" w:rsidTr="001F6785">
        <w:trPr>
          <w:trHeight w:val="510"/>
          <w:jc w:val="center"/>
        </w:trPr>
        <w:tc>
          <w:tcPr>
            <w:tcW w:w="457" w:type="pct"/>
            <w:vMerge/>
            <w:tcBorders>
              <w:top w:val="nil"/>
              <w:left w:val="single" w:sz="8" w:space="0" w:color="auto"/>
              <w:bottom w:val="single" w:sz="8" w:space="0" w:color="000000"/>
              <w:right w:val="single" w:sz="8" w:space="0" w:color="auto"/>
            </w:tcBorders>
            <w:vAlign w:val="center"/>
            <w:hideMark/>
          </w:tcPr>
          <w:p w14:paraId="4693C2BE" w14:textId="77777777" w:rsidR="00A571C0" w:rsidRPr="001E71DC" w:rsidRDefault="00A571C0" w:rsidP="00307AF7">
            <w:pPr>
              <w:spacing w:after="0" w:line="240" w:lineRule="auto"/>
              <w:rPr>
                <w:rFonts w:eastAsia="Times New Roman" w:cs="Arial"/>
                <w:b/>
                <w:bCs/>
                <w:color w:val="000000"/>
                <w:sz w:val="18"/>
                <w:szCs w:val="18"/>
                <w:lang w:eastAsia="en-GB"/>
              </w:rPr>
            </w:pPr>
          </w:p>
        </w:tc>
        <w:tc>
          <w:tcPr>
            <w:tcW w:w="2610" w:type="pct"/>
            <w:tcBorders>
              <w:top w:val="nil"/>
              <w:left w:val="nil"/>
              <w:bottom w:val="nil"/>
              <w:right w:val="nil"/>
            </w:tcBorders>
            <w:shd w:val="clear" w:color="auto" w:fill="F2DBDB" w:themeFill="accent2" w:themeFillTint="33"/>
            <w:vAlign w:val="center"/>
            <w:hideMark/>
          </w:tcPr>
          <w:p w14:paraId="2DA2C080" w14:textId="151107EB" w:rsidR="00A571C0" w:rsidRPr="001E71DC" w:rsidRDefault="00084251" w:rsidP="00084251">
            <w:pPr>
              <w:spacing w:line="240" w:lineRule="auto"/>
              <w:rPr>
                <w:rFonts w:eastAsia="Times New Roman" w:cs="Arial"/>
                <w:color w:val="000000"/>
                <w:sz w:val="18"/>
                <w:szCs w:val="18"/>
                <w:lang w:eastAsia="en-GB"/>
              </w:rPr>
            </w:pPr>
            <w:r w:rsidRPr="00084251">
              <w:rPr>
                <w:rFonts w:eastAsia="Times New Roman" w:cs="Arial"/>
                <w:color w:val="000000"/>
                <w:sz w:val="18"/>
                <w:szCs w:val="18"/>
                <w:lang w:eastAsia="en-GB"/>
              </w:rPr>
              <w:t>https://mze.gov.cz/public/portal/mze/poradenstvi-a-vyzkum/vyzkum-a-vyvoj/koncepce-a-strategie/koncepce-vyzkumu-vyvoje-a-inovaci.html</w:t>
            </w:r>
          </w:p>
        </w:tc>
        <w:tc>
          <w:tcPr>
            <w:tcW w:w="625" w:type="pct"/>
            <w:tcBorders>
              <w:top w:val="nil"/>
              <w:left w:val="single" w:sz="8" w:space="0" w:color="auto"/>
              <w:bottom w:val="nil"/>
              <w:right w:val="nil"/>
            </w:tcBorders>
            <w:shd w:val="clear" w:color="auto" w:fill="F2DBDB" w:themeFill="accent2" w:themeFillTint="33"/>
            <w:vAlign w:val="center"/>
            <w:hideMark/>
          </w:tcPr>
          <w:p w14:paraId="57BFC14B" w14:textId="77777777" w:rsidR="00A571C0" w:rsidRPr="001E71DC" w:rsidRDefault="00A571C0" w:rsidP="00307AF7">
            <w:pPr>
              <w:spacing w:after="0" w:line="240" w:lineRule="auto"/>
              <w:jc w:val="center"/>
              <w:rPr>
                <w:rFonts w:eastAsia="Times New Roman" w:cs="Arial"/>
                <w:color w:val="000000"/>
                <w:sz w:val="18"/>
                <w:szCs w:val="18"/>
                <w:lang w:eastAsia="en-GB"/>
              </w:rPr>
            </w:pPr>
            <w:r w:rsidRPr="001E71DC">
              <w:rPr>
                <w:rFonts w:eastAsia="Times New Roman" w:cs="Arial"/>
                <w:color w:val="000000"/>
                <w:sz w:val="18"/>
                <w:szCs w:val="18"/>
                <w:lang w:eastAsia="en-GB"/>
              </w:rPr>
              <w:t> </w:t>
            </w:r>
          </w:p>
        </w:tc>
        <w:tc>
          <w:tcPr>
            <w:tcW w:w="692" w:type="pct"/>
            <w:tcBorders>
              <w:top w:val="nil"/>
              <w:left w:val="single" w:sz="8" w:space="0" w:color="auto"/>
              <w:bottom w:val="nil"/>
              <w:right w:val="single" w:sz="8" w:space="0" w:color="808080"/>
            </w:tcBorders>
            <w:noWrap/>
            <w:vAlign w:val="center"/>
            <w:hideMark/>
          </w:tcPr>
          <w:p w14:paraId="72674F6E" w14:textId="77777777" w:rsidR="00A571C0" w:rsidRPr="001E71DC" w:rsidRDefault="00A571C0" w:rsidP="00307AF7">
            <w:pPr>
              <w:spacing w:after="0" w:line="240" w:lineRule="auto"/>
              <w:jc w:val="center"/>
              <w:rPr>
                <w:rFonts w:eastAsia="Times New Roman" w:cs="Arial"/>
                <w:color w:val="000000"/>
                <w:sz w:val="18"/>
                <w:szCs w:val="18"/>
                <w:lang w:eastAsia="en-GB"/>
              </w:rPr>
            </w:pPr>
            <w:r w:rsidRPr="001E71DC">
              <w:rPr>
                <w:rFonts w:eastAsia="Times New Roman" w:cs="Arial"/>
                <w:color w:val="000000"/>
                <w:sz w:val="18"/>
                <w:szCs w:val="18"/>
                <w:lang w:eastAsia="en-GB"/>
              </w:rPr>
              <w:t> </w:t>
            </w:r>
          </w:p>
        </w:tc>
        <w:tc>
          <w:tcPr>
            <w:tcW w:w="616" w:type="pct"/>
            <w:tcBorders>
              <w:top w:val="nil"/>
              <w:left w:val="nil"/>
              <w:bottom w:val="nil"/>
              <w:right w:val="single" w:sz="8" w:space="0" w:color="auto"/>
            </w:tcBorders>
            <w:noWrap/>
            <w:vAlign w:val="center"/>
            <w:hideMark/>
          </w:tcPr>
          <w:p w14:paraId="005F3277" w14:textId="77777777" w:rsidR="00A571C0" w:rsidRPr="001E71DC" w:rsidRDefault="00A571C0" w:rsidP="00307AF7">
            <w:pPr>
              <w:spacing w:after="0" w:line="240" w:lineRule="auto"/>
              <w:jc w:val="center"/>
              <w:rPr>
                <w:rFonts w:eastAsia="Times New Roman" w:cs="Arial"/>
                <w:color w:val="000000"/>
                <w:sz w:val="18"/>
                <w:szCs w:val="18"/>
                <w:lang w:eastAsia="en-GB"/>
              </w:rPr>
            </w:pPr>
            <w:r w:rsidRPr="001E71DC">
              <w:rPr>
                <w:rFonts w:eastAsia="Times New Roman" w:cs="Arial"/>
                <w:color w:val="000000"/>
                <w:sz w:val="18"/>
                <w:szCs w:val="18"/>
                <w:lang w:eastAsia="en-GB"/>
              </w:rPr>
              <w:t> </w:t>
            </w:r>
          </w:p>
        </w:tc>
      </w:tr>
      <w:tr w:rsidR="00A571C0" w:rsidRPr="001E71DC" w14:paraId="6AB50178" w14:textId="77777777" w:rsidTr="00307AF7">
        <w:trPr>
          <w:trHeight w:val="510"/>
          <w:jc w:val="center"/>
        </w:trPr>
        <w:tc>
          <w:tcPr>
            <w:tcW w:w="457" w:type="pct"/>
            <w:vMerge/>
            <w:tcBorders>
              <w:top w:val="nil"/>
              <w:left w:val="single" w:sz="8" w:space="0" w:color="auto"/>
              <w:bottom w:val="single" w:sz="8" w:space="0" w:color="000000"/>
              <w:right w:val="single" w:sz="8" w:space="0" w:color="auto"/>
            </w:tcBorders>
            <w:vAlign w:val="center"/>
            <w:hideMark/>
          </w:tcPr>
          <w:p w14:paraId="5CD5A9E9" w14:textId="77777777" w:rsidR="00A571C0" w:rsidRPr="001E71DC" w:rsidRDefault="00A571C0" w:rsidP="00307AF7">
            <w:pPr>
              <w:spacing w:after="0" w:line="240" w:lineRule="auto"/>
              <w:rPr>
                <w:rFonts w:eastAsia="Times New Roman" w:cs="Arial"/>
                <w:b/>
                <w:bCs/>
                <w:color w:val="000000"/>
                <w:sz w:val="18"/>
                <w:szCs w:val="18"/>
                <w:lang w:eastAsia="en-GB"/>
              </w:rPr>
            </w:pPr>
          </w:p>
        </w:tc>
        <w:tc>
          <w:tcPr>
            <w:tcW w:w="2610" w:type="pct"/>
            <w:tcBorders>
              <w:top w:val="nil"/>
              <w:left w:val="nil"/>
              <w:bottom w:val="nil"/>
              <w:right w:val="nil"/>
            </w:tcBorders>
            <w:vAlign w:val="center"/>
            <w:hideMark/>
          </w:tcPr>
          <w:p w14:paraId="0BE4389F" w14:textId="77777777" w:rsidR="00A571C0" w:rsidRPr="001E71DC" w:rsidRDefault="00A571C0" w:rsidP="00084251">
            <w:pPr>
              <w:spacing w:line="240" w:lineRule="auto"/>
              <w:rPr>
                <w:rFonts w:eastAsia="Times New Roman" w:cs="Arial"/>
                <w:b/>
                <w:bCs/>
                <w:color w:val="000000"/>
                <w:sz w:val="18"/>
                <w:szCs w:val="18"/>
                <w:lang w:eastAsia="en-GB"/>
              </w:rPr>
            </w:pPr>
            <w:r w:rsidRPr="001E71DC">
              <w:rPr>
                <w:rFonts w:eastAsia="Times New Roman" w:cs="Arial"/>
                <w:b/>
                <w:bCs/>
                <w:color w:val="000000"/>
                <w:sz w:val="18"/>
                <w:szCs w:val="18"/>
                <w:lang w:eastAsia="en-GB"/>
              </w:rPr>
              <w:t>Koncepce výzkumu, vývoje a inovací Ministerstva zemědělství na léta 2023–2032</w:t>
            </w:r>
          </w:p>
        </w:tc>
        <w:tc>
          <w:tcPr>
            <w:tcW w:w="625" w:type="pct"/>
            <w:tcBorders>
              <w:top w:val="nil"/>
              <w:left w:val="single" w:sz="8" w:space="0" w:color="auto"/>
              <w:bottom w:val="nil"/>
              <w:right w:val="nil"/>
            </w:tcBorders>
            <w:vAlign w:val="center"/>
            <w:hideMark/>
          </w:tcPr>
          <w:p w14:paraId="1294E92F" w14:textId="77777777" w:rsidR="00EB5D91" w:rsidRDefault="00EB5D91" w:rsidP="00EB5D91">
            <w:pPr>
              <w:spacing w:after="0" w:line="240" w:lineRule="auto"/>
              <w:jc w:val="center"/>
              <w:rPr>
                <w:rFonts w:eastAsia="Times New Roman" w:cs="Arial"/>
                <w:color w:val="000000"/>
                <w:sz w:val="18"/>
                <w:szCs w:val="18"/>
                <w:lang w:eastAsia="en-GB"/>
              </w:rPr>
            </w:pPr>
            <w:r w:rsidRPr="001E71DC">
              <w:rPr>
                <w:rFonts w:eastAsia="Times New Roman" w:cs="Arial"/>
                <w:color w:val="000000"/>
                <w:sz w:val="18"/>
                <w:szCs w:val="18"/>
                <w:lang w:eastAsia="en-GB"/>
              </w:rPr>
              <w:t>2032</w:t>
            </w:r>
          </w:p>
          <w:p w14:paraId="4D5CF198" w14:textId="77777777" w:rsidR="00A571C0" w:rsidRPr="001E71DC" w:rsidRDefault="00A571C0" w:rsidP="00307AF7">
            <w:pPr>
              <w:spacing w:after="0" w:line="240" w:lineRule="auto"/>
              <w:jc w:val="center"/>
              <w:rPr>
                <w:rFonts w:eastAsia="Times New Roman" w:cs="Arial"/>
                <w:color w:val="000000"/>
                <w:sz w:val="18"/>
                <w:szCs w:val="18"/>
                <w:lang w:eastAsia="en-GB"/>
              </w:rPr>
            </w:pPr>
          </w:p>
        </w:tc>
        <w:tc>
          <w:tcPr>
            <w:tcW w:w="692" w:type="pct"/>
            <w:tcBorders>
              <w:top w:val="nil"/>
              <w:left w:val="single" w:sz="8" w:space="0" w:color="auto"/>
              <w:bottom w:val="nil"/>
              <w:right w:val="single" w:sz="8" w:space="0" w:color="808080"/>
            </w:tcBorders>
            <w:noWrap/>
            <w:vAlign w:val="center"/>
            <w:hideMark/>
          </w:tcPr>
          <w:p w14:paraId="01AD3927" w14:textId="67C5E092" w:rsidR="00A571C0" w:rsidRPr="001E71DC" w:rsidRDefault="00EB5D91" w:rsidP="00307AF7">
            <w:pPr>
              <w:spacing w:after="0" w:line="240" w:lineRule="auto"/>
              <w:jc w:val="center"/>
              <w:rPr>
                <w:rFonts w:eastAsia="Times New Roman" w:cs="Arial"/>
                <w:color w:val="000000"/>
                <w:sz w:val="18"/>
                <w:szCs w:val="18"/>
                <w:lang w:eastAsia="en-GB"/>
              </w:rPr>
            </w:pPr>
            <w:r w:rsidRPr="001E71DC">
              <w:rPr>
                <w:rFonts w:eastAsia="Times New Roman" w:cs="Arial"/>
                <w:color w:val="000000"/>
                <w:sz w:val="18"/>
                <w:szCs w:val="18"/>
                <w:lang w:eastAsia="en-GB"/>
              </w:rPr>
              <w:t> 24. 8. 2022</w:t>
            </w:r>
            <w:r w:rsidR="00A571C0" w:rsidRPr="001E71DC">
              <w:rPr>
                <w:rFonts w:eastAsia="Times New Roman" w:cs="Arial"/>
                <w:color w:val="000000"/>
                <w:sz w:val="18"/>
                <w:szCs w:val="18"/>
                <w:lang w:eastAsia="en-GB"/>
              </w:rPr>
              <w:t> </w:t>
            </w:r>
          </w:p>
        </w:tc>
        <w:tc>
          <w:tcPr>
            <w:tcW w:w="616" w:type="pct"/>
            <w:tcBorders>
              <w:top w:val="nil"/>
              <w:left w:val="nil"/>
              <w:bottom w:val="nil"/>
              <w:right w:val="single" w:sz="8" w:space="0" w:color="auto"/>
            </w:tcBorders>
            <w:noWrap/>
            <w:vAlign w:val="center"/>
            <w:hideMark/>
          </w:tcPr>
          <w:p w14:paraId="6D7633FA" w14:textId="6B9A0F92" w:rsidR="00A571C0" w:rsidRPr="001E71DC" w:rsidRDefault="00EB5D91" w:rsidP="00307AF7">
            <w:pPr>
              <w:spacing w:after="0" w:line="240" w:lineRule="auto"/>
              <w:jc w:val="center"/>
              <w:rPr>
                <w:rFonts w:eastAsia="Times New Roman" w:cs="Arial"/>
                <w:color w:val="000000"/>
                <w:sz w:val="18"/>
                <w:szCs w:val="18"/>
                <w:lang w:eastAsia="en-GB"/>
              </w:rPr>
            </w:pPr>
            <w:r w:rsidRPr="001E71DC">
              <w:rPr>
                <w:rFonts w:eastAsia="Times New Roman" w:cs="Arial"/>
                <w:color w:val="000000"/>
                <w:sz w:val="18"/>
                <w:szCs w:val="18"/>
                <w:lang w:eastAsia="en-GB"/>
              </w:rPr>
              <w:t>724/2022 </w:t>
            </w:r>
            <w:r w:rsidR="00A571C0" w:rsidRPr="001E71DC">
              <w:rPr>
                <w:rFonts w:eastAsia="Times New Roman" w:cs="Arial"/>
                <w:color w:val="000000"/>
                <w:sz w:val="18"/>
                <w:szCs w:val="18"/>
                <w:lang w:eastAsia="en-GB"/>
              </w:rPr>
              <w:t> </w:t>
            </w:r>
          </w:p>
        </w:tc>
      </w:tr>
      <w:tr w:rsidR="00A571C0" w:rsidRPr="001E71DC" w14:paraId="575F7A36" w14:textId="77777777" w:rsidTr="00307AF7">
        <w:trPr>
          <w:trHeight w:val="510"/>
          <w:jc w:val="center"/>
        </w:trPr>
        <w:tc>
          <w:tcPr>
            <w:tcW w:w="457" w:type="pct"/>
            <w:vMerge/>
            <w:tcBorders>
              <w:top w:val="nil"/>
              <w:left w:val="single" w:sz="8" w:space="0" w:color="auto"/>
              <w:bottom w:val="single" w:sz="8" w:space="0" w:color="000000"/>
              <w:right w:val="single" w:sz="8" w:space="0" w:color="auto"/>
            </w:tcBorders>
            <w:vAlign w:val="center"/>
            <w:hideMark/>
          </w:tcPr>
          <w:p w14:paraId="3D064EE8" w14:textId="77777777" w:rsidR="00A571C0" w:rsidRPr="001E71DC" w:rsidRDefault="00A571C0" w:rsidP="00307AF7">
            <w:pPr>
              <w:spacing w:after="0" w:line="240" w:lineRule="auto"/>
              <w:rPr>
                <w:rFonts w:eastAsia="Times New Roman" w:cs="Arial"/>
                <w:b/>
                <w:bCs/>
                <w:color w:val="000000"/>
                <w:sz w:val="18"/>
                <w:szCs w:val="18"/>
                <w:lang w:eastAsia="en-GB"/>
              </w:rPr>
            </w:pPr>
          </w:p>
        </w:tc>
        <w:tc>
          <w:tcPr>
            <w:tcW w:w="2610" w:type="pct"/>
            <w:tcBorders>
              <w:top w:val="nil"/>
              <w:left w:val="nil"/>
              <w:bottom w:val="single" w:sz="8" w:space="0" w:color="auto"/>
              <w:right w:val="nil"/>
            </w:tcBorders>
            <w:vAlign w:val="center"/>
            <w:hideMark/>
          </w:tcPr>
          <w:p w14:paraId="360DECDA" w14:textId="20CCB657" w:rsidR="00A571C0" w:rsidRPr="001E71DC" w:rsidRDefault="00084251" w:rsidP="00307AF7">
            <w:pPr>
              <w:spacing w:after="0" w:line="240" w:lineRule="auto"/>
              <w:rPr>
                <w:rFonts w:eastAsia="Times New Roman" w:cs="Arial"/>
                <w:color w:val="000000"/>
                <w:sz w:val="18"/>
                <w:szCs w:val="18"/>
                <w:lang w:eastAsia="en-GB"/>
              </w:rPr>
            </w:pPr>
            <w:r w:rsidRPr="00084251">
              <w:rPr>
                <w:rFonts w:eastAsia="Times New Roman" w:cs="Arial"/>
                <w:color w:val="000000"/>
                <w:sz w:val="18"/>
                <w:szCs w:val="18"/>
                <w:lang w:eastAsia="en-GB"/>
              </w:rPr>
              <w:t>https://mze.gov.cz/public/portal/mze/poradenstvi-a-vyzkum/vyzkum-a-vyvoj/koncepce-a-strategie</w:t>
            </w:r>
          </w:p>
        </w:tc>
        <w:tc>
          <w:tcPr>
            <w:tcW w:w="625" w:type="pct"/>
            <w:tcBorders>
              <w:top w:val="nil"/>
              <w:left w:val="single" w:sz="8" w:space="0" w:color="auto"/>
              <w:bottom w:val="single" w:sz="8" w:space="0" w:color="auto"/>
              <w:right w:val="nil"/>
            </w:tcBorders>
            <w:vAlign w:val="center"/>
            <w:hideMark/>
          </w:tcPr>
          <w:p w14:paraId="4F44477A" w14:textId="5806FD18" w:rsidR="00EB5D91" w:rsidRPr="001E71DC" w:rsidRDefault="00EB5D91" w:rsidP="00EB5D91">
            <w:pPr>
              <w:spacing w:after="0" w:line="240" w:lineRule="auto"/>
              <w:jc w:val="center"/>
              <w:rPr>
                <w:rFonts w:eastAsia="Times New Roman" w:cs="Arial"/>
                <w:color w:val="000000"/>
                <w:sz w:val="18"/>
                <w:szCs w:val="18"/>
                <w:lang w:eastAsia="en-GB"/>
              </w:rPr>
            </w:pPr>
          </w:p>
        </w:tc>
        <w:tc>
          <w:tcPr>
            <w:tcW w:w="692" w:type="pct"/>
            <w:tcBorders>
              <w:top w:val="nil"/>
              <w:left w:val="single" w:sz="8" w:space="0" w:color="auto"/>
              <w:bottom w:val="single" w:sz="8" w:space="0" w:color="auto"/>
              <w:right w:val="single" w:sz="8" w:space="0" w:color="808080"/>
            </w:tcBorders>
            <w:noWrap/>
            <w:vAlign w:val="center"/>
            <w:hideMark/>
          </w:tcPr>
          <w:p w14:paraId="0976FCD3" w14:textId="4551A223" w:rsidR="00A571C0" w:rsidRPr="001E71DC" w:rsidRDefault="00A571C0" w:rsidP="00307AF7">
            <w:pPr>
              <w:spacing w:after="0" w:line="240" w:lineRule="auto"/>
              <w:jc w:val="center"/>
              <w:rPr>
                <w:rFonts w:eastAsia="Times New Roman" w:cs="Arial"/>
                <w:color w:val="000000"/>
                <w:sz w:val="18"/>
                <w:szCs w:val="18"/>
                <w:lang w:eastAsia="en-GB"/>
              </w:rPr>
            </w:pPr>
          </w:p>
        </w:tc>
        <w:tc>
          <w:tcPr>
            <w:tcW w:w="616" w:type="pct"/>
            <w:tcBorders>
              <w:top w:val="nil"/>
              <w:left w:val="nil"/>
              <w:bottom w:val="single" w:sz="8" w:space="0" w:color="auto"/>
              <w:right w:val="single" w:sz="8" w:space="0" w:color="auto"/>
            </w:tcBorders>
            <w:noWrap/>
            <w:vAlign w:val="center"/>
            <w:hideMark/>
          </w:tcPr>
          <w:p w14:paraId="34CDD48A" w14:textId="7A536015" w:rsidR="00A571C0" w:rsidRPr="001E71DC" w:rsidRDefault="00A571C0" w:rsidP="00307AF7">
            <w:pPr>
              <w:spacing w:after="0" w:line="240" w:lineRule="auto"/>
              <w:jc w:val="center"/>
              <w:rPr>
                <w:rFonts w:eastAsia="Times New Roman" w:cs="Arial"/>
                <w:color w:val="000000"/>
                <w:sz w:val="18"/>
                <w:szCs w:val="18"/>
                <w:lang w:eastAsia="en-GB"/>
              </w:rPr>
            </w:pPr>
          </w:p>
        </w:tc>
      </w:tr>
      <w:tr w:rsidR="00A571C0" w:rsidRPr="00ED79BC" w14:paraId="08091EF6" w14:textId="77777777" w:rsidTr="001F6785">
        <w:trPr>
          <w:trHeight w:val="510"/>
          <w:jc w:val="center"/>
        </w:trPr>
        <w:tc>
          <w:tcPr>
            <w:tcW w:w="457" w:type="pct"/>
            <w:vMerge w:val="restart"/>
            <w:tcBorders>
              <w:top w:val="nil"/>
              <w:left w:val="single" w:sz="8" w:space="0" w:color="auto"/>
              <w:bottom w:val="single" w:sz="8" w:space="0" w:color="000000"/>
              <w:right w:val="single" w:sz="8" w:space="0" w:color="auto"/>
            </w:tcBorders>
            <w:shd w:val="clear" w:color="000000" w:fill="F2F2F2"/>
            <w:noWrap/>
            <w:vAlign w:val="center"/>
            <w:hideMark/>
          </w:tcPr>
          <w:p w14:paraId="04E05FC8" w14:textId="77777777" w:rsidR="00A571C0" w:rsidRPr="00ED79BC" w:rsidRDefault="00A571C0" w:rsidP="00307AF7">
            <w:pPr>
              <w:spacing w:after="0" w:line="240" w:lineRule="auto"/>
              <w:jc w:val="center"/>
              <w:rPr>
                <w:rFonts w:eastAsia="Times New Roman" w:cs="Arial"/>
                <w:b/>
                <w:bCs/>
                <w:color w:val="000000"/>
                <w:sz w:val="18"/>
                <w:szCs w:val="18"/>
                <w:highlight w:val="yellow"/>
                <w:lang w:eastAsia="en-GB"/>
              </w:rPr>
            </w:pPr>
            <w:r w:rsidRPr="0050401D">
              <w:rPr>
                <w:rFonts w:eastAsia="Times New Roman" w:cs="Arial"/>
                <w:b/>
                <w:bCs/>
                <w:color w:val="000000"/>
                <w:sz w:val="18"/>
                <w:szCs w:val="18"/>
                <w:lang w:eastAsia="en-GB"/>
              </w:rPr>
              <w:t>GA</w:t>
            </w:r>
            <w:r>
              <w:rPr>
                <w:rFonts w:eastAsia="Times New Roman" w:cs="Arial"/>
                <w:b/>
                <w:bCs/>
                <w:color w:val="000000"/>
                <w:sz w:val="18"/>
                <w:szCs w:val="18"/>
                <w:lang w:eastAsia="en-GB"/>
              </w:rPr>
              <w:t xml:space="preserve"> </w:t>
            </w:r>
            <w:r w:rsidRPr="0050401D">
              <w:rPr>
                <w:rFonts w:eastAsia="Times New Roman" w:cs="Arial"/>
                <w:b/>
                <w:bCs/>
                <w:color w:val="000000"/>
                <w:sz w:val="18"/>
                <w:szCs w:val="18"/>
                <w:lang w:eastAsia="en-GB"/>
              </w:rPr>
              <w:t>ČR</w:t>
            </w:r>
          </w:p>
        </w:tc>
        <w:tc>
          <w:tcPr>
            <w:tcW w:w="2610" w:type="pct"/>
            <w:tcBorders>
              <w:top w:val="nil"/>
              <w:left w:val="nil"/>
              <w:bottom w:val="nil"/>
              <w:right w:val="nil"/>
            </w:tcBorders>
            <w:shd w:val="clear" w:color="auto" w:fill="F2DBDB" w:themeFill="accent2" w:themeFillTint="33"/>
            <w:vAlign w:val="center"/>
            <w:hideMark/>
          </w:tcPr>
          <w:p w14:paraId="1D0864C5" w14:textId="59AA88FB" w:rsidR="0062136D" w:rsidRDefault="0062136D" w:rsidP="0062136D">
            <w:pPr>
              <w:spacing w:after="0" w:line="240" w:lineRule="auto"/>
              <w:rPr>
                <w:rFonts w:eastAsia="Times New Roman" w:cs="Arial"/>
                <w:b/>
                <w:bCs/>
                <w:color w:val="000000"/>
                <w:sz w:val="18"/>
                <w:szCs w:val="18"/>
                <w:lang w:eastAsia="en-GB"/>
              </w:rPr>
            </w:pPr>
            <w:r w:rsidRPr="009A3150">
              <w:rPr>
                <w:rFonts w:eastAsia="Times New Roman" w:cs="Arial"/>
                <w:b/>
                <w:bCs/>
                <w:color w:val="000000"/>
                <w:sz w:val="18"/>
                <w:szCs w:val="18"/>
                <w:lang w:eastAsia="en-GB"/>
              </w:rPr>
              <w:t>Koncepce činnosti Grantové agentury České republiky na</w:t>
            </w:r>
            <w:r w:rsidR="001F6785">
              <w:rPr>
                <w:rFonts w:eastAsia="Times New Roman" w:cs="Arial"/>
                <w:b/>
                <w:bCs/>
                <w:color w:val="000000"/>
                <w:sz w:val="18"/>
                <w:szCs w:val="18"/>
                <w:lang w:eastAsia="en-GB"/>
              </w:rPr>
              <w:t> </w:t>
            </w:r>
            <w:r w:rsidRPr="009A3150">
              <w:rPr>
                <w:rFonts w:eastAsia="Times New Roman" w:cs="Arial"/>
                <w:b/>
                <w:bCs/>
                <w:color w:val="000000"/>
                <w:sz w:val="18"/>
                <w:szCs w:val="18"/>
                <w:lang w:eastAsia="en-GB"/>
              </w:rPr>
              <w:t>léta 2016–2020</w:t>
            </w:r>
          </w:p>
          <w:p w14:paraId="48152D19" w14:textId="77777777" w:rsidR="0062136D" w:rsidRDefault="0062136D" w:rsidP="0062136D">
            <w:pPr>
              <w:spacing w:after="0" w:line="240" w:lineRule="auto"/>
              <w:rPr>
                <w:rFonts w:eastAsia="Times New Roman" w:cs="Arial"/>
                <w:b/>
                <w:bCs/>
                <w:color w:val="000000"/>
                <w:sz w:val="18"/>
                <w:szCs w:val="18"/>
                <w:lang w:eastAsia="en-GB"/>
              </w:rPr>
            </w:pPr>
          </w:p>
          <w:p w14:paraId="2EC7404B" w14:textId="08486151" w:rsidR="00A571C0" w:rsidRPr="0009032D" w:rsidRDefault="00A571C0" w:rsidP="00307AF7">
            <w:pPr>
              <w:spacing w:after="0" w:line="240" w:lineRule="auto"/>
              <w:rPr>
                <w:rFonts w:eastAsia="Times New Roman" w:cs="Arial"/>
                <w:b/>
                <w:bCs/>
                <w:color w:val="000000"/>
                <w:sz w:val="18"/>
                <w:szCs w:val="18"/>
                <w:lang w:eastAsia="en-GB"/>
              </w:rPr>
            </w:pPr>
          </w:p>
        </w:tc>
        <w:tc>
          <w:tcPr>
            <w:tcW w:w="625" w:type="pct"/>
            <w:tcBorders>
              <w:top w:val="nil"/>
              <w:left w:val="single" w:sz="8" w:space="0" w:color="auto"/>
              <w:bottom w:val="nil"/>
              <w:right w:val="nil"/>
            </w:tcBorders>
            <w:shd w:val="clear" w:color="auto" w:fill="F2DBDB" w:themeFill="accent2" w:themeFillTint="33"/>
            <w:vAlign w:val="center"/>
            <w:hideMark/>
          </w:tcPr>
          <w:p w14:paraId="34953CED" w14:textId="18233C79" w:rsidR="00A571C0" w:rsidRDefault="0062136D" w:rsidP="00307AF7">
            <w:pPr>
              <w:spacing w:after="0" w:line="240" w:lineRule="auto"/>
              <w:jc w:val="center"/>
              <w:rPr>
                <w:rFonts w:eastAsia="Times New Roman" w:cs="Arial"/>
                <w:color w:val="000000"/>
                <w:sz w:val="18"/>
                <w:szCs w:val="18"/>
                <w:lang w:eastAsia="en-GB"/>
              </w:rPr>
            </w:pPr>
            <w:r>
              <w:rPr>
                <w:rFonts w:eastAsia="Times New Roman" w:cs="Arial"/>
                <w:color w:val="000000"/>
                <w:sz w:val="18"/>
                <w:szCs w:val="18"/>
                <w:lang w:eastAsia="en-GB"/>
              </w:rPr>
              <w:t>2020</w:t>
            </w:r>
          </w:p>
          <w:p w14:paraId="46DBCEDB" w14:textId="77777777" w:rsidR="0062136D" w:rsidRDefault="0062136D" w:rsidP="00307AF7">
            <w:pPr>
              <w:spacing w:after="0" w:line="240" w:lineRule="auto"/>
              <w:jc w:val="center"/>
              <w:rPr>
                <w:rFonts w:eastAsia="Times New Roman" w:cs="Arial"/>
                <w:color w:val="000000"/>
                <w:sz w:val="18"/>
                <w:szCs w:val="18"/>
                <w:lang w:eastAsia="en-GB"/>
              </w:rPr>
            </w:pPr>
          </w:p>
          <w:p w14:paraId="2CFA3F69" w14:textId="3B8B2BF3" w:rsidR="0062136D" w:rsidRPr="0009032D" w:rsidRDefault="0062136D" w:rsidP="00307AF7">
            <w:pPr>
              <w:spacing w:after="0" w:line="240" w:lineRule="auto"/>
              <w:jc w:val="center"/>
              <w:rPr>
                <w:rFonts w:eastAsia="Times New Roman" w:cs="Arial"/>
                <w:color w:val="000000"/>
                <w:sz w:val="18"/>
                <w:szCs w:val="18"/>
                <w:lang w:eastAsia="en-GB"/>
              </w:rPr>
            </w:pPr>
          </w:p>
        </w:tc>
        <w:tc>
          <w:tcPr>
            <w:tcW w:w="692" w:type="pct"/>
            <w:tcBorders>
              <w:top w:val="nil"/>
              <w:left w:val="single" w:sz="8" w:space="0" w:color="auto"/>
              <w:bottom w:val="nil"/>
              <w:right w:val="single" w:sz="8" w:space="0" w:color="808080"/>
            </w:tcBorders>
            <w:noWrap/>
            <w:vAlign w:val="center"/>
            <w:hideMark/>
          </w:tcPr>
          <w:p w14:paraId="5B9DD04C" w14:textId="42F868F3" w:rsidR="0062136D" w:rsidRDefault="0062136D" w:rsidP="00307AF7">
            <w:pPr>
              <w:spacing w:after="0" w:line="240" w:lineRule="auto"/>
              <w:jc w:val="center"/>
              <w:rPr>
                <w:rFonts w:eastAsia="Times New Roman" w:cs="Arial"/>
                <w:color w:val="000000"/>
                <w:sz w:val="18"/>
                <w:szCs w:val="18"/>
                <w:lang w:eastAsia="en-GB"/>
              </w:rPr>
            </w:pPr>
            <w:r>
              <w:rPr>
                <w:rFonts w:eastAsia="Times New Roman" w:cs="Arial"/>
                <w:color w:val="000000"/>
                <w:sz w:val="18"/>
                <w:szCs w:val="18"/>
                <w:lang w:eastAsia="en-GB"/>
              </w:rPr>
              <w:t>18. 4. 2016</w:t>
            </w:r>
          </w:p>
          <w:p w14:paraId="2FBCEC11" w14:textId="77777777" w:rsidR="0062136D" w:rsidRDefault="0062136D" w:rsidP="00307AF7">
            <w:pPr>
              <w:spacing w:after="0" w:line="240" w:lineRule="auto"/>
              <w:jc w:val="center"/>
              <w:rPr>
                <w:rFonts w:eastAsia="Times New Roman" w:cs="Arial"/>
                <w:color w:val="000000"/>
                <w:sz w:val="18"/>
                <w:szCs w:val="18"/>
                <w:lang w:eastAsia="en-GB"/>
              </w:rPr>
            </w:pPr>
          </w:p>
          <w:p w14:paraId="175F6189" w14:textId="6AF07C77" w:rsidR="00A571C0" w:rsidRPr="0009032D" w:rsidRDefault="00A571C0" w:rsidP="00307AF7">
            <w:pPr>
              <w:spacing w:after="0" w:line="240" w:lineRule="auto"/>
              <w:jc w:val="center"/>
              <w:rPr>
                <w:rFonts w:eastAsia="Times New Roman" w:cs="Arial"/>
                <w:color w:val="000000"/>
                <w:sz w:val="18"/>
                <w:szCs w:val="18"/>
                <w:lang w:eastAsia="en-GB"/>
              </w:rPr>
            </w:pPr>
          </w:p>
        </w:tc>
        <w:tc>
          <w:tcPr>
            <w:tcW w:w="616" w:type="pct"/>
            <w:tcBorders>
              <w:top w:val="nil"/>
              <w:left w:val="nil"/>
              <w:bottom w:val="nil"/>
              <w:right w:val="single" w:sz="8" w:space="0" w:color="auto"/>
            </w:tcBorders>
            <w:noWrap/>
            <w:vAlign w:val="center"/>
            <w:hideMark/>
          </w:tcPr>
          <w:p w14:paraId="42C80036" w14:textId="7D1B8399" w:rsidR="0062136D" w:rsidRDefault="0062136D" w:rsidP="00307AF7">
            <w:pPr>
              <w:spacing w:after="0" w:line="240" w:lineRule="auto"/>
              <w:jc w:val="center"/>
              <w:rPr>
                <w:rFonts w:eastAsia="Times New Roman" w:cs="Arial"/>
                <w:color w:val="000000"/>
                <w:sz w:val="18"/>
                <w:szCs w:val="18"/>
                <w:lang w:eastAsia="en-GB"/>
              </w:rPr>
            </w:pPr>
            <w:r>
              <w:rPr>
                <w:rFonts w:eastAsia="Times New Roman" w:cs="Arial"/>
                <w:color w:val="000000"/>
                <w:sz w:val="18"/>
                <w:szCs w:val="18"/>
                <w:lang w:eastAsia="en-GB"/>
              </w:rPr>
              <w:t>341/2016</w:t>
            </w:r>
          </w:p>
          <w:p w14:paraId="23FDED63" w14:textId="77777777" w:rsidR="0062136D" w:rsidRDefault="0062136D" w:rsidP="00307AF7">
            <w:pPr>
              <w:spacing w:after="0" w:line="240" w:lineRule="auto"/>
              <w:jc w:val="center"/>
              <w:rPr>
                <w:rFonts w:eastAsia="Times New Roman" w:cs="Arial"/>
                <w:color w:val="000000"/>
                <w:sz w:val="18"/>
                <w:szCs w:val="18"/>
                <w:lang w:eastAsia="en-GB"/>
              </w:rPr>
            </w:pPr>
          </w:p>
          <w:p w14:paraId="412D75B3" w14:textId="27669810" w:rsidR="00A571C0" w:rsidRPr="0009032D" w:rsidRDefault="00A571C0" w:rsidP="00307AF7">
            <w:pPr>
              <w:spacing w:after="0" w:line="240" w:lineRule="auto"/>
              <w:jc w:val="center"/>
              <w:rPr>
                <w:rFonts w:eastAsia="Times New Roman" w:cs="Arial"/>
                <w:color w:val="000000"/>
                <w:sz w:val="18"/>
                <w:szCs w:val="18"/>
                <w:lang w:eastAsia="en-GB"/>
              </w:rPr>
            </w:pPr>
          </w:p>
        </w:tc>
      </w:tr>
      <w:tr w:rsidR="001F6785" w:rsidRPr="00ED79BC" w14:paraId="6B96F7BC" w14:textId="77777777" w:rsidTr="00307AF7">
        <w:trPr>
          <w:trHeight w:val="510"/>
          <w:jc w:val="center"/>
        </w:trPr>
        <w:tc>
          <w:tcPr>
            <w:tcW w:w="457" w:type="pct"/>
            <w:vMerge/>
            <w:tcBorders>
              <w:top w:val="nil"/>
              <w:left w:val="single" w:sz="8" w:space="0" w:color="auto"/>
              <w:bottom w:val="single" w:sz="8" w:space="0" w:color="000000"/>
              <w:right w:val="single" w:sz="8" w:space="0" w:color="auto"/>
            </w:tcBorders>
            <w:shd w:val="clear" w:color="000000" w:fill="F2F2F2"/>
            <w:noWrap/>
            <w:vAlign w:val="center"/>
          </w:tcPr>
          <w:p w14:paraId="5D2F0C2F" w14:textId="77777777" w:rsidR="001F6785" w:rsidRPr="0050401D" w:rsidRDefault="001F6785" w:rsidP="00307AF7">
            <w:pPr>
              <w:spacing w:after="0" w:line="240" w:lineRule="auto"/>
              <w:jc w:val="center"/>
              <w:rPr>
                <w:rFonts w:eastAsia="Times New Roman" w:cs="Arial"/>
                <w:b/>
                <w:bCs/>
                <w:color w:val="000000"/>
                <w:sz w:val="18"/>
                <w:szCs w:val="18"/>
                <w:lang w:eastAsia="en-GB"/>
              </w:rPr>
            </w:pPr>
          </w:p>
        </w:tc>
        <w:tc>
          <w:tcPr>
            <w:tcW w:w="2610" w:type="pct"/>
            <w:tcBorders>
              <w:top w:val="nil"/>
              <w:left w:val="nil"/>
              <w:bottom w:val="nil"/>
              <w:right w:val="nil"/>
            </w:tcBorders>
            <w:vAlign w:val="center"/>
          </w:tcPr>
          <w:p w14:paraId="70F35D62" w14:textId="5BCA285B" w:rsidR="001F6785" w:rsidRPr="009A3150" w:rsidRDefault="001F6785" w:rsidP="0062136D">
            <w:pPr>
              <w:spacing w:after="0" w:line="240" w:lineRule="auto"/>
              <w:rPr>
                <w:rFonts w:eastAsia="Times New Roman" w:cs="Arial"/>
                <w:b/>
                <w:bCs/>
                <w:color w:val="000000"/>
                <w:sz w:val="18"/>
                <w:szCs w:val="18"/>
                <w:lang w:eastAsia="en-GB"/>
              </w:rPr>
            </w:pPr>
            <w:r w:rsidRPr="0009032D">
              <w:rPr>
                <w:rFonts w:eastAsia="Times New Roman" w:cs="Arial"/>
                <w:b/>
                <w:bCs/>
                <w:color w:val="000000"/>
                <w:sz w:val="18"/>
                <w:szCs w:val="18"/>
                <w:lang w:eastAsia="en-GB"/>
              </w:rPr>
              <w:t>Koncepce činnosti Grantové agentury České republiky 2021+</w:t>
            </w:r>
          </w:p>
        </w:tc>
        <w:tc>
          <w:tcPr>
            <w:tcW w:w="625" w:type="pct"/>
            <w:tcBorders>
              <w:top w:val="nil"/>
              <w:left w:val="single" w:sz="8" w:space="0" w:color="auto"/>
              <w:bottom w:val="nil"/>
              <w:right w:val="nil"/>
            </w:tcBorders>
            <w:vAlign w:val="center"/>
          </w:tcPr>
          <w:p w14:paraId="43527189" w14:textId="6521D075" w:rsidR="001F6785" w:rsidRDefault="001F6785" w:rsidP="00307AF7">
            <w:pPr>
              <w:spacing w:after="0" w:line="240" w:lineRule="auto"/>
              <w:jc w:val="center"/>
              <w:rPr>
                <w:rFonts w:eastAsia="Times New Roman" w:cs="Arial"/>
                <w:color w:val="000000"/>
                <w:sz w:val="18"/>
                <w:szCs w:val="18"/>
                <w:lang w:eastAsia="en-GB"/>
              </w:rPr>
            </w:pPr>
            <w:r>
              <w:rPr>
                <w:rFonts w:eastAsia="Times New Roman" w:cs="Arial"/>
                <w:color w:val="000000"/>
                <w:sz w:val="18"/>
                <w:szCs w:val="18"/>
                <w:lang w:eastAsia="en-GB"/>
              </w:rPr>
              <w:t>2021+</w:t>
            </w:r>
          </w:p>
        </w:tc>
        <w:tc>
          <w:tcPr>
            <w:tcW w:w="692" w:type="pct"/>
            <w:tcBorders>
              <w:top w:val="nil"/>
              <w:left w:val="single" w:sz="8" w:space="0" w:color="auto"/>
              <w:bottom w:val="nil"/>
              <w:right w:val="single" w:sz="8" w:space="0" w:color="808080"/>
            </w:tcBorders>
            <w:noWrap/>
            <w:vAlign w:val="center"/>
          </w:tcPr>
          <w:p w14:paraId="4CDA7534" w14:textId="26E3DB37" w:rsidR="001F6785" w:rsidRDefault="001F6785" w:rsidP="00307AF7">
            <w:pPr>
              <w:spacing w:after="0" w:line="240" w:lineRule="auto"/>
              <w:jc w:val="center"/>
              <w:rPr>
                <w:rFonts w:eastAsia="Times New Roman" w:cs="Arial"/>
                <w:color w:val="000000"/>
                <w:sz w:val="18"/>
                <w:szCs w:val="18"/>
                <w:lang w:eastAsia="en-GB"/>
              </w:rPr>
            </w:pPr>
            <w:r w:rsidRPr="0009032D">
              <w:rPr>
                <w:rFonts w:eastAsia="Times New Roman" w:cs="Arial"/>
                <w:color w:val="000000"/>
                <w:sz w:val="18"/>
                <w:szCs w:val="18"/>
                <w:lang w:eastAsia="en-GB"/>
              </w:rPr>
              <w:t>1</w:t>
            </w:r>
            <w:r>
              <w:rPr>
                <w:rFonts w:eastAsia="Times New Roman" w:cs="Arial"/>
                <w:color w:val="000000"/>
                <w:sz w:val="18"/>
                <w:szCs w:val="18"/>
                <w:lang w:eastAsia="en-GB"/>
              </w:rPr>
              <w:t>8</w:t>
            </w:r>
            <w:r w:rsidRPr="0009032D">
              <w:rPr>
                <w:rFonts w:eastAsia="Times New Roman" w:cs="Arial"/>
                <w:color w:val="000000"/>
                <w:sz w:val="18"/>
                <w:szCs w:val="18"/>
                <w:lang w:eastAsia="en-GB"/>
              </w:rPr>
              <w:t>. 11. 2021</w:t>
            </w:r>
          </w:p>
        </w:tc>
        <w:tc>
          <w:tcPr>
            <w:tcW w:w="616" w:type="pct"/>
            <w:tcBorders>
              <w:top w:val="nil"/>
              <w:left w:val="nil"/>
              <w:bottom w:val="nil"/>
              <w:right w:val="single" w:sz="8" w:space="0" w:color="auto"/>
            </w:tcBorders>
            <w:noWrap/>
            <w:vAlign w:val="center"/>
          </w:tcPr>
          <w:p w14:paraId="73CF1CF6" w14:textId="25E462C0" w:rsidR="001F6785" w:rsidRDefault="001F6785" w:rsidP="00307AF7">
            <w:pPr>
              <w:spacing w:after="0" w:line="240" w:lineRule="auto"/>
              <w:jc w:val="center"/>
              <w:rPr>
                <w:rFonts w:eastAsia="Times New Roman" w:cs="Arial"/>
                <w:color w:val="000000"/>
                <w:sz w:val="18"/>
                <w:szCs w:val="18"/>
                <w:lang w:eastAsia="en-GB"/>
              </w:rPr>
            </w:pPr>
            <w:r w:rsidRPr="0009032D">
              <w:rPr>
                <w:rFonts w:eastAsia="Times New Roman" w:cs="Arial"/>
                <w:color w:val="000000"/>
                <w:sz w:val="18"/>
                <w:szCs w:val="18"/>
                <w:lang w:eastAsia="en-GB"/>
              </w:rPr>
              <w:t>1021/2021</w:t>
            </w:r>
          </w:p>
        </w:tc>
      </w:tr>
      <w:tr w:rsidR="00A571C0" w:rsidRPr="00ED79BC" w14:paraId="7931842F" w14:textId="77777777" w:rsidTr="00307AF7">
        <w:trPr>
          <w:trHeight w:val="60"/>
          <w:jc w:val="center"/>
        </w:trPr>
        <w:tc>
          <w:tcPr>
            <w:tcW w:w="457" w:type="pct"/>
            <w:vMerge/>
            <w:tcBorders>
              <w:top w:val="nil"/>
              <w:left w:val="single" w:sz="8" w:space="0" w:color="auto"/>
              <w:bottom w:val="single" w:sz="8" w:space="0" w:color="000000"/>
              <w:right w:val="single" w:sz="8" w:space="0" w:color="auto"/>
            </w:tcBorders>
            <w:vAlign w:val="center"/>
            <w:hideMark/>
          </w:tcPr>
          <w:p w14:paraId="60F5690E" w14:textId="77777777" w:rsidR="00A571C0" w:rsidRPr="00ED79BC" w:rsidRDefault="00A571C0" w:rsidP="00307AF7">
            <w:pPr>
              <w:spacing w:after="0" w:line="240" w:lineRule="auto"/>
              <w:rPr>
                <w:rFonts w:eastAsia="Times New Roman" w:cs="Arial"/>
                <w:b/>
                <w:bCs/>
                <w:color w:val="000000"/>
                <w:sz w:val="18"/>
                <w:szCs w:val="18"/>
                <w:highlight w:val="yellow"/>
                <w:lang w:eastAsia="en-GB"/>
              </w:rPr>
            </w:pPr>
          </w:p>
        </w:tc>
        <w:tc>
          <w:tcPr>
            <w:tcW w:w="2610" w:type="pct"/>
            <w:tcBorders>
              <w:top w:val="nil"/>
              <w:left w:val="nil"/>
              <w:bottom w:val="single" w:sz="8" w:space="0" w:color="auto"/>
              <w:right w:val="nil"/>
            </w:tcBorders>
            <w:vAlign w:val="center"/>
            <w:hideMark/>
          </w:tcPr>
          <w:p w14:paraId="41CC25F0" w14:textId="77777777" w:rsidR="00A571C0" w:rsidRPr="0009032D" w:rsidRDefault="00A571C0" w:rsidP="00307AF7">
            <w:pPr>
              <w:spacing w:after="0" w:line="240" w:lineRule="auto"/>
              <w:rPr>
                <w:rFonts w:eastAsia="Times New Roman" w:cs="Arial"/>
                <w:color w:val="000000"/>
                <w:sz w:val="18"/>
                <w:szCs w:val="18"/>
                <w:lang w:eastAsia="en-GB"/>
              </w:rPr>
            </w:pPr>
          </w:p>
        </w:tc>
        <w:tc>
          <w:tcPr>
            <w:tcW w:w="625" w:type="pct"/>
            <w:tcBorders>
              <w:top w:val="nil"/>
              <w:left w:val="single" w:sz="8" w:space="0" w:color="auto"/>
              <w:bottom w:val="single" w:sz="8" w:space="0" w:color="auto"/>
              <w:right w:val="nil"/>
            </w:tcBorders>
            <w:vAlign w:val="center"/>
            <w:hideMark/>
          </w:tcPr>
          <w:p w14:paraId="4FD83896" w14:textId="77777777" w:rsidR="00A571C0" w:rsidRPr="0009032D" w:rsidRDefault="00A571C0" w:rsidP="00307AF7">
            <w:pPr>
              <w:spacing w:after="0" w:line="240" w:lineRule="auto"/>
              <w:jc w:val="center"/>
              <w:rPr>
                <w:rFonts w:eastAsia="Times New Roman" w:cs="Arial"/>
                <w:color w:val="000000"/>
                <w:sz w:val="18"/>
                <w:szCs w:val="18"/>
                <w:lang w:eastAsia="en-GB"/>
              </w:rPr>
            </w:pPr>
            <w:r w:rsidRPr="0009032D">
              <w:rPr>
                <w:rFonts w:eastAsia="Times New Roman" w:cs="Arial"/>
                <w:color w:val="000000"/>
                <w:sz w:val="18"/>
                <w:szCs w:val="18"/>
                <w:lang w:eastAsia="en-GB"/>
              </w:rPr>
              <w:t> </w:t>
            </w:r>
          </w:p>
        </w:tc>
        <w:tc>
          <w:tcPr>
            <w:tcW w:w="692" w:type="pct"/>
            <w:tcBorders>
              <w:top w:val="nil"/>
              <w:left w:val="single" w:sz="8" w:space="0" w:color="auto"/>
              <w:bottom w:val="single" w:sz="8" w:space="0" w:color="auto"/>
              <w:right w:val="single" w:sz="8" w:space="0" w:color="808080"/>
            </w:tcBorders>
            <w:noWrap/>
            <w:vAlign w:val="center"/>
            <w:hideMark/>
          </w:tcPr>
          <w:p w14:paraId="34FFA883" w14:textId="77777777" w:rsidR="00A571C0" w:rsidRPr="0009032D" w:rsidRDefault="00A571C0" w:rsidP="00307AF7">
            <w:pPr>
              <w:spacing w:after="0" w:line="240" w:lineRule="auto"/>
              <w:rPr>
                <w:rFonts w:eastAsia="Times New Roman" w:cs="Arial"/>
                <w:color w:val="000000"/>
                <w:sz w:val="18"/>
                <w:szCs w:val="18"/>
                <w:lang w:eastAsia="en-GB"/>
              </w:rPr>
            </w:pPr>
            <w:r w:rsidRPr="0009032D">
              <w:rPr>
                <w:rFonts w:eastAsia="Times New Roman" w:cs="Arial"/>
                <w:color w:val="000000"/>
                <w:sz w:val="18"/>
                <w:szCs w:val="18"/>
                <w:lang w:eastAsia="en-GB"/>
              </w:rPr>
              <w:t> </w:t>
            </w:r>
          </w:p>
        </w:tc>
        <w:tc>
          <w:tcPr>
            <w:tcW w:w="616" w:type="pct"/>
            <w:tcBorders>
              <w:top w:val="nil"/>
              <w:left w:val="nil"/>
              <w:bottom w:val="single" w:sz="8" w:space="0" w:color="auto"/>
              <w:right w:val="single" w:sz="8" w:space="0" w:color="auto"/>
            </w:tcBorders>
            <w:noWrap/>
            <w:vAlign w:val="center"/>
            <w:hideMark/>
          </w:tcPr>
          <w:p w14:paraId="4EF07125" w14:textId="77777777" w:rsidR="00A571C0" w:rsidRPr="0009032D" w:rsidRDefault="00A571C0" w:rsidP="00307AF7">
            <w:pPr>
              <w:spacing w:after="0" w:line="240" w:lineRule="auto"/>
              <w:jc w:val="center"/>
              <w:rPr>
                <w:rFonts w:eastAsia="Times New Roman" w:cs="Arial"/>
                <w:color w:val="000000"/>
                <w:sz w:val="18"/>
                <w:szCs w:val="18"/>
                <w:lang w:eastAsia="en-GB"/>
              </w:rPr>
            </w:pPr>
            <w:r w:rsidRPr="0009032D">
              <w:rPr>
                <w:rFonts w:eastAsia="Times New Roman" w:cs="Arial"/>
                <w:color w:val="000000"/>
                <w:sz w:val="18"/>
                <w:szCs w:val="18"/>
                <w:lang w:eastAsia="en-GB"/>
              </w:rPr>
              <w:t> </w:t>
            </w:r>
          </w:p>
        </w:tc>
      </w:tr>
      <w:tr w:rsidR="00A571C0" w:rsidRPr="00ED79BC" w14:paraId="60363DC3" w14:textId="77777777" w:rsidTr="001F6785">
        <w:trPr>
          <w:trHeight w:val="510"/>
          <w:jc w:val="center"/>
        </w:trPr>
        <w:tc>
          <w:tcPr>
            <w:tcW w:w="457" w:type="pct"/>
            <w:vMerge w:val="restart"/>
            <w:tcBorders>
              <w:top w:val="nil"/>
              <w:left w:val="single" w:sz="8" w:space="0" w:color="auto"/>
              <w:bottom w:val="single" w:sz="8" w:space="0" w:color="000000"/>
              <w:right w:val="single" w:sz="8" w:space="0" w:color="auto"/>
            </w:tcBorders>
            <w:shd w:val="clear" w:color="000000" w:fill="F2F2F2"/>
            <w:noWrap/>
            <w:vAlign w:val="center"/>
            <w:hideMark/>
          </w:tcPr>
          <w:p w14:paraId="7BA906EA" w14:textId="77777777" w:rsidR="00A571C0" w:rsidRPr="002250D0" w:rsidRDefault="00A571C0" w:rsidP="00307AF7">
            <w:pPr>
              <w:spacing w:after="0" w:line="240" w:lineRule="auto"/>
              <w:jc w:val="center"/>
              <w:rPr>
                <w:rFonts w:eastAsia="Times New Roman" w:cs="Arial"/>
                <w:b/>
                <w:bCs/>
                <w:color w:val="000000"/>
                <w:sz w:val="18"/>
                <w:szCs w:val="18"/>
                <w:lang w:eastAsia="en-GB"/>
              </w:rPr>
            </w:pPr>
            <w:r w:rsidRPr="002250D0">
              <w:rPr>
                <w:rFonts w:eastAsia="Times New Roman" w:cs="Arial"/>
                <w:b/>
                <w:bCs/>
                <w:color w:val="000000"/>
                <w:sz w:val="18"/>
                <w:szCs w:val="18"/>
                <w:lang w:eastAsia="en-GB"/>
              </w:rPr>
              <w:t>TA ČR</w:t>
            </w:r>
          </w:p>
        </w:tc>
        <w:tc>
          <w:tcPr>
            <w:tcW w:w="2610" w:type="pct"/>
            <w:tcBorders>
              <w:top w:val="nil"/>
              <w:left w:val="nil"/>
              <w:bottom w:val="nil"/>
              <w:right w:val="nil"/>
            </w:tcBorders>
            <w:shd w:val="clear" w:color="auto" w:fill="F2DBDB" w:themeFill="accent2" w:themeFillTint="33"/>
            <w:vAlign w:val="center"/>
            <w:hideMark/>
          </w:tcPr>
          <w:p w14:paraId="70A34D94" w14:textId="77777777" w:rsidR="001F6785" w:rsidRDefault="001F6785" w:rsidP="001F6785">
            <w:pPr>
              <w:spacing w:line="240" w:lineRule="auto"/>
              <w:rPr>
                <w:rFonts w:eastAsia="Times New Roman" w:cs="Arial"/>
                <w:b/>
                <w:bCs/>
                <w:color w:val="000000"/>
                <w:sz w:val="18"/>
                <w:szCs w:val="18"/>
                <w:lang w:eastAsia="en-GB"/>
              </w:rPr>
            </w:pPr>
            <w:r>
              <w:rPr>
                <w:rFonts w:eastAsia="Times New Roman" w:cs="Arial"/>
                <w:b/>
                <w:bCs/>
                <w:color w:val="000000"/>
                <w:sz w:val="18"/>
                <w:szCs w:val="18"/>
                <w:lang w:eastAsia="en-GB"/>
              </w:rPr>
              <w:t>Strategie Technologické agentury ČR (STRATA 2020)</w:t>
            </w:r>
          </w:p>
          <w:p w14:paraId="4E7C0B2F" w14:textId="7533197D" w:rsidR="001F6785" w:rsidRPr="001F6785" w:rsidRDefault="001F6785" w:rsidP="001F6785">
            <w:pPr>
              <w:spacing w:line="240" w:lineRule="auto"/>
              <w:rPr>
                <w:rFonts w:eastAsia="Times New Roman" w:cs="Arial"/>
                <w:color w:val="000000"/>
                <w:sz w:val="18"/>
                <w:szCs w:val="18"/>
                <w:lang w:eastAsia="en-GB"/>
              </w:rPr>
            </w:pPr>
            <w:hyperlink r:id="rId94" w:history="1">
              <w:r w:rsidRPr="001F6785">
                <w:rPr>
                  <w:rFonts w:eastAsia="Times New Roman" w:cs="Arial"/>
                  <w:color w:val="000000"/>
                  <w:sz w:val="18"/>
                  <w:szCs w:val="18"/>
                  <w:lang w:eastAsia="en-GB"/>
                </w:rPr>
                <w:t>https://tacr.gov.cz/dokums_raw/urednideska/strata2020.pdf</w:t>
              </w:r>
            </w:hyperlink>
          </w:p>
          <w:p w14:paraId="1E7B4B5A" w14:textId="35ACD985" w:rsidR="00A571C0" w:rsidRPr="002250D0" w:rsidRDefault="00A571C0" w:rsidP="001F6785">
            <w:pPr>
              <w:spacing w:line="240" w:lineRule="auto"/>
              <w:rPr>
                <w:rFonts w:eastAsia="Times New Roman" w:cs="Arial"/>
                <w:b/>
                <w:bCs/>
                <w:color w:val="000000"/>
                <w:sz w:val="18"/>
                <w:szCs w:val="18"/>
                <w:lang w:eastAsia="en-GB"/>
              </w:rPr>
            </w:pPr>
          </w:p>
        </w:tc>
        <w:tc>
          <w:tcPr>
            <w:tcW w:w="625" w:type="pct"/>
            <w:tcBorders>
              <w:top w:val="nil"/>
              <w:left w:val="single" w:sz="8" w:space="0" w:color="auto"/>
              <w:bottom w:val="nil"/>
              <w:right w:val="nil"/>
            </w:tcBorders>
            <w:shd w:val="clear" w:color="auto" w:fill="F2DBDB" w:themeFill="accent2" w:themeFillTint="33"/>
            <w:vAlign w:val="center"/>
            <w:hideMark/>
          </w:tcPr>
          <w:p w14:paraId="7E9DB4EF" w14:textId="718C75D7" w:rsidR="00A571C0" w:rsidRDefault="00A571C0" w:rsidP="00307AF7">
            <w:pPr>
              <w:spacing w:after="0" w:line="240" w:lineRule="auto"/>
              <w:jc w:val="center"/>
              <w:rPr>
                <w:rFonts w:eastAsia="Times New Roman" w:cs="Arial"/>
                <w:color w:val="000000"/>
                <w:sz w:val="18"/>
                <w:szCs w:val="18"/>
                <w:lang w:eastAsia="en-GB"/>
              </w:rPr>
            </w:pPr>
            <w:r w:rsidRPr="002250D0">
              <w:rPr>
                <w:rFonts w:eastAsia="Times New Roman" w:cs="Arial"/>
                <w:color w:val="000000"/>
                <w:sz w:val="18"/>
                <w:szCs w:val="18"/>
                <w:lang w:eastAsia="en-GB"/>
              </w:rPr>
              <w:t>202</w:t>
            </w:r>
            <w:r w:rsidR="001F6785">
              <w:rPr>
                <w:rFonts w:eastAsia="Times New Roman" w:cs="Arial"/>
                <w:color w:val="000000"/>
                <w:sz w:val="18"/>
                <w:szCs w:val="18"/>
                <w:lang w:eastAsia="en-GB"/>
              </w:rPr>
              <w:t>0</w:t>
            </w:r>
          </w:p>
          <w:p w14:paraId="5EDC5B69" w14:textId="77777777" w:rsidR="001F6785" w:rsidRDefault="001F6785" w:rsidP="00307AF7">
            <w:pPr>
              <w:spacing w:after="0" w:line="240" w:lineRule="auto"/>
              <w:jc w:val="center"/>
              <w:rPr>
                <w:rFonts w:eastAsia="Times New Roman" w:cs="Arial"/>
                <w:color w:val="000000"/>
                <w:sz w:val="18"/>
                <w:szCs w:val="18"/>
                <w:lang w:eastAsia="en-GB"/>
              </w:rPr>
            </w:pPr>
          </w:p>
          <w:p w14:paraId="4197A3B7" w14:textId="77777777" w:rsidR="001F6785" w:rsidRDefault="001F6785" w:rsidP="00307AF7">
            <w:pPr>
              <w:spacing w:after="0" w:line="240" w:lineRule="auto"/>
              <w:jc w:val="center"/>
              <w:rPr>
                <w:rFonts w:eastAsia="Times New Roman" w:cs="Arial"/>
                <w:color w:val="000000"/>
                <w:sz w:val="18"/>
                <w:szCs w:val="18"/>
                <w:lang w:eastAsia="en-GB"/>
              </w:rPr>
            </w:pPr>
          </w:p>
          <w:p w14:paraId="7B067769" w14:textId="7E96AA4E" w:rsidR="001F6785" w:rsidRPr="002250D0" w:rsidRDefault="001F6785" w:rsidP="00307AF7">
            <w:pPr>
              <w:spacing w:after="0" w:line="240" w:lineRule="auto"/>
              <w:jc w:val="center"/>
              <w:rPr>
                <w:rFonts w:eastAsia="Times New Roman" w:cs="Arial"/>
                <w:color w:val="000000"/>
                <w:sz w:val="18"/>
                <w:szCs w:val="18"/>
                <w:lang w:eastAsia="en-GB"/>
              </w:rPr>
            </w:pPr>
          </w:p>
        </w:tc>
        <w:tc>
          <w:tcPr>
            <w:tcW w:w="692" w:type="pct"/>
            <w:tcBorders>
              <w:top w:val="nil"/>
              <w:left w:val="single" w:sz="8" w:space="0" w:color="auto"/>
              <w:bottom w:val="nil"/>
              <w:right w:val="single" w:sz="8" w:space="0" w:color="808080"/>
            </w:tcBorders>
            <w:noWrap/>
            <w:vAlign w:val="center"/>
            <w:hideMark/>
          </w:tcPr>
          <w:p w14:paraId="54C6E5B9" w14:textId="3D155217" w:rsidR="001F6785" w:rsidRDefault="002C40F0" w:rsidP="00307AF7">
            <w:pPr>
              <w:spacing w:after="0" w:line="240" w:lineRule="auto"/>
              <w:jc w:val="center"/>
              <w:rPr>
                <w:rFonts w:eastAsia="Times New Roman" w:cs="Arial"/>
                <w:color w:val="000000"/>
                <w:sz w:val="18"/>
                <w:szCs w:val="18"/>
                <w:lang w:eastAsia="en-GB"/>
              </w:rPr>
            </w:pPr>
            <w:r w:rsidRPr="00F443F1">
              <w:rPr>
                <w:rFonts w:eastAsia="Times New Roman" w:cs="Arial"/>
                <w:color w:val="000000"/>
                <w:sz w:val="18"/>
                <w:szCs w:val="18"/>
                <w:lang w:eastAsia="en-GB"/>
              </w:rPr>
              <w:t>x</w:t>
            </w:r>
          </w:p>
          <w:p w14:paraId="411AEF0F" w14:textId="77777777" w:rsidR="001F6785" w:rsidRDefault="001F6785" w:rsidP="00307AF7">
            <w:pPr>
              <w:spacing w:after="0" w:line="240" w:lineRule="auto"/>
              <w:jc w:val="center"/>
              <w:rPr>
                <w:rFonts w:eastAsia="Times New Roman" w:cs="Arial"/>
                <w:color w:val="000000"/>
                <w:sz w:val="18"/>
                <w:szCs w:val="18"/>
                <w:lang w:eastAsia="en-GB"/>
              </w:rPr>
            </w:pPr>
          </w:p>
          <w:p w14:paraId="7C1F845E" w14:textId="77777777" w:rsidR="001F6785" w:rsidRDefault="001F6785" w:rsidP="00307AF7">
            <w:pPr>
              <w:spacing w:after="0" w:line="240" w:lineRule="auto"/>
              <w:jc w:val="center"/>
              <w:rPr>
                <w:rFonts w:eastAsia="Times New Roman" w:cs="Arial"/>
                <w:color w:val="000000"/>
                <w:sz w:val="18"/>
                <w:szCs w:val="18"/>
                <w:lang w:eastAsia="en-GB"/>
              </w:rPr>
            </w:pPr>
          </w:p>
          <w:p w14:paraId="421FEE6E" w14:textId="45A9273F" w:rsidR="00A571C0" w:rsidRPr="002250D0" w:rsidRDefault="00A571C0" w:rsidP="00307AF7">
            <w:pPr>
              <w:spacing w:after="0" w:line="240" w:lineRule="auto"/>
              <w:jc w:val="center"/>
              <w:rPr>
                <w:rFonts w:eastAsia="Times New Roman" w:cs="Arial"/>
                <w:color w:val="000000"/>
                <w:sz w:val="18"/>
                <w:szCs w:val="18"/>
                <w:lang w:eastAsia="en-GB"/>
              </w:rPr>
            </w:pPr>
          </w:p>
        </w:tc>
        <w:tc>
          <w:tcPr>
            <w:tcW w:w="616" w:type="pct"/>
            <w:tcBorders>
              <w:top w:val="nil"/>
              <w:left w:val="nil"/>
              <w:bottom w:val="nil"/>
              <w:right w:val="single" w:sz="8" w:space="0" w:color="auto"/>
            </w:tcBorders>
            <w:noWrap/>
            <w:vAlign w:val="center"/>
            <w:hideMark/>
          </w:tcPr>
          <w:p w14:paraId="40082C6B" w14:textId="4482731A" w:rsidR="001F6785" w:rsidRDefault="002C40F0" w:rsidP="00307AF7">
            <w:pPr>
              <w:spacing w:after="0" w:line="240" w:lineRule="auto"/>
              <w:jc w:val="center"/>
              <w:rPr>
                <w:rFonts w:eastAsia="Times New Roman" w:cs="Arial"/>
                <w:color w:val="000000"/>
                <w:sz w:val="18"/>
                <w:szCs w:val="18"/>
                <w:lang w:eastAsia="en-GB"/>
              </w:rPr>
            </w:pPr>
            <w:r w:rsidRPr="00F443F1">
              <w:rPr>
                <w:rFonts w:eastAsia="Times New Roman" w:cs="Arial"/>
                <w:color w:val="000000"/>
                <w:sz w:val="18"/>
                <w:szCs w:val="18"/>
                <w:lang w:eastAsia="en-GB"/>
              </w:rPr>
              <w:t>x</w:t>
            </w:r>
          </w:p>
          <w:p w14:paraId="622411C3" w14:textId="77777777" w:rsidR="001F6785" w:rsidRDefault="001F6785" w:rsidP="00307AF7">
            <w:pPr>
              <w:spacing w:after="0" w:line="240" w:lineRule="auto"/>
              <w:jc w:val="center"/>
              <w:rPr>
                <w:rFonts w:eastAsia="Times New Roman" w:cs="Arial"/>
                <w:color w:val="000000"/>
                <w:sz w:val="18"/>
                <w:szCs w:val="18"/>
                <w:lang w:eastAsia="en-GB"/>
              </w:rPr>
            </w:pPr>
          </w:p>
          <w:p w14:paraId="5E0AD264" w14:textId="064ED555" w:rsidR="00A571C0" w:rsidRPr="002250D0" w:rsidRDefault="00A571C0" w:rsidP="00307AF7">
            <w:pPr>
              <w:spacing w:after="0" w:line="240" w:lineRule="auto"/>
              <w:jc w:val="center"/>
              <w:rPr>
                <w:rFonts w:eastAsia="Times New Roman" w:cs="Arial"/>
                <w:color w:val="000000"/>
                <w:sz w:val="18"/>
                <w:szCs w:val="18"/>
                <w:lang w:eastAsia="en-GB"/>
              </w:rPr>
            </w:pPr>
            <w:r w:rsidRPr="002250D0">
              <w:rPr>
                <w:rFonts w:eastAsia="Times New Roman" w:cs="Arial"/>
                <w:color w:val="000000"/>
                <w:sz w:val="18"/>
                <w:szCs w:val="18"/>
                <w:lang w:eastAsia="en-GB"/>
              </w:rPr>
              <w:t> </w:t>
            </w:r>
          </w:p>
        </w:tc>
      </w:tr>
      <w:tr w:rsidR="00A571C0" w:rsidRPr="00ED79BC" w14:paraId="6E9A9974" w14:textId="77777777" w:rsidTr="00307AF7">
        <w:trPr>
          <w:trHeight w:val="510"/>
          <w:jc w:val="center"/>
        </w:trPr>
        <w:tc>
          <w:tcPr>
            <w:tcW w:w="457" w:type="pct"/>
            <w:vMerge/>
            <w:tcBorders>
              <w:top w:val="nil"/>
              <w:left w:val="single" w:sz="8" w:space="0" w:color="auto"/>
              <w:bottom w:val="single" w:sz="8" w:space="0" w:color="000000"/>
              <w:right w:val="single" w:sz="8" w:space="0" w:color="auto"/>
            </w:tcBorders>
            <w:vAlign w:val="center"/>
            <w:hideMark/>
          </w:tcPr>
          <w:p w14:paraId="1BEC5036" w14:textId="77777777" w:rsidR="00A571C0" w:rsidRPr="002250D0" w:rsidRDefault="00A571C0" w:rsidP="00307AF7">
            <w:pPr>
              <w:spacing w:after="0" w:line="240" w:lineRule="auto"/>
              <w:rPr>
                <w:rFonts w:eastAsia="Times New Roman" w:cs="Arial"/>
                <w:b/>
                <w:bCs/>
                <w:color w:val="000000"/>
                <w:sz w:val="18"/>
                <w:szCs w:val="18"/>
                <w:lang w:eastAsia="en-GB"/>
              </w:rPr>
            </w:pPr>
          </w:p>
        </w:tc>
        <w:tc>
          <w:tcPr>
            <w:tcW w:w="2610" w:type="pct"/>
            <w:tcBorders>
              <w:top w:val="nil"/>
              <w:left w:val="nil"/>
              <w:bottom w:val="single" w:sz="8" w:space="0" w:color="auto"/>
              <w:right w:val="nil"/>
            </w:tcBorders>
            <w:vAlign w:val="center"/>
            <w:hideMark/>
          </w:tcPr>
          <w:p w14:paraId="5F8E4CB7" w14:textId="77777777" w:rsidR="001F6785" w:rsidRDefault="001F6785" w:rsidP="001F6785">
            <w:pPr>
              <w:spacing w:line="240" w:lineRule="auto"/>
              <w:rPr>
                <w:rFonts w:eastAsia="Times New Roman" w:cs="Arial"/>
                <w:b/>
                <w:bCs/>
                <w:color w:val="000000"/>
                <w:sz w:val="18"/>
                <w:szCs w:val="18"/>
                <w:lang w:eastAsia="en-GB"/>
              </w:rPr>
            </w:pPr>
            <w:r w:rsidRPr="002250D0">
              <w:rPr>
                <w:rFonts w:eastAsia="Times New Roman" w:cs="Arial"/>
                <w:b/>
                <w:bCs/>
                <w:color w:val="000000"/>
                <w:sz w:val="18"/>
                <w:szCs w:val="18"/>
                <w:lang w:eastAsia="en-GB"/>
              </w:rPr>
              <w:t xml:space="preserve">Perspektivy rozvoje Technologické agentury České republiky v rámci systému českého výzkumu, vývoje </w:t>
            </w:r>
            <w:r w:rsidRPr="002250D0">
              <w:rPr>
                <w:rFonts w:eastAsia="Times New Roman" w:cs="Arial"/>
                <w:b/>
                <w:bCs/>
                <w:color w:val="000000"/>
                <w:sz w:val="18"/>
                <w:szCs w:val="18"/>
                <w:lang w:eastAsia="en-GB"/>
              </w:rPr>
              <w:lastRenderedPageBreak/>
              <w:t>a</w:t>
            </w:r>
            <w:r>
              <w:rPr>
                <w:rFonts w:eastAsia="Times New Roman" w:cs="Arial"/>
                <w:b/>
                <w:bCs/>
                <w:color w:val="000000"/>
                <w:sz w:val="18"/>
                <w:szCs w:val="18"/>
                <w:lang w:eastAsia="en-GB"/>
              </w:rPr>
              <w:t> </w:t>
            </w:r>
            <w:r w:rsidRPr="002250D0">
              <w:rPr>
                <w:rFonts w:eastAsia="Times New Roman" w:cs="Arial"/>
                <w:b/>
                <w:bCs/>
                <w:color w:val="000000"/>
                <w:sz w:val="18"/>
                <w:szCs w:val="18"/>
                <w:lang w:eastAsia="en-GB"/>
              </w:rPr>
              <w:t>inovací 2021–2025</w:t>
            </w:r>
          </w:p>
          <w:p w14:paraId="53CDF072" w14:textId="63F24001" w:rsidR="00A571C0" w:rsidRPr="002250D0" w:rsidRDefault="001F6785" w:rsidP="00307AF7">
            <w:pPr>
              <w:spacing w:after="0" w:line="240" w:lineRule="auto"/>
              <w:rPr>
                <w:rFonts w:eastAsia="Times New Roman" w:cs="Arial"/>
                <w:color w:val="000000"/>
                <w:sz w:val="18"/>
                <w:szCs w:val="18"/>
                <w:lang w:eastAsia="en-GB"/>
              </w:rPr>
            </w:pPr>
            <w:r w:rsidRPr="001F6785">
              <w:rPr>
                <w:rFonts w:eastAsia="Times New Roman" w:cs="Arial"/>
                <w:color w:val="000000"/>
                <w:sz w:val="18"/>
                <w:szCs w:val="18"/>
                <w:lang w:eastAsia="en-GB"/>
              </w:rPr>
              <w:t>https://tacr.gov.cz/wp-content/uploads/documents/2021/12/14/1639469384_perspektivy%20rozvoje%20TA%20%C4%8CR.pdf</w:t>
            </w:r>
          </w:p>
        </w:tc>
        <w:tc>
          <w:tcPr>
            <w:tcW w:w="625" w:type="pct"/>
            <w:tcBorders>
              <w:top w:val="nil"/>
              <w:left w:val="single" w:sz="8" w:space="0" w:color="auto"/>
              <w:bottom w:val="single" w:sz="8" w:space="0" w:color="auto"/>
              <w:right w:val="nil"/>
            </w:tcBorders>
            <w:vAlign w:val="center"/>
            <w:hideMark/>
          </w:tcPr>
          <w:p w14:paraId="1E8E3489" w14:textId="751067BF" w:rsidR="00A571C0" w:rsidRPr="002250D0" w:rsidRDefault="00A571C0" w:rsidP="00307AF7">
            <w:pPr>
              <w:spacing w:after="0" w:line="240" w:lineRule="auto"/>
              <w:jc w:val="center"/>
              <w:rPr>
                <w:rFonts w:eastAsia="Times New Roman" w:cs="Arial"/>
                <w:color w:val="000000"/>
                <w:sz w:val="18"/>
                <w:szCs w:val="18"/>
                <w:lang w:eastAsia="en-GB"/>
              </w:rPr>
            </w:pPr>
            <w:r w:rsidRPr="002250D0">
              <w:rPr>
                <w:rFonts w:eastAsia="Times New Roman" w:cs="Arial"/>
                <w:color w:val="000000"/>
                <w:sz w:val="18"/>
                <w:szCs w:val="18"/>
                <w:lang w:eastAsia="en-GB"/>
              </w:rPr>
              <w:lastRenderedPageBreak/>
              <w:t> </w:t>
            </w:r>
            <w:r w:rsidR="001F6785">
              <w:rPr>
                <w:rFonts w:eastAsia="Times New Roman" w:cs="Arial"/>
                <w:color w:val="000000"/>
                <w:sz w:val="18"/>
                <w:szCs w:val="18"/>
                <w:lang w:eastAsia="en-GB"/>
              </w:rPr>
              <w:t>2025</w:t>
            </w:r>
          </w:p>
        </w:tc>
        <w:tc>
          <w:tcPr>
            <w:tcW w:w="692" w:type="pct"/>
            <w:tcBorders>
              <w:top w:val="nil"/>
              <w:left w:val="single" w:sz="8" w:space="0" w:color="auto"/>
              <w:bottom w:val="single" w:sz="8" w:space="0" w:color="auto"/>
              <w:right w:val="single" w:sz="8" w:space="0" w:color="808080"/>
            </w:tcBorders>
            <w:noWrap/>
            <w:vAlign w:val="center"/>
            <w:hideMark/>
          </w:tcPr>
          <w:p w14:paraId="50822D8E" w14:textId="05536E76" w:rsidR="00A571C0" w:rsidRPr="002250D0" w:rsidRDefault="00A571C0" w:rsidP="00307AF7">
            <w:pPr>
              <w:spacing w:after="0" w:line="240" w:lineRule="auto"/>
              <w:jc w:val="center"/>
              <w:rPr>
                <w:rFonts w:eastAsia="Times New Roman" w:cs="Arial"/>
                <w:color w:val="000000"/>
                <w:sz w:val="18"/>
                <w:szCs w:val="18"/>
                <w:lang w:eastAsia="en-GB"/>
              </w:rPr>
            </w:pPr>
            <w:r w:rsidRPr="002250D0">
              <w:rPr>
                <w:rFonts w:eastAsia="Times New Roman" w:cs="Arial"/>
                <w:color w:val="000000"/>
                <w:sz w:val="18"/>
                <w:szCs w:val="18"/>
                <w:lang w:eastAsia="en-GB"/>
              </w:rPr>
              <w:t> </w:t>
            </w:r>
            <w:r w:rsidR="001F6785" w:rsidRPr="002250D0">
              <w:rPr>
                <w:rFonts w:eastAsia="Times New Roman" w:cs="Arial"/>
                <w:color w:val="000000"/>
                <w:sz w:val="18"/>
                <w:szCs w:val="18"/>
                <w:lang w:eastAsia="en-GB"/>
              </w:rPr>
              <w:t>5. 11. 2021 </w:t>
            </w:r>
          </w:p>
        </w:tc>
        <w:tc>
          <w:tcPr>
            <w:tcW w:w="616" w:type="pct"/>
            <w:tcBorders>
              <w:top w:val="nil"/>
              <w:left w:val="nil"/>
              <w:bottom w:val="single" w:sz="8" w:space="0" w:color="auto"/>
              <w:right w:val="single" w:sz="8" w:space="0" w:color="auto"/>
            </w:tcBorders>
            <w:noWrap/>
            <w:vAlign w:val="center"/>
            <w:hideMark/>
          </w:tcPr>
          <w:p w14:paraId="2D1A8CDC" w14:textId="195ADB3F" w:rsidR="00A571C0" w:rsidRPr="002250D0" w:rsidRDefault="00A571C0" w:rsidP="00307AF7">
            <w:pPr>
              <w:spacing w:after="0" w:line="240" w:lineRule="auto"/>
              <w:jc w:val="center"/>
              <w:rPr>
                <w:rFonts w:eastAsia="Times New Roman" w:cs="Arial"/>
                <w:color w:val="000000"/>
                <w:sz w:val="18"/>
                <w:szCs w:val="18"/>
                <w:lang w:eastAsia="en-GB"/>
              </w:rPr>
            </w:pPr>
            <w:r w:rsidRPr="002250D0">
              <w:rPr>
                <w:rFonts w:eastAsia="Times New Roman" w:cs="Arial"/>
                <w:color w:val="000000"/>
                <w:sz w:val="18"/>
                <w:szCs w:val="18"/>
                <w:lang w:eastAsia="en-GB"/>
              </w:rPr>
              <w:t> </w:t>
            </w:r>
            <w:r w:rsidR="001F6785" w:rsidRPr="002250D0">
              <w:rPr>
                <w:rFonts w:eastAsia="Times New Roman" w:cs="Arial"/>
                <w:color w:val="000000"/>
                <w:sz w:val="18"/>
                <w:szCs w:val="18"/>
                <w:lang w:eastAsia="en-GB"/>
              </w:rPr>
              <w:t>964/2021</w:t>
            </w:r>
          </w:p>
        </w:tc>
      </w:tr>
      <w:tr w:rsidR="00A571C0" w:rsidRPr="00ED79BC" w14:paraId="0C14DDCE" w14:textId="77777777" w:rsidTr="001F6785">
        <w:trPr>
          <w:trHeight w:val="432"/>
          <w:jc w:val="center"/>
        </w:trPr>
        <w:tc>
          <w:tcPr>
            <w:tcW w:w="457" w:type="pct"/>
            <w:vMerge w:val="restart"/>
            <w:tcBorders>
              <w:top w:val="nil"/>
              <w:left w:val="single" w:sz="8" w:space="0" w:color="auto"/>
              <w:bottom w:val="single" w:sz="8" w:space="0" w:color="000000"/>
              <w:right w:val="single" w:sz="8" w:space="0" w:color="auto"/>
            </w:tcBorders>
            <w:shd w:val="clear" w:color="000000" w:fill="F2F2F2"/>
            <w:noWrap/>
            <w:vAlign w:val="center"/>
            <w:hideMark/>
          </w:tcPr>
          <w:p w14:paraId="3BFDE68F" w14:textId="77777777" w:rsidR="00A571C0" w:rsidRPr="00F443F1" w:rsidRDefault="00A571C0" w:rsidP="00307AF7">
            <w:pPr>
              <w:spacing w:after="0" w:line="240" w:lineRule="auto"/>
              <w:jc w:val="center"/>
              <w:rPr>
                <w:rFonts w:eastAsia="Times New Roman" w:cs="Arial"/>
                <w:b/>
                <w:bCs/>
                <w:color w:val="000000"/>
                <w:sz w:val="18"/>
                <w:szCs w:val="18"/>
                <w:lang w:eastAsia="en-GB"/>
              </w:rPr>
            </w:pPr>
            <w:r w:rsidRPr="00F443F1">
              <w:rPr>
                <w:rFonts w:eastAsia="Times New Roman" w:cs="Arial"/>
                <w:b/>
                <w:bCs/>
                <w:color w:val="000000"/>
                <w:sz w:val="18"/>
                <w:szCs w:val="18"/>
                <w:lang w:eastAsia="en-GB"/>
              </w:rPr>
              <w:t>MO</w:t>
            </w:r>
          </w:p>
        </w:tc>
        <w:tc>
          <w:tcPr>
            <w:tcW w:w="2610" w:type="pct"/>
            <w:tcBorders>
              <w:top w:val="nil"/>
              <w:left w:val="nil"/>
              <w:bottom w:val="nil"/>
              <w:right w:val="nil"/>
            </w:tcBorders>
            <w:shd w:val="clear" w:color="auto" w:fill="F2DBDB" w:themeFill="accent2" w:themeFillTint="33"/>
            <w:vAlign w:val="center"/>
            <w:hideMark/>
          </w:tcPr>
          <w:p w14:paraId="1682D9B0" w14:textId="77777777" w:rsidR="00A571C0" w:rsidRPr="00F443F1" w:rsidRDefault="00A571C0" w:rsidP="00307AF7">
            <w:pPr>
              <w:spacing w:after="0" w:line="240" w:lineRule="auto"/>
              <w:rPr>
                <w:rFonts w:eastAsia="Times New Roman" w:cs="Arial"/>
                <w:b/>
                <w:bCs/>
                <w:color w:val="000000"/>
                <w:sz w:val="18"/>
                <w:szCs w:val="18"/>
                <w:lang w:eastAsia="en-GB"/>
              </w:rPr>
            </w:pPr>
            <w:r w:rsidRPr="00F443F1">
              <w:rPr>
                <w:rFonts w:eastAsia="Times New Roman" w:cs="Arial"/>
                <w:b/>
                <w:bCs/>
                <w:color w:val="000000"/>
                <w:sz w:val="18"/>
                <w:szCs w:val="18"/>
                <w:lang w:eastAsia="en-GB"/>
              </w:rPr>
              <w:t>Koncepce obranného aplikovaného výzkumu, vývoje a</w:t>
            </w:r>
            <w:r>
              <w:rPr>
                <w:rFonts w:eastAsia="Times New Roman" w:cs="Arial"/>
                <w:b/>
                <w:bCs/>
                <w:color w:val="000000"/>
                <w:sz w:val="18"/>
                <w:szCs w:val="18"/>
                <w:lang w:eastAsia="en-GB"/>
              </w:rPr>
              <w:t> </w:t>
            </w:r>
            <w:r w:rsidRPr="00F443F1">
              <w:rPr>
                <w:rFonts w:eastAsia="Times New Roman" w:cs="Arial"/>
                <w:b/>
                <w:bCs/>
                <w:color w:val="000000"/>
                <w:sz w:val="18"/>
                <w:szCs w:val="18"/>
                <w:lang w:eastAsia="en-GB"/>
              </w:rPr>
              <w:t>inovací na období 2016 až 2022</w:t>
            </w:r>
          </w:p>
        </w:tc>
        <w:tc>
          <w:tcPr>
            <w:tcW w:w="625" w:type="pct"/>
            <w:tcBorders>
              <w:top w:val="nil"/>
              <w:left w:val="single" w:sz="8" w:space="0" w:color="auto"/>
              <w:bottom w:val="nil"/>
              <w:right w:val="nil"/>
            </w:tcBorders>
            <w:shd w:val="clear" w:color="auto" w:fill="F2DBDB" w:themeFill="accent2" w:themeFillTint="33"/>
            <w:vAlign w:val="center"/>
            <w:hideMark/>
          </w:tcPr>
          <w:p w14:paraId="34E5F155" w14:textId="77777777" w:rsidR="00A571C0" w:rsidRPr="00F443F1" w:rsidRDefault="00A571C0" w:rsidP="00307AF7">
            <w:pPr>
              <w:spacing w:after="0" w:line="240" w:lineRule="auto"/>
              <w:jc w:val="center"/>
              <w:rPr>
                <w:rFonts w:eastAsia="Times New Roman" w:cs="Arial"/>
                <w:color w:val="000000"/>
                <w:sz w:val="18"/>
                <w:szCs w:val="18"/>
                <w:lang w:eastAsia="en-GB"/>
              </w:rPr>
            </w:pPr>
            <w:r w:rsidRPr="00F443F1">
              <w:rPr>
                <w:rFonts w:eastAsia="Times New Roman" w:cs="Arial"/>
                <w:color w:val="000000"/>
                <w:sz w:val="18"/>
                <w:szCs w:val="18"/>
                <w:lang w:eastAsia="en-GB"/>
              </w:rPr>
              <w:t>2022</w:t>
            </w:r>
          </w:p>
        </w:tc>
        <w:tc>
          <w:tcPr>
            <w:tcW w:w="692" w:type="pct"/>
            <w:tcBorders>
              <w:top w:val="nil"/>
              <w:left w:val="single" w:sz="8" w:space="0" w:color="auto"/>
              <w:bottom w:val="nil"/>
              <w:right w:val="single" w:sz="8" w:space="0" w:color="808080"/>
            </w:tcBorders>
            <w:noWrap/>
            <w:vAlign w:val="center"/>
            <w:hideMark/>
          </w:tcPr>
          <w:p w14:paraId="74680CC9" w14:textId="77777777" w:rsidR="00A571C0" w:rsidRPr="00F443F1" w:rsidRDefault="00A571C0" w:rsidP="00307AF7">
            <w:pPr>
              <w:spacing w:after="0" w:line="240" w:lineRule="auto"/>
              <w:jc w:val="center"/>
              <w:rPr>
                <w:rFonts w:eastAsia="Times New Roman" w:cs="Arial"/>
                <w:color w:val="000000"/>
                <w:sz w:val="18"/>
                <w:szCs w:val="18"/>
                <w:lang w:eastAsia="en-GB"/>
              </w:rPr>
            </w:pPr>
            <w:r w:rsidRPr="00F443F1">
              <w:rPr>
                <w:rFonts w:eastAsia="Times New Roman" w:cs="Arial"/>
                <w:color w:val="000000"/>
                <w:sz w:val="18"/>
                <w:szCs w:val="18"/>
                <w:lang w:eastAsia="en-GB"/>
              </w:rPr>
              <w:t>21. 3. 2016</w:t>
            </w:r>
          </w:p>
        </w:tc>
        <w:tc>
          <w:tcPr>
            <w:tcW w:w="616" w:type="pct"/>
            <w:tcBorders>
              <w:top w:val="nil"/>
              <w:left w:val="nil"/>
              <w:bottom w:val="nil"/>
              <w:right w:val="single" w:sz="8" w:space="0" w:color="auto"/>
            </w:tcBorders>
            <w:noWrap/>
            <w:vAlign w:val="center"/>
            <w:hideMark/>
          </w:tcPr>
          <w:p w14:paraId="56BF8317" w14:textId="77777777" w:rsidR="00A571C0" w:rsidRPr="00F443F1" w:rsidRDefault="00A571C0" w:rsidP="00307AF7">
            <w:pPr>
              <w:spacing w:after="0" w:line="240" w:lineRule="auto"/>
              <w:jc w:val="center"/>
              <w:rPr>
                <w:rFonts w:eastAsia="Times New Roman" w:cs="Arial"/>
                <w:color w:val="000000"/>
                <w:sz w:val="18"/>
                <w:szCs w:val="18"/>
                <w:lang w:eastAsia="en-GB"/>
              </w:rPr>
            </w:pPr>
            <w:r w:rsidRPr="00F443F1">
              <w:rPr>
                <w:rFonts w:eastAsia="Times New Roman" w:cs="Arial"/>
                <w:color w:val="000000"/>
                <w:sz w:val="18"/>
                <w:szCs w:val="18"/>
                <w:lang w:eastAsia="en-GB"/>
              </w:rPr>
              <w:t>246/2016</w:t>
            </w:r>
          </w:p>
        </w:tc>
      </w:tr>
      <w:tr w:rsidR="00A571C0" w:rsidRPr="00ED79BC" w14:paraId="1599CD03" w14:textId="77777777" w:rsidTr="001F6785">
        <w:trPr>
          <w:trHeight w:val="510"/>
          <w:jc w:val="center"/>
        </w:trPr>
        <w:tc>
          <w:tcPr>
            <w:tcW w:w="457" w:type="pct"/>
            <w:vMerge/>
            <w:tcBorders>
              <w:top w:val="nil"/>
              <w:left w:val="single" w:sz="8" w:space="0" w:color="auto"/>
              <w:bottom w:val="single" w:sz="8" w:space="0" w:color="000000"/>
              <w:right w:val="single" w:sz="8" w:space="0" w:color="auto"/>
            </w:tcBorders>
            <w:vAlign w:val="center"/>
            <w:hideMark/>
          </w:tcPr>
          <w:p w14:paraId="178DD026" w14:textId="77777777" w:rsidR="00A571C0" w:rsidRPr="00F443F1" w:rsidRDefault="00A571C0" w:rsidP="00307AF7">
            <w:pPr>
              <w:spacing w:after="0" w:line="240" w:lineRule="auto"/>
              <w:rPr>
                <w:rFonts w:eastAsia="Times New Roman" w:cs="Arial"/>
                <w:b/>
                <w:bCs/>
                <w:color w:val="000000"/>
                <w:sz w:val="18"/>
                <w:szCs w:val="18"/>
                <w:lang w:eastAsia="en-GB"/>
              </w:rPr>
            </w:pPr>
          </w:p>
        </w:tc>
        <w:tc>
          <w:tcPr>
            <w:tcW w:w="2610" w:type="pct"/>
            <w:tcBorders>
              <w:top w:val="nil"/>
              <w:left w:val="nil"/>
              <w:bottom w:val="nil"/>
              <w:right w:val="nil"/>
            </w:tcBorders>
            <w:shd w:val="clear" w:color="auto" w:fill="F2DBDB" w:themeFill="accent2" w:themeFillTint="33"/>
            <w:vAlign w:val="center"/>
            <w:hideMark/>
          </w:tcPr>
          <w:p w14:paraId="36771101" w14:textId="77777777" w:rsidR="00A571C0" w:rsidRPr="00F443F1" w:rsidRDefault="00A571C0" w:rsidP="00307AF7">
            <w:pPr>
              <w:spacing w:after="0" w:line="240" w:lineRule="auto"/>
              <w:rPr>
                <w:rFonts w:eastAsia="Times New Roman" w:cs="Arial"/>
                <w:color w:val="000000"/>
                <w:sz w:val="18"/>
                <w:szCs w:val="18"/>
                <w:lang w:eastAsia="en-GB"/>
              </w:rPr>
            </w:pPr>
            <w:r w:rsidRPr="00F443F1">
              <w:rPr>
                <w:rFonts w:eastAsia="Times New Roman" w:cs="Arial"/>
                <w:color w:val="000000"/>
                <w:sz w:val="18"/>
                <w:szCs w:val="18"/>
                <w:lang w:eastAsia="en-GB"/>
              </w:rPr>
              <w:t>https://vyzkum.army.cz/sites/vyzkum.army.cz/files/dokumenty/zakladni-stranka/iii_koncepce.pdf</w:t>
            </w:r>
          </w:p>
        </w:tc>
        <w:tc>
          <w:tcPr>
            <w:tcW w:w="625" w:type="pct"/>
            <w:tcBorders>
              <w:top w:val="nil"/>
              <w:left w:val="single" w:sz="8" w:space="0" w:color="auto"/>
              <w:bottom w:val="nil"/>
              <w:right w:val="nil"/>
            </w:tcBorders>
            <w:shd w:val="clear" w:color="auto" w:fill="F2DBDB" w:themeFill="accent2" w:themeFillTint="33"/>
            <w:vAlign w:val="center"/>
            <w:hideMark/>
          </w:tcPr>
          <w:p w14:paraId="10D42CFB" w14:textId="77777777" w:rsidR="00A571C0" w:rsidRPr="00F443F1" w:rsidRDefault="00A571C0" w:rsidP="00307AF7">
            <w:pPr>
              <w:spacing w:after="0" w:line="240" w:lineRule="auto"/>
              <w:jc w:val="center"/>
              <w:rPr>
                <w:rFonts w:eastAsia="Times New Roman" w:cs="Arial"/>
                <w:color w:val="000000"/>
                <w:sz w:val="18"/>
                <w:szCs w:val="18"/>
                <w:lang w:eastAsia="en-GB"/>
              </w:rPr>
            </w:pPr>
            <w:r w:rsidRPr="00F443F1">
              <w:rPr>
                <w:rFonts w:eastAsia="Times New Roman" w:cs="Arial"/>
                <w:color w:val="000000"/>
                <w:sz w:val="18"/>
                <w:szCs w:val="18"/>
                <w:lang w:eastAsia="en-GB"/>
              </w:rPr>
              <w:t> </w:t>
            </w:r>
          </w:p>
        </w:tc>
        <w:tc>
          <w:tcPr>
            <w:tcW w:w="692" w:type="pct"/>
            <w:tcBorders>
              <w:top w:val="nil"/>
              <w:left w:val="single" w:sz="8" w:space="0" w:color="auto"/>
              <w:bottom w:val="nil"/>
              <w:right w:val="single" w:sz="8" w:space="0" w:color="808080"/>
            </w:tcBorders>
            <w:noWrap/>
            <w:vAlign w:val="center"/>
            <w:hideMark/>
          </w:tcPr>
          <w:p w14:paraId="36CE55F4" w14:textId="77777777" w:rsidR="00A571C0" w:rsidRPr="00F443F1" w:rsidRDefault="00A571C0" w:rsidP="00307AF7">
            <w:pPr>
              <w:spacing w:after="0" w:line="240" w:lineRule="auto"/>
              <w:jc w:val="center"/>
              <w:rPr>
                <w:rFonts w:eastAsia="Times New Roman" w:cs="Arial"/>
                <w:color w:val="000000"/>
                <w:sz w:val="18"/>
                <w:szCs w:val="18"/>
                <w:lang w:eastAsia="en-GB"/>
              </w:rPr>
            </w:pPr>
            <w:r w:rsidRPr="00F443F1">
              <w:rPr>
                <w:rFonts w:eastAsia="Times New Roman" w:cs="Arial"/>
                <w:color w:val="000000"/>
                <w:sz w:val="18"/>
                <w:szCs w:val="18"/>
                <w:lang w:eastAsia="en-GB"/>
              </w:rPr>
              <w:t> </w:t>
            </w:r>
          </w:p>
        </w:tc>
        <w:tc>
          <w:tcPr>
            <w:tcW w:w="616" w:type="pct"/>
            <w:tcBorders>
              <w:top w:val="nil"/>
              <w:left w:val="nil"/>
              <w:bottom w:val="nil"/>
              <w:right w:val="single" w:sz="8" w:space="0" w:color="auto"/>
            </w:tcBorders>
            <w:noWrap/>
            <w:vAlign w:val="center"/>
            <w:hideMark/>
          </w:tcPr>
          <w:p w14:paraId="24C43108" w14:textId="77777777" w:rsidR="00A571C0" w:rsidRPr="00F443F1" w:rsidRDefault="00A571C0" w:rsidP="00307AF7">
            <w:pPr>
              <w:spacing w:after="0" w:line="240" w:lineRule="auto"/>
              <w:jc w:val="center"/>
              <w:rPr>
                <w:rFonts w:eastAsia="Times New Roman" w:cs="Arial"/>
                <w:color w:val="000000"/>
                <w:sz w:val="18"/>
                <w:szCs w:val="18"/>
                <w:lang w:eastAsia="en-GB"/>
              </w:rPr>
            </w:pPr>
            <w:r w:rsidRPr="00F443F1">
              <w:rPr>
                <w:rFonts w:eastAsia="Times New Roman" w:cs="Arial"/>
                <w:color w:val="000000"/>
                <w:sz w:val="18"/>
                <w:szCs w:val="18"/>
                <w:lang w:eastAsia="en-GB"/>
              </w:rPr>
              <w:t> </w:t>
            </w:r>
          </w:p>
        </w:tc>
      </w:tr>
      <w:tr w:rsidR="00A571C0" w:rsidRPr="00ED79BC" w14:paraId="6137E1A3" w14:textId="77777777" w:rsidTr="00307AF7">
        <w:trPr>
          <w:trHeight w:val="510"/>
          <w:jc w:val="center"/>
        </w:trPr>
        <w:tc>
          <w:tcPr>
            <w:tcW w:w="457" w:type="pct"/>
            <w:vMerge/>
            <w:tcBorders>
              <w:top w:val="nil"/>
              <w:left w:val="single" w:sz="8" w:space="0" w:color="auto"/>
              <w:bottom w:val="single" w:sz="8" w:space="0" w:color="000000"/>
              <w:right w:val="single" w:sz="8" w:space="0" w:color="auto"/>
            </w:tcBorders>
            <w:vAlign w:val="center"/>
            <w:hideMark/>
          </w:tcPr>
          <w:p w14:paraId="485A9C0B" w14:textId="77777777" w:rsidR="00A571C0" w:rsidRPr="00F443F1" w:rsidRDefault="00A571C0" w:rsidP="00307AF7">
            <w:pPr>
              <w:spacing w:after="0" w:line="240" w:lineRule="auto"/>
              <w:rPr>
                <w:rFonts w:eastAsia="Times New Roman" w:cs="Arial"/>
                <w:b/>
                <w:bCs/>
                <w:color w:val="000000"/>
                <w:sz w:val="18"/>
                <w:szCs w:val="18"/>
                <w:lang w:eastAsia="en-GB"/>
              </w:rPr>
            </w:pPr>
          </w:p>
        </w:tc>
        <w:tc>
          <w:tcPr>
            <w:tcW w:w="2610" w:type="pct"/>
            <w:tcBorders>
              <w:top w:val="nil"/>
              <w:left w:val="nil"/>
              <w:bottom w:val="single" w:sz="8" w:space="0" w:color="auto"/>
              <w:right w:val="nil"/>
            </w:tcBorders>
            <w:vAlign w:val="center"/>
            <w:hideMark/>
          </w:tcPr>
          <w:p w14:paraId="5721356D" w14:textId="77777777" w:rsidR="00A571C0" w:rsidRPr="007E5B9B" w:rsidRDefault="00A571C0" w:rsidP="00307AF7">
            <w:pPr>
              <w:spacing w:after="0" w:line="240" w:lineRule="auto"/>
              <w:rPr>
                <w:rFonts w:eastAsia="Times New Roman" w:cs="Arial"/>
                <w:b/>
                <w:iCs/>
                <w:color w:val="000000"/>
                <w:sz w:val="18"/>
                <w:szCs w:val="18"/>
                <w:lang w:eastAsia="en-GB"/>
              </w:rPr>
            </w:pPr>
            <w:r>
              <w:rPr>
                <w:rFonts w:eastAsia="Times New Roman" w:cs="Arial"/>
                <w:b/>
                <w:iCs/>
                <w:color w:val="000000"/>
                <w:sz w:val="18"/>
                <w:szCs w:val="18"/>
                <w:lang w:eastAsia="en-GB"/>
              </w:rPr>
              <w:t>Koncepce obranného aplikovaného výzkumu, vývoje a inovací na období 2023 až 2029</w:t>
            </w:r>
          </w:p>
        </w:tc>
        <w:tc>
          <w:tcPr>
            <w:tcW w:w="625" w:type="pct"/>
            <w:tcBorders>
              <w:top w:val="nil"/>
              <w:left w:val="single" w:sz="8" w:space="0" w:color="auto"/>
              <w:bottom w:val="single" w:sz="8" w:space="0" w:color="auto"/>
              <w:right w:val="nil"/>
            </w:tcBorders>
            <w:vAlign w:val="center"/>
            <w:hideMark/>
          </w:tcPr>
          <w:p w14:paraId="300B71DD" w14:textId="77777777" w:rsidR="00A571C0" w:rsidRPr="00F443F1" w:rsidRDefault="00A571C0" w:rsidP="00307AF7">
            <w:pPr>
              <w:spacing w:after="0" w:line="240" w:lineRule="auto"/>
              <w:jc w:val="center"/>
              <w:rPr>
                <w:rFonts w:eastAsia="Times New Roman" w:cs="Arial"/>
                <w:color w:val="000000"/>
                <w:sz w:val="18"/>
                <w:szCs w:val="18"/>
                <w:lang w:eastAsia="en-GB"/>
              </w:rPr>
            </w:pPr>
            <w:r w:rsidRPr="00F443F1">
              <w:rPr>
                <w:rFonts w:eastAsia="Times New Roman" w:cs="Arial"/>
                <w:color w:val="000000"/>
                <w:sz w:val="18"/>
                <w:szCs w:val="18"/>
                <w:lang w:eastAsia="en-GB"/>
              </w:rPr>
              <w:t> </w:t>
            </w:r>
            <w:r>
              <w:rPr>
                <w:rFonts w:eastAsia="Times New Roman" w:cs="Arial"/>
                <w:color w:val="000000"/>
                <w:sz w:val="18"/>
                <w:szCs w:val="18"/>
                <w:lang w:eastAsia="en-GB"/>
              </w:rPr>
              <w:t>2029</w:t>
            </w:r>
          </w:p>
        </w:tc>
        <w:tc>
          <w:tcPr>
            <w:tcW w:w="692" w:type="pct"/>
            <w:tcBorders>
              <w:top w:val="nil"/>
              <w:left w:val="single" w:sz="8" w:space="0" w:color="auto"/>
              <w:bottom w:val="single" w:sz="8" w:space="0" w:color="auto"/>
              <w:right w:val="single" w:sz="8" w:space="0" w:color="808080"/>
            </w:tcBorders>
            <w:noWrap/>
            <w:vAlign w:val="center"/>
            <w:hideMark/>
          </w:tcPr>
          <w:p w14:paraId="421BE7E7" w14:textId="77777777" w:rsidR="00A571C0" w:rsidRPr="00F443F1" w:rsidRDefault="00A571C0" w:rsidP="00307AF7">
            <w:pPr>
              <w:spacing w:after="0" w:line="240" w:lineRule="auto"/>
              <w:jc w:val="center"/>
              <w:rPr>
                <w:rFonts w:eastAsia="Times New Roman" w:cs="Arial"/>
                <w:color w:val="000000"/>
                <w:sz w:val="18"/>
                <w:szCs w:val="18"/>
                <w:lang w:eastAsia="en-GB"/>
              </w:rPr>
            </w:pPr>
            <w:r w:rsidRPr="00F443F1">
              <w:rPr>
                <w:rFonts w:eastAsia="Times New Roman" w:cs="Arial"/>
                <w:color w:val="000000"/>
                <w:sz w:val="18"/>
                <w:szCs w:val="18"/>
                <w:lang w:eastAsia="en-GB"/>
              </w:rPr>
              <w:t> </w:t>
            </w:r>
            <w:r>
              <w:rPr>
                <w:rFonts w:eastAsia="Times New Roman" w:cs="Arial"/>
                <w:color w:val="000000"/>
                <w:sz w:val="18"/>
                <w:szCs w:val="18"/>
                <w:lang w:eastAsia="en-GB"/>
              </w:rPr>
              <w:t>29. 11. 2023</w:t>
            </w:r>
          </w:p>
        </w:tc>
        <w:tc>
          <w:tcPr>
            <w:tcW w:w="616" w:type="pct"/>
            <w:tcBorders>
              <w:top w:val="nil"/>
              <w:left w:val="nil"/>
              <w:bottom w:val="single" w:sz="8" w:space="0" w:color="auto"/>
              <w:right w:val="single" w:sz="8" w:space="0" w:color="auto"/>
            </w:tcBorders>
            <w:noWrap/>
            <w:vAlign w:val="center"/>
            <w:hideMark/>
          </w:tcPr>
          <w:p w14:paraId="439C60BC" w14:textId="77777777" w:rsidR="00A571C0" w:rsidRPr="00F443F1" w:rsidRDefault="00A571C0" w:rsidP="00307AF7">
            <w:pPr>
              <w:spacing w:after="0" w:line="240" w:lineRule="auto"/>
              <w:jc w:val="center"/>
              <w:rPr>
                <w:rFonts w:eastAsia="Times New Roman" w:cs="Arial"/>
                <w:color w:val="000000"/>
                <w:sz w:val="18"/>
                <w:szCs w:val="18"/>
                <w:lang w:eastAsia="en-GB"/>
              </w:rPr>
            </w:pPr>
            <w:r>
              <w:rPr>
                <w:rFonts w:eastAsia="Times New Roman" w:cs="Arial"/>
                <w:color w:val="000000"/>
                <w:sz w:val="18"/>
                <w:szCs w:val="18"/>
                <w:lang w:eastAsia="en-GB"/>
              </w:rPr>
              <w:t>921/2023</w:t>
            </w:r>
            <w:r w:rsidRPr="00F443F1">
              <w:rPr>
                <w:rFonts w:eastAsia="Times New Roman" w:cs="Arial"/>
                <w:color w:val="000000"/>
                <w:sz w:val="18"/>
                <w:szCs w:val="18"/>
                <w:lang w:eastAsia="en-GB"/>
              </w:rPr>
              <w:t> </w:t>
            </w:r>
          </w:p>
        </w:tc>
      </w:tr>
      <w:tr w:rsidR="00A571C0" w:rsidRPr="00ED79BC" w14:paraId="3099C845" w14:textId="77777777" w:rsidTr="00307AF7">
        <w:trPr>
          <w:trHeight w:val="510"/>
          <w:jc w:val="center"/>
        </w:trPr>
        <w:tc>
          <w:tcPr>
            <w:tcW w:w="457" w:type="pct"/>
            <w:vMerge w:val="restart"/>
            <w:tcBorders>
              <w:top w:val="nil"/>
              <w:left w:val="single" w:sz="8" w:space="0" w:color="auto"/>
              <w:bottom w:val="single" w:sz="8" w:space="0" w:color="000000"/>
              <w:right w:val="single" w:sz="8" w:space="0" w:color="auto"/>
            </w:tcBorders>
            <w:shd w:val="clear" w:color="000000" w:fill="F2F2F2"/>
            <w:noWrap/>
            <w:vAlign w:val="center"/>
            <w:hideMark/>
          </w:tcPr>
          <w:p w14:paraId="37D82626" w14:textId="77777777" w:rsidR="00A571C0" w:rsidRPr="00ED79BC" w:rsidRDefault="00A571C0" w:rsidP="00307AF7">
            <w:pPr>
              <w:keepNext/>
              <w:spacing w:after="0" w:line="240" w:lineRule="auto"/>
              <w:jc w:val="center"/>
              <w:rPr>
                <w:rFonts w:eastAsia="Times New Roman" w:cs="Arial"/>
                <w:b/>
                <w:bCs/>
                <w:color w:val="000000"/>
                <w:sz w:val="18"/>
                <w:szCs w:val="18"/>
                <w:highlight w:val="yellow"/>
                <w:lang w:eastAsia="en-GB"/>
              </w:rPr>
            </w:pPr>
            <w:r w:rsidRPr="00D63520">
              <w:rPr>
                <w:rFonts w:eastAsia="Times New Roman" w:cs="Arial"/>
                <w:b/>
                <w:bCs/>
                <w:color w:val="000000"/>
                <w:sz w:val="18"/>
                <w:szCs w:val="18"/>
                <w:lang w:eastAsia="en-GB"/>
              </w:rPr>
              <w:t>MD</w:t>
            </w:r>
          </w:p>
        </w:tc>
        <w:tc>
          <w:tcPr>
            <w:tcW w:w="2610" w:type="pct"/>
            <w:tcBorders>
              <w:top w:val="nil"/>
              <w:left w:val="nil"/>
              <w:bottom w:val="nil"/>
              <w:right w:val="nil"/>
            </w:tcBorders>
            <w:vAlign w:val="center"/>
            <w:hideMark/>
          </w:tcPr>
          <w:p w14:paraId="7A3C43E9" w14:textId="7E55E7B6" w:rsidR="00A571C0" w:rsidRPr="00F443F1" w:rsidRDefault="00A571C0" w:rsidP="00047E6F">
            <w:pPr>
              <w:keepNext/>
              <w:spacing w:line="240" w:lineRule="auto"/>
              <w:rPr>
                <w:rFonts w:eastAsia="Times New Roman" w:cs="Arial"/>
                <w:b/>
                <w:bCs/>
                <w:color w:val="000000"/>
                <w:sz w:val="18"/>
                <w:szCs w:val="18"/>
                <w:lang w:eastAsia="en-GB"/>
              </w:rPr>
            </w:pPr>
            <w:r w:rsidRPr="00F443F1">
              <w:rPr>
                <w:rFonts w:eastAsia="Times New Roman" w:cs="Arial"/>
                <w:b/>
                <w:bCs/>
                <w:color w:val="000000"/>
                <w:sz w:val="18"/>
                <w:szCs w:val="18"/>
                <w:lang w:eastAsia="en-GB"/>
              </w:rPr>
              <w:t xml:space="preserve">Koncepce výzkumu, vývoje a inovací v </w:t>
            </w:r>
            <w:r w:rsidR="00334285" w:rsidRPr="00F443F1">
              <w:rPr>
                <w:rFonts w:eastAsia="Times New Roman" w:cs="Arial"/>
                <w:b/>
                <w:bCs/>
                <w:color w:val="000000"/>
                <w:sz w:val="18"/>
                <w:szCs w:val="18"/>
                <w:lang w:eastAsia="en-GB"/>
              </w:rPr>
              <w:t>resortu</w:t>
            </w:r>
            <w:r w:rsidRPr="00F443F1">
              <w:rPr>
                <w:rFonts w:eastAsia="Times New Roman" w:cs="Arial"/>
                <w:b/>
                <w:bCs/>
                <w:color w:val="000000"/>
                <w:sz w:val="18"/>
                <w:szCs w:val="18"/>
                <w:lang w:eastAsia="en-GB"/>
              </w:rPr>
              <w:t xml:space="preserve"> dopravy do</w:t>
            </w:r>
            <w:r w:rsidR="00047E6F">
              <w:rPr>
                <w:rFonts w:eastAsia="Times New Roman" w:cs="Arial"/>
                <w:b/>
                <w:bCs/>
                <w:color w:val="000000"/>
                <w:sz w:val="18"/>
                <w:szCs w:val="18"/>
                <w:lang w:eastAsia="en-GB"/>
              </w:rPr>
              <w:t> </w:t>
            </w:r>
            <w:r w:rsidRPr="00F443F1">
              <w:rPr>
                <w:rFonts w:eastAsia="Times New Roman" w:cs="Arial"/>
                <w:b/>
                <w:bCs/>
                <w:color w:val="000000"/>
                <w:sz w:val="18"/>
                <w:szCs w:val="18"/>
                <w:lang w:eastAsia="en-GB"/>
              </w:rPr>
              <w:t>roku 2030</w:t>
            </w:r>
          </w:p>
        </w:tc>
        <w:tc>
          <w:tcPr>
            <w:tcW w:w="625" w:type="pct"/>
            <w:tcBorders>
              <w:top w:val="nil"/>
              <w:left w:val="single" w:sz="8" w:space="0" w:color="auto"/>
              <w:bottom w:val="nil"/>
              <w:right w:val="nil"/>
            </w:tcBorders>
            <w:vAlign w:val="center"/>
            <w:hideMark/>
          </w:tcPr>
          <w:p w14:paraId="7506461D" w14:textId="77777777" w:rsidR="00A571C0" w:rsidRPr="00F443F1" w:rsidRDefault="00A571C0" w:rsidP="00307AF7">
            <w:pPr>
              <w:keepNext/>
              <w:spacing w:after="0" w:line="240" w:lineRule="auto"/>
              <w:jc w:val="center"/>
              <w:rPr>
                <w:rFonts w:eastAsia="Times New Roman" w:cs="Arial"/>
                <w:color w:val="000000"/>
                <w:sz w:val="18"/>
                <w:szCs w:val="18"/>
                <w:lang w:eastAsia="en-GB"/>
              </w:rPr>
            </w:pPr>
            <w:r w:rsidRPr="00F443F1">
              <w:rPr>
                <w:rFonts w:eastAsia="Times New Roman" w:cs="Arial"/>
                <w:color w:val="000000"/>
                <w:sz w:val="18"/>
                <w:szCs w:val="18"/>
                <w:lang w:eastAsia="en-GB"/>
              </w:rPr>
              <w:t>2030</w:t>
            </w:r>
          </w:p>
        </w:tc>
        <w:tc>
          <w:tcPr>
            <w:tcW w:w="692" w:type="pct"/>
            <w:tcBorders>
              <w:top w:val="nil"/>
              <w:left w:val="single" w:sz="8" w:space="0" w:color="auto"/>
              <w:bottom w:val="nil"/>
              <w:right w:val="single" w:sz="8" w:space="0" w:color="808080"/>
            </w:tcBorders>
            <w:noWrap/>
            <w:vAlign w:val="center"/>
            <w:hideMark/>
          </w:tcPr>
          <w:p w14:paraId="0CBCCC23" w14:textId="77777777" w:rsidR="00A571C0" w:rsidRPr="00F443F1" w:rsidRDefault="00A571C0" w:rsidP="00307AF7">
            <w:pPr>
              <w:keepNext/>
              <w:spacing w:after="0" w:line="240" w:lineRule="auto"/>
              <w:jc w:val="center"/>
              <w:rPr>
                <w:rFonts w:eastAsia="Times New Roman" w:cs="Arial"/>
                <w:color w:val="000000"/>
                <w:sz w:val="18"/>
                <w:szCs w:val="18"/>
                <w:lang w:eastAsia="en-GB"/>
              </w:rPr>
            </w:pPr>
            <w:r w:rsidRPr="00F443F1">
              <w:rPr>
                <w:rFonts w:eastAsia="Times New Roman" w:cs="Arial"/>
                <w:color w:val="000000"/>
                <w:sz w:val="18"/>
                <w:szCs w:val="18"/>
                <w:lang w:eastAsia="en-GB"/>
              </w:rPr>
              <w:t>x</w:t>
            </w:r>
          </w:p>
        </w:tc>
        <w:tc>
          <w:tcPr>
            <w:tcW w:w="616" w:type="pct"/>
            <w:tcBorders>
              <w:top w:val="nil"/>
              <w:left w:val="nil"/>
              <w:bottom w:val="nil"/>
              <w:right w:val="single" w:sz="8" w:space="0" w:color="auto"/>
            </w:tcBorders>
            <w:noWrap/>
            <w:vAlign w:val="center"/>
            <w:hideMark/>
          </w:tcPr>
          <w:p w14:paraId="41F00918" w14:textId="77777777" w:rsidR="00A571C0" w:rsidRPr="00F443F1" w:rsidRDefault="00A571C0" w:rsidP="00307AF7">
            <w:pPr>
              <w:keepNext/>
              <w:spacing w:after="0" w:line="240" w:lineRule="auto"/>
              <w:jc w:val="center"/>
              <w:rPr>
                <w:rFonts w:eastAsia="Times New Roman" w:cs="Arial"/>
                <w:color w:val="000000"/>
                <w:sz w:val="18"/>
                <w:szCs w:val="18"/>
                <w:lang w:eastAsia="en-GB"/>
              </w:rPr>
            </w:pPr>
            <w:r w:rsidRPr="00F443F1">
              <w:rPr>
                <w:rFonts w:eastAsia="Times New Roman" w:cs="Arial"/>
                <w:color w:val="000000"/>
                <w:sz w:val="18"/>
                <w:szCs w:val="18"/>
                <w:lang w:eastAsia="en-GB"/>
              </w:rPr>
              <w:t>x</w:t>
            </w:r>
          </w:p>
        </w:tc>
      </w:tr>
      <w:tr w:rsidR="00A571C0" w:rsidRPr="00ED79BC" w14:paraId="585887A7" w14:textId="77777777" w:rsidTr="00307AF7">
        <w:trPr>
          <w:trHeight w:val="510"/>
          <w:jc w:val="center"/>
        </w:trPr>
        <w:tc>
          <w:tcPr>
            <w:tcW w:w="457" w:type="pct"/>
            <w:vMerge/>
            <w:tcBorders>
              <w:top w:val="nil"/>
              <w:left w:val="single" w:sz="8" w:space="0" w:color="auto"/>
              <w:bottom w:val="single" w:sz="8" w:space="0" w:color="000000"/>
              <w:right w:val="single" w:sz="8" w:space="0" w:color="auto"/>
            </w:tcBorders>
            <w:vAlign w:val="center"/>
            <w:hideMark/>
          </w:tcPr>
          <w:p w14:paraId="16A4BDC9" w14:textId="77777777" w:rsidR="00A571C0" w:rsidRPr="00ED79BC" w:rsidRDefault="00A571C0" w:rsidP="00307AF7">
            <w:pPr>
              <w:keepNext/>
              <w:spacing w:after="0" w:line="240" w:lineRule="auto"/>
              <w:rPr>
                <w:rFonts w:eastAsia="Times New Roman" w:cs="Arial"/>
                <w:b/>
                <w:bCs/>
                <w:color w:val="000000"/>
                <w:sz w:val="18"/>
                <w:szCs w:val="18"/>
                <w:highlight w:val="yellow"/>
                <w:lang w:eastAsia="en-GB"/>
              </w:rPr>
            </w:pPr>
          </w:p>
        </w:tc>
        <w:tc>
          <w:tcPr>
            <w:tcW w:w="2610" w:type="pct"/>
            <w:tcBorders>
              <w:top w:val="nil"/>
              <w:left w:val="nil"/>
              <w:bottom w:val="single" w:sz="8" w:space="0" w:color="auto"/>
              <w:right w:val="nil"/>
            </w:tcBorders>
            <w:vAlign w:val="center"/>
            <w:hideMark/>
          </w:tcPr>
          <w:p w14:paraId="49117CC5" w14:textId="0BC5E642" w:rsidR="00047E6F" w:rsidRPr="00F443F1" w:rsidRDefault="00047E6F" w:rsidP="00307AF7">
            <w:pPr>
              <w:keepNext/>
              <w:spacing w:after="0" w:line="240" w:lineRule="auto"/>
              <w:rPr>
                <w:rFonts w:eastAsia="Times New Roman" w:cs="Arial"/>
                <w:color w:val="000000"/>
                <w:sz w:val="18"/>
                <w:szCs w:val="18"/>
                <w:lang w:eastAsia="en-GB"/>
              </w:rPr>
            </w:pPr>
            <w:r w:rsidRPr="00047E6F">
              <w:rPr>
                <w:rFonts w:eastAsia="Times New Roman" w:cs="Arial"/>
                <w:color w:val="000000"/>
                <w:sz w:val="18"/>
                <w:szCs w:val="18"/>
                <w:lang w:eastAsia="en-GB"/>
              </w:rPr>
              <w:t>https://md.gov.cz/getattachment/Dokumenty/Veda-a-vyzkum/Koncepce/Koncepce-VaVaI-v-rezortu-dopravy-do-roku-2030/Koncepce-VaVaI-v-rezortu-dopravy-do-roku-2030.pdf.aspx</w:t>
            </w:r>
          </w:p>
        </w:tc>
        <w:tc>
          <w:tcPr>
            <w:tcW w:w="625" w:type="pct"/>
            <w:tcBorders>
              <w:top w:val="nil"/>
              <w:left w:val="single" w:sz="8" w:space="0" w:color="auto"/>
              <w:bottom w:val="single" w:sz="8" w:space="0" w:color="auto"/>
              <w:right w:val="nil"/>
            </w:tcBorders>
            <w:vAlign w:val="center"/>
            <w:hideMark/>
          </w:tcPr>
          <w:p w14:paraId="3EEC669C" w14:textId="77777777" w:rsidR="00A571C0" w:rsidRPr="00F443F1" w:rsidRDefault="00A571C0" w:rsidP="00307AF7">
            <w:pPr>
              <w:keepNext/>
              <w:spacing w:after="0" w:line="240" w:lineRule="auto"/>
              <w:jc w:val="center"/>
              <w:rPr>
                <w:rFonts w:eastAsia="Times New Roman" w:cs="Arial"/>
                <w:color w:val="000000"/>
                <w:sz w:val="18"/>
                <w:szCs w:val="18"/>
                <w:lang w:eastAsia="en-GB"/>
              </w:rPr>
            </w:pPr>
            <w:r w:rsidRPr="00F443F1">
              <w:rPr>
                <w:rFonts w:eastAsia="Times New Roman" w:cs="Arial"/>
                <w:color w:val="000000"/>
                <w:sz w:val="18"/>
                <w:szCs w:val="18"/>
                <w:lang w:eastAsia="en-GB"/>
              </w:rPr>
              <w:t> </w:t>
            </w:r>
          </w:p>
        </w:tc>
        <w:tc>
          <w:tcPr>
            <w:tcW w:w="692" w:type="pct"/>
            <w:tcBorders>
              <w:top w:val="nil"/>
              <w:left w:val="single" w:sz="8" w:space="0" w:color="auto"/>
              <w:bottom w:val="single" w:sz="8" w:space="0" w:color="auto"/>
              <w:right w:val="single" w:sz="8" w:space="0" w:color="808080"/>
            </w:tcBorders>
            <w:noWrap/>
            <w:vAlign w:val="center"/>
            <w:hideMark/>
          </w:tcPr>
          <w:p w14:paraId="0E294EBC" w14:textId="77777777" w:rsidR="00A571C0" w:rsidRPr="00F443F1" w:rsidRDefault="00A571C0" w:rsidP="00307AF7">
            <w:pPr>
              <w:keepNext/>
              <w:spacing w:after="0" w:line="240" w:lineRule="auto"/>
              <w:jc w:val="center"/>
              <w:rPr>
                <w:rFonts w:eastAsia="Times New Roman" w:cs="Arial"/>
                <w:color w:val="000000"/>
                <w:sz w:val="18"/>
                <w:szCs w:val="18"/>
                <w:lang w:eastAsia="en-GB"/>
              </w:rPr>
            </w:pPr>
            <w:r w:rsidRPr="00F443F1">
              <w:rPr>
                <w:rFonts w:eastAsia="Times New Roman" w:cs="Arial"/>
                <w:color w:val="000000"/>
                <w:sz w:val="18"/>
                <w:szCs w:val="18"/>
                <w:lang w:eastAsia="en-GB"/>
              </w:rPr>
              <w:t> </w:t>
            </w:r>
          </w:p>
        </w:tc>
        <w:tc>
          <w:tcPr>
            <w:tcW w:w="616" w:type="pct"/>
            <w:tcBorders>
              <w:top w:val="nil"/>
              <w:left w:val="nil"/>
              <w:bottom w:val="single" w:sz="8" w:space="0" w:color="auto"/>
              <w:right w:val="single" w:sz="8" w:space="0" w:color="auto"/>
            </w:tcBorders>
            <w:noWrap/>
            <w:vAlign w:val="center"/>
            <w:hideMark/>
          </w:tcPr>
          <w:p w14:paraId="61BE3087" w14:textId="77777777" w:rsidR="00A571C0" w:rsidRPr="00F443F1" w:rsidRDefault="00A571C0" w:rsidP="00307AF7">
            <w:pPr>
              <w:keepNext/>
              <w:spacing w:after="0" w:line="240" w:lineRule="auto"/>
              <w:jc w:val="center"/>
              <w:rPr>
                <w:rFonts w:eastAsia="Times New Roman" w:cs="Arial"/>
                <w:color w:val="000000"/>
                <w:sz w:val="18"/>
                <w:szCs w:val="18"/>
                <w:lang w:eastAsia="en-GB"/>
              </w:rPr>
            </w:pPr>
            <w:r w:rsidRPr="00F443F1">
              <w:rPr>
                <w:rFonts w:eastAsia="Times New Roman" w:cs="Arial"/>
                <w:color w:val="000000"/>
                <w:sz w:val="18"/>
                <w:szCs w:val="18"/>
                <w:lang w:eastAsia="en-GB"/>
              </w:rPr>
              <w:t> </w:t>
            </w:r>
          </w:p>
        </w:tc>
      </w:tr>
      <w:tr w:rsidR="00A571C0" w:rsidRPr="00ED79BC" w14:paraId="6678D019" w14:textId="77777777" w:rsidTr="00047E6F">
        <w:trPr>
          <w:trHeight w:val="510"/>
          <w:jc w:val="center"/>
        </w:trPr>
        <w:tc>
          <w:tcPr>
            <w:tcW w:w="457" w:type="pct"/>
            <w:vMerge w:val="restart"/>
            <w:tcBorders>
              <w:top w:val="nil"/>
              <w:left w:val="single" w:sz="8" w:space="0" w:color="auto"/>
              <w:bottom w:val="single" w:sz="8" w:space="0" w:color="000000"/>
              <w:right w:val="single" w:sz="8" w:space="0" w:color="auto"/>
            </w:tcBorders>
            <w:shd w:val="clear" w:color="000000" w:fill="F2F2F2"/>
            <w:noWrap/>
            <w:vAlign w:val="center"/>
            <w:hideMark/>
          </w:tcPr>
          <w:p w14:paraId="5758FEFD" w14:textId="77777777" w:rsidR="00A571C0" w:rsidRPr="00F228F0" w:rsidRDefault="00A571C0" w:rsidP="00307AF7">
            <w:pPr>
              <w:spacing w:after="0" w:line="240" w:lineRule="auto"/>
              <w:jc w:val="center"/>
              <w:rPr>
                <w:rFonts w:eastAsia="Times New Roman" w:cs="Arial"/>
                <w:b/>
                <w:bCs/>
                <w:color w:val="000000"/>
                <w:sz w:val="18"/>
                <w:szCs w:val="18"/>
                <w:lang w:eastAsia="en-GB"/>
              </w:rPr>
            </w:pPr>
            <w:r w:rsidRPr="00F228F0">
              <w:rPr>
                <w:rFonts w:eastAsia="Times New Roman" w:cs="Arial"/>
                <w:b/>
                <w:bCs/>
                <w:color w:val="000000"/>
                <w:sz w:val="18"/>
                <w:szCs w:val="18"/>
                <w:lang w:eastAsia="en-GB"/>
              </w:rPr>
              <w:t>MŽP</w:t>
            </w:r>
          </w:p>
        </w:tc>
        <w:tc>
          <w:tcPr>
            <w:tcW w:w="2610" w:type="pct"/>
            <w:tcBorders>
              <w:top w:val="nil"/>
              <w:left w:val="nil"/>
              <w:bottom w:val="nil"/>
              <w:right w:val="nil"/>
            </w:tcBorders>
            <w:vAlign w:val="center"/>
            <w:hideMark/>
          </w:tcPr>
          <w:p w14:paraId="490046B1" w14:textId="40A72BDA" w:rsidR="00047E6F" w:rsidRDefault="00047E6F" w:rsidP="00047E6F">
            <w:pPr>
              <w:spacing w:line="240" w:lineRule="auto"/>
              <w:rPr>
                <w:rFonts w:eastAsia="Times New Roman" w:cs="Arial"/>
                <w:b/>
                <w:bCs/>
                <w:color w:val="000000"/>
                <w:sz w:val="18"/>
                <w:szCs w:val="18"/>
                <w:lang w:eastAsia="en-GB"/>
              </w:rPr>
            </w:pPr>
            <w:r w:rsidRPr="00F8654B">
              <w:rPr>
                <w:rFonts w:eastAsia="Times New Roman" w:cs="Arial"/>
                <w:b/>
                <w:bCs/>
                <w:color w:val="000000"/>
                <w:sz w:val="18"/>
                <w:szCs w:val="18"/>
                <w:lang w:eastAsia="en-GB"/>
              </w:rPr>
              <w:t>Koncepce výzkumu a vývoje Ministerstva životního prostředí 2016</w:t>
            </w:r>
            <w:r w:rsidR="00A346BE">
              <w:rPr>
                <w:rFonts w:eastAsia="Times New Roman" w:cs="Arial"/>
                <w:b/>
                <w:bCs/>
                <w:color w:val="000000"/>
                <w:sz w:val="18"/>
                <w:szCs w:val="18"/>
                <w:lang w:eastAsia="en-GB"/>
              </w:rPr>
              <w:t>–</w:t>
            </w:r>
            <w:r w:rsidRPr="00F8654B">
              <w:rPr>
                <w:rFonts w:eastAsia="Times New Roman" w:cs="Arial"/>
                <w:b/>
                <w:bCs/>
                <w:color w:val="000000"/>
                <w:sz w:val="18"/>
                <w:szCs w:val="18"/>
                <w:lang w:eastAsia="en-GB"/>
              </w:rPr>
              <w:t>2025</w:t>
            </w:r>
          </w:p>
          <w:p w14:paraId="0C3B0A47" w14:textId="60426B27" w:rsidR="00047E6F" w:rsidRPr="00F228F0" w:rsidRDefault="00047E6F" w:rsidP="00047E6F">
            <w:pPr>
              <w:spacing w:line="240" w:lineRule="auto"/>
              <w:rPr>
                <w:rFonts w:eastAsia="Times New Roman" w:cs="Arial"/>
                <w:b/>
                <w:bCs/>
                <w:color w:val="000000"/>
                <w:sz w:val="18"/>
                <w:szCs w:val="18"/>
                <w:lang w:eastAsia="en-GB"/>
              </w:rPr>
            </w:pPr>
            <w:r w:rsidRPr="00047E6F">
              <w:rPr>
                <w:rFonts w:eastAsia="Times New Roman" w:cs="Arial"/>
                <w:color w:val="000000"/>
                <w:sz w:val="18"/>
                <w:szCs w:val="18"/>
                <w:lang w:eastAsia="en-GB"/>
              </w:rPr>
              <w:t>https://www.databaze-strategie.cz/cz/mzp/strategie/koncepce-vyzkumu-a-vyvoje-ministerstva-zivotniho-prostredi-2016-2025?typ=download</w:t>
            </w:r>
          </w:p>
        </w:tc>
        <w:tc>
          <w:tcPr>
            <w:tcW w:w="625" w:type="pct"/>
            <w:tcBorders>
              <w:top w:val="nil"/>
              <w:left w:val="single" w:sz="8" w:space="0" w:color="auto"/>
              <w:bottom w:val="nil"/>
              <w:right w:val="nil"/>
            </w:tcBorders>
            <w:vAlign w:val="center"/>
            <w:hideMark/>
          </w:tcPr>
          <w:p w14:paraId="267CDAA5" w14:textId="1160C1E5" w:rsidR="00047E6F" w:rsidRDefault="00A571C0" w:rsidP="00047E6F">
            <w:pPr>
              <w:spacing w:after="0" w:line="240" w:lineRule="auto"/>
              <w:jc w:val="center"/>
              <w:rPr>
                <w:rFonts w:eastAsia="Times New Roman" w:cs="Arial"/>
                <w:color w:val="000000"/>
                <w:sz w:val="18"/>
                <w:szCs w:val="18"/>
                <w:lang w:eastAsia="en-GB"/>
              </w:rPr>
            </w:pPr>
            <w:r w:rsidRPr="00F228F0">
              <w:rPr>
                <w:rFonts w:eastAsia="Times New Roman" w:cs="Arial"/>
                <w:color w:val="000000"/>
                <w:sz w:val="18"/>
                <w:szCs w:val="18"/>
                <w:lang w:eastAsia="en-GB"/>
              </w:rPr>
              <w:t>20</w:t>
            </w:r>
            <w:r w:rsidR="00047E6F">
              <w:rPr>
                <w:rFonts w:eastAsia="Times New Roman" w:cs="Arial"/>
                <w:color w:val="000000"/>
                <w:sz w:val="18"/>
                <w:szCs w:val="18"/>
                <w:lang w:eastAsia="en-GB"/>
              </w:rPr>
              <w:t>25</w:t>
            </w:r>
          </w:p>
          <w:p w14:paraId="0A277933" w14:textId="77777777" w:rsidR="00047E6F" w:rsidRDefault="00047E6F" w:rsidP="00047E6F">
            <w:pPr>
              <w:spacing w:after="0" w:line="240" w:lineRule="auto"/>
              <w:jc w:val="center"/>
              <w:rPr>
                <w:rFonts w:eastAsia="Times New Roman" w:cs="Arial"/>
                <w:color w:val="000000"/>
                <w:sz w:val="18"/>
                <w:szCs w:val="18"/>
                <w:lang w:eastAsia="en-GB"/>
              </w:rPr>
            </w:pPr>
          </w:p>
          <w:p w14:paraId="5B1BCDCD" w14:textId="77777777" w:rsidR="00047E6F" w:rsidRDefault="00047E6F" w:rsidP="00047E6F">
            <w:pPr>
              <w:spacing w:after="0" w:line="240" w:lineRule="auto"/>
              <w:jc w:val="center"/>
              <w:rPr>
                <w:rFonts w:eastAsia="Times New Roman" w:cs="Arial"/>
                <w:color w:val="000000"/>
                <w:sz w:val="18"/>
                <w:szCs w:val="18"/>
                <w:lang w:eastAsia="en-GB"/>
              </w:rPr>
            </w:pPr>
          </w:p>
          <w:p w14:paraId="164BDEF4" w14:textId="77777777" w:rsidR="00047E6F" w:rsidRDefault="00047E6F" w:rsidP="00047E6F">
            <w:pPr>
              <w:spacing w:after="0" w:line="240" w:lineRule="auto"/>
              <w:jc w:val="center"/>
              <w:rPr>
                <w:rFonts w:eastAsia="Times New Roman" w:cs="Arial"/>
                <w:color w:val="000000"/>
                <w:sz w:val="18"/>
                <w:szCs w:val="18"/>
                <w:lang w:eastAsia="en-GB"/>
              </w:rPr>
            </w:pPr>
          </w:p>
          <w:p w14:paraId="728092D3" w14:textId="77777777" w:rsidR="00047E6F" w:rsidRDefault="00047E6F" w:rsidP="00047E6F">
            <w:pPr>
              <w:spacing w:after="0" w:line="240" w:lineRule="auto"/>
              <w:jc w:val="center"/>
              <w:rPr>
                <w:rFonts w:eastAsia="Times New Roman" w:cs="Arial"/>
                <w:color w:val="000000"/>
                <w:sz w:val="18"/>
                <w:szCs w:val="18"/>
                <w:lang w:eastAsia="en-GB"/>
              </w:rPr>
            </w:pPr>
          </w:p>
          <w:p w14:paraId="108ED9DD" w14:textId="77777777" w:rsidR="00A571C0" w:rsidRPr="00F228F0" w:rsidRDefault="00A571C0" w:rsidP="00047E6F">
            <w:pPr>
              <w:spacing w:after="0" w:line="240" w:lineRule="auto"/>
              <w:jc w:val="center"/>
              <w:rPr>
                <w:rFonts w:eastAsia="Times New Roman" w:cs="Arial"/>
                <w:color w:val="000000"/>
                <w:sz w:val="18"/>
                <w:szCs w:val="18"/>
                <w:lang w:eastAsia="en-GB"/>
              </w:rPr>
            </w:pPr>
          </w:p>
        </w:tc>
        <w:tc>
          <w:tcPr>
            <w:tcW w:w="692" w:type="pct"/>
            <w:tcBorders>
              <w:top w:val="nil"/>
              <w:left w:val="single" w:sz="8" w:space="0" w:color="auto"/>
              <w:bottom w:val="nil"/>
              <w:right w:val="single" w:sz="8" w:space="0" w:color="808080"/>
            </w:tcBorders>
            <w:noWrap/>
            <w:vAlign w:val="center"/>
            <w:hideMark/>
          </w:tcPr>
          <w:p w14:paraId="5A528CA5" w14:textId="2989FBEB" w:rsidR="002C40F0" w:rsidRDefault="002C40F0" w:rsidP="00047E6F">
            <w:pPr>
              <w:spacing w:after="0" w:line="240" w:lineRule="auto"/>
              <w:jc w:val="center"/>
              <w:rPr>
                <w:rFonts w:eastAsia="Times New Roman" w:cs="Arial"/>
                <w:color w:val="000000"/>
                <w:sz w:val="18"/>
                <w:szCs w:val="18"/>
                <w:lang w:eastAsia="en-GB"/>
              </w:rPr>
            </w:pPr>
            <w:r w:rsidRPr="00F443F1">
              <w:rPr>
                <w:rFonts w:eastAsia="Times New Roman" w:cs="Arial"/>
                <w:color w:val="000000"/>
                <w:sz w:val="18"/>
                <w:szCs w:val="18"/>
                <w:lang w:eastAsia="en-GB"/>
              </w:rPr>
              <w:t>x</w:t>
            </w:r>
          </w:p>
          <w:p w14:paraId="4CC4BA90" w14:textId="77777777" w:rsidR="002C40F0" w:rsidRDefault="002C40F0" w:rsidP="00047E6F">
            <w:pPr>
              <w:spacing w:after="0" w:line="240" w:lineRule="auto"/>
              <w:jc w:val="center"/>
              <w:rPr>
                <w:rFonts w:eastAsia="Times New Roman" w:cs="Arial"/>
                <w:color w:val="000000"/>
                <w:sz w:val="18"/>
                <w:szCs w:val="18"/>
                <w:lang w:eastAsia="en-GB"/>
              </w:rPr>
            </w:pPr>
          </w:p>
          <w:p w14:paraId="73444BBD" w14:textId="77777777" w:rsidR="002C40F0" w:rsidRDefault="002C40F0" w:rsidP="00047E6F">
            <w:pPr>
              <w:spacing w:after="0" w:line="240" w:lineRule="auto"/>
              <w:jc w:val="center"/>
              <w:rPr>
                <w:rFonts w:eastAsia="Times New Roman" w:cs="Arial"/>
                <w:color w:val="000000"/>
                <w:sz w:val="18"/>
                <w:szCs w:val="18"/>
                <w:lang w:eastAsia="en-GB"/>
              </w:rPr>
            </w:pPr>
          </w:p>
          <w:p w14:paraId="7B608834" w14:textId="77777777" w:rsidR="002C40F0" w:rsidRDefault="002C40F0" w:rsidP="00047E6F">
            <w:pPr>
              <w:spacing w:after="0" w:line="240" w:lineRule="auto"/>
              <w:jc w:val="center"/>
              <w:rPr>
                <w:rFonts w:eastAsia="Times New Roman" w:cs="Arial"/>
                <w:color w:val="000000"/>
                <w:sz w:val="18"/>
                <w:szCs w:val="18"/>
                <w:lang w:eastAsia="en-GB"/>
              </w:rPr>
            </w:pPr>
          </w:p>
          <w:p w14:paraId="1E234386" w14:textId="77777777" w:rsidR="00047E6F" w:rsidRDefault="00047E6F" w:rsidP="00047E6F">
            <w:pPr>
              <w:spacing w:after="0" w:line="240" w:lineRule="auto"/>
              <w:jc w:val="center"/>
              <w:rPr>
                <w:rFonts w:eastAsia="Times New Roman" w:cs="Arial"/>
                <w:color w:val="000000"/>
                <w:sz w:val="18"/>
                <w:szCs w:val="18"/>
                <w:lang w:eastAsia="en-GB"/>
              </w:rPr>
            </w:pPr>
          </w:p>
          <w:p w14:paraId="53489DC5" w14:textId="77777777" w:rsidR="00047E6F" w:rsidRPr="00F228F0" w:rsidRDefault="00047E6F" w:rsidP="00047E6F">
            <w:pPr>
              <w:spacing w:after="0" w:line="240" w:lineRule="auto"/>
              <w:jc w:val="center"/>
              <w:rPr>
                <w:rFonts w:eastAsia="Times New Roman" w:cs="Arial"/>
                <w:color w:val="000000"/>
                <w:sz w:val="18"/>
                <w:szCs w:val="18"/>
                <w:lang w:eastAsia="en-GB"/>
              </w:rPr>
            </w:pPr>
          </w:p>
        </w:tc>
        <w:tc>
          <w:tcPr>
            <w:tcW w:w="616" w:type="pct"/>
            <w:tcBorders>
              <w:top w:val="nil"/>
              <w:left w:val="nil"/>
              <w:bottom w:val="nil"/>
              <w:right w:val="single" w:sz="8" w:space="0" w:color="auto"/>
            </w:tcBorders>
            <w:noWrap/>
            <w:vAlign w:val="center"/>
            <w:hideMark/>
          </w:tcPr>
          <w:p w14:paraId="24DE7B6D" w14:textId="2D923040" w:rsidR="002C40F0" w:rsidRDefault="002C40F0" w:rsidP="00047E6F">
            <w:pPr>
              <w:spacing w:after="0" w:line="240" w:lineRule="auto"/>
              <w:jc w:val="center"/>
              <w:rPr>
                <w:rFonts w:eastAsia="Times New Roman" w:cs="Arial"/>
                <w:color w:val="000000"/>
                <w:sz w:val="18"/>
                <w:szCs w:val="18"/>
                <w:lang w:eastAsia="en-GB"/>
              </w:rPr>
            </w:pPr>
            <w:r w:rsidRPr="00F443F1">
              <w:rPr>
                <w:rFonts w:eastAsia="Times New Roman" w:cs="Arial"/>
                <w:color w:val="000000"/>
                <w:sz w:val="18"/>
                <w:szCs w:val="18"/>
                <w:lang w:eastAsia="en-GB"/>
              </w:rPr>
              <w:t>x</w:t>
            </w:r>
          </w:p>
          <w:p w14:paraId="5F9B7DA6" w14:textId="77777777" w:rsidR="002C40F0" w:rsidRDefault="002C40F0" w:rsidP="00047E6F">
            <w:pPr>
              <w:spacing w:after="0" w:line="240" w:lineRule="auto"/>
              <w:jc w:val="center"/>
              <w:rPr>
                <w:rFonts w:eastAsia="Times New Roman" w:cs="Arial"/>
                <w:color w:val="000000"/>
                <w:sz w:val="18"/>
                <w:szCs w:val="18"/>
                <w:lang w:eastAsia="en-GB"/>
              </w:rPr>
            </w:pPr>
          </w:p>
          <w:p w14:paraId="638F41F6" w14:textId="77777777" w:rsidR="002C40F0" w:rsidRDefault="002C40F0" w:rsidP="00047E6F">
            <w:pPr>
              <w:spacing w:after="0" w:line="240" w:lineRule="auto"/>
              <w:jc w:val="center"/>
              <w:rPr>
                <w:rFonts w:eastAsia="Times New Roman" w:cs="Arial"/>
                <w:color w:val="000000"/>
                <w:sz w:val="18"/>
                <w:szCs w:val="18"/>
                <w:lang w:eastAsia="en-GB"/>
              </w:rPr>
            </w:pPr>
          </w:p>
          <w:p w14:paraId="4D68C889" w14:textId="77777777" w:rsidR="002C40F0" w:rsidRDefault="002C40F0" w:rsidP="00047E6F">
            <w:pPr>
              <w:spacing w:after="0" w:line="240" w:lineRule="auto"/>
              <w:jc w:val="center"/>
              <w:rPr>
                <w:rFonts w:eastAsia="Times New Roman" w:cs="Arial"/>
                <w:color w:val="000000"/>
                <w:sz w:val="18"/>
                <w:szCs w:val="18"/>
                <w:lang w:eastAsia="en-GB"/>
              </w:rPr>
            </w:pPr>
          </w:p>
          <w:p w14:paraId="11A70972" w14:textId="77777777" w:rsidR="00047E6F" w:rsidRDefault="00047E6F" w:rsidP="00047E6F">
            <w:pPr>
              <w:spacing w:after="0" w:line="240" w:lineRule="auto"/>
              <w:jc w:val="center"/>
              <w:rPr>
                <w:rFonts w:eastAsia="Times New Roman" w:cs="Arial"/>
                <w:color w:val="000000"/>
                <w:sz w:val="18"/>
                <w:szCs w:val="18"/>
                <w:lang w:eastAsia="en-GB"/>
              </w:rPr>
            </w:pPr>
          </w:p>
          <w:p w14:paraId="23D96808" w14:textId="77777777" w:rsidR="00047E6F" w:rsidRPr="00F228F0" w:rsidRDefault="00047E6F" w:rsidP="00047E6F">
            <w:pPr>
              <w:spacing w:after="0" w:line="240" w:lineRule="auto"/>
              <w:jc w:val="center"/>
              <w:rPr>
                <w:rFonts w:eastAsia="Times New Roman" w:cs="Arial"/>
                <w:color w:val="000000"/>
                <w:sz w:val="18"/>
                <w:szCs w:val="18"/>
                <w:lang w:eastAsia="en-GB"/>
              </w:rPr>
            </w:pPr>
          </w:p>
        </w:tc>
      </w:tr>
      <w:tr w:rsidR="00A571C0" w:rsidRPr="00ED79BC" w14:paraId="46AF7552" w14:textId="77777777" w:rsidTr="00307AF7">
        <w:trPr>
          <w:trHeight w:val="510"/>
          <w:jc w:val="center"/>
        </w:trPr>
        <w:tc>
          <w:tcPr>
            <w:tcW w:w="457" w:type="pct"/>
            <w:vMerge/>
            <w:tcBorders>
              <w:top w:val="nil"/>
              <w:left w:val="single" w:sz="8" w:space="0" w:color="auto"/>
              <w:bottom w:val="single" w:sz="8" w:space="0" w:color="000000"/>
              <w:right w:val="single" w:sz="8" w:space="0" w:color="auto"/>
            </w:tcBorders>
            <w:vAlign w:val="center"/>
            <w:hideMark/>
          </w:tcPr>
          <w:p w14:paraId="43D43D14" w14:textId="77777777" w:rsidR="00A571C0" w:rsidRPr="00F228F0" w:rsidRDefault="00A571C0" w:rsidP="00307AF7">
            <w:pPr>
              <w:spacing w:after="0" w:line="240" w:lineRule="auto"/>
              <w:rPr>
                <w:rFonts w:eastAsia="Times New Roman" w:cs="Arial"/>
                <w:b/>
                <w:bCs/>
                <w:color w:val="000000"/>
                <w:sz w:val="18"/>
                <w:szCs w:val="18"/>
                <w:lang w:eastAsia="en-GB"/>
              </w:rPr>
            </w:pPr>
          </w:p>
        </w:tc>
        <w:tc>
          <w:tcPr>
            <w:tcW w:w="2610" w:type="pct"/>
            <w:tcBorders>
              <w:top w:val="nil"/>
              <w:left w:val="nil"/>
              <w:bottom w:val="single" w:sz="8" w:space="0" w:color="auto"/>
              <w:right w:val="nil"/>
            </w:tcBorders>
            <w:vAlign w:val="center"/>
            <w:hideMark/>
          </w:tcPr>
          <w:p w14:paraId="3DC8935C" w14:textId="77777777" w:rsidR="00047E6F" w:rsidRDefault="00047E6F" w:rsidP="00047E6F">
            <w:pPr>
              <w:spacing w:line="240" w:lineRule="auto"/>
              <w:rPr>
                <w:rFonts w:eastAsia="Times New Roman" w:cs="Arial"/>
                <w:b/>
                <w:bCs/>
                <w:color w:val="000000"/>
                <w:sz w:val="18"/>
                <w:szCs w:val="18"/>
                <w:lang w:eastAsia="en-GB"/>
              </w:rPr>
            </w:pPr>
            <w:r w:rsidRPr="00B066F2">
              <w:rPr>
                <w:rFonts w:eastAsia="Times New Roman" w:cs="Arial"/>
                <w:b/>
                <w:bCs/>
                <w:color w:val="000000"/>
                <w:sz w:val="18"/>
                <w:szCs w:val="18"/>
                <w:lang w:eastAsia="en-GB"/>
              </w:rPr>
              <w:t>Aktualizovaná koncepce výzkumu, vývoje a inovací Ministerstva životního prostředí na léta 2016 až 2035 s výhledem do roku 2050</w:t>
            </w:r>
          </w:p>
          <w:p w14:paraId="4037F49E" w14:textId="4922E756" w:rsidR="00A571C0" w:rsidRPr="00F228F0" w:rsidRDefault="00047E6F" w:rsidP="00307AF7">
            <w:pPr>
              <w:spacing w:after="0" w:line="240" w:lineRule="auto"/>
              <w:rPr>
                <w:rFonts w:eastAsia="Times New Roman" w:cs="Arial"/>
                <w:color w:val="000000"/>
                <w:sz w:val="18"/>
                <w:szCs w:val="18"/>
                <w:lang w:eastAsia="en-GB"/>
              </w:rPr>
            </w:pPr>
            <w:r w:rsidRPr="00047E6F">
              <w:rPr>
                <w:rFonts w:eastAsia="Times New Roman" w:cs="Arial"/>
                <w:color w:val="000000"/>
                <w:sz w:val="18"/>
                <w:szCs w:val="18"/>
                <w:lang w:eastAsia="en-GB"/>
              </w:rPr>
              <w:t>https://www.mzp.cz/C1257458002F0DC7/cz/vyzkum_veda_inovace/$FILE/OFDN-Aktualizace_koncepce_VaVaI_MZP-20230303.pdf</w:t>
            </w:r>
          </w:p>
        </w:tc>
        <w:tc>
          <w:tcPr>
            <w:tcW w:w="625" w:type="pct"/>
            <w:tcBorders>
              <w:top w:val="nil"/>
              <w:left w:val="single" w:sz="8" w:space="0" w:color="auto"/>
              <w:bottom w:val="single" w:sz="8" w:space="0" w:color="auto"/>
              <w:right w:val="nil"/>
            </w:tcBorders>
            <w:vAlign w:val="center"/>
            <w:hideMark/>
          </w:tcPr>
          <w:p w14:paraId="3DB02EC2" w14:textId="12531412" w:rsidR="00A571C0" w:rsidRPr="00F228F0" w:rsidRDefault="00047E6F" w:rsidP="00307AF7">
            <w:pPr>
              <w:spacing w:after="0" w:line="240" w:lineRule="auto"/>
              <w:jc w:val="center"/>
              <w:rPr>
                <w:rFonts w:eastAsia="Times New Roman" w:cs="Arial"/>
                <w:color w:val="000000"/>
                <w:sz w:val="18"/>
                <w:szCs w:val="18"/>
                <w:lang w:eastAsia="en-GB"/>
              </w:rPr>
            </w:pPr>
            <w:r>
              <w:rPr>
                <w:rFonts w:eastAsia="Times New Roman" w:cs="Arial"/>
                <w:color w:val="000000"/>
                <w:sz w:val="18"/>
                <w:szCs w:val="18"/>
                <w:lang w:eastAsia="en-GB"/>
              </w:rPr>
              <w:t>2050</w:t>
            </w:r>
            <w:r w:rsidR="00A571C0" w:rsidRPr="00F228F0">
              <w:rPr>
                <w:rFonts w:eastAsia="Times New Roman" w:cs="Arial"/>
                <w:color w:val="000000"/>
                <w:sz w:val="18"/>
                <w:szCs w:val="18"/>
                <w:lang w:eastAsia="en-GB"/>
              </w:rPr>
              <w:t> </w:t>
            </w:r>
          </w:p>
        </w:tc>
        <w:tc>
          <w:tcPr>
            <w:tcW w:w="692" w:type="pct"/>
            <w:tcBorders>
              <w:top w:val="nil"/>
              <w:left w:val="single" w:sz="8" w:space="0" w:color="auto"/>
              <w:bottom w:val="single" w:sz="8" w:space="0" w:color="auto"/>
              <w:right w:val="single" w:sz="8" w:space="0" w:color="808080"/>
            </w:tcBorders>
            <w:noWrap/>
            <w:vAlign w:val="center"/>
            <w:hideMark/>
          </w:tcPr>
          <w:p w14:paraId="2AFEAEC1" w14:textId="1004C7FE" w:rsidR="00A571C0" w:rsidRPr="00F228F0" w:rsidRDefault="00047E6F" w:rsidP="00307AF7">
            <w:pPr>
              <w:spacing w:after="0" w:line="240" w:lineRule="auto"/>
              <w:jc w:val="center"/>
              <w:rPr>
                <w:rFonts w:eastAsia="Times New Roman" w:cs="Arial"/>
                <w:color w:val="000000"/>
                <w:sz w:val="18"/>
                <w:szCs w:val="18"/>
                <w:lang w:eastAsia="en-GB"/>
              </w:rPr>
            </w:pPr>
            <w:r>
              <w:rPr>
                <w:rFonts w:eastAsia="Times New Roman" w:cs="Arial"/>
                <w:color w:val="000000"/>
                <w:sz w:val="18"/>
                <w:szCs w:val="18"/>
                <w:lang w:eastAsia="en-GB"/>
              </w:rPr>
              <w:t>1. 2. 2023</w:t>
            </w:r>
            <w:r w:rsidR="00A571C0" w:rsidRPr="00F228F0">
              <w:rPr>
                <w:rFonts w:eastAsia="Times New Roman" w:cs="Arial"/>
                <w:color w:val="000000"/>
                <w:sz w:val="18"/>
                <w:szCs w:val="18"/>
                <w:lang w:eastAsia="en-GB"/>
              </w:rPr>
              <w:t> </w:t>
            </w:r>
          </w:p>
        </w:tc>
        <w:tc>
          <w:tcPr>
            <w:tcW w:w="616" w:type="pct"/>
            <w:tcBorders>
              <w:top w:val="nil"/>
              <w:left w:val="nil"/>
              <w:bottom w:val="single" w:sz="8" w:space="0" w:color="auto"/>
              <w:right w:val="single" w:sz="8" w:space="0" w:color="auto"/>
            </w:tcBorders>
            <w:noWrap/>
            <w:vAlign w:val="center"/>
            <w:hideMark/>
          </w:tcPr>
          <w:p w14:paraId="0782F9A2" w14:textId="1415B0D0" w:rsidR="00A571C0" w:rsidRPr="00F228F0" w:rsidRDefault="00047E6F" w:rsidP="00307AF7">
            <w:pPr>
              <w:spacing w:after="0" w:line="240" w:lineRule="auto"/>
              <w:jc w:val="center"/>
              <w:rPr>
                <w:rFonts w:eastAsia="Times New Roman" w:cs="Arial"/>
                <w:color w:val="000000"/>
                <w:sz w:val="18"/>
                <w:szCs w:val="18"/>
                <w:lang w:eastAsia="en-GB"/>
              </w:rPr>
            </w:pPr>
            <w:r>
              <w:rPr>
                <w:rFonts w:eastAsia="Times New Roman" w:cs="Arial"/>
                <w:color w:val="000000"/>
                <w:sz w:val="18"/>
                <w:szCs w:val="18"/>
                <w:lang w:eastAsia="en-GB"/>
              </w:rPr>
              <w:t>82/2023</w:t>
            </w:r>
            <w:r w:rsidR="00A571C0" w:rsidRPr="00F228F0">
              <w:rPr>
                <w:rFonts w:eastAsia="Times New Roman" w:cs="Arial"/>
                <w:color w:val="000000"/>
                <w:sz w:val="18"/>
                <w:szCs w:val="18"/>
                <w:lang w:eastAsia="en-GB"/>
              </w:rPr>
              <w:t> </w:t>
            </w:r>
          </w:p>
        </w:tc>
      </w:tr>
      <w:tr w:rsidR="00A571C0" w:rsidRPr="00ED79BC" w14:paraId="5A893F58" w14:textId="77777777" w:rsidTr="00307AF7">
        <w:trPr>
          <w:trHeight w:val="510"/>
          <w:jc w:val="center"/>
        </w:trPr>
        <w:tc>
          <w:tcPr>
            <w:tcW w:w="457" w:type="pct"/>
            <w:vMerge w:val="restart"/>
            <w:tcBorders>
              <w:top w:val="nil"/>
              <w:left w:val="single" w:sz="8" w:space="0" w:color="auto"/>
              <w:bottom w:val="single" w:sz="8" w:space="0" w:color="000000"/>
              <w:right w:val="single" w:sz="8" w:space="0" w:color="auto"/>
            </w:tcBorders>
            <w:shd w:val="clear" w:color="000000" w:fill="F2F2F2"/>
            <w:noWrap/>
            <w:vAlign w:val="center"/>
            <w:hideMark/>
          </w:tcPr>
          <w:p w14:paraId="5434B0D7" w14:textId="77777777" w:rsidR="00A571C0" w:rsidRPr="00ED79BC" w:rsidRDefault="00A571C0" w:rsidP="00307AF7">
            <w:pPr>
              <w:spacing w:after="0" w:line="240" w:lineRule="auto"/>
              <w:jc w:val="center"/>
              <w:rPr>
                <w:rFonts w:eastAsia="Times New Roman" w:cs="Arial"/>
                <w:b/>
                <w:bCs/>
                <w:color w:val="000000"/>
                <w:sz w:val="18"/>
                <w:szCs w:val="18"/>
                <w:highlight w:val="yellow"/>
                <w:lang w:eastAsia="en-GB"/>
              </w:rPr>
            </w:pPr>
            <w:r w:rsidRPr="004E4542">
              <w:rPr>
                <w:rFonts w:eastAsia="Times New Roman" w:cs="Arial"/>
                <w:b/>
                <w:bCs/>
                <w:color w:val="000000"/>
                <w:sz w:val="18"/>
                <w:szCs w:val="18"/>
                <w:lang w:eastAsia="en-GB"/>
              </w:rPr>
              <w:t>MPSV</w:t>
            </w:r>
          </w:p>
        </w:tc>
        <w:tc>
          <w:tcPr>
            <w:tcW w:w="2610" w:type="pct"/>
            <w:tcBorders>
              <w:top w:val="nil"/>
              <w:left w:val="nil"/>
              <w:bottom w:val="nil"/>
              <w:right w:val="nil"/>
            </w:tcBorders>
            <w:vAlign w:val="center"/>
            <w:hideMark/>
          </w:tcPr>
          <w:p w14:paraId="04711115" w14:textId="77777777" w:rsidR="00A571C0" w:rsidRPr="004E4542" w:rsidRDefault="00A571C0" w:rsidP="001244AE">
            <w:pPr>
              <w:spacing w:line="240" w:lineRule="auto"/>
              <w:rPr>
                <w:rFonts w:eastAsia="Times New Roman" w:cs="Arial"/>
                <w:b/>
                <w:bCs/>
                <w:color w:val="000000"/>
                <w:sz w:val="18"/>
                <w:szCs w:val="18"/>
                <w:lang w:eastAsia="en-GB"/>
              </w:rPr>
            </w:pPr>
            <w:r w:rsidRPr="004E4542">
              <w:rPr>
                <w:rFonts w:eastAsia="Times New Roman" w:cs="Arial"/>
                <w:b/>
                <w:bCs/>
                <w:color w:val="000000"/>
                <w:sz w:val="18"/>
                <w:szCs w:val="18"/>
                <w:lang w:eastAsia="en-GB"/>
              </w:rPr>
              <w:t>Koncepce výzkumu, vývoje a inovací Ministerstva práce a</w:t>
            </w:r>
            <w:r>
              <w:rPr>
                <w:rFonts w:eastAsia="Times New Roman" w:cs="Arial"/>
                <w:b/>
                <w:bCs/>
                <w:color w:val="000000"/>
                <w:sz w:val="18"/>
                <w:szCs w:val="18"/>
                <w:lang w:eastAsia="en-GB"/>
              </w:rPr>
              <w:t> </w:t>
            </w:r>
            <w:r w:rsidRPr="004E4542">
              <w:rPr>
                <w:rFonts w:eastAsia="Times New Roman" w:cs="Arial"/>
                <w:b/>
                <w:bCs/>
                <w:color w:val="000000"/>
                <w:sz w:val="18"/>
                <w:szCs w:val="18"/>
                <w:lang w:eastAsia="en-GB"/>
              </w:rPr>
              <w:t>sociálních věcí na léta 2017-2023, s výhledem do roku 2025</w:t>
            </w:r>
          </w:p>
        </w:tc>
        <w:tc>
          <w:tcPr>
            <w:tcW w:w="625" w:type="pct"/>
            <w:tcBorders>
              <w:top w:val="nil"/>
              <w:left w:val="single" w:sz="8" w:space="0" w:color="auto"/>
              <w:bottom w:val="nil"/>
              <w:right w:val="nil"/>
            </w:tcBorders>
            <w:vAlign w:val="center"/>
            <w:hideMark/>
          </w:tcPr>
          <w:p w14:paraId="00A91877" w14:textId="77777777" w:rsidR="00A571C0" w:rsidRPr="004E4542" w:rsidRDefault="00A571C0" w:rsidP="00307AF7">
            <w:pPr>
              <w:spacing w:after="0" w:line="240" w:lineRule="auto"/>
              <w:jc w:val="center"/>
              <w:rPr>
                <w:rFonts w:eastAsia="Times New Roman" w:cs="Arial"/>
                <w:color w:val="000000"/>
                <w:sz w:val="18"/>
                <w:szCs w:val="18"/>
                <w:lang w:eastAsia="en-GB"/>
              </w:rPr>
            </w:pPr>
            <w:r w:rsidRPr="004E4542">
              <w:rPr>
                <w:rFonts w:eastAsia="Times New Roman" w:cs="Arial"/>
                <w:color w:val="000000"/>
                <w:sz w:val="18"/>
                <w:szCs w:val="18"/>
                <w:lang w:eastAsia="en-GB"/>
              </w:rPr>
              <w:t>2025</w:t>
            </w:r>
          </w:p>
        </w:tc>
        <w:tc>
          <w:tcPr>
            <w:tcW w:w="692" w:type="pct"/>
            <w:tcBorders>
              <w:top w:val="nil"/>
              <w:left w:val="single" w:sz="8" w:space="0" w:color="auto"/>
              <w:bottom w:val="nil"/>
              <w:right w:val="single" w:sz="8" w:space="0" w:color="808080"/>
            </w:tcBorders>
            <w:noWrap/>
            <w:vAlign w:val="center"/>
            <w:hideMark/>
          </w:tcPr>
          <w:p w14:paraId="721C4BCB" w14:textId="77777777" w:rsidR="00A571C0" w:rsidRPr="004E4542" w:rsidRDefault="00A571C0" w:rsidP="00307AF7">
            <w:pPr>
              <w:spacing w:after="0" w:line="240" w:lineRule="auto"/>
              <w:jc w:val="center"/>
              <w:rPr>
                <w:rFonts w:eastAsia="Times New Roman" w:cs="Arial"/>
                <w:color w:val="000000"/>
                <w:sz w:val="18"/>
                <w:szCs w:val="18"/>
                <w:lang w:eastAsia="en-GB"/>
              </w:rPr>
            </w:pPr>
            <w:r w:rsidRPr="004E4542">
              <w:rPr>
                <w:rFonts w:eastAsia="Times New Roman" w:cs="Arial"/>
                <w:color w:val="000000"/>
                <w:sz w:val="18"/>
                <w:szCs w:val="18"/>
                <w:lang w:eastAsia="en-GB"/>
              </w:rPr>
              <w:t>x</w:t>
            </w:r>
          </w:p>
        </w:tc>
        <w:tc>
          <w:tcPr>
            <w:tcW w:w="616" w:type="pct"/>
            <w:tcBorders>
              <w:top w:val="nil"/>
              <w:left w:val="nil"/>
              <w:bottom w:val="nil"/>
              <w:right w:val="single" w:sz="8" w:space="0" w:color="auto"/>
            </w:tcBorders>
            <w:noWrap/>
            <w:vAlign w:val="center"/>
            <w:hideMark/>
          </w:tcPr>
          <w:p w14:paraId="42949E49" w14:textId="77777777" w:rsidR="00A571C0" w:rsidRPr="004E4542" w:rsidRDefault="00A571C0" w:rsidP="00307AF7">
            <w:pPr>
              <w:spacing w:after="0" w:line="240" w:lineRule="auto"/>
              <w:jc w:val="center"/>
              <w:rPr>
                <w:rFonts w:eastAsia="Times New Roman" w:cs="Arial"/>
                <w:color w:val="000000"/>
                <w:sz w:val="18"/>
                <w:szCs w:val="18"/>
                <w:lang w:eastAsia="en-GB"/>
              </w:rPr>
            </w:pPr>
            <w:r w:rsidRPr="004E4542">
              <w:rPr>
                <w:rFonts w:eastAsia="Times New Roman" w:cs="Arial"/>
                <w:color w:val="000000"/>
                <w:sz w:val="18"/>
                <w:szCs w:val="18"/>
                <w:lang w:eastAsia="en-GB"/>
              </w:rPr>
              <w:t>x</w:t>
            </w:r>
          </w:p>
        </w:tc>
      </w:tr>
      <w:tr w:rsidR="00A571C0" w:rsidRPr="00ED79BC" w14:paraId="1285A020" w14:textId="77777777" w:rsidTr="00307AF7">
        <w:trPr>
          <w:trHeight w:val="510"/>
          <w:jc w:val="center"/>
        </w:trPr>
        <w:tc>
          <w:tcPr>
            <w:tcW w:w="457" w:type="pct"/>
            <w:vMerge/>
            <w:tcBorders>
              <w:top w:val="nil"/>
              <w:left w:val="single" w:sz="8" w:space="0" w:color="auto"/>
              <w:bottom w:val="single" w:sz="8" w:space="0" w:color="000000"/>
              <w:right w:val="single" w:sz="8" w:space="0" w:color="auto"/>
            </w:tcBorders>
            <w:vAlign w:val="center"/>
            <w:hideMark/>
          </w:tcPr>
          <w:p w14:paraId="5E4FF13A" w14:textId="77777777" w:rsidR="00A571C0" w:rsidRPr="00ED79BC" w:rsidRDefault="00A571C0" w:rsidP="00307AF7">
            <w:pPr>
              <w:spacing w:after="0" w:line="240" w:lineRule="auto"/>
              <w:rPr>
                <w:rFonts w:eastAsia="Times New Roman" w:cs="Arial"/>
                <w:b/>
                <w:bCs/>
                <w:color w:val="000000"/>
                <w:sz w:val="18"/>
                <w:szCs w:val="18"/>
                <w:highlight w:val="yellow"/>
                <w:lang w:eastAsia="en-GB"/>
              </w:rPr>
            </w:pPr>
          </w:p>
        </w:tc>
        <w:tc>
          <w:tcPr>
            <w:tcW w:w="2610" w:type="pct"/>
            <w:tcBorders>
              <w:top w:val="nil"/>
              <w:left w:val="nil"/>
              <w:bottom w:val="single" w:sz="8" w:space="0" w:color="auto"/>
              <w:right w:val="nil"/>
            </w:tcBorders>
            <w:vAlign w:val="center"/>
            <w:hideMark/>
          </w:tcPr>
          <w:p w14:paraId="3BE62B3E" w14:textId="77777777" w:rsidR="00A571C0" w:rsidRPr="004E4542" w:rsidRDefault="00A571C0" w:rsidP="00307AF7">
            <w:pPr>
              <w:spacing w:after="0" w:line="240" w:lineRule="auto"/>
              <w:rPr>
                <w:rFonts w:eastAsia="Times New Roman" w:cs="Arial"/>
                <w:color w:val="000000"/>
                <w:sz w:val="18"/>
                <w:szCs w:val="18"/>
                <w:lang w:eastAsia="en-GB"/>
              </w:rPr>
            </w:pPr>
            <w:r w:rsidRPr="004E4542">
              <w:rPr>
                <w:rFonts w:eastAsia="Times New Roman" w:cs="Arial"/>
                <w:color w:val="000000"/>
                <w:sz w:val="18"/>
                <w:szCs w:val="18"/>
                <w:lang w:eastAsia="en-GB"/>
              </w:rPr>
              <w:t>https://www.mpsv.cz/documents/20142/650267/MPSV_Koncepce_VVI_2017-23_s_vyhledem_do_2025.pdf/868ca721-b2be-5536-5cbe-d3faeae4af87</w:t>
            </w:r>
          </w:p>
        </w:tc>
        <w:tc>
          <w:tcPr>
            <w:tcW w:w="625" w:type="pct"/>
            <w:tcBorders>
              <w:top w:val="nil"/>
              <w:left w:val="single" w:sz="8" w:space="0" w:color="auto"/>
              <w:bottom w:val="single" w:sz="8" w:space="0" w:color="auto"/>
              <w:right w:val="nil"/>
            </w:tcBorders>
            <w:vAlign w:val="center"/>
            <w:hideMark/>
          </w:tcPr>
          <w:p w14:paraId="0815B5F4" w14:textId="77777777" w:rsidR="00A571C0" w:rsidRPr="004E4542" w:rsidRDefault="00A571C0" w:rsidP="00307AF7">
            <w:pPr>
              <w:spacing w:after="0" w:line="240" w:lineRule="auto"/>
              <w:jc w:val="center"/>
              <w:rPr>
                <w:rFonts w:eastAsia="Times New Roman" w:cs="Arial"/>
                <w:color w:val="000000"/>
                <w:sz w:val="18"/>
                <w:szCs w:val="18"/>
                <w:lang w:eastAsia="en-GB"/>
              </w:rPr>
            </w:pPr>
            <w:r w:rsidRPr="004E4542">
              <w:rPr>
                <w:rFonts w:eastAsia="Times New Roman" w:cs="Arial"/>
                <w:color w:val="000000"/>
                <w:sz w:val="18"/>
                <w:szCs w:val="18"/>
                <w:lang w:eastAsia="en-GB"/>
              </w:rPr>
              <w:t> </w:t>
            </w:r>
          </w:p>
        </w:tc>
        <w:tc>
          <w:tcPr>
            <w:tcW w:w="692" w:type="pct"/>
            <w:tcBorders>
              <w:top w:val="nil"/>
              <w:left w:val="single" w:sz="8" w:space="0" w:color="auto"/>
              <w:bottom w:val="single" w:sz="8" w:space="0" w:color="auto"/>
              <w:right w:val="single" w:sz="8" w:space="0" w:color="808080"/>
            </w:tcBorders>
            <w:noWrap/>
            <w:vAlign w:val="center"/>
            <w:hideMark/>
          </w:tcPr>
          <w:p w14:paraId="43F20F9B" w14:textId="77777777" w:rsidR="00A571C0" w:rsidRPr="004E4542" w:rsidRDefault="00A571C0" w:rsidP="00307AF7">
            <w:pPr>
              <w:spacing w:after="0" w:line="240" w:lineRule="auto"/>
              <w:jc w:val="center"/>
              <w:rPr>
                <w:rFonts w:eastAsia="Times New Roman" w:cs="Arial"/>
                <w:color w:val="000000"/>
                <w:sz w:val="18"/>
                <w:szCs w:val="18"/>
                <w:lang w:eastAsia="en-GB"/>
              </w:rPr>
            </w:pPr>
            <w:r w:rsidRPr="004E4542">
              <w:rPr>
                <w:rFonts w:eastAsia="Times New Roman" w:cs="Arial"/>
                <w:color w:val="000000"/>
                <w:sz w:val="18"/>
                <w:szCs w:val="18"/>
                <w:lang w:eastAsia="en-GB"/>
              </w:rPr>
              <w:t> </w:t>
            </w:r>
          </w:p>
        </w:tc>
        <w:tc>
          <w:tcPr>
            <w:tcW w:w="616" w:type="pct"/>
            <w:tcBorders>
              <w:top w:val="nil"/>
              <w:left w:val="nil"/>
              <w:bottom w:val="single" w:sz="8" w:space="0" w:color="auto"/>
              <w:right w:val="single" w:sz="8" w:space="0" w:color="auto"/>
            </w:tcBorders>
            <w:noWrap/>
            <w:vAlign w:val="center"/>
            <w:hideMark/>
          </w:tcPr>
          <w:p w14:paraId="384D8F77" w14:textId="77777777" w:rsidR="00A571C0" w:rsidRPr="004E4542" w:rsidRDefault="00A571C0" w:rsidP="00307AF7">
            <w:pPr>
              <w:spacing w:after="0" w:line="240" w:lineRule="auto"/>
              <w:jc w:val="center"/>
              <w:rPr>
                <w:rFonts w:eastAsia="Times New Roman" w:cs="Arial"/>
                <w:color w:val="000000"/>
                <w:sz w:val="18"/>
                <w:szCs w:val="18"/>
                <w:lang w:eastAsia="en-GB"/>
              </w:rPr>
            </w:pPr>
            <w:r w:rsidRPr="004E4542">
              <w:rPr>
                <w:rFonts w:eastAsia="Times New Roman" w:cs="Arial"/>
                <w:color w:val="000000"/>
                <w:sz w:val="18"/>
                <w:szCs w:val="18"/>
                <w:lang w:eastAsia="en-GB"/>
              </w:rPr>
              <w:t> </w:t>
            </w:r>
          </w:p>
        </w:tc>
      </w:tr>
      <w:tr w:rsidR="00A571C0" w:rsidRPr="00ED79BC" w14:paraId="19CCF7FD" w14:textId="77777777" w:rsidTr="00307AF7">
        <w:trPr>
          <w:trHeight w:val="510"/>
          <w:jc w:val="center"/>
        </w:trPr>
        <w:tc>
          <w:tcPr>
            <w:tcW w:w="457" w:type="pct"/>
            <w:vMerge w:val="restart"/>
            <w:tcBorders>
              <w:top w:val="nil"/>
              <w:left w:val="single" w:sz="8" w:space="0" w:color="auto"/>
              <w:bottom w:val="single" w:sz="8" w:space="0" w:color="000000"/>
              <w:right w:val="single" w:sz="8" w:space="0" w:color="auto"/>
            </w:tcBorders>
            <w:shd w:val="clear" w:color="000000" w:fill="F2F2F2"/>
            <w:noWrap/>
            <w:vAlign w:val="center"/>
            <w:hideMark/>
          </w:tcPr>
          <w:p w14:paraId="2B5CA193" w14:textId="77777777" w:rsidR="00A571C0" w:rsidRPr="00ED79BC" w:rsidRDefault="00A571C0" w:rsidP="00307AF7">
            <w:pPr>
              <w:spacing w:after="0" w:line="240" w:lineRule="auto"/>
              <w:jc w:val="center"/>
              <w:rPr>
                <w:rFonts w:eastAsia="Times New Roman" w:cs="Arial"/>
                <w:b/>
                <w:bCs/>
                <w:color w:val="000000"/>
                <w:sz w:val="18"/>
                <w:szCs w:val="18"/>
                <w:highlight w:val="yellow"/>
                <w:lang w:eastAsia="en-GB"/>
              </w:rPr>
            </w:pPr>
            <w:r w:rsidRPr="004E4542">
              <w:rPr>
                <w:rFonts w:eastAsia="Times New Roman" w:cs="Arial"/>
                <w:b/>
                <w:bCs/>
                <w:color w:val="000000"/>
                <w:sz w:val="18"/>
                <w:szCs w:val="18"/>
                <w:lang w:eastAsia="en-GB"/>
              </w:rPr>
              <w:t>AV ČR</w:t>
            </w:r>
          </w:p>
        </w:tc>
        <w:tc>
          <w:tcPr>
            <w:tcW w:w="2610" w:type="pct"/>
            <w:tcBorders>
              <w:top w:val="nil"/>
              <w:left w:val="nil"/>
              <w:bottom w:val="nil"/>
              <w:right w:val="nil"/>
            </w:tcBorders>
            <w:vAlign w:val="center"/>
            <w:hideMark/>
          </w:tcPr>
          <w:p w14:paraId="1BAF55DA" w14:textId="77777777" w:rsidR="00A571C0" w:rsidRPr="004E4542" w:rsidRDefault="00A571C0" w:rsidP="00307AF7">
            <w:pPr>
              <w:spacing w:after="0" w:line="240" w:lineRule="auto"/>
              <w:rPr>
                <w:rFonts w:eastAsia="Times New Roman" w:cs="Arial"/>
                <w:b/>
                <w:bCs/>
                <w:color w:val="000000"/>
                <w:sz w:val="18"/>
                <w:szCs w:val="18"/>
                <w:lang w:eastAsia="en-GB"/>
              </w:rPr>
            </w:pPr>
            <w:r w:rsidRPr="004E4542">
              <w:rPr>
                <w:rFonts w:eastAsia="Times New Roman" w:cs="Arial"/>
                <w:b/>
                <w:bCs/>
                <w:color w:val="000000"/>
                <w:sz w:val="18"/>
                <w:szCs w:val="18"/>
                <w:lang w:eastAsia="en-GB"/>
              </w:rPr>
              <w:t>Koncepce rozvoje činnosti Akademie věd České republiky</w:t>
            </w:r>
          </w:p>
        </w:tc>
        <w:tc>
          <w:tcPr>
            <w:tcW w:w="625" w:type="pct"/>
            <w:tcBorders>
              <w:top w:val="nil"/>
              <w:left w:val="single" w:sz="8" w:space="0" w:color="auto"/>
              <w:bottom w:val="nil"/>
              <w:right w:val="nil"/>
            </w:tcBorders>
            <w:vAlign w:val="center"/>
            <w:hideMark/>
          </w:tcPr>
          <w:p w14:paraId="307D50AE" w14:textId="61D6A066" w:rsidR="00A571C0" w:rsidRPr="004E4542" w:rsidRDefault="00A571C0" w:rsidP="00307AF7">
            <w:pPr>
              <w:spacing w:after="0" w:line="240" w:lineRule="auto"/>
              <w:jc w:val="center"/>
              <w:rPr>
                <w:rFonts w:eastAsia="Times New Roman" w:cs="Arial"/>
                <w:color w:val="000000"/>
                <w:sz w:val="18"/>
                <w:szCs w:val="18"/>
                <w:lang w:eastAsia="en-GB"/>
              </w:rPr>
            </w:pPr>
            <w:r w:rsidRPr="004E4542">
              <w:rPr>
                <w:rFonts w:eastAsia="Times New Roman" w:cs="Arial"/>
                <w:color w:val="000000"/>
                <w:sz w:val="18"/>
                <w:szCs w:val="18"/>
                <w:lang w:eastAsia="en-GB"/>
              </w:rPr>
              <w:t> </w:t>
            </w:r>
            <w:r w:rsidR="00D801F6">
              <w:rPr>
                <w:rFonts w:eastAsia="Times New Roman" w:cs="Arial"/>
                <w:color w:val="000000"/>
                <w:sz w:val="18"/>
                <w:szCs w:val="18"/>
                <w:lang w:eastAsia="en-GB"/>
              </w:rPr>
              <w:t>2016+</w:t>
            </w:r>
          </w:p>
        </w:tc>
        <w:tc>
          <w:tcPr>
            <w:tcW w:w="692" w:type="pct"/>
            <w:tcBorders>
              <w:top w:val="nil"/>
              <w:left w:val="single" w:sz="8" w:space="0" w:color="auto"/>
              <w:bottom w:val="nil"/>
              <w:right w:val="single" w:sz="8" w:space="0" w:color="808080"/>
            </w:tcBorders>
            <w:noWrap/>
            <w:vAlign w:val="center"/>
            <w:hideMark/>
          </w:tcPr>
          <w:p w14:paraId="528CFDCC" w14:textId="77777777" w:rsidR="00A571C0" w:rsidRPr="004E4542" w:rsidRDefault="00A571C0" w:rsidP="00307AF7">
            <w:pPr>
              <w:spacing w:after="0" w:line="240" w:lineRule="auto"/>
              <w:jc w:val="center"/>
              <w:rPr>
                <w:rFonts w:eastAsia="Times New Roman" w:cs="Arial"/>
                <w:color w:val="000000"/>
                <w:sz w:val="18"/>
                <w:szCs w:val="18"/>
                <w:lang w:eastAsia="en-GB"/>
              </w:rPr>
            </w:pPr>
            <w:r w:rsidRPr="004E4542">
              <w:rPr>
                <w:rFonts w:eastAsia="Times New Roman" w:cs="Arial"/>
                <w:color w:val="000000"/>
                <w:sz w:val="18"/>
                <w:szCs w:val="18"/>
                <w:lang w:eastAsia="en-GB"/>
              </w:rPr>
              <w:t>x</w:t>
            </w:r>
          </w:p>
        </w:tc>
        <w:tc>
          <w:tcPr>
            <w:tcW w:w="616" w:type="pct"/>
            <w:tcBorders>
              <w:top w:val="nil"/>
              <w:left w:val="nil"/>
              <w:bottom w:val="nil"/>
              <w:right w:val="single" w:sz="8" w:space="0" w:color="auto"/>
            </w:tcBorders>
            <w:noWrap/>
            <w:vAlign w:val="center"/>
            <w:hideMark/>
          </w:tcPr>
          <w:p w14:paraId="05F16C1B" w14:textId="77777777" w:rsidR="00A571C0" w:rsidRPr="004E4542" w:rsidRDefault="00A571C0" w:rsidP="00307AF7">
            <w:pPr>
              <w:spacing w:after="0" w:line="240" w:lineRule="auto"/>
              <w:jc w:val="center"/>
              <w:rPr>
                <w:rFonts w:eastAsia="Times New Roman" w:cs="Arial"/>
                <w:color w:val="000000"/>
                <w:sz w:val="18"/>
                <w:szCs w:val="18"/>
                <w:lang w:eastAsia="en-GB"/>
              </w:rPr>
            </w:pPr>
            <w:r w:rsidRPr="004E4542">
              <w:rPr>
                <w:rFonts w:eastAsia="Times New Roman" w:cs="Arial"/>
                <w:color w:val="000000"/>
                <w:sz w:val="18"/>
                <w:szCs w:val="18"/>
                <w:lang w:eastAsia="en-GB"/>
              </w:rPr>
              <w:t>x</w:t>
            </w:r>
          </w:p>
        </w:tc>
      </w:tr>
      <w:tr w:rsidR="00A571C0" w:rsidRPr="00ED79BC" w14:paraId="607161F9" w14:textId="77777777" w:rsidTr="00954F7E">
        <w:trPr>
          <w:trHeight w:val="510"/>
          <w:jc w:val="center"/>
        </w:trPr>
        <w:tc>
          <w:tcPr>
            <w:tcW w:w="457" w:type="pct"/>
            <w:vMerge/>
            <w:tcBorders>
              <w:top w:val="nil"/>
              <w:left w:val="single" w:sz="8" w:space="0" w:color="auto"/>
              <w:bottom w:val="single" w:sz="8" w:space="0" w:color="000000"/>
              <w:right w:val="single" w:sz="8" w:space="0" w:color="auto"/>
            </w:tcBorders>
            <w:vAlign w:val="center"/>
            <w:hideMark/>
          </w:tcPr>
          <w:p w14:paraId="675276E1" w14:textId="77777777" w:rsidR="00A571C0" w:rsidRPr="00ED79BC" w:rsidRDefault="00A571C0" w:rsidP="00307AF7">
            <w:pPr>
              <w:spacing w:after="0" w:line="240" w:lineRule="auto"/>
              <w:rPr>
                <w:rFonts w:eastAsia="Times New Roman" w:cs="Arial"/>
                <w:b/>
                <w:bCs/>
                <w:color w:val="000000"/>
                <w:sz w:val="18"/>
                <w:szCs w:val="18"/>
                <w:highlight w:val="yellow"/>
                <w:lang w:eastAsia="en-GB"/>
              </w:rPr>
            </w:pPr>
          </w:p>
        </w:tc>
        <w:tc>
          <w:tcPr>
            <w:tcW w:w="2610" w:type="pct"/>
            <w:tcBorders>
              <w:top w:val="nil"/>
              <w:left w:val="nil"/>
              <w:bottom w:val="single" w:sz="4" w:space="0" w:color="auto"/>
              <w:right w:val="nil"/>
            </w:tcBorders>
            <w:vAlign w:val="center"/>
            <w:hideMark/>
          </w:tcPr>
          <w:p w14:paraId="065B88D7" w14:textId="0EC9CAD9" w:rsidR="00021569" w:rsidRPr="00021569" w:rsidRDefault="00021569" w:rsidP="00021569">
            <w:pPr>
              <w:spacing w:line="240" w:lineRule="auto"/>
              <w:rPr>
                <w:rFonts w:eastAsia="Times New Roman" w:cs="Arial"/>
                <w:color w:val="000000"/>
                <w:sz w:val="18"/>
                <w:szCs w:val="18"/>
                <w:lang w:eastAsia="en-GB"/>
              </w:rPr>
            </w:pPr>
            <w:hyperlink r:id="rId95" w:history="1">
              <w:r w:rsidRPr="00021569">
                <w:rPr>
                  <w:rFonts w:eastAsia="Times New Roman" w:cs="Arial"/>
                  <w:color w:val="000000"/>
                  <w:sz w:val="18"/>
                  <w:szCs w:val="18"/>
                  <w:lang w:eastAsia="en-GB"/>
                </w:rPr>
                <w:t>https://www.avcr.cz/export/sites/avcr.cz/.content/galerie-souboru/akademicky-snem/XLIX-Koncepce_rozvoje_cinnosti_Akademie_ved_Ceske_republiky.pdf</w:t>
              </w:r>
            </w:hyperlink>
          </w:p>
          <w:p w14:paraId="6BC2D00F" w14:textId="3F1AE8A3" w:rsidR="00A571C0" w:rsidRPr="00BB0EA9" w:rsidRDefault="00A571C0" w:rsidP="00021569">
            <w:pPr>
              <w:spacing w:line="240" w:lineRule="auto"/>
              <w:rPr>
                <w:rFonts w:eastAsia="Times New Roman" w:cs="Arial"/>
                <w:b/>
                <w:color w:val="000000"/>
                <w:sz w:val="18"/>
                <w:szCs w:val="18"/>
                <w:lang w:eastAsia="en-GB"/>
              </w:rPr>
            </w:pPr>
            <w:r w:rsidRPr="00BB0EA9">
              <w:rPr>
                <w:rFonts w:eastAsia="Times New Roman" w:cs="Arial"/>
                <w:b/>
                <w:color w:val="000000"/>
                <w:sz w:val="18"/>
                <w:szCs w:val="18"/>
                <w:lang w:eastAsia="en-GB"/>
              </w:rPr>
              <w:t xml:space="preserve">Koncepce podpory mezinárodní spolupráce </w:t>
            </w:r>
            <w:r>
              <w:rPr>
                <w:rFonts w:eastAsia="Times New Roman" w:cs="Arial"/>
                <w:b/>
                <w:color w:val="000000"/>
                <w:sz w:val="18"/>
                <w:szCs w:val="18"/>
                <w:lang w:eastAsia="en-GB"/>
              </w:rPr>
              <w:t>AV ČR</w:t>
            </w:r>
          </w:p>
          <w:p w14:paraId="2BB4B3C8" w14:textId="557CC741" w:rsidR="00A571C0" w:rsidRPr="004E4542" w:rsidRDefault="002C40F0" w:rsidP="00307AF7">
            <w:pPr>
              <w:spacing w:after="0" w:line="240" w:lineRule="auto"/>
              <w:rPr>
                <w:rFonts w:eastAsia="Times New Roman" w:cs="Arial"/>
                <w:color w:val="000000"/>
                <w:sz w:val="18"/>
                <w:szCs w:val="18"/>
                <w:lang w:eastAsia="en-GB"/>
              </w:rPr>
            </w:pPr>
            <w:r w:rsidRPr="002C40F0">
              <w:rPr>
                <w:rFonts w:eastAsia="Times New Roman" w:cs="Arial"/>
                <w:color w:val="000000"/>
                <w:sz w:val="18"/>
                <w:szCs w:val="18"/>
                <w:lang w:eastAsia="en-GB"/>
              </w:rPr>
              <w:t>https://www.avcr.cz/export/sites/avcr.cz/.content/galerie-souboru/Koncepce_podpory_mezinarodni_spoluprace_AVCR.pdf</w:t>
            </w:r>
          </w:p>
        </w:tc>
        <w:tc>
          <w:tcPr>
            <w:tcW w:w="625" w:type="pct"/>
            <w:tcBorders>
              <w:top w:val="nil"/>
              <w:left w:val="single" w:sz="8" w:space="0" w:color="auto"/>
              <w:bottom w:val="single" w:sz="4" w:space="0" w:color="auto"/>
              <w:right w:val="nil"/>
            </w:tcBorders>
            <w:vAlign w:val="center"/>
            <w:hideMark/>
          </w:tcPr>
          <w:p w14:paraId="4E61BB86" w14:textId="77777777" w:rsidR="00A571C0" w:rsidRPr="004E4542" w:rsidRDefault="00A571C0" w:rsidP="00307AF7">
            <w:pPr>
              <w:spacing w:after="0" w:line="240" w:lineRule="auto"/>
              <w:jc w:val="center"/>
              <w:rPr>
                <w:rFonts w:eastAsia="Times New Roman" w:cs="Arial"/>
                <w:color w:val="000000"/>
                <w:sz w:val="18"/>
                <w:szCs w:val="18"/>
                <w:lang w:eastAsia="en-GB"/>
              </w:rPr>
            </w:pPr>
            <w:r w:rsidRPr="004E4542">
              <w:rPr>
                <w:rFonts w:eastAsia="Times New Roman" w:cs="Arial"/>
                <w:color w:val="000000"/>
                <w:sz w:val="18"/>
                <w:szCs w:val="18"/>
                <w:lang w:eastAsia="en-GB"/>
              </w:rPr>
              <w:t> </w:t>
            </w:r>
          </w:p>
        </w:tc>
        <w:tc>
          <w:tcPr>
            <w:tcW w:w="692" w:type="pct"/>
            <w:tcBorders>
              <w:top w:val="nil"/>
              <w:left w:val="single" w:sz="8" w:space="0" w:color="auto"/>
              <w:bottom w:val="single" w:sz="8" w:space="0" w:color="auto"/>
              <w:right w:val="single" w:sz="8" w:space="0" w:color="808080"/>
            </w:tcBorders>
            <w:noWrap/>
            <w:vAlign w:val="center"/>
            <w:hideMark/>
          </w:tcPr>
          <w:p w14:paraId="1663E28B" w14:textId="77777777" w:rsidR="00A571C0" w:rsidRPr="004E4542" w:rsidRDefault="00A571C0" w:rsidP="00307AF7">
            <w:pPr>
              <w:spacing w:after="0" w:line="240" w:lineRule="auto"/>
              <w:jc w:val="center"/>
              <w:rPr>
                <w:rFonts w:eastAsia="Times New Roman" w:cs="Arial"/>
                <w:color w:val="000000"/>
                <w:sz w:val="18"/>
                <w:szCs w:val="18"/>
                <w:lang w:eastAsia="en-GB"/>
              </w:rPr>
            </w:pPr>
            <w:r>
              <w:rPr>
                <w:rFonts w:eastAsia="Times New Roman" w:cs="Arial"/>
                <w:color w:val="000000"/>
                <w:sz w:val="18"/>
                <w:szCs w:val="18"/>
                <w:lang w:eastAsia="en-GB"/>
              </w:rPr>
              <w:t>x</w:t>
            </w:r>
            <w:r w:rsidRPr="004E4542">
              <w:rPr>
                <w:rFonts w:eastAsia="Times New Roman" w:cs="Arial"/>
                <w:color w:val="000000"/>
                <w:sz w:val="18"/>
                <w:szCs w:val="18"/>
                <w:lang w:eastAsia="en-GB"/>
              </w:rPr>
              <w:t> </w:t>
            </w:r>
          </w:p>
        </w:tc>
        <w:tc>
          <w:tcPr>
            <w:tcW w:w="616" w:type="pct"/>
            <w:tcBorders>
              <w:top w:val="nil"/>
              <w:left w:val="nil"/>
              <w:bottom w:val="single" w:sz="8" w:space="0" w:color="auto"/>
              <w:right w:val="single" w:sz="8" w:space="0" w:color="auto"/>
            </w:tcBorders>
            <w:noWrap/>
            <w:vAlign w:val="center"/>
            <w:hideMark/>
          </w:tcPr>
          <w:p w14:paraId="10F6A054" w14:textId="77777777" w:rsidR="00A571C0" w:rsidRPr="004E4542" w:rsidRDefault="00A571C0" w:rsidP="00307AF7">
            <w:pPr>
              <w:spacing w:after="0" w:line="240" w:lineRule="auto"/>
              <w:jc w:val="center"/>
              <w:rPr>
                <w:rFonts w:eastAsia="Times New Roman" w:cs="Arial"/>
                <w:color w:val="000000"/>
                <w:sz w:val="18"/>
                <w:szCs w:val="18"/>
                <w:lang w:eastAsia="en-GB"/>
              </w:rPr>
            </w:pPr>
            <w:r>
              <w:rPr>
                <w:rFonts w:eastAsia="Times New Roman" w:cs="Arial"/>
                <w:color w:val="000000"/>
                <w:sz w:val="18"/>
                <w:szCs w:val="18"/>
                <w:lang w:eastAsia="en-GB"/>
              </w:rPr>
              <w:t>x</w:t>
            </w:r>
            <w:r w:rsidRPr="004E4542">
              <w:rPr>
                <w:rFonts w:eastAsia="Times New Roman" w:cs="Arial"/>
                <w:color w:val="000000"/>
                <w:sz w:val="18"/>
                <w:szCs w:val="18"/>
                <w:lang w:eastAsia="en-GB"/>
              </w:rPr>
              <w:t> </w:t>
            </w:r>
          </w:p>
        </w:tc>
      </w:tr>
      <w:tr w:rsidR="00D815CA" w:rsidRPr="00ED79BC" w14:paraId="4AE711EE" w14:textId="77777777" w:rsidTr="00954F7E">
        <w:trPr>
          <w:trHeight w:val="510"/>
          <w:jc w:val="center"/>
        </w:trPr>
        <w:tc>
          <w:tcPr>
            <w:tcW w:w="457" w:type="pct"/>
            <w:vMerge w:val="restart"/>
            <w:tcBorders>
              <w:top w:val="nil"/>
              <w:left w:val="single" w:sz="8" w:space="0" w:color="auto"/>
              <w:right w:val="single" w:sz="4" w:space="0" w:color="auto"/>
            </w:tcBorders>
            <w:shd w:val="clear" w:color="000000" w:fill="F2F2F2"/>
            <w:noWrap/>
            <w:vAlign w:val="center"/>
            <w:hideMark/>
          </w:tcPr>
          <w:p w14:paraId="78C874C8" w14:textId="77777777" w:rsidR="00D815CA" w:rsidRPr="00D876EB" w:rsidRDefault="00D815CA" w:rsidP="00307AF7">
            <w:pPr>
              <w:spacing w:after="0" w:line="240" w:lineRule="auto"/>
              <w:jc w:val="center"/>
              <w:rPr>
                <w:rFonts w:eastAsia="Times New Roman" w:cs="Arial"/>
                <w:b/>
                <w:bCs/>
                <w:color w:val="000000"/>
                <w:sz w:val="18"/>
                <w:szCs w:val="18"/>
                <w:lang w:eastAsia="en-GB"/>
              </w:rPr>
            </w:pPr>
            <w:r w:rsidRPr="00D876EB">
              <w:rPr>
                <w:rFonts w:eastAsia="Times New Roman" w:cs="Arial"/>
                <w:b/>
                <w:bCs/>
                <w:color w:val="000000"/>
                <w:sz w:val="18"/>
                <w:szCs w:val="18"/>
                <w:lang w:eastAsia="en-GB"/>
              </w:rPr>
              <w:t>MŠMT</w:t>
            </w:r>
          </w:p>
        </w:tc>
        <w:tc>
          <w:tcPr>
            <w:tcW w:w="2610" w:type="pct"/>
            <w:tcBorders>
              <w:top w:val="single" w:sz="4" w:space="0" w:color="auto"/>
              <w:left w:val="single" w:sz="4" w:space="0" w:color="auto"/>
              <w:bottom w:val="nil"/>
              <w:right w:val="single" w:sz="4" w:space="0" w:color="auto"/>
            </w:tcBorders>
            <w:shd w:val="clear" w:color="auto" w:fill="F2DBDB" w:themeFill="accent2" w:themeFillTint="33"/>
            <w:vAlign w:val="center"/>
            <w:hideMark/>
          </w:tcPr>
          <w:p w14:paraId="68531649" w14:textId="77777777" w:rsidR="00D815CA" w:rsidRDefault="00D815CA" w:rsidP="00D815CA">
            <w:pPr>
              <w:spacing w:line="240" w:lineRule="auto"/>
              <w:rPr>
                <w:rFonts w:eastAsia="Times New Roman" w:cs="Arial"/>
                <w:color w:val="000000"/>
                <w:sz w:val="18"/>
                <w:szCs w:val="18"/>
                <w:lang w:eastAsia="en-GB"/>
              </w:rPr>
            </w:pPr>
            <w:r w:rsidRPr="00D876EB">
              <w:rPr>
                <w:rFonts w:eastAsia="Times New Roman" w:cs="Arial"/>
                <w:b/>
                <w:bCs/>
                <w:color w:val="000000"/>
                <w:sz w:val="18"/>
                <w:szCs w:val="18"/>
                <w:lang w:eastAsia="en-GB"/>
              </w:rPr>
              <w:t>Mezirezortní koncepce mezinárodní spolupráce ve</w:t>
            </w:r>
            <w:r>
              <w:rPr>
                <w:rFonts w:eastAsia="Times New Roman" w:cs="Arial"/>
                <w:b/>
                <w:bCs/>
                <w:color w:val="000000"/>
                <w:sz w:val="18"/>
                <w:szCs w:val="18"/>
                <w:lang w:eastAsia="en-GB"/>
              </w:rPr>
              <w:t> </w:t>
            </w:r>
            <w:r w:rsidRPr="00D876EB">
              <w:rPr>
                <w:rFonts w:eastAsia="Times New Roman" w:cs="Arial"/>
                <w:b/>
                <w:bCs/>
                <w:color w:val="000000"/>
                <w:sz w:val="18"/>
                <w:szCs w:val="18"/>
                <w:lang w:eastAsia="en-GB"/>
              </w:rPr>
              <w:t>výzkumu a vývoji ČR do roku 2015</w:t>
            </w:r>
            <w:r w:rsidRPr="00D876EB">
              <w:rPr>
                <w:rFonts w:eastAsia="Times New Roman" w:cs="Arial"/>
                <w:color w:val="000000"/>
                <w:sz w:val="18"/>
                <w:szCs w:val="18"/>
                <w:lang w:eastAsia="en-GB"/>
              </w:rPr>
              <w:t xml:space="preserve"> </w:t>
            </w:r>
          </w:p>
          <w:p w14:paraId="6D246297" w14:textId="7401136C" w:rsidR="00D815CA" w:rsidRPr="00D815CA" w:rsidRDefault="00D815CA" w:rsidP="00DD48ED">
            <w:pPr>
              <w:spacing w:line="240" w:lineRule="auto"/>
              <w:rPr>
                <w:rFonts w:eastAsia="Times New Roman" w:cs="Arial"/>
                <w:color w:val="000000"/>
                <w:sz w:val="18"/>
                <w:szCs w:val="18"/>
                <w:lang w:eastAsia="en-GB"/>
              </w:rPr>
            </w:pPr>
            <w:r w:rsidRPr="00D876EB">
              <w:rPr>
                <w:rFonts w:eastAsia="Times New Roman" w:cs="Arial"/>
                <w:color w:val="000000"/>
                <w:sz w:val="18"/>
                <w:szCs w:val="18"/>
                <w:lang w:eastAsia="en-GB"/>
              </w:rPr>
              <w:t xml:space="preserve">Hodnocení koncepce: </w:t>
            </w:r>
            <w:r w:rsidRPr="00D815CA">
              <w:rPr>
                <w:rFonts w:eastAsia="Times New Roman" w:cs="Arial"/>
                <w:color w:val="000000"/>
                <w:sz w:val="18"/>
                <w:szCs w:val="18"/>
                <w:lang w:eastAsia="en-GB"/>
              </w:rPr>
              <w:t>https://msmt.gov.cz/vyzkum-a-vyvoj-2/hodnoceni-realizace-mezirezortni-koncepce-mezinarodni</w:t>
            </w:r>
          </w:p>
          <w:p w14:paraId="3D350901" w14:textId="27E7204F" w:rsidR="00D815CA" w:rsidRPr="00D876EB" w:rsidRDefault="00D815CA" w:rsidP="00307AF7">
            <w:pPr>
              <w:spacing w:after="0" w:line="240" w:lineRule="auto"/>
              <w:rPr>
                <w:rFonts w:eastAsia="Times New Roman" w:cs="Arial"/>
                <w:b/>
                <w:bCs/>
                <w:color w:val="000000"/>
                <w:sz w:val="18"/>
                <w:szCs w:val="18"/>
                <w:lang w:eastAsia="en-GB"/>
              </w:rPr>
            </w:pPr>
          </w:p>
        </w:tc>
        <w:tc>
          <w:tcPr>
            <w:tcW w:w="625" w:type="pct"/>
            <w:tcBorders>
              <w:top w:val="single" w:sz="4" w:space="0" w:color="auto"/>
              <w:left w:val="single" w:sz="4" w:space="0" w:color="auto"/>
              <w:bottom w:val="nil"/>
              <w:right w:val="single" w:sz="4" w:space="0" w:color="auto"/>
            </w:tcBorders>
            <w:shd w:val="clear" w:color="auto" w:fill="F2DBDB" w:themeFill="accent2" w:themeFillTint="33"/>
            <w:vAlign w:val="center"/>
            <w:hideMark/>
          </w:tcPr>
          <w:p w14:paraId="36A73804" w14:textId="77777777" w:rsidR="00D815CA" w:rsidRPr="00D876EB" w:rsidRDefault="00D815CA" w:rsidP="00307AF7">
            <w:pPr>
              <w:spacing w:after="0" w:line="240" w:lineRule="auto"/>
              <w:jc w:val="center"/>
              <w:rPr>
                <w:rFonts w:eastAsia="Times New Roman" w:cs="Arial"/>
                <w:color w:val="000000"/>
                <w:sz w:val="18"/>
                <w:szCs w:val="18"/>
                <w:lang w:eastAsia="en-GB"/>
              </w:rPr>
            </w:pPr>
            <w:r w:rsidRPr="00D876EB">
              <w:rPr>
                <w:rFonts w:eastAsia="Times New Roman" w:cs="Arial"/>
                <w:color w:val="000000"/>
                <w:sz w:val="18"/>
                <w:szCs w:val="18"/>
                <w:lang w:eastAsia="en-GB"/>
              </w:rPr>
              <w:t>2015</w:t>
            </w:r>
          </w:p>
        </w:tc>
        <w:tc>
          <w:tcPr>
            <w:tcW w:w="692" w:type="pct"/>
            <w:tcBorders>
              <w:top w:val="nil"/>
              <w:left w:val="single" w:sz="4" w:space="0" w:color="auto"/>
              <w:bottom w:val="nil"/>
              <w:right w:val="single" w:sz="8" w:space="0" w:color="808080"/>
            </w:tcBorders>
            <w:noWrap/>
            <w:vAlign w:val="center"/>
            <w:hideMark/>
          </w:tcPr>
          <w:p w14:paraId="481CC453" w14:textId="3BEF0B13" w:rsidR="00D815CA" w:rsidRPr="00D876EB" w:rsidRDefault="00D815CA" w:rsidP="00307AF7">
            <w:pPr>
              <w:spacing w:after="0" w:line="240" w:lineRule="auto"/>
              <w:jc w:val="center"/>
              <w:rPr>
                <w:rFonts w:eastAsia="Times New Roman" w:cs="Arial"/>
                <w:color w:val="000000"/>
                <w:sz w:val="18"/>
                <w:szCs w:val="18"/>
                <w:lang w:eastAsia="en-GB"/>
              </w:rPr>
            </w:pPr>
            <w:r>
              <w:rPr>
                <w:rFonts w:eastAsia="Times New Roman" w:cs="Arial"/>
                <w:color w:val="000000"/>
                <w:sz w:val="18"/>
                <w:szCs w:val="18"/>
                <w:lang w:eastAsia="en-GB"/>
              </w:rPr>
              <w:t>15</w:t>
            </w:r>
            <w:r w:rsidRPr="00D876EB">
              <w:rPr>
                <w:rFonts w:eastAsia="Times New Roman" w:cs="Arial"/>
                <w:color w:val="000000"/>
                <w:sz w:val="18"/>
                <w:szCs w:val="18"/>
                <w:lang w:eastAsia="en-GB"/>
              </w:rPr>
              <w:t>. 7. 2008</w:t>
            </w:r>
          </w:p>
        </w:tc>
        <w:tc>
          <w:tcPr>
            <w:tcW w:w="616" w:type="pct"/>
            <w:tcBorders>
              <w:top w:val="nil"/>
              <w:left w:val="nil"/>
              <w:bottom w:val="nil"/>
              <w:right w:val="single" w:sz="8" w:space="0" w:color="auto"/>
            </w:tcBorders>
            <w:noWrap/>
            <w:vAlign w:val="center"/>
            <w:hideMark/>
          </w:tcPr>
          <w:p w14:paraId="12A479F3" w14:textId="77777777" w:rsidR="00D815CA" w:rsidRPr="00D876EB" w:rsidRDefault="00D815CA" w:rsidP="00307AF7">
            <w:pPr>
              <w:spacing w:after="0" w:line="240" w:lineRule="auto"/>
              <w:jc w:val="center"/>
              <w:rPr>
                <w:rFonts w:eastAsia="Times New Roman" w:cs="Arial"/>
                <w:color w:val="000000"/>
                <w:sz w:val="18"/>
                <w:szCs w:val="18"/>
                <w:lang w:eastAsia="en-GB"/>
              </w:rPr>
            </w:pPr>
            <w:r w:rsidRPr="00D876EB">
              <w:rPr>
                <w:rFonts w:eastAsia="Times New Roman" w:cs="Arial"/>
                <w:color w:val="000000"/>
                <w:sz w:val="18"/>
                <w:szCs w:val="18"/>
                <w:lang w:eastAsia="en-GB"/>
              </w:rPr>
              <w:t>852/2008</w:t>
            </w:r>
          </w:p>
        </w:tc>
      </w:tr>
      <w:tr w:rsidR="00D815CA" w:rsidRPr="00ED79BC" w14:paraId="462C60AE" w14:textId="77777777" w:rsidTr="00954F7E">
        <w:trPr>
          <w:trHeight w:val="510"/>
          <w:jc w:val="center"/>
        </w:trPr>
        <w:tc>
          <w:tcPr>
            <w:tcW w:w="457" w:type="pct"/>
            <w:vMerge/>
            <w:tcBorders>
              <w:left w:val="single" w:sz="8" w:space="0" w:color="auto"/>
              <w:right w:val="single" w:sz="4" w:space="0" w:color="auto"/>
            </w:tcBorders>
            <w:shd w:val="clear" w:color="000000" w:fill="F2F2F2"/>
            <w:noWrap/>
            <w:vAlign w:val="center"/>
          </w:tcPr>
          <w:p w14:paraId="3E4C8A28" w14:textId="77777777" w:rsidR="00D815CA" w:rsidRPr="00D876EB" w:rsidRDefault="00D815CA" w:rsidP="00D815CA">
            <w:pPr>
              <w:spacing w:after="0" w:line="240" w:lineRule="auto"/>
              <w:jc w:val="center"/>
              <w:rPr>
                <w:rFonts w:eastAsia="Times New Roman" w:cs="Arial"/>
                <w:b/>
                <w:bCs/>
                <w:color w:val="000000"/>
                <w:sz w:val="18"/>
                <w:szCs w:val="18"/>
                <w:lang w:eastAsia="en-GB"/>
              </w:rPr>
            </w:pPr>
          </w:p>
        </w:tc>
        <w:tc>
          <w:tcPr>
            <w:tcW w:w="2610" w:type="pct"/>
            <w:tcBorders>
              <w:left w:val="single" w:sz="4" w:space="0" w:color="auto"/>
              <w:bottom w:val="nil"/>
              <w:right w:val="single" w:sz="4" w:space="0" w:color="auto"/>
            </w:tcBorders>
            <w:shd w:val="clear" w:color="auto" w:fill="F2DBDB" w:themeFill="accent2" w:themeFillTint="33"/>
            <w:vAlign w:val="center"/>
          </w:tcPr>
          <w:p w14:paraId="1BB7C619" w14:textId="77777777" w:rsidR="00D815CA" w:rsidRPr="002B5668" w:rsidRDefault="00D815CA" w:rsidP="00D815CA">
            <w:pPr>
              <w:spacing w:line="240" w:lineRule="auto"/>
              <w:rPr>
                <w:rFonts w:eastAsia="Times New Roman" w:cs="Arial"/>
                <w:b/>
                <w:bCs/>
                <w:color w:val="000000"/>
                <w:sz w:val="18"/>
                <w:szCs w:val="18"/>
                <w:lang w:eastAsia="en-GB"/>
              </w:rPr>
            </w:pPr>
            <w:r>
              <w:rPr>
                <w:rFonts w:eastAsia="Times New Roman" w:cs="Arial"/>
                <w:b/>
                <w:bCs/>
                <w:color w:val="000000"/>
                <w:sz w:val="18"/>
                <w:szCs w:val="18"/>
                <w:lang w:eastAsia="en-GB"/>
              </w:rPr>
              <w:t>Aktualizace Cestovní mapy</w:t>
            </w:r>
            <w:r w:rsidRPr="002B5668">
              <w:rPr>
                <w:rFonts w:eastAsia="Times New Roman" w:cs="Arial"/>
                <w:b/>
                <w:bCs/>
                <w:color w:val="000000"/>
                <w:sz w:val="18"/>
                <w:szCs w:val="18"/>
                <w:lang w:eastAsia="en-GB"/>
              </w:rPr>
              <w:t xml:space="preserve"> velkých výzkumných infrastruktur ČR</w:t>
            </w:r>
            <w:r>
              <w:rPr>
                <w:rFonts w:eastAsia="Times New Roman" w:cs="Arial"/>
                <w:b/>
                <w:bCs/>
                <w:color w:val="000000"/>
                <w:sz w:val="18"/>
                <w:szCs w:val="18"/>
                <w:lang w:eastAsia="en-GB"/>
              </w:rPr>
              <w:t xml:space="preserve"> pro léta 2016 až 2022</w:t>
            </w:r>
          </w:p>
          <w:p w14:paraId="195CF38E" w14:textId="15E4FDE6" w:rsidR="00D815CA" w:rsidRPr="00D876EB" w:rsidRDefault="00D815CA" w:rsidP="00D815CA">
            <w:pPr>
              <w:spacing w:line="240" w:lineRule="auto"/>
              <w:rPr>
                <w:rFonts w:eastAsia="Times New Roman" w:cs="Arial"/>
                <w:b/>
                <w:bCs/>
                <w:color w:val="000000"/>
                <w:sz w:val="18"/>
                <w:szCs w:val="18"/>
                <w:lang w:eastAsia="en-GB"/>
              </w:rPr>
            </w:pPr>
            <w:r w:rsidRPr="00D815CA">
              <w:rPr>
                <w:rFonts w:eastAsia="Times New Roman" w:cs="Arial"/>
                <w:color w:val="000000"/>
                <w:sz w:val="18"/>
                <w:szCs w:val="18"/>
                <w:lang w:eastAsia="en-GB"/>
              </w:rPr>
              <w:t>https://www.vyzkumne-infrastruktury.cz/cestovni-mapa-velkych-vyzkumnych-infrastruktur-cr/</w:t>
            </w:r>
          </w:p>
        </w:tc>
        <w:tc>
          <w:tcPr>
            <w:tcW w:w="625" w:type="pct"/>
            <w:tcBorders>
              <w:left w:val="single" w:sz="4" w:space="0" w:color="auto"/>
              <w:bottom w:val="nil"/>
              <w:right w:val="single" w:sz="4" w:space="0" w:color="auto"/>
            </w:tcBorders>
            <w:shd w:val="clear" w:color="auto" w:fill="F2DBDB" w:themeFill="accent2" w:themeFillTint="33"/>
            <w:vAlign w:val="center"/>
          </w:tcPr>
          <w:p w14:paraId="08406BE1" w14:textId="77777777" w:rsidR="00D815CA" w:rsidRDefault="00D815CA" w:rsidP="00D815CA">
            <w:pPr>
              <w:spacing w:after="0" w:line="240" w:lineRule="auto"/>
              <w:jc w:val="center"/>
              <w:rPr>
                <w:rFonts w:eastAsia="Times New Roman" w:cs="Arial"/>
                <w:color w:val="000000"/>
                <w:sz w:val="18"/>
                <w:szCs w:val="18"/>
                <w:lang w:eastAsia="en-GB"/>
              </w:rPr>
            </w:pPr>
            <w:r>
              <w:rPr>
                <w:rFonts w:eastAsia="Times New Roman" w:cs="Arial"/>
                <w:color w:val="000000"/>
                <w:sz w:val="18"/>
                <w:szCs w:val="18"/>
                <w:lang w:eastAsia="en-GB"/>
              </w:rPr>
              <w:t>2022</w:t>
            </w:r>
          </w:p>
          <w:p w14:paraId="3D195525" w14:textId="77777777" w:rsidR="00CA1CFE" w:rsidRDefault="00CA1CFE" w:rsidP="00D815CA">
            <w:pPr>
              <w:spacing w:after="0" w:line="240" w:lineRule="auto"/>
              <w:jc w:val="center"/>
              <w:rPr>
                <w:rFonts w:eastAsia="Times New Roman" w:cs="Arial"/>
                <w:color w:val="000000"/>
                <w:sz w:val="18"/>
                <w:szCs w:val="18"/>
                <w:lang w:eastAsia="en-GB"/>
              </w:rPr>
            </w:pPr>
          </w:p>
          <w:p w14:paraId="42C53133" w14:textId="77777777" w:rsidR="00CA1CFE" w:rsidRDefault="00CA1CFE" w:rsidP="00D815CA">
            <w:pPr>
              <w:spacing w:after="0" w:line="240" w:lineRule="auto"/>
              <w:jc w:val="center"/>
              <w:rPr>
                <w:rFonts w:eastAsia="Times New Roman" w:cs="Arial"/>
                <w:color w:val="000000"/>
                <w:sz w:val="18"/>
                <w:szCs w:val="18"/>
                <w:lang w:eastAsia="en-GB"/>
              </w:rPr>
            </w:pPr>
          </w:p>
          <w:p w14:paraId="1DF84BF4" w14:textId="5F4CEED7" w:rsidR="00CA1CFE" w:rsidRPr="00D876EB" w:rsidRDefault="00CA1CFE" w:rsidP="00D815CA">
            <w:pPr>
              <w:spacing w:after="0" w:line="240" w:lineRule="auto"/>
              <w:jc w:val="center"/>
              <w:rPr>
                <w:rFonts w:eastAsia="Times New Roman" w:cs="Arial"/>
                <w:color w:val="000000"/>
                <w:sz w:val="18"/>
                <w:szCs w:val="18"/>
                <w:lang w:eastAsia="en-GB"/>
              </w:rPr>
            </w:pPr>
          </w:p>
        </w:tc>
        <w:tc>
          <w:tcPr>
            <w:tcW w:w="692" w:type="pct"/>
            <w:tcBorders>
              <w:top w:val="nil"/>
              <w:left w:val="single" w:sz="4" w:space="0" w:color="auto"/>
              <w:bottom w:val="nil"/>
              <w:right w:val="single" w:sz="8" w:space="0" w:color="808080"/>
            </w:tcBorders>
            <w:noWrap/>
            <w:vAlign w:val="center"/>
          </w:tcPr>
          <w:p w14:paraId="7477FBB0" w14:textId="77777777" w:rsidR="00D815CA" w:rsidRDefault="00D815CA" w:rsidP="00D815CA">
            <w:pPr>
              <w:spacing w:after="0" w:line="240" w:lineRule="auto"/>
              <w:jc w:val="center"/>
              <w:rPr>
                <w:rFonts w:eastAsia="Times New Roman" w:cs="Arial"/>
                <w:color w:val="000000"/>
                <w:sz w:val="18"/>
                <w:szCs w:val="18"/>
                <w:lang w:eastAsia="en-GB"/>
              </w:rPr>
            </w:pPr>
            <w:r>
              <w:rPr>
                <w:rFonts w:eastAsia="Times New Roman" w:cs="Arial"/>
                <w:color w:val="000000"/>
                <w:sz w:val="18"/>
                <w:szCs w:val="18"/>
                <w:lang w:eastAsia="en-GB"/>
              </w:rPr>
              <w:t>10. 6. 2019</w:t>
            </w:r>
          </w:p>
          <w:p w14:paraId="0DE4FF74" w14:textId="77777777" w:rsidR="00CA1CFE" w:rsidRDefault="00CA1CFE" w:rsidP="00D815CA">
            <w:pPr>
              <w:spacing w:after="0" w:line="240" w:lineRule="auto"/>
              <w:jc w:val="center"/>
              <w:rPr>
                <w:rFonts w:eastAsia="Times New Roman" w:cs="Arial"/>
                <w:color w:val="000000"/>
                <w:sz w:val="18"/>
                <w:szCs w:val="18"/>
                <w:lang w:eastAsia="en-GB"/>
              </w:rPr>
            </w:pPr>
          </w:p>
          <w:p w14:paraId="2578FFFF" w14:textId="77777777" w:rsidR="00CA1CFE" w:rsidRDefault="00CA1CFE" w:rsidP="00D815CA">
            <w:pPr>
              <w:spacing w:after="0" w:line="240" w:lineRule="auto"/>
              <w:jc w:val="center"/>
              <w:rPr>
                <w:rFonts w:eastAsia="Times New Roman" w:cs="Arial"/>
                <w:color w:val="000000"/>
                <w:sz w:val="18"/>
                <w:szCs w:val="18"/>
                <w:lang w:eastAsia="en-GB"/>
              </w:rPr>
            </w:pPr>
          </w:p>
          <w:p w14:paraId="5986A069" w14:textId="38E12C32" w:rsidR="00D815CA" w:rsidRDefault="00D815CA" w:rsidP="00D815CA">
            <w:pPr>
              <w:spacing w:after="0" w:line="240" w:lineRule="auto"/>
              <w:jc w:val="center"/>
              <w:rPr>
                <w:rFonts w:eastAsia="Times New Roman" w:cs="Arial"/>
                <w:color w:val="000000"/>
                <w:sz w:val="18"/>
                <w:szCs w:val="18"/>
                <w:lang w:eastAsia="en-GB"/>
              </w:rPr>
            </w:pPr>
          </w:p>
        </w:tc>
        <w:tc>
          <w:tcPr>
            <w:tcW w:w="616" w:type="pct"/>
            <w:tcBorders>
              <w:top w:val="nil"/>
              <w:left w:val="nil"/>
              <w:bottom w:val="nil"/>
              <w:right w:val="single" w:sz="8" w:space="0" w:color="auto"/>
            </w:tcBorders>
            <w:noWrap/>
            <w:vAlign w:val="center"/>
          </w:tcPr>
          <w:p w14:paraId="5215C4B3" w14:textId="77777777" w:rsidR="00D815CA" w:rsidRDefault="00D815CA" w:rsidP="00D815CA">
            <w:pPr>
              <w:spacing w:after="0" w:line="240" w:lineRule="auto"/>
              <w:jc w:val="center"/>
              <w:rPr>
                <w:rFonts w:eastAsia="Times New Roman" w:cs="Arial"/>
                <w:color w:val="000000"/>
                <w:sz w:val="18"/>
                <w:szCs w:val="18"/>
                <w:lang w:eastAsia="en-GB"/>
              </w:rPr>
            </w:pPr>
            <w:r>
              <w:rPr>
                <w:rFonts w:eastAsia="Times New Roman" w:cs="Arial"/>
                <w:color w:val="000000"/>
                <w:sz w:val="18"/>
                <w:szCs w:val="18"/>
                <w:lang w:eastAsia="en-GB"/>
              </w:rPr>
              <w:t>pro informaci</w:t>
            </w:r>
          </w:p>
          <w:p w14:paraId="0EDCA8B3" w14:textId="77777777" w:rsidR="00CA1CFE" w:rsidRDefault="00CA1CFE" w:rsidP="00D815CA">
            <w:pPr>
              <w:spacing w:after="0" w:line="240" w:lineRule="auto"/>
              <w:jc w:val="center"/>
              <w:rPr>
                <w:rFonts w:eastAsia="Times New Roman" w:cs="Arial"/>
                <w:color w:val="000000"/>
                <w:sz w:val="18"/>
                <w:szCs w:val="18"/>
                <w:lang w:eastAsia="en-GB"/>
              </w:rPr>
            </w:pPr>
          </w:p>
          <w:p w14:paraId="4176DEBC" w14:textId="77777777" w:rsidR="00CA1CFE" w:rsidRDefault="00CA1CFE" w:rsidP="00D815CA">
            <w:pPr>
              <w:spacing w:after="0" w:line="240" w:lineRule="auto"/>
              <w:jc w:val="center"/>
              <w:rPr>
                <w:rFonts w:eastAsia="Times New Roman" w:cs="Arial"/>
                <w:color w:val="000000"/>
                <w:sz w:val="18"/>
                <w:szCs w:val="18"/>
                <w:lang w:eastAsia="en-GB"/>
              </w:rPr>
            </w:pPr>
          </w:p>
          <w:p w14:paraId="1CC4D502" w14:textId="2B6162BD" w:rsidR="00D815CA" w:rsidRPr="00D876EB" w:rsidRDefault="00D815CA" w:rsidP="00D815CA">
            <w:pPr>
              <w:spacing w:after="0" w:line="240" w:lineRule="auto"/>
              <w:jc w:val="center"/>
              <w:rPr>
                <w:rFonts w:eastAsia="Times New Roman" w:cs="Arial"/>
                <w:color w:val="000000"/>
                <w:sz w:val="18"/>
                <w:szCs w:val="18"/>
                <w:lang w:eastAsia="en-GB"/>
              </w:rPr>
            </w:pPr>
          </w:p>
        </w:tc>
      </w:tr>
      <w:tr w:rsidR="00D815CA" w:rsidRPr="00ED79BC" w14:paraId="6F0CA289" w14:textId="77777777" w:rsidTr="00954F7E">
        <w:trPr>
          <w:trHeight w:val="510"/>
          <w:jc w:val="center"/>
        </w:trPr>
        <w:tc>
          <w:tcPr>
            <w:tcW w:w="457" w:type="pct"/>
            <w:vMerge/>
            <w:tcBorders>
              <w:left w:val="single" w:sz="8" w:space="0" w:color="auto"/>
              <w:right w:val="single" w:sz="4" w:space="0" w:color="auto"/>
            </w:tcBorders>
            <w:vAlign w:val="center"/>
            <w:hideMark/>
          </w:tcPr>
          <w:p w14:paraId="1DA7A936" w14:textId="77777777" w:rsidR="00D815CA" w:rsidRPr="00D876EB" w:rsidRDefault="00D815CA" w:rsidP="00D815CA">
            <w:pPr>
              <w:spacing w:after="0" w:line="240" w:lineRule="auto"/>
              <w:rPr>
                <w:rFonts w:eastAsia="Times New Roman" w:cs="Arial"/>
                <w:b/>
                <w:bCs/>
                <w:color w:val="000000"/>
                <w:sz w:val="18"/>
                <w:szCs w:val="18"/>
                <w:lang w:eastAsia="en-GB"/>
              </w:rPr>
            </w:pPr>
          </w:p>
        </w:tc>
        <w:tc>
          <w:tcPr>
            <w:tcW w:w="2610" w:type="pct"/>
            <w:tcBorders>
              <w:top w:val="nil"/>
              <w:left w:val="single" w:sz="4" w:space="0" w:color="auto"/>
              <w:bottom w:val="single" w:sz="4" w:space="0" w:color="auto"/>
              <w:right w:val="single" w:sz="4" w:space="0" w:color="auto"/>
            </w:tcBorders>
            <w:vAlign w:val="center"/>
            <w:hideMark/>
          </w:tcPr>
          <w:p w14:paraId="72CCBABB" w14:textId="684A120D" w:rsidR="00D815CA" w:rsidRPr="002B5668" w:rsidRDefault="00D815CA" w:rsidP="00D815CA">
            <w:pPr>
              <w:spacing w:line="240" w:lineRule="auto"/>
              <w:rPr>
                <w:rFonts w:eastAsia="Times New Roman" w:cs="Arial"/>
                <w:b/>
                <w:bCs/>
                <w:color w:val="000000"/>
                <w:sz w:val="18"/>
                <w:szCs w:val="18"/>
                <w:lang w:eastAsia="en-GB"/>
              </w:rPr>
            </w:pPr>
            <w:r>
              <w:rPr>
                <w:rFonts w:eastAsia="Times New Roman" w:cs="Arial"/>
                <w:b/>
                <w:bCs/>
                <w:color w:val="000000"/>
                <w:sz w:val="18"/>
                <w:szCs w:val="18"/>
                <w:lang w:eastAsia="en-GB"/>
              </w:rPr>
              <w:t>Cestovní mapa</w:t>
            </w:r>
            <w:r w:rsidRPr="002B5668">
              <w:rPr>
                <w:rFonts w:eastAsia="Times New Roman" w:cs="Arial"/>
                <w:b/>
                <w:bCs/>
                <w:color w:val="000000"/>
                <w:sz w:val="18"/>
                <w:szCs w:val="18"/>
                <w:lang w:eastAsia="en-GB"/>
              </w:rPr>
              <w:t xml:space="preserve"> velkých výzkumných infrastruktur ČR</w:t>
            </w:r>
            <w:r>
              <w:rPr>
                <w:rFonts w:eastAsia="Times New Roman" w:cs="Arial"/>
                <w:b/>
                <w:bCs/>
                <w:color w:val="000000"/>
                <w:sz w:val="18"/>
                <w:szCs w:val="18"/>
                <w:lang w:eastAsia="en-GB"/>
              </w:rPr>
              <w:t xml:space="preserve"> pro </w:t>
            </w:r>
            <w:r>
              <w:rPr>
                <w:rFonts w:eastAsia="Times New Roman" w:cs="Arial"/>
                <w:b/>
                <w:bCs/>
                <w:color w:val="000000"/>
                <w:sz w:val="18"/>
                <w:szCs w:val="18"/>
                <w:lang w:eastAsia="en-GB"/>
              </w:rPr>
              <w:lastRenderedPageBreak/>
              <w:t>léta 2023</w:t>
            </w:r>
            <w:r w:rsidR="00A346BE">
              <w:rPr>
                <w:rFonts w:eastAsia="Times New Roman" w:cs="Arial"/>
                <w:b/>
                <w:bCs/>
                <w:color w:val="000000"/>
                <w:sz w:val="18"/>
                <w:szCs w:val="18"/>
                <w:lang w:eastAsia="en-GB"/>
              </w:rPr>
              <w:t>–</w:t>
            </w:r>
            <w:r>
              <w:rPr>
                <w:rFonts w:eastAsia="Times New Roman" w:cs="Arial"/>
                <w:b/>
                <w:bCs/>
                <w:color w:val="000000"/>
                <w:sz w:val="18"/>
                <w:szCs w:val="18"/>
                <w:lang w:eastAsia="en-GB"/>
              </w:rPr>
              <w:t>2026</w:t>
            </w:r>
          </w:p>
          <w:p w14:paraId="5D81D815" w14:textId="4EB378B7" w:rsidR="00D815CA" w:rsidRPr="00853DF0" w:rsidRDefault="00D815CA" w:rsidP="00D815CA">
            <w:pPr>
              <w:spacing w:after="0" w:line="240" w:lineRule="auto"/>
              <w:rPr>
                <w:rFonts w:eastAsia="Times New Roman" w:cs="Arial"/>
                <w:b/>
                <w:color w:val="000000"/>
                <w:sz w:val="18"/>
                <w:szCs w:val="18"/>
                <w:lang w:eastAsia="en-GB"/>
              </w:rPr>
            </w:pPr>
            <w:r w:rsidRPr="00D815CA">
              <w:rPr>
                <w:rFonts w:eastAsia="Times New Roman" w:cs="Arial"/>
                <w:color w:val="000000"/>
                <w:sz w:val="18"/>
                <w:szCs w:val="18"/>
                <w:lang w:eastAsia="en-GB"/>
              </w:rPr>
              <w:t>https://www.vyzkumne-infrastruktury.cz/cestovni-mapa-velkych-vyzkumnych-infrastruktur-cr/</w:t>
            </w:r>
          </w:p>
        </w:tc>
        <w:tc>
          <w:tcPr>
            <w:tcW w:w="625" w:type="pct"/>
            <w:tcBorders>
              <w:top w:val="nil"/>
              <w:left w:val="single" w:sz="4" w:space="0" w:color="auto"/>
              <w:bottom w:val="single" w:sz="4" w:space="0" w:color="auto"/>
              <w:right w:val="single" w:sz="4" w:space="0" w:color="auto"/>
            </w:tcBorders>
            <w:hideMark/>
          </w:tcPr>
          <w:p w14:paraId="594B881A" w14:textId="77777777" w:rsidR="00D815CA" w:rsidRDefault="00D815CA" w:rsidP="00D815CA">
            <w:pPr>
              <w:spacing w:after="0" w:line="240" w:lineRule="auto"/>
              <w:jc w:val="center"/>
              <w:rPr>
                <w:rFonts w:eastAsia="Times New Roman" w:cs="Arial"/>
                <w:color w:val="000000"/>
                <w:sz w:val="18"/>
                <w:szCs w:val="18"/>
                <w:lang w:eastAsia="en-GB"/>
              </w:rPr>
            </w:pPr>
            <w:r w:rsidRPr="00D876EB">
              <w:rPr>
                <w:rFonts w:eastAsia="Times New Roman" w:cs="Arial"/>
                <w:color w:val="000000"/>
                <w:sz w:val="18"/>
                <w:szCs w:val="18"/>
                <w:lang w:eastAsia="en-GB"/>
              </w:rPr>
              <w:lastRenderedPageBreak/>
              <w:t> </w:t>
            </w:r>
          </w:p>
          <w:p w14:paraId="0B01F7F0" w14:textId="7B9B17CB" w:rsidR="00D815CA" w:rsidRDefault="00D815CA" w:rsidP="00D815CA">
            <w:pPr>
              <w:spacing w:after="0" w:line="240" w:lineRule="auto"/>
              <w:jc w:val="center"/>
              <w:rPr>
                <w:rFonts w:eastAsia="Times New Roman" w:cs="Arial"/>
                <w:color w:val="000000"/>
                <w:sz w:val="18"/>
                <w:szCs w:val="18"/>
                <w:lang w:eastAsia="en-GB"/>
              </w:rPr>
            </w:pPr>
            <w:r>
              <w:rPr>
                <w:rFonts w:eastAsia="Times New Roman" w:cs="Arial"/>
                <w:color w:val="000000"/>
                <w:sz w:val="18"/>
                <w:szCs w:val="18"/>
                <w:lang w:eastAsia="en-GB"/>
              </w:rPr>
              <w:t>2026</w:t>
            </w:r>
          </w:p>
          <w:p w14:paraId="65916E34" w14:textId="77777777" w:rsidR="00D815CA" w:rsidRPr="00D876EB" w:rsidRDefault="00D815CA" w:rsidP="00D815CA">
            <w:pPr>
              <w:spacing w:after="0" w:line="240" w:lineRule="auto"/>
              <w:jc w:val="center"/>
              <w:rPr>
                <w:rFonts w:eastAsia="Times New Roman" w:cs="Arial"/>
                <w:color w:val="000000"/>
                <w:sz w:val="18"/>
                <w:szCs w:val="18"/>
                <w:lang w:eastAsia="en-GB"/>
              </w:rPr>
            </w:pPr>
          </w:p>
        </w:tc>
        <w:tc>
          <w:tcPr>
            <w:tcW w:w="692" w:type="pct"/>
            <w:tcBorders>
              <w:top w:val="nil"/>
              <w:left w:val="single" w:sz="4" w:space="0" w:color="auto"/>
              <w:bottom w:val="single" w:sz="8" w:space="0" w:color="auto"/>
              <w:right w:val="single" w:sz="8" w:space="0" w:color="808080"/>
            </w:tcBorders>
            <w:noWrap/>
            <w:hideMark/>
          </w:tcPr>
          <w:p w14:paraId="173DADB0" w14:textId="77777777" w:rsidR="00D815CA" w:rsidRDefault="00D815CA" w:rsidP="00D815CA">
            <w:pPr>
              <w:spacing w:after="0" w:line="240" w:lineRule="auto"/>
              <w:rPr>
                <w:rFonts w:eastAsia="Times New Roman" w:cs="Arial"/>
                <w:color w:val="000000"/>
                <w:sz w:val="18"/>
                <w:szCs w:val="18"/>
                <w:lang w:eastAsia="en-GB"/>
              </w:rPr>
            </w:pPr>
          </w:p>
          <w:p w14:paraId="0937FB97" w14:textId="0B5534CA" w:rsidR="00D815CA" w:rsidRDefault="00D815CA" w:rsidP="00980B63">
            <w:pPr>
              <w:spacing w:after="0" w:line="240" w:lineRule="auto"/>
              <w:jc w:val="center"/>
              <w:rPr>
                <w:rFonts w:eastAsia="Times New Roman" w:cs="Arial"/>
                <w:color w:val="000000"/>
                <w:sz w:val="18"/>
                <w:szCs w:val="18"/>
                <w:lang w:eastAsia="en-GB"/>
              </w:rPr>
            </w:pPr>
            <w:r>
              <w:rPr>
                <w:rFonts w:eastAsia="Times New Roman" w:cs="Arial"/>
                <w:color w:val="000000"/>
                <w:sz w:val="18"/>
                <w:szCs w:val="18"/>
                <w:lang w:eastAsia="en-GB"/>
              </w:rPr>
              <w:t>14. 6. 2023</w:t>
            </w:r>
          </w:p>
          <w:p w14:paraId="43BB794A" w14:textId="77777777" w:rsidR="00D815CA" w:rsidRDefault="00D815CA" w:rsidP="00D815CA">
            <w:pPr>
              <w:spacing w:after="0" w:line="240" w:lineRule="auto"/>
              <w:rPr>
                <w:rFonts w:eastAsia="Times New Roman" w:cs="Arial"/>
                <w:color w:val="000000"/>
                <w:sz w:val="18"/>
                <w:szCs w:val="18"/>
                <w:lang w:eastAsia="en-GB"/>
              </w:rPr>
            </w:pPr>
          </w:p>
          <w:p w14:paraId="0A28F6E2" w14:textId="77777777" w:rsidR="00D815CA" w:rsidRDefault="00D815CA" w:rsidP="00D815CA">
            <w:pPr>
              <w:spacing w:after="0" w:line="240" w:lineRule="auto"/>
              <w:rPr>
                <w:rFonts w:eastAsia="Times New Roman" w:cs="Arial"/>
                <w:color w:val="000000"/>
                <w:sz w:val="18"/>
                <w:szCs w:val="18"/>
                <w:lang w:eastAsia="en-GB"/>
              </w:rPr>
            </w:pPr>
          </w:p>
          <w:p w14:paraId="39A5F13C" w14:textId="7A2ADFA7" w:rsidR="00D815CA" w:rsidRPr="00D876EB" w:rsidRDefault="00D815CA" w:rsidP="00D815CA">
            <w:pPr>
              <w:spacing w:after="0" w:line="240" w:lineRule="auto"/>
              <w:rPr>
                <w:rFonts w:eastAsia="Times New Roman" w:cs="Arial"/>
                <w:color w:val="000000"/>
                <w:sz w:val="18"/>
                <w:szCs w:val="18"/>
                <w:lang w:eastAsia="en-GB"/>
              </w:rPr>
            </w:pPr>
          </w:p>
        </w:tc>
        <w:tc>
          <w:tcPr>
            <w:tcW w:w="616" w:type="pct"/>
            <w:tcBorders>
              <w:top w:val="nil"/>
              <w:left w:val="nil"/>
              <w:bottom w:val="single" w:sz="8" w:space="0" w:color="auto"/>
              <w:right w:val="single" w:sz="8" w:space="0" w:color="auto"/>
            </w:tcBorders>
            <w:noWrap/>
            <w:hideMark/>
          </w:tcPr>
          <w:p w14:paraId="74EA2FBE" w14:textId="5ED6DF2E" w:rsidR="00D815CA" w:rsidRDefault="00D815CA" w:rsidP="00D815CA">
            <w:pPr>
              <w:spacing w:after="0" w:line="240" w:lineRule="auto"/>
              <w:jc w:val="center"/>
              <w:rPr>
                <w:rFonts w:eastAsia="Times New Roman" w:cs="Arial"/>
                <w:color w:val="000000"/>
                <w:sz w:val="18"/>
                <w:szCs w:val="18"/>
                <w:lang w:eastAsia="en-GB"/>
              </w:rPr>
            </w:pPr>
            <w:r>
              <w:rPr>
                <w:rFonts w:eastAsia="Times New Roman" w:cs="Arial"/>
                <w:color w:val="000000"/>
                <w:sz w:val="18"/>
                <w:szCs w:val="18"/>
                <w:lang w:eastAsia="en-GB"/>
              </w:rPr>
              <w:lastRenderedPageBreak/>
              <w:t>pro informaci</w:t>
            </w:r>
          </w:p>
          <w:p w14:paraId="573671ED" w14:textId="77777777" w:rsidR="00D815CA" w:rsidRDefault="00D815CA" w:rsidP="00D815CA">
            <w:pPr>
              <w:spacing w:after="0" w:line="240" w:lineRule="auto"/>
              <w:jc w:val="center"/>
              <w:rPr>
                <w:rFonts w:eastAsia="Times New Roman" w:cs="Arial"/>
                <w:color w:val="000000"/>
                <w:sz w:val="18"/>
                <w:szCs w:val="18"/>
                <w:lang w:eastAsia="en-GB"/>
              </w:rPr>
            </w:pPr>
          </w:p>
          <w:p w14:paraId="4400D588" w14:textId="59D3054C" w:rsidR="00D815CA" w:rsidRPr="00D876EB" w:rsidRDefault="00D815CA" w:rsidP="00D815CA">
            <w:pPr>
              <w:spacing w:after="0" w:line="240" w:lineRule="auto"/>
              <w:jc w:val="center"/>
              <w:rPr>
                <w:rFonts w:eastAsia="Times New Roman" w:cs="Arial"/>
                <w:color w:val="000000"/>
                <w:sz w:val="18"/>
                <w:szCs w:val="18"/>
                <w:lang w:eastAsia="en-GB"/>
              </w:rPr>
            </w:pPr>
          </w:p>
        </w:tc>
      </w:tr>
      <w:tr w:rsidR="00D815CA" w:rsidRPr="00ED79BC" w14:paraId="42A1B2ED" w14:textId="77777777" w:rsidTr="00954F7E">
        <w:trPr>
          <w:trHeight w:val="518"/>
          <w:jc w:val="center"/>
        </w:trPr>
        <w:tc>
          <w:tcPr>
            <w:tcW w:w="457" w:type="pct"/>
            <w:vMerge w:val="restart"/>
            <w:tcBorders>
              <w:top w:val="single" w:sz="8" w:space="0" w:color="000000"/>
              <w:left w:val="single" w:sz="8" w:space="0" w:color="auto"/>
              <w:right w:val="single" w:sz="8" w:space="0" w:color="auto"/>
            </w:tcBorders>
            <w:shd w:val="pct5" w:color="auto" w:fill="auto"/>
            <w:vAlign w:val="center"/>
          </w:tcPr>
          <w:p w14:paraId="52C463B2" w14:textId="77777777" w:rsidR="00D815CA" w:rsidRPr="00D876EB" w:rsidRDefault="00D815CA" w:rsidP="00D815CA">
            <w:pPr>
              <w:spacing w:after="0" w:line="240" w:lineRule="auto"/>
              <w:jc w:val="center"/>
              <w:rPr>
                <w:rFonts w:eastAsia="Times New Roman" w:cs="Arial"/>
                <w:b/>
                <w:bCs/>
                <w:color w:val="000000"/>
                <w:sz w:val="18"/>
                <w:szCs w:val="18"/>
                <w:lang w:eastAsia="en-GB"/>
              </w:rPr>
            </w:pPr>
            <w:r>
              <w:rPr>
                <w:rFonts w:eastAsia="Times New Roman" w:cs="Arial"/>
                <w:b/>
                <w:bCs/>
                <w:color w:val="000000"/>
                <w:sz w:val="18"/>
                <w:szCs w:val="18"/>
                <w:lang w:eastAsia="en-GB"/>
              </w:rPr>
              <w:lastRenderedPageBreak/>
              <w:t>MZV</w:t>
            </w:r>
          </w:p>
        </w:tc>
        <w:tc>
          <w:tcPr>
            <w:tcW w:w="2610" w:type="pct"/>
            <w:tcBorders>
              <w:top w:val="single" w:sz="4" w:space="0" w:color="auto"/>
              <w:left w:val="nil"/>
              <w:right w:val="nil"/>
            </w:tcBorders>
            <w:shd w:val="clear" w:color="auto" w:fill="F2DBDB" w:themeFill="accent2" w:themeFillTint="33"/>
            <w:vAlign w:val="center"/>
          </w:tcPr>
          <w:p w14:paraId="53317C4E" w14:textId="77777777" w:rsidR="00D815CA" w:rsidRPr="00275147" w:rsidRDefault="00D815CA" w:rsidP="00CF6E26">
            <w:pPr>
              <w:spacing w:line="240" w:lineRule="auto"/>
              <w:rPr>
                <w:rFonts w:eastAsia="Times New Roman" w:cs="Arial"/>
                <w:b/>
                <w:color w:val="000000"/>
                <w:sz w:val="18"/>
                <w:szCs w:val="18"/>
                <w:lang w:eastAsia="en-GB"/>
              </w:rPr>
            </w:pPr>
            <w:r w:rsidRPr="00275147">
              <w:rPr>
                <w:rFonts w:eastAsia="Times New Roman" w:cs="Arial"/>
                <w:b/>
                <w:color w:val="000000"/>
                <w:sz w:val="18"/>
                <w:szCs w:val="18"/>
                <w:lang w:eastAsia="en-GB"/>
              </w:rPr>
              <w:t>Koncepce výzkumu MZV na období 2017</w:t>
            </w:r>
            <w:r>
              <w:rPr>
                <w:rFonts w:eastAsia="Times New Roman" w:cs="Arial"/>
                <w:b/>
                <w:color w:val="000000"/>
                <w:sz w:val="18"/>
                <w:szCs w:val="18"/>
                <w:lang w:eastAsia="en-GB"/>
              </w:rPr>
              <w:t>–</w:t>
            </w:r>
            <w:r w:rsidRPr="00275147">
              <w:rPr>
                <w:rFonts w:eastAsia="Times New Roman" w:cs="Arial"/>
                <w:b/>
                <w:color w:val="000000"/>
                <w:sz w:val="18"/>
                <w:szCs w:val="18"/>
                <w:lang w:eastAsia="en-GB"/>
              </w:rPr>
              <w:t>2021</w:t>
            </w:r>
          </w:p>
          <w:p w14:paraId="2C7A919B" w14:textId="38B2AA20" w:rsidR="00D815CA" w:rsidRPr="00D876EB" w:rsidRDefault="00CF6E26" w:rsidP="00D815CA">
            <w:pPr>
              <w:spacing w:after="0" w:line="240" w:lineRule="auto"/>
              <w:rPr>
                <w:rFonts w:eastAsia="Times New Roman" w:cs="Arial"/>
                <w:color w:val="000000"/>
                <w:sz w:val="18"/>
                <w:szCs w:val="18"/>
                <w:lang w:eastAsia="en-GB"/>
              </w:rPr>
            </w:pPr>
            <w:r w:rsidRPr="00CF6E26">
              <w:rPr>
                <w:rFonts w:eastAsia="Times New Roman" w:cs="Arial"/>
                <w:color w:val="000000"/>
                <w:sz w:val="18"/>
                <w:szCs w:val="18"/>
                <w:lang w:eastAsia="en-GB"/>
              </w:rPr>
              <w:t>https://mzv.gov.cz/file/2753728/Koncepce_vy_zkumu_MZV__2017_2021_.pdf</w:t>
            </w:r>
          </w:p>
        </w:tc>
        <w:tc>
          <w:tcPr>
            <w:tcW w:w="625" w:type="pct"/>
            <w:tcBorders>
              <w:top w:val="single" w:sz="4" w:space="0" w:color="auto"/>
              <w:left w:val="single" w:sz="8" w:space="0" w:color="auto"/>
              <w:right w:val="nil"/>
            </w:tcBorders>
            <w:shd w:val="clear" w:color="auto" w:fill="F2DBDB" w:themeFill="accent2" w:themeFillTint="33"/>
            <w:vAlign w:val="center"/>
          </w:tcPr>
          <w:p w14:paraId="7530B5E8" w14:textId="77777777" w:rsidR="00D815CA" w:rsidRPr="00D876EB" w:rsidRDefault="00D815CA" w:rsidP="00D815CA">
            <w:pPr>
              <w:spacing w:after="0" w:line="240" w:lineRule="auto"/>
              <w:jc w:val="center"/>
              <w:rPr>
                <w:rFonts w:eastAsia="Times New Roman" w:cs="Arial"/>
                <w:color w:val="000000"/>
                <w:sz w:val="18"/>
                <w:szCs w:val="18"/>
                <w:lang w:eastAsia="en-GB"/>
              </w:rPr>
            </w:pPr>
            <w:r>
              <w:rPr>
                <w:rFonts w:eastAsia="Times New Roman" w:cs="Arial"/>
                <w:color w:val="000000"/>
                <w:sz w:val="18"/>
                <w:szCs w:val="18"/>
                <w:lang w:eastAsia="en-GB"/>
              </w:rPr>
              <w:t>2021</w:t>
            </w:r>
          </w:p>
        </w:tc>
        <w:tc>
          <w:tcPr>
            <w:tcW w:w="692" w:type="pct"/>
            <w:tcBorders>
              <w:top w:val="nil"/>
              <w:left w:val="single" w:sz="8" w:space="0" w:color="auto"/>
              <w:right w:val="single" w:sz="8" w:space="0" w:color="808080"/>
            </w:tcBorders>
            <w:noWrap/>
            <w:vAlign w:val="center"/>
          </w:tcPr>
          <w:p w14:paraId="68BF73E0" w14:textId="77777777" w:rsidR="00D815CA" w:rsidRDefault="00D815CA" w:rsidP="00D815CA">
            <w:pPr>
              <w:spacing w:after="0" w:line="240" w:lineRule="auto"/>
              <w:jc w:val="center"/>
              <w:rPr>
                <w:rFonts w:eastAsia="Times New Roman" w:cs="Arial"/>
                <w:color w:val="000000"/>
                <w:sz w:val="18"/>
                <w:szCs w:val="18"/>
                <w:lang w:eastAsia="en-GB"/>
              </w:rPr>
            </w:pPr>
            <w:r>
              <w:rPr>
                <w:rFonts w:eastAsia="Times New Roman" w:cs="Arial"/>
                <w:color w:val="000000"/>
                <w:sz w:val="18"/>
                <w:szCs w:val="18"/>
                <w:lang w:eastAsia="en-GB"/>
              </w:rPr>
              <w:t>x</w:t>
            </w:r>
          </w:p>
        </w:tc>
        <w:tc>
          <w:tcPr>
            <w:tcW w:w="616" w:type="pct"/>
            <w:tcBorders>
              <w:top w:val="nil"/>
              <w:left w:val="nil"/>
              <w:right w:val="single" w:sz="8" w:space="0" w:color="auto"/>
            </w:tcBorders>
            <w:noWrap/>
            <w:vAlign w:val="center"/>
          </w:tcPr>
          <w:p w14:paraId="13CD361D" w14:textId="77777777" w:rsidR="00D815CA" w:rsidRDefault="00D815CA" w:rsidP="00D815CA">
            <w:pPr>
              <w:spacing w:after="0" w:line="240" w:lineRule="auto"/>
              <w:jc w:val="center"/>
              <w:rPr>
                <w:rFonts w:eastAsia="Times New Roman" w:cs="Arial"/>
                <w:color w:val="000000"/>
                <w:sz w:val="18"/>
                <w:szCs w:val="18"/>
                <w:lang w:eastAsia="en-GB"/>
              </w:rPr>
            </w:pPr>
            <w:r>
              <w:rPr>
                <w:rFonts w:eastAsia="Times New Roman" w:cs="Arial"/>
                <w:color w:val="000000"/>
                <w:sz w:val="18"/>
                <w:szCs w:val="18"/>
                <w:lang w:eastAsia="en-GB"/>
              </w:rPr>
              <w:t>x</w:t>
            </w:r>
          </w:p>
        </w:tc>
      </w:tr>
      <w:tr w:rsidR="00D815CA" w:rsidRPr="00ED79BC" w14:paraId="1C374BBF" w14:textId="77777777" w:rsidTr="00307AF7">
        <w:trPr>
          <w:trHeight w:val="517"/>
          <w:jc w:val="center"/>
        </w:trPr>
        <w:tc>
          <w:tcPr>
            <w:tcW w:w="457" w:type="pct"/>
            <w:vMerge/>
            <w:tcBorders>
              <w:left w:val="single" w:sz="8" w:space="0" w:color="auto"/>
              <w:bottom w:val="single" w:sz="8" w:space="0" w:color="000000"/>
              <w:right w:val="single" w:sz="8" w:space="0" w:color="auto"/>
            </w:tcBorders>
            <w:shd w:val="pct5" w:color="auto" w:fill="auto"/>
            <w:vAlign w:val="center"/>
          </w:tcPr>
          <w:p w14:paraId="505A175F" w14:textId="77777777" w:rsidR="00D815CA" w:rsidRDefault="00D815CA" w:rsidP="00D815CA">
            <w:pPr>
              <w:spacing w:after="0" w:line="240" w:lineRule="auto"/>
              <w:rPr>
                <w:rFonts w:eastAsia="Times New Roman" w:cs="Arial"/>
                <w:b/>
                <w:bCs/>
                <w:color w:val="000000"/>
                <w:sz w:val="18"/>
                <w:szCs w:val="18"/>
                <w:lang w:eastAsia="en-GB"/>
              </w:rPr>
            </w:pPr>
          </w:p>
        </w:tc>
        <w:tc>
          <w:tcPr>
            <w:tcW w:w="2610" w:type="pct"/>
            <w:tcBorders>
              <w:left w:val="nil"/>
              <w:bottom w:val="single" w:sz="8" w:space="0" w:color="auto"/>
              <w:right w:val="nil"/>
            </w:tcBorders>
            <w:vAlign w:val="center"/>
          </w:tcPr>
          <w:p w14:paraId="2B3F7938" w14:textId="77777777" w:rsidR="00D815CA" w:rsidRDefault="00D815CA" w:rsidP="00D815CA">
            <w:pPr>
              <w:spacing w:after="0" w:line="240" w:lineRule="auto"/>
              <w:rPr>
                <w:rFonts w:eastAsia="Times New Roman" w:cs="Arial"/>
                <w:b/>
                <w:color w:val="000000"/>
                <w:sz w:val="18"/>
                <w:szCs w:val="18"/>
                <w:lang w:eastAsia="en-GB"/>
              </w:rPr>
            </w:pPr>
          </w:p>
          <w:p w14:paraId="3D1A2DCA" w14:textId="77777777" w:rsidR="00D815CA" w:rsidRDefault="00D815CA" w:rsidP="00CF6E26">
            <w:pPr>
              <w:spacing w:line="240" w:lineRule="auto"/>
              <w:rPr>
                <w:rFonts w:eastAsia="Times New Roman" w:cs="Arial"/>
                <w:b/>
                <w:color w:val="000000"/>
                <w:sz w:val="18"/>
                <w:szCs w:val="18"/>
                <w:lang w:eastAsia="en-GB"/>
              </w:rPr>
            </w:pPr>
            <w:r>
              <w:rPr>
                <w:rFonts w:eastAsia="Times New Roman" w:cs="Arial"/>
                <w:b/>
                <w:color w:val="000000"/>
                <w:sz w:val="18"/>
                <w:szCs w:val="18"/>
                <w:lang w:eastAsia="en-GB"/>
              </w:rPr>
              <w:t>Koncepce výzkumu MZV na období 2022–2027</w:t>
            </w:r>
          </w:p>
          <w:p w14:paraId="305B6D0F" w14:textId="668DB499" w:rsidR="00D815CA" w:rsidRPr="00275147" w:rsidRDefault="00CF6E26" w:rsidP="00D815CA">
            <w:pPr>
              <w:spacing w:after="0" w:line="240" w:lineRule="auto"/>
              <w:rPr>
                <w:rFonts w:eastAsia="Times New Roman" w:cs="Arial"/>
                <w:b/>
                <w:color w:val="000000"/>
                <w:sz w:val="18"/>
                <w:szCs w:val="18"/>
                <w:lang w:eastAsia="en-GB"/>
              </w:rPr>
            </w:pPr>
            <w:r w:rsidRPr="00CF6E26">
              <w:rPr>
                <w:rFonts w:eastAsia="Times New Roman" w:cs="Arial"/>
                <w:color w:val="000000"/>
                <w:sz w:val="18"/>
                <w:szCs w:val="18"/>
                <w:lang w:eastAsia="en-GB"/>
              </w:rPr>
              <w:t>https://mzv.gov.cz/jnp/cz/o_ministerstvu/veda_a_vyzkum/koncepcni_dokumenty/koncepce_vyzkumu_mzv_za_obdobi_2017_2021.html</w:t>
            </w:r>
          </w:p>
        </w:tc>
        <w:tc>
          <w:tcPr>
            <w:tcW w:w="625" w:type="pct"/>
            <w:tcBorders>
              <w:left w:val="single" w:sz="8" w:space="0" w:color="auto"/>
              <w:bottom w:val="single" w:sz="8" w:space="0" w:color="auto"/>
              <w:right w:val="nil"/>
            </w:tcBorders>
          </w:tcPr>
          <w:p w14:paraId="3E73A7A6" w14:textId="77777777" w:rsidR="00D815CA" w:rsidRDefault="00D815CA" w:rsidP="00D815CA">
            <w:pPr>
              <w:spacing w:after="0" w:line="240" w:lineRule="auto"/>
              <w:jc w:val="center"/>
              <w:rPr>
                <w:rFonts w:eastAsia="Times New Roman" w:cs="Arial"/>
                <w:color w:val="000000"/>
                <w:sz w:val="18"/>
                <w:szCs w:val="18"/>
                <w:lang w:eastAsia="en-GB"/>
              </w:rPr>
            </w:pPr>
          </w:p>
          <w:p w14:paraId="0373DB9C" w14:textId="77777777" w:rsidR="00CF6E26" w:rsidRDefault="00CF6E26" w:rsidP="00D815CA">
            <w:pPr>
              <w:spacing w:after="0" w:line="240" w:lineRule="auto"/>
              <w:jc w:val="center"/>
              <w:rPr>
                <w:rFonts w:eastAsia="Times New Roman" w:cs="Arial"/>
                <w:color w:val="000000"/>
                <w:sz w:val="18"/>
                <w:szCs w:val="18"/>
                <w:lang w:eastAsia="en-GB"/>
              </w:rPr>
            </w:pPr>
          </w:p>
          <w:p w14:paraId="75F364EA" w14:textId="1D633EFB" w:rsidR="00D815CA" w:rsidRDefault="00D815CA" w:rsidP="00D815CA">
            <w:pPr>
              <w:spacing w:after="0" w:line="240" w:lineRule="auto"/>
              <w:jc w:val="center"/>
              <w:rPr>
                <w:rFonts w:eastAsia="Times New Roman" w:cs="Arial"/>
                <w:color w:val="000000"/>
                <w:sz w:val="18"/>
                <w:szCs w:val="18"/>
                <w:lang w:eastAsia="en-GB"/>
              </w:rPr>
            </w:pPr>
            <w:r>
              <w:rPr>
                <w:rFonts w:eastAsia="Times New Roman" w:cs="Arial"/>
                <w:color w:val="000000"/>
                <w:sz w:val="18"/>
                <w:szCs w:val="18"/>
                <w:lang w:eastAsia="en-GB"/>
              </w:rPr>
              <w:t>2027</w:t>
            </w:r>
          </w:p>
        </w:tc>
        <w:tc>
          <w:tcPr>
            <w:tcW w:w="692" w:type="pct"/>
            <w:tcBorders>
              <w:left w:val="single" w:sz="8" w:space="0" w:color="auto"/>
              <w:bottom w:val="single" w:sz="8" w:space="0" w:color="auto"/>
              <w:right w:val="single" w:sz="8" w:space="0" w:color="808080"/>
            </w:tcBorders>
            <w:noWrap/>
          </w:tcPr>
          <w:p w14:paraId="15736E81" w14:textId="77777777" w:rsidR="00D815CA" w:rsidRDefault="00D815CA" w:rsidP="00D815CA">
            <w:pPr>
              <w:spacing w:after="0" w:line="240" w:lineRule="auto"/>
              <w:jc w:val="center"/>
              <w:rPr>
                <w:rFonts w:eastAsia="Times New Roman" w:cs="Arial"/>
                <w:color w:val="000000"/>
                <w:sz w:val="18"/>
                <w:szCs w:val="18"/>
                <w:lang w:eastAsia="en-GB"/>
              </w:rPr>
            </w:pPr>
          </w:p>
          <w:p w14:paraId="74812959" w14:textId="77777777" w:rsidR="00CF6E26" w:rsidRDefault="00CF6E26" w:rsidP="00D815CA">
            <w:pPr>
              <w:spacing w:after="0" w:line="240" w:lineRule="auto"/>
              <w:jc w:val="center"/>
              <w:rPr>
                <w:rFonts w:eastAsia="Times New Roman" w:cs="Arial"/>
                <w:color w:val="000000"/>
                <w:sz w:val="18"/>
                <w:szCs w:val="18"/>
                <w:lang w:eastAsia="en-GB"/>
              </w:rPr>
            </w:pPr>
          </w:p>
          <w:p w14:paraId="08630A55" w14:textId="0EBC9A89" w:rsidR="00D815CA" w:rsidRDefault="00D815CA" w:rsidP="00D815CA">
            <w:pPr>
              <w:spacing w:after="0" w:line="240" w:lineRule="auto"/>
              <w:jc w:val="center"/>
              <w:rPr>
                <w:rFonts w:eastAsia="Times New Roman" w:cs="Arial"/>
                <w:color w:val="000000"/>
                <w:sz w:val="18"/>
                <w:szCs w:val="18"/>
                <w:lang w:eastAsia="en-GB"/>
              </w:rPr>
            </w:pPr>
            <w:r>
              <w:rPr>
                <w:rFonts w:eastAsia="Times New Roman" w:cs="Arial"/>
                <w:color w:val="000000"/>
                <w:sz w:val="18"/>
                <w:szCs w:val="18"/>
                <w:lang w:eastAsia="en-GB"/>
              </w:rPr>
              <w:t>x</w:t>
            </w:r>
          </w:p>
        </w:tc>
        <w:tc>
          <w:tcPr>
            <w:tcW w:w="616" w:type="pct"/>
            <w:tcBorders>
              <w:left w:val="nil"/>
              <w:bottom w:val="single" w:sz="8" w:space="0" w:color="auto"/>
              <w:right w:val="single" w:sz="8" w:space="0" w:color="auto"/>
            </w:tcBorders>
            <w:noWrap/>
          </w:tcPr>
          <w:p w14:paraId="5A900C95" w14:textId="77777777" w:rsidR="00D815CA" w:rsidRDefault="00D815CA" w:rsidP="00D815CA">
            <w:pPr>
              <w:spacing w:after="0" w:line="240" w:lineRule="auto"/>
              <w:jc w:val="center"/>
              <w:rPr>
                <w:rFonts w:eastAsia="Times New Roman" w:cs="Arial"/>
                <w:color w:val="000000"/>
                <w:sz w:val="18"/>
                <w:szCs w:val="18"/>
                <w:lang w:eastAsia="en-GB"/>
              </w:rPr>
            </w:pPr>
          </w:p>
          <w:p w14:paraId="445C142D" w14:textId="77777777" w:rsidR="00CF6E26" w:rsidRDefault="00CF6E26" w:rsidP="00D815CA">
            <w:pPr>
              <w:spacing w:after="0" w:line="240" w:lineRule="auto"/>
              <w:jc w:val="center"/>
              <w:rPr>
                <w:rFonts w:eastAsia="Times New Roman" w:cs="Arial"/>
                <w:color w:val="000000"/>
                <w:sz w:val="18"/>
                <w:szCs w:val="18"/>
                <w:lang w:eastAsia="en-GB"/>
              </w:rPr>
            </w:pPr>
          </w:p>
          <w:p w14:paraId="633FA8B0" w14:textId="1A1C2249" w:rsidR="00D815CA" w:rsidRDefault="00D815CA" w:rsidP="00D815CA">
            <w:pPr>
              <w:spacing w:after="0" w:line="240" w:lineRule="auto"/>
              <w:jc w:val="center"/>
              <w:rPr>
                <w:rFonts w:eastAsia="Times New Roman" w:cs="Arial"/>
                <w:color w:val="000000"/>
                <w:sz w:val="18"/>
                <w:szCs w:val="18"/>
                <w:lang w:eastAsia="en-GB"/>
              </w:rPr>
            </w:pPr>
            <w:r>
              <w:rPr>
                <w:rFonts w:eastAsia="Times New Roman" w:cs="Arial"/>
                <w:color w:val="000000"/>
                <w:sz w:val="18"/>
                <w:szCs w:val="18"/>
                <w:lang w:eastAsia="en-GB"/>
              </w:rPr>
              <w:t>x</w:t>
            </w:r>
          </w:p>
        </w:tc>
      </w:tr>
      <w:tr w:rsidR="00D815CA" w:rsidRPr="00ED79BC" w14:paraId="04D4F93A" w14:textId="77777777" w:rsidTr="00307AF7">
        <w:trPr>
          <w:trHeight w:val="510"/>
          <w:jc w:val="center"/>
        </w:trPr>
        <w:tc>
          <w:tcPr>
            <w:tcW w:w="457" w:type="pct"/>
            <w:vMerge w:val="restart"/>
            <w:tcBorders>
              <w:top w:val="nil"/>
              <w:left w:val="single" w:sz="8" w:space="0" w:color="auto"/>
              <w:bottom w:val="single" w:sz="8" w:space="0" w:color="000000"/>
              <w:right w:val="single" w:sz="8" w:space="0" w:color="auto"/>
            </w:tcBorders>
            <w:shd w:val="clear" w:color="000000" w:fill="F2F2F2"/>
            <w:noWrap/>
            <w:vAlign w:val="center"/>
            <w:hideMark/>
          </w:tcPr>
          <w:p w14:paraId="10618FC5" w14:textId="559EFC4D" w:rsidR="00D815CA" w:rsidRPr="00D876EB" w:rsidRDefault="00CF3CB4" w:rsidP="00D815CA">
            <w:pPr>
              <w:spacing w:after="0" w:line="240" w:lineRule="auto"/>
              <w:jc w:val="center"/>
              <w:rPr>
                <w:rFonts w:eastAsia="Times New Roman" w:cs="Arial"/>
                <w:b/>
                <w:bCs/>
                <w:color w:val="000000"/>
                <w:sz w:val="18"/>
                <w:szCs w:val="18"/>
                <w:lang w:eastAsia="en-GB"/>
              </w:rPr>
            </w:pPr>
            <w:r>
              <w:rPr>
                <w:rFonts w:eastAsia="Times New Roman" w:cs="Arial"/>
                <w:b/>
                <w:bCs/>
                <w:color w:val="000000"/>
                <w:sz w:val="18"/>
                <w:szCs w:val="18"/>
                <w:lang w:eastAsia="en-GB"/>
              </w:rPr>
              <w:t>Ú</w:t>
            </w:r>
            <w:r w:rsidR="00D815CA" w:rsidRPr="00D876EB">
              <w:rPr>
                <w:rFonts w:eastAsia="Times New Roman" w:cs="Arial"/>
                <w:b/>
                <w:bCs/>
                <w:color w:val="000000"/>
                <w:sz w:val="18"/>
                <w:szCs w:val="18"/>
                <w:lang w:eastAsia="en-GB"/>
              </w:rPr>
              <w:t>PV</w:t>
            </w:r>
          </w:p>
        </w:tc>
        <w:tc>
          <w:tcPr>
            <w:tcW w:w="2610" w:type="pct"/>
            <w:tcBorders>
              <w:top w:val="nil"/>
              <w:left w:val="nil"/>
              <w:bottom w:val="nil"/>
              <w:right w:val="nil"/>
            </w:tcBorders>
            <w:vAlign w:val="center"/>
            <w:hideMark/>
          </w:tcPr>
          <w:p w14:paraId="09D52095" w14:textId="77777777" w:rsidR="00D815CA" w:rsidRPr="00D876EB" w:rsidRDefault="00D815CA" w:rsidP="00D815CA">
            <w:pPr>
              <w:spacing w:after="0" w:line="240" w:lineRule="auto"/>
              <w:rPr>
                <w:rFonts w:eastAsia="Times New Roman" w:cs="Arial"/>
                <w:b/>
                <w:bCs/>
                <w:color w:val="000000"/>
                <w:sz w:val="18"/>
                <w:szCs w:val="18"/>
                <w:lang w:eastAsia="en-GB"/>
              </w:rPr>
            </w:pPr>
            <w:r w:rsidRPr="00D876EB">
              <w:rPr>
                <w:rFonts w:eastAsia="Times New Roman" w:cs="Arial"/>
                <w:b/>
                <w:bCs/>
                <w:color w:val="000000"/>
                <w:sz w:val="18"/>
                <w:szCs w:val="18"/>
                <w:lang w:eastAsia="en-GB"/>
              </w:rPr>
              <w:t>Koncepce podpory ochrany průmyslového vlastnictví 2021–2030</w:t>
            </w:r>
          </w:p>
        </w:tc>
        <w:tc>
          <w:tcPr>
            <w:tcW w:w="625" w:type="pct"/>
            <w:tcBorders>
              <w:top w:val="nil"/>
              <w:left w:val="single" w:sz="8" w:space="0" w:color="auto"/>
              <w:bottom w:val="nil"/>
              <w:right w:val="nil"/>
            </w:tcBorders>
            <w:vAlign w:val="center"/>
            <w:hideMark/>
          </w:tcPr>
          <w:p w14:paraId="504FA774" w14:textId="77777777" w:rsidR="00D815CA" w:rsidRPr="00D876EB" w:rsidRDefault="00D815CA" w:rsidP="00D815CA">
            <w:pPr>
              <w:spacing w:after="0" w:line="240" w:lineRule="auto"/>
              <w:jc w:val="center"/>
              <w:rPr>
                <w:rFonts w:eastAsia="Times New Roman" w:cs="Arial"/>
                <w:color w:val="000000"/>
                <w:sz w:val="18"/>
                <w:szCs w:val="18"/>
                <w:lang w:eastAsia="en-GB"/>
              </w:rPr>
            </w:pPr>
            <w:r w:rsidRPr="00D876EB">
              <w:rPr>
                <w:rFonts w:eastAsia="Times New Roman" w:cs="Arial"/>
                <w:color w:val="000000"/>
                <w:sz w:val="18"/>
                <w:szCs w:val="18"/>
                <w:lang w:eastAsia="en-GB"/>
              </w:rPr>
              <w:t>2030</w:t>
            </w:r>
          </w:p>
        </w:tc>
        <w:tc>
          <w:tcPr>
            <w:tcW w:w="692" w:type="pct"/>
            <w:tcBorders>
              <w:top w:val="nil"/>
              <w:left w:val="single" w:sz="8" w:space="0" w:color="auto"/>
              <w:bottom w:val="nil"/>
              <w:right w:val="single" w:sz="8" w:space="0" w:color="808080"/>
            </w:tcBorders>
            <w:noWrap/>
            <w:vAlign w:val="center"/>
            <w:hideMark/>
          </w:tcPr>
          <w:p w14:paraId="1AD7F73E" w14:textId="438AA047" w:rsidR="00D815CA" w:rsidRPr="00D876EB" w:rsidRDefault="007B6FD8" w:rsidP="00D815CA">
            <w:pPr>
              <w:spacing w:after="0" w:line="240" w:lineRule="auto"/>
              <w:jc w:val="center"/>
              <w:rPr>
                <w:rFonts w:eastAsia="Times New Roman" w:cs="Arial"/>
                <w:color w:val="000000"/>
                <w:sz w:val="18"/>
                <w:szCs w:val="18"/>
                <w:lang w:eastAsia="en-GB"/>
              </w:rPr>
            </w:pPr>
            <w:r>
              <w:rPr>
                <w:rFonts w:eastAsia="Times New Roman" w:cs="Arial"/>
                <w:color w:val="000000"/>
                <w:sz w:val="18"/>
                <w:szCs w:val="18"/>
                <w:lang w:eastAsia="en-GB"/>
              </w:rPr>
              <w:t>9</w:t>
            </w:r>
            <w:r w:rsidR="00D815CA" w:rsidRPr="00D876EB">
              <w:rPr>
                <w:rFonts w:eastAsia="Times New Roman" w:cs="Arial"/>
                <w:color w:val="000000"/>
                <w:sz w:val="18"/>
                <w:szCs w:val="18"/>
                <w:lang w:eastAsia="en-GB"/>
              </w:rPr>
              <w:t>. 11. 2021</w:t>
            </w:r>
          </w:p>
        </w:tc>
        <w:tc>
          <w:tcPr>
            <w:tcW w:w="616" w:type="pct"/>
            <w:tcBorders>
              <w:top w:val="nil"/>
              <w:left w:val="nil"/>
              <w:bottom w:val="nil"/>
              <w:right w:val="single" w:sz="8" w:space="0" w:color="auto"/>
            </w:tcBorders>
            <w:noWrap/>
            <w:vAlign w:val="center"/>
            <w:hideMark/>
          </w:tcPr>
          <w:p w14:paraId="6A34C0CA" w14:textId="77777777" w:rsidR="00D815CA" w:rsidRPr="00D876EB" w:rsidRDefault="00D815CA" w:rsidP="00D815CA">
            <w:pPr>
              <w:spacing w:after="0" w:line="240" w:lineRule="auto"/>
              <w:jc w:val="center"/>
              <w:rPr>
                <w:rFonts w:eastAsia="Times New Roman" w:cs="Arial"/>
                <w:color w:val="000000"/>
                <w:sz w:val="18"/>
                <w:szCs w:val="18"/>
                <w:lang w:eastAsia="en-GB"/>
              </w:rPr>
            </w:pPr>
            <w:r w:rsidRPr="00D876EB">
              <w:rPr>
                <w:rFonts w:eastAsia="Times New Roman" w:cs="Arial"/>
                <w:color w:val="000000"/>
                <w:sz w:val="18"/>
                <w:szCs w:val="18"/>
                <w:lang w:eastAsia="en-GB"/>
              </w:rPr>
              <w:t>980/2021</w:t>
            </w:r>
          </w:p>
        </w:tc>
      </w:tr>
      <w:tr w:rsidR="00D815CA" w:rsidRPr="00FB6512" w14:paraId="41FF044D" w14:textId="77777777" w:rsidTr="00307AF7">
        <w:trPr>
          <w:trHeight w:val="510"/>
          <w:jc w:val="center"/>
        </w:trPr>
        <w:tc>
          <w:tcPr>
            <w:tcW w:w="457" w:type="pct"/>
            <w:vMerge/>
            <w:tcBorders>
              <w:top w:val="nil"/>
              <w:left w:val="single" w:sz="8" w:space="0" w:color="auto"/>
              <w:bottom w:val="single" w:sz="8" w:space="0" w:color="000000"/>
              <w:right w:val="single" w:sz="8" w:space="0" w:color="auto"/>
            </w:tcBorders>
            <w:vAlign w:val="center"/>
            <w:hideMark/>
          </w:tcPr>
          <w:p w14:paraId="7969D280" w14:textId="77777777" w:rsidR="00D815CA" w:rsidRPr="00D876EB" w:rsidRDefault="00D815CA" w:rsidP="00D815CA">
            <w:pPr>
              <w:spacing w:after="0" w:line="240" w:lineRule="auto"/>
              <w:rPr>
                <w:rFonts w:eastAsia="Times New Roman" w:cs="Arial"/>
                <w:b/>
                <w:bCs/>
                <w:color w:val="000000"/>
                <w:sz w:val="18"/>
                <w:szCs w:val="18"/>
                <w:lang w:eastAsia="en-GB"/>
              </w:rPr>
            </w:pPr>
          </w:p>
        </w:tc>
        <w:tc>
          <w:tcPr>
            <w:tcW w:w="2610" w:type="pct"/>
            <w:tcBorders>
              <w:top w:val="nil"/>
              <w:left w:val="nil"/>
              <w:bottom w:val="single" w:sz="8" w:space="0" w:color="auto"/>
              <w:right w:val="nil"/>
            </w:tcBorders>
            <w:vAlign w:val="center"/>
            <w:hideMark/>
          </w:tcPr>
          <w:p w14:paraId="6BBD6DAF" w14:textId="77777777" w:rsidR="00D815CA" w:rsidRPr="00D876EB" w:rsidRDefault="00D815CA" w:rsidP="00D815CA">
            <w:pPr>
              <w:spacing w:after="0" w:line="240" w:lineRule="auto"/>
              <w:rPr>
                <w:rFonts w:eastAsia="Times New Roman" w:cs="Arial"/>
                <w:color w:val="000000"/>
                <w:sz w:val="18"/>
                <w:szCs w:val="18"/>
                <w:lang w:eastAsia="en-GB"/>
              </w:rPr>
            </w:pPr>
            <w:bookmarkStart w:id="64" w:name="_Hlk112137716"/>
            <w:r w:rsidRPr="00D876EB">
              <w:rPr>
                <w:rFonts w:eastAsia="Times New Roman" w:cs="Arial"/>
                <w:color w:val="000000"/>
                <w:sz w:val="18"/>
                <w:szCs w:val="18"/>
                <w:lang w:eastAsia="en-GB"/>
              </w:rPr>
              <w:t>https://upv.gov.cz/o-uradu/koncepce-podpory-ochrany-prumysloveho-vlastnictvi-2021-2030</w:t>
            </w:r>
            <w:bookmarkEnd w:id="64"/>
          </w:p>
        </w:tc>
        <w:tc>
          <w:tcPr>
            <w:tcW w:w="625" w:type="pct"/>
            <w:tcBorders>
              <w:top w:val="nil"/>
              <w:left w:val="single" w:sz="8" w:space="0" w:color="auto"/>
              <w:bottom w:val="single" w:sz="8" w:space="0" w:color="auto"/>
              <w:right w:val="nil"/>
            </w:tcBorders>
            <w:vAlign w:val="center"/>
            <w:hideMark/>
          </w:tcPr>
          <w:p w14:paraId="5D25D612" w14:textId="77777777" w:rsidR="00D815CA" w:rsidRPr="00D876EB" w:rsidRDefault="00D815CA" w:rsidP="00D815CA">
            <w:pPr>
              <w:spacing w:after="0" w:line="240" w:lineRule="auto"/>
              <w:jc w:val="center"/>
              <w:rPr>
                <w:rFonts w:eastAsia="Times New Roman" w:cs="Arial"/>
                <w:color w:val="000000"/>
                <w:sz w:val="18"/>
                <w:szCs w:val="18"/>
                <w:lang w:eastAsia="en-GB"/>
              </w:rPr>
            </w:pPr>
            <w:r w:rsidRPr="00D876EB">
              <w:rPr>
                <w:rFonts w:eastAsia="Times New Roman" w:cs="Arial"/>
                <w:color w:val="000000"/>
                <w:sz w:val="18"/>
                <w:szCs w:val="18"/>
                <w:lang w:eastAsia="en-GB"/>
              </w:rPr>
              <w:t> </w:t>
            </w:r>
          </w:p>
        </w:tc>
        <w:tc>
          <w:tcPr>
            <w:tcW w:w="692" w:type="pct"/>
            <w:tcBorders>
              <w:top w:val="nil"/>
              <w:left w:val="single" w:sz="8" w:space="0" w:color="auto"/>
              <w:bottom w:val="single" w:sz="8" w:space="0" w:color="auto"/>
              <w:right w:val="single" w:sz="8" w:space="0" w:color="808080"/>
            </w:tcBorders>
            <w:noWrap/>
            <w:vAlign w:val="center"/>
            <w:hideMark/>
          </w:tcPr>
          <w:p w14:paraId="0F92685A" w14:textId="77777777" w:rsidR="00D815CA" w:rsidRPr="00D876EB" w:rsidRDefault="00D815CA" w:rsidP="00D815CA">
            <w:pPr>
              <w:spacing w:after="0" w:line="240" w:lineRule="auto"/>
              <w:jc w:val="center"/>
              <w:rPr>
                <w:rFonts w:eastAsia="Times New Roman" w:cs="Arial"/>
                <w:color w:val="000000"/>
                <w:sz w:val="18"/>
                <w:szCs w:val="18"/>
                <w:lang w:eastAsia="en-GB"/>
              </w:rPr>
            </w:pPr>
            <w:r w:rsidRPr="00D876EB">
              <w:rPr>
                <w:rFonts w:eastAsia="Times New Roman" w:cs="Arial"/>
                <w:color w:val="000000"/>
                <w:sz w:val="18"/>
                <w:szCs w:val="18"/>
                <w:lang w:eastAsia="en-GB"/>
              </w:rPr>
              <w:t> </w:t>
            </w:r>
          </w:p>
        </w:tc>
        <w:tc>
          <w:tcPr>
            <w:tcW w:w="616" w:type="pct"/>
            <w:tcBorders>
              <w:top w:val="nil"/>
              <w:left w:val="nil"/>
              <w:bottom w:val="single" w:sz="8" w:space="0" w:color="auto"/>
              <w:right w:val="single" w:sz="8" w:space="0" w:color="auto"/>
            </w:tcBorders>
            <w:noWrap/>
            <w:vAlign w:val="center"/>
            <w:hideMark/>
          </w:tcPr>
          <w:p w14:paraId="7EBA092D" w14:textId="77777777" w:rsidR="00D815CA" w:rsidRPr="00D876EB" w:rsidRDefault="00D815CA" w:rsidP="00D815CA">
            <w:pPr>
              <w:spacing w:after="0" w:line="240" w:lineRule="auto"/>
              <w:jc w:val="center"/>
              <w:rPr>
                <w:rFonts w:eastAsia="Times New Roman" w:cs="Arial"/>
                <w:color w:val="000000"/>
                <w:sz w:val="18"/>
                <w:szCs w:val="18"/>
                <w:lang w:eastAsia="en-GB"/>
              </w:rPr>
            </w:pPr>
            <w:r w:rsidRPr="00D876EB">
              <w:rPr>
                <w:rFonts w:eastAsia="Times New Roman" w:cs="Arial"/>
                <w:color w:val="000000"/>
                <w:sz w:val="18"/>
                <w:szCs w:val="18"/>
                <w:lang w:eastAsia="en-GB"/>
              </w:rPr>
              <w:t> </w:t>
            </w:r>
          </w:p>
        </w:tc>
      </w:tr>
    </w:tbl>
    <w:p w14:paraId="22A3725C" w14:textId="4DA813BF" w:rsidR="00A571C0" w:rsidRDefault="00A571C0" w:rsidP="00A571C0">
      <w:pPr>
        <w:spacing w:before="240"/>
        <w:jc w:val="both"/>
        <w:rPr>
          <w:rFonts w:eastAsia="Arial" w:cs="Arial"/>
          <w:i/>
          <w:iCs/>
          <w:noProof/>
          <w:sz w:val="18"/>
          <w:szCs w:val="18"/>
        </w:rPr>
      </w:pPr>
      <w:r w:rsidRPr="00D876EB">
        <w:rPr>
          <w:rFonts w:eastAsia="Arial" w:cs="Arial"/>
          <w:i/>
          <w:iCs/>
          <w:noProof/>
          <w:sz w:val="18"/>
          <w:szCs w:val="18"/>
        </w:rPr>
        <w:t>(*) Národní RIS3 strategie představuje jeden z implementačních nástrojů Národní politiky výzkumu, vývoje a inovací ČR v oblasti orientovaného a aplikovaného výzkumu v ČR a zároveň musí naplňovat základní podmínku pro uskutečňování intervencí regionální politiky EU v oblasti výzkumu, vývoje a inovací. Jedná se o strategický dokument zajišťující kontinuitu pro účelné a efektivní nakládání s evropskými, národními, regionálními a soukromými prostředky určenými na</w:t>
      </w:r>
      <w:r>
        <w:rPr>
          <w:rFonts w:eastAsia="Arial" w:cs="Arial"/>
          <w:i/>
          <w:iCs/>
          <w:noProof/>
          <w:sz w:val="18"/>
          <w:szCs w:val="18"/>
        </w:rPr>
        <w:t> </w:t>
      </w:r>
      <w:r w:rsidRPr="00D876EB">
        <w:rPr>
          <w:rFonts w:eastAsia="Arial" w:cs="Arial"/>
          <w:i/>
          <w:iCs/>
          <w:noProof/>
          <w:sz w:val="18"/>
          <w:szCs w:val="18"/>
        </w:rPr>
        <w:t>podporu orientovaného a aplikovaného výzkumu a inovací v ČR. NRIS3 se zaměřuje na podporu perspektivních odvětví a jejich transformaci k vyšší přidané hodnotě, mimo jiné pomocí zvýšeného důrazu na podporu digitalizace a</w:t>
      </w:r>
      <w:r>
        <w:rPr>
          <w:rFonts w:eastAsia="Arial" w:cs="Arial"/>
          <w:i/>
          <w:iCs/>
          <w:noProof/>
          <w:sz w:val="18"/>
          <w:szCs w:val="18"/>
        </w:rPr>
        <w:t> </w:t>
      </w:r>
      <w:r w:rsidRPr="00D876EB">
        <w:rPr>
          <w:rFonts w:eastAsia="Arial" w:cs="Arial"/>
          <w:i/>
          <w:iCs/>
          <w:noProof/>
          <w:sz w:val="18"/>
          <w:szCs w:val="18"/>
        </w:rPr>
        <w:t>dalších klíčových technologií a znalostí. Tvorbu a implementaci NRIS3 zajišťuje Ministerstvo průmyslu a obchodu (MPO), které je zároveň zodpovědné za zajištění fungování procesu podnikatelského objevování nových příležitostí – Entrepreneurial Discovery Process (EDP) na národní úrovni.</w:t>
      </w:r>
    </w:p>
    <w:p w14:paraId="61364B5A" w14:textId="3D6D584D" w:rsidR="007B78E1" w:rsidRDefault="00641BC4" w:rsidP="007B78E1">
      <w:r>
        <w:br w:type="page"/>
      </w:r>
    </w:p>
    <w:p w14:paraId="5DE87D9C" w14:textId="0E7C6F5C" w:rsidR="00854623" w:rsidRPr="00E8168B" w:rsidRDefault="00854623" w:rsidP="00854623">
      <w:pPr>
        <w:spacing w:after="0" w:line="360" w:lineRule="auto"/>
        <w:jc w:val="both"/>
        <w:rPr>
          <w:rFonts w:eastAsia="Times New Roman" w:cs="Arial"/>
          <w:lang w:eastAsia="cs-CZ"/>
        </w:rPr>
        <w:sectPr w:rsidR="00854623" w:rsidRPr="00E8168B" w:rsidSect="00B659E0">
          <w:headerReference w:type="even" r:id="rId96"/>
          <w:headerReference w:type="default" r:id="rId97"/>
          <w:headerReference w:type="first" r:id="rId98"/>
          <w:footerReference w:type="first" r:id="rId99"/>
          <w:pgSz w:w="11906" w:h="16838"/>
          <w:pgMar w:top="1134" w:right="1134" w:bottom="1134" w:left="1134" w:header="709" w:footer="709" w:gutter="0"/>
          <w:cols w:space="708"/>
          <w:docGrid w:linePitch="360"/>
        </w:sectPr>
      </w:pPr>
    </w:p>
    <w:p w14:paraId="43AE0F70" w14:textId="1E7D5322" w:rsidR="00B6564D" w:rsidRPr="00F27262" w:rsidRDefault="00B6564D" w:rsidP="00B6564D">
      <w:pPr>
        <w:pStyle w:val="Plohanadpis"/>
        <w:pageBreakBefore/>
      </w:pPr>
      <w:bookmarkStart w:id="65" w:name="_Toc215589325"/>
      <w:r w:rsidRPr="00F27262">
        <w:lastRenderedPageBreak/>
        <w:t xml:space="preserve">P. </w:t>
      </w:r>
      <w:r>
        <w:t>B.</w:t>
      </w:r>
      <w:r w:rsidR="00B43C64">
        <w:t>3</w:t>
      </w:r>
      <w:r>
        <w:t xml:space="preserve"> Přímá veřejná podpora</w:t>
      </w:r>
      <w:bookmarkEnd w:id="65"/>
    </w:p>
    <w:p w14:paraId="428518E2" w14:textId="77777777" w:rsidR="00E03F4A" w:rsidRPr="00881EF0" w:rsidRDefault="00E03F4A" w:rsidP="00E03F4A">
      <w:pPr>
        <w:pStyle w:val="Obrzek-nadpis"/>
      </w:pPr>
      <w:r w:rsidRPr="00B73E3A">
        <w:t xml:space="preserve">A: Programy a skupiny grantových projektů </w:t>
      </w:r>
      <w:proofErr w:type="spellStart"/>
      <w:r w:rsidRPr="00B73E3A">
        <w:t>VaVaI</w:t>
      </w:r>
      <w:proofErr w:type="spellEnd"/>
      <w:r w:rsidRPr="00B73E3A">
        <w:t xml:space="preserve"> financované ze státního rozpočtu v roce 2024 (v mil. Kč)</w:t>
      </w:r>
    </w:p>
    <w:tbl>
      <w:tblPr>
        <w:tblW w:w="5000" w:type="pct"/>
        <w:tblCellMar>
          <w:left w:w="70" w:type="dxa"/>
          <w:right w:w="70" w:type="dxa"/>
        </w:tblCellMar>
        <w:tblLook w:val="04A0" w:firstRow="1" w:lastRow="0" w:firstColumn="1" w:lastColumn="0" w:noHBand="0" w:noVBand="1"/>
      </w:tblPr>
      <w:tblGrid>
        <w:gridCol w:w="1251"/>
        <w:gridCol w:w="734"/>
        <w:gridCol w:w="4525"/>
        <w:gridCol w:w="1787"/>
        <w:gridCol w:w="1936"/>
        <w:gridCol w:w="2715"/>
        <w:gridCol w:w="2391"/>
        <w:gridCol w:w="2395"/>
        <w:gridCol w:w="2391"/>
        <w:gridCol w:w="2386"/>
      </w:tblGrid>
      <w:tr w:rsidR="00E03F4A" w:rsidRPr="00B73E3A" w14:paraId="017C8D1B" w14:textId="77777777" w:rsidTr="00326A8C">
        <w:trPr>
          <w:trHeight w:val="510"/>
          <w:tblHeader/>
        </w:trPr>
        <w:tc>
          <w:tcPr>
            <w:tcW w:w="278" w:type="pct"/>
            <w:tcBorders>
              <w:top w:val="nil"/>
              <w:left w:val="nil"/>
              <w:bottom w:val="nil"/>
              <w:right w:val="nil"/>
            </w:tcBorders>
            <w:noWrap/>
            <w:vAlign w:val="center"/>
            <w:hideMark/>
          </w:tcPr>
          <w:p w14:paraId="40310176" w14:textId="77777777" w:rsidR="00E03F4A" w:rsidRPr="00B73E3A" w:rsidRDefault="00E03F4A" w:rsidP="00326A8C">
            <w:pPr>
              <w:spacing w:after="0" w:line="240" w:lineRule="auto"/>
              <w:rPr>
                <w:rFonts w:ascii="Times New Roman" w:eastAsia="Times New Roman" w:hAnsi="Times New Roman" w:cs="Times New Roman"/>
                <w:sz w:val="24"/>
                <w:szCs w:val="24"/>
                <w:lang w:eastAsia="cs-CZ"/>
              </w:rPr>
            </w:pPr>
          </w:p>
        </w:tc>
        <w:tc>
          <w:tcPr>
            <w:tcW w:w="163" w:type="pct"/>
            <w:tcBorders>
              <w:top w:val="nil"/>
              <w:left w:val="nil"/>
              <w:bottom w:val="nil"/>
              <w:right w:val="nil"/>
            </w:tcBorders>
            <w:noWrap/>
            <w:vAlign w:val="center"/>
            <w:hideMark/>
          </w:tcPr>
          <w:p w14:paraId="3311E8B4" w14:textId="77777777" w:rsidR="00E03F4A" w:rsidRPr="00B73E3A" w:rsidRDefault="00E03F4A" w:rsidP="00326A8C">
            <w:pPr>
              <w:spacing w:after="0" w:line="240" w:lineRule="auto"/>
              <w:rPr>
                <w:rFonts w:ascii="Times New Roman" w:eastAsia="Times New Roman" w:hAnsi="Times New Roman" w:cs="Times New Roman"/>
                <w:sz w:val="20"/>
                <w:szCs w:val="20"/>
                <w:lang w:eastAsia="cs-CZ"/>
              </w:rPr>
            </w:pPr>
          </w:p>
        </w:tc>
        <w:tc>
          <w:tcPr>
            <w:tcW w:w="1005" w:type="pct"/>
            <w:tcBorders>
              <w:top w:val="nil"/>
              <w:left w:val="nil"/>
              <w:bottom w:val="nil"/>
              <w:right w:val="nil"/>
            </w:tcBorders>
            <w:vAlign w:val="bottom"/>
            <w:hideMark/>
          </w:tcPr>
          <w:p w14:paraId="51191D41" w14:textId="77777777" w:rsidR="00E03F4A" w:rsidRPr="00B73E3A" w:rsidRDefault="00E03F4A" w:rsidP="00326A8C">
            <w:pPr>
              <w:spacing w:after="0" w:line="240" w:lineRule="auto"/>
              <w:rPr>
                <w:rFonts w:ascii="Times New Roman" w:eastAsia="Times New Roman" w:hAnsi="Times New Roman" w:cs="Times New Roman"/>
                <w:sz w:val="20"/>
                <w:szCs w:val="20"/>
                <w:lang w:eastAsia="cs-CZ"/>
              </w:rPr>
            </w:pPr>
          </w:p>
        </w:tc>
        <w:tc>
          <w:tcPr>
            <w:tcW w:w="397" w:type="pct"/>
            <w:tcBorders>
              <w:top w:val="nil"/>
              <w:left w:val="nil"/>
              <w:bottom w:val="nil"/>
              <w:right w:val="nil"/>
            </w:tcBorders>
            <w:noWrap/>
            <w:vAlign w:val="bottom"/>
            <w:hideMark/>
          </w:tcPr>
          <w:p w14:paraId="4B84149D" w14:textId="77777777" w:rsidR="00E03F4A" w:rsidRPr="00B73E3A" w:rsidRDefault="00E03F4A" w:rsidP="00326A8C">
            <w:pPr>
              <w:spacing w:after="0" w:line="240" w:lineRule="auto"/>
              <w:rPr>
                <w:rFonts w:ascii="Times New Roman" w:eastAsia="Times New Roman" w:hAnsi="Times New Roman" w:cs="Times New Roman"/>
                <w:sz w:val="20"/>
                <w:szCs w:val="20"/>
                <w:lang w:eastAsia="cs-CZ"/>
              </w:rPr>
            </w:pPr>
          </w:p>
        </w:tc>
        <w:tc>
          <w:tcPr>
            <w:tcW w:w="430" w:type="pct"/>
            <w:tcBorders>
              <w:top w:val="nil"/>
              <w:left w:val="nil"/>
              <w:bottom w:val="nil"/>
              <w:right w:val="nil"/>
            </w:tcBorders>
            <w:noWrap/>
            <w:vAlign w:val="bottom"/>
            <w:hideMark/>
          </w:tcPr>
          <w:p w14:paraId="2517A83F" w14:textId="77777777" w:rsidR="00E03F4A" w:rsidRPr="00B73E3A" w:rsidRDefault="00E03F4A" w:rsidP="00326A8C">
            <w:pPr>
              <w:spacing w:after="0" w:line="240" w:lineRule="auto"/>
              <w:rPr>
                <w:rFonts w:ascii="Times New Roman" w:eastAsia="Times New Roman" w:hAnsi="Times New Roman" w:cs="Times New Roman"/>
                <w:sz w:val="20"/>
                <w:szCs w:val="20"/>
                <w:lang w:eastAsia="cs-CZ"/>
              </w:rPr>
            </w:pPr>
          </w:p>
        </w:tc>
        <w:tc>
          <w:tcPr>
            <w:tcW w:w="603" w:type="pct"/>
            <w:tcBorders>
              <w:top w:val="nil"/>
              <w:left w:val="nil"/>
              <w:bottom w:val="nil"/>
              <w:right w:val="nil"/>
            </w:tcBorders>
            <w:noWrap/>
            <w:vAlign w:val="bottom"/>
            <w:hideMark/>
          </w:tcPr>
          <w:p w14:paraId="179E513B" w14:textId="77777777" w:rsidR="00E03F4A" w:rsidRPr="00B73E3A" w:rsidRDefault="00E03F4A" w:rsidP="00326A8C">
            <w:pPr>
              <w:spacing w:after="0" w:line="240" w:lineRule="auto"/>
              <w:rPr>
                <w:rFonts w:ascii="Times New Roman" w:eastAsia="Times New Roman" w:hAnsi="Times New Roman" w:cs="Times New Roman"/>
                <w:sz w:val="20"/>
                <w:szCs w:val="20"/>
                <w:lang w:eastAsia="cs-CZ"/>
              </w:rPr>
            </w:pPr>
          </w:p>
        </w:tc>
        <w:tc>
          <w:tcPr>
            <w:tcW w:w="2124" w:type="pct"/>
            <w:gridSpan w:val="4"/>
            <w:tcBorders>
              <w:top w:val="single" w:sz="8" w:space="0" w:color="9BC2E6"/>
              <w:left w:val="single" w:sz="8" w:space="0" w:color="9BC2E6"/>
              <w:bottom w:val="nil"/>
              <w:right w:val="single" w:sz="8" w:space="0" w:color="8497B0"/>
            </w:tcBorders>
            <w:vAlign w:val="center"/>
            <w:hideMark/>
          </w:tcPr>
          <w:p w14:paraId="2F9EFDD4" w14:textId="77777777" w:rsidR="00E03F4A" w:rsidRPr="00B73E3A" w:rsidRDefault="00E03F4A" w:rsidP="00326A8C">
            <w:pPr>
              <w:spacing w:after="0" w:line="240" w:lineRule="auto"/>
              <w:jc w:val="center"/>
              <w:rPr>
                <w:rFonts w:eastAsia="Times New Roman" w:cs="Arial"/>
                <w:b/>
                <w:bCs/>
                <w:color w:val="2F75B5"/>
                <w:sz w:val="20"/>
                <w:szCs w:val="20"/>
                <w:lang w:eastAsia="cs-CZ"/>
              </w:rPr>
            </w:pPr>
            <w:r w:rsidRPr="00B73E3A">
              <w:rPr>
                <w:rFonts w:eastAsia="Times New Roman" w:cs="Arial"/>
                <w:b/>
                <w:bCs/>
                <w:color w:val="2F75B5"/>
                <w:sz w:val="20"/>
                <w:szCs w:val="20"/>
                <w:lang w:eastAsia="cs-CZ"/>
              </w:rPr>
              <w:t xml:space="preserve">Předané údaje do IS </w:t>
            </w:r>
            <w:proofErr w:type="spellStart"/>
            <w:r w:rsidRPr="00B73E3A">
              <w:rPr>
                <w:rFonts w:eastAsia="Times New Roman" w:cs="Arial"/>
                <w:b/>
                <w:bCs/>
                <w:color w:val="2F75B5"/>
                <w:sz w:val="20"/>
                <w:szCs w:val="20"/>
                <w:lang w:eastAsia="cs-CZ"/>
              </w:rPr>
              <w:t>VaVaI</w:t>
            </w:r>
            <w:proofErr w:type="spellEnd"/>
          </w:p>
        </w:tc>
      </w:tr>
      <w:tr w:rsidR="00E03F4A" w:rsidRPr="00B73E3A" w14:paraId="25A82B07" w14:textId="77777777" w:rsidTr="00326A8C">
        <w:trPr>
          <w:trHeight w:val="510"/>
          <w:tblHeader/>
        </w:trPr>
        <w:tc>
          <w:tcPr>
            <w:tcW w:w="278" w:type="pct"/>
            <w:vMerge w:val="restart"/>
            <w:tcBorders>
              <w:top w:val="nil"/>
              <w:left w:val="nil"/>
              <w:bottom w:val="single" w:sz="8" w:space="0" w:color="92CDDB"/>
              <w:right w:val="nil"/>
            </w:tcBorders>
            <w:shd w:val="clear" w:color="000000" w:fill="92CDDC"/>
            <w:vAlign w:val="center"/>
            <w:hideMark/>
          </w:tcPr>
          <w:p w14:paraId="223DE52E" w14:textId="77777777" w:rsidR="00E03F4A" w:rsidRPr="00B73E3A" w:rsidRDefault="00E03F4A" w:rsidP="00326A8C">
            <w:pPr>
              <w:spacing w:after="0" w:line="240" w:lineRule="auto"/>
              <w:jc w:val="center"/>
              <w:rPr>
                <w:rFonts w:eastAsia="Times New Roman" w:cs="Arial"/>
                <w:b/>
                <w:bCs/>
                <w:color w:val="FFFFFF"/>
                <w:sz w:val="20"/>
                <w:szCs w:val="20"/>
                <w:lang w:eastAsia="cs-CZ"/>
              </w:rPr>
            </w:pPr>
            <w:proofErr w:type="spellStart"/>
            <w:r w:rsidRPr="00B73E3A">
              <w:rPr>
                <w:rFonts w:eastAsia="Times New Roman" w:cs="Arial"/>
                <w:b/>
                <w:bCs/>
                <w:color w:val="FFFFFF"/>
                <w:sz w:val="20"/>
                <w:szCs w:val="20"/>
                <w:lang w:eastAsia="cs-CZ"/>
              </w:rPr>
              <w:t>Poskyto-vatel</w:t>
            </w:r>
            <w:proofErr w:type="spellEnd"/>
          </w:p>
        </w:tc>
        <w:tc>
          <w:tcPr>
            <w:tcW w:w="1168" w:type="pct"/>
            <w:gridSpan w:val="2"/>
            <w:vMerge w:val="restart"/>
            <w:tcBorders>
              <w:top w:val="nil"/>
              <w:left w:val="nil"/>
              <w:bottom w:val="single" w:sz="8" w:space="0" w:color="92CDDB"/>
              <w:right w:val="nil"/>
            </w:tcBorders>
            <w:shd w:val="clear" w:color="000000" w:fill="92CDDC"/>
            <w:vAlign w:val="center"/>
            <w:hideMark/>
          </w:tcPr>
          <w:p w14:paraId="3B8DDB2C" w14:textId="77777777" w:rsidR="00E03F4A" w:rsidRPr="00B73E3A" w:rsidRDefault="00E03F4A" w:rsidP="00326A8C">
            <w:pPr>
              <w:spacing w:after="0" w:line="240" w:lineRule="auto"/>
              <w:jc w:val="center"/>
              <w:rPr>
                <w:rFonts w:eastAsia="Times New Roman" w:cs="Arial"/>
                <w:b/>
                <w:bCs/>
                <w:color w:val="FFFFFF"/>
                <w:sz w:val="20"/>
                <w:szCs w:val="20"/>
                <w:lang w:eastAsia="cs-CZ"/>
              </w:rPr>
            </w:pPr>
            <w:r w:rsidRPr="00B73E3A">
              <w:rPr>
                <w:rFonts w:eastAsia="Times New Roman" w:cs="Arial"/>
                <w:b/>
                <w:bCs/>
                <w:color w:val="FFFFFF"/>
                <w:sz w:val="20"/>
                <w:szCs w:val="20"/>
                <w:lang w:eastAsia="cs-CZ"/>
              </w:rPr>
              <w:t>ID a Název programu</w:t>
            </w:r>
          </w:p>
        </w:tc>
        <w:tc>
          <w:tcPr>
            <w:tcW w:w="827" w:type="pct"/>
            <w:gridSpan w:val="2"/>
            <w:tcBorders>
              <w:top w:val="nil"/>
              <w:left w:val="nil"/>
              <w:bottom w:val="nil"/>
              <w:right w:val="nil"/>
            </w:tcBorders>
            <w:shd w:val="clear" w:color="000000" w:fill="92CDDC"/>
            <w:vAlign w:val="center"/>
            <w:hideMark/>
          </w:tcPr>
          <w:p w14:paraId="4C1DF492" w14:textId="77777777" w:rsidR="00E03F4A" w:rsidRPr="00B73E3A" w:rsidRDefault="00E03F4A" w:rsidP="00326A8C">
            <w:pPr>
              <w:spacing w:after="0" w:line="240" w:lineRule="auto"/>
              <w:jc w:val="center"/>
              <w:rPr>
                <w:rFonts w:eastAsia="Times New Roman" w:cs="Arial"/>
                <w:b/>
                <w:bCs/>
                <w:color w:val="FFFFFF"/>
                <w:sz w:val="20"/>
                <w:szCs w:val="20"/>
                <w:lang w:eastAsia="cs-CZ"/>
              </w:rPr>
            </w:pPr>
            <w:r w:rsidRPr="00B73E3A">
              <w:rPr>
                <w:rFonts w:eastAsia="Times New Roman" w:cs="Arial"/>
                <w:b/>
                <w:bCs/>
                <w:color w:val="FFFFFF"/>
                <w:sz w:val="20"/>
                <w:szCs w:val="20"/>
                <w:lang w:eastAsia="cs-CZ"/>
              </w:rPr>
              <w:t>ROK</w:t>
            </w:r>
          </w:p>
        </w:tc>
        <w:tc>
          <w:tcPr>
            <w:tcW w:w="603" w:type="pct"/>
            <w:vMerge w:val="restart"/>
            <w:tcBorders>
              <w:top w:val="nil"/>
              <w:left w:val="nil"/>
              <w:bottom w:val="single" w:sz="8" w:space="0" w:color="9BC2E6"/>
              <w:right w:val="single" w:sz="8" w:space="0" w:color="9BC2E6"/>
            </w:tcBorders>
            <w:shd w:val="clear" w:color="000000" w:fill="92CDDC"/>
            <w:vAlign w:val="center"/>
            <w:hideMark/>
          </w:tcPr>
          <w:p w14:paraId="343C756F" w14:textId="77777777" w:rsidR="00E03F4A" w:rsidRPr="00B73E3A" w:rsidRDefault="00E03F4A" w:rsidP="00326A8C">
            <w:pPr>
              <w:spacing w:after="0" w:line="240" w:lineRule="auto"/>
              <w:jc w:val="center"/>
              <w:rPr>
                <w:rFonts w:eastAsia="Times New Roman" w:cs="Arial"/>
                <w:b/>
                <w:bCs/>
                <w:color w:val="FFFFFF"/>
                <w:sz w:val="20"/>
                <w:szCs w:val="20"/>
                <w:lang w:eastAsia="cs-CZ"/>
              </w:rPr>
            </w:pPr>
            <w:r w:rsidRPr="00B73E3A">
              <w:rPr>
                <w:rFonts w:eastAsia="Times New Roman" w:cs="Arial"/>
                <w:b/>
                <w:bCs/>
                <w:color w:val="FFFFFF"/>
                <w:sz w:val="20"/>
                <w:szCs w:val="20"/>
                <w:lang w:eastAsia="cs-CZ"/>
              </w:rPr>
              <w:t>Podpora ze SR na rok 2024 dle zákona č. 433/2023 Sb.</w:t>
            </w:r>
          </w:p>
        </w:tc>
        <w:tc>
          <w:tcPr>
            <w:tcW w:w="1063" w:type="pct"/>
            <w:gridSpan w:val="2"/>
            <w:tcBorders>
              <w:top w:val="single" w:sz="8" w:space="0" w:color="9BC2E6"/>
              <w:left w:val="nil"/>
              <w:bottom w:val="single" w:sz="8" w:space="0" w:color="9BC2E6"/>
              <w:right w:val="single" w:sz="8" w:space="0" w:color="8497B0"/>
            </w:tcBorders>
            <w:shd w:val="clear" w:color="000000" w:fill="9BC2E6"/>
            <w:vAlign w:val="center"/>
            <w:hideMark/>
          </w:tcPr>
          <w:p w14:paraId="0E71E87D" w14:textId="77777777" w:rsidR="00E03F4A" w:rsidRPr="00B73E3A" w:rsidRDefault="00E03F4A" w:rsidP="00326A8C">
            <w:pPr>
              <w:spacing w:after="0" w:line="240" w:lineRule="auto"/>
              <w:jc w:val="center"/>
              <w:rPr>
                <w:rFonts w:eastAsia="Times New Roman" w:cs="Arial"/>
                <w:b/>
                <w:bCs/>
                <w:color w:val="FFFFFF"/>
                <w:sz w:val="20"/>
                <w:szCs w:val="20"/>
                <w:lang w:eastAsia="cs-CZ"/>
              </w:rPr>
            </w:pPr>
            <w:r w:rsidRPr="00B73E3A">
              <w:rPr>
                <w:rFonts w:eastAsia="Times New Roman" w:cs="Arial"/>
                <w:b/>
                <w:bCs/>
                <w:color w:val="FFFFFF"/>
                <w:sz w:val="20"/>
                <w:szCs w:val="20"/>
                <w:lang w:eastAsia="cs-CZ"/>
              </w:rPr>
              <w:t>Přidělená podpora na rok 2024 v mil. Kč</w:t>
            </w:r>
          </w:p>
        </w:tc>
        <w:tc>
          <w:tcPr>
            <w:tcW w:w="1061" w:type="pct"/>
            <w:gridSpan w:val="2"/>
            <w:tcBorders>
              <w:top w:val="single" w:sz="8" w:space="0" w:color="8497B0"/>
              <w:left w:val="nil"/>
              <w:bottom w:val="single" w:sz="8" w:space="0" w:color="8497B0"/>
              <w:right w:val="single" w:sz="8" w:space="0" w:color="8497B0"/>
            </w:tcBorders>
            <w:shd w:val="clear" w:color="000000" w:fill="8497B0"/>
            <w:vAlign w:val="center"/>
            <w:hideMark/>
          </w:tcPr>
          <w:p w14:paraId="42F0A9A0" w14:textId="77777777" w:rsidR="00E03F4A" w:rsidRPr="00B73E3A" w:rsidRDefault="00E03F4A" w:rsidP="00326A8C">
            <w:pPr>
              <w:spacing w:after="0" w:line="240" w:lineRule="auto"/>
              <w:jc w:val="center"/>
              <w:rPr>
                <w:rFonts w:eastAsia="Times New Roman" w:cs="Arial"/>
                <w:b/>
                <w:bCs/>
                <w:color w:val="FFFFFF"/>
                <w:sz w:val="20"/>
                <w:szCs w:val="20"/>
                <w:lang w:eastAsia="cs-CZ"/>
              </w:rPr>
            </w:pPr>
            <w:r w:rsidRPr="00B73E3A">
              <w:rPr>
                <w:rFonts w:eastAsia="Times New Roman" w:cs="Arial"/>
                <w:b/>
                <w:bCs/>
                <w:color w:val="FFFFFF"/>
                <w:sz w:val="20"/>
                <w:szCs w:val="20"/>
                <w:lang w:eastAsia="cs-CZ"/>
              </w:rPr>
              <w:t>Čerpaná podpora v roce 2024 v mil. Kč</w:t>
            </w:r>
          </w:p>
        </w:tc>
      </w:tr>
      <w:tr w:rsidR="00E03F4A" w:rsidRPr="00B73E3A" w14:paraId="650E7200" w14:textId="77777777" w:rsidTr="00326A8C">
        <w:trPr>
          <w:trHeight w:val="510"/>
          <w:tblHeader/>
        </w:trPr>
        <w:tc>
          <w:tcPr>
            <w:tcW w:w="278" w:type="pct"/>
            <w:vMerge/>
            <w:tcBorders>
              <w:top w:val="nil"/>
              <w:left w:val="nil"/>
              <w:bottom w:val="single" w:sz="8" w:space="0" w:color="92CDDB"/>
              <w:right w:val="nil"/>
            </w:tcBorders>
            <w:vAlign w:val="center"/>
            <w:hideMark/>
          </w:tcPr>
          <w:p w14:paraId="3F878575" w14:textId="77777777" w:rsidR="00E03F4A" w:rsidRPr="00B73E3A" w:rsidRDefault="00E03F4A" w:rsidP="00326A8C">
            <w:pPr>
              <w:spacing w:after="0" w:line="240" w:lineRule="auto"/>
              <w:rPr>
                <w:rFonts w:eastAsia="Times New Roman" w:cs="Arial"/>
                <w:b/>
                <w:bCs/>
                <w:color w:val="FFFFFF"/>
                <w:sz w:val="20"/>
                <w:szCs w:val="20"/>
                <w:lang w:eastAsia="cs-CZ"/>
              </w:rPr>
            </w:pPr>
          </w:p>
        </w:tc>
        <w:tc>
          <w:tcPr>
            <w:tcW w:w="1168" w:type="pct"/>
            <w:gridSpan w:val="2"/>
            <w:vMerge/>
            <w:tcBorders>
              <w:top w:val="nil"/>
              <w:left w:val="nil"/>
              <w:bottom w:val="single" w:sz="8" w:space="0" w:color="92CDDB"/>
              <w:right w:val="nil"/>
            </w:tcBorders>
            <w:vAlign w:val="center"/>
            <w:hideMark/>
          </w:tcPr>
          <w:p w14:paraId="4D17B225" w14:textId="77777777" w:rsidR="00E03F4A" w:rsidRPr="00B73E3A" w:rsidRDefault="00E03F4A" w:rsidP="00326A8C">
            <w:pPr>
              <w:spacing w:after="0" w:line="240" w:lineRule="auto"/>
              <w:rPr>
                <w:rFonts w:eastAsia="Times New Roman" w:cs="Arial"/>
                <w:b/>
                <w:bCs/>
                <w:color w:val="FFFFFF"/>
                <w:sz w:val="20"/>
                <w:szCs w:val="20"/>
                <w:lang w:eastAsia="cs-CZ"/>
              </w:rPr>
            </w:pPr>
          </w:p>
        </w:tc>
        <w:tc>
          <w:tcPr>
            <w:tcW w:w="397" w:type="pct"/>
            <w:tcBorders>
              <w:top w:val="nil"/>
              <w:left w:val="nil"/>
              <w:bottom w:val="nil"/>
              <w:right w:val="nil"/>
            </w:tcBorders>
            <w:shd w:val="clear" w:color="000000" w:fill="92CDDC"/>
            <w:vAlign w:val="center"/>
            <w:hideMark/>
          </w:tcPr>
          <w:p w14:paraId="211A0AB6" w14:textId="77777777" w:rsidR="00E03F4A" w:rsidRPr="00B73E3A" w:rsidRDefault="00E03F4A" w:rsidP="00326A8C">
            <w:pPr>
              <w:spacing w:after="0" w:line="240" w:lineRule="auto"/>
              <w:jc w:val="center"/>
              <w:rPr>
                <w:rFonts w:eastAsia="Times New Roman" w:cs="Arial"/>
                <w:b/>
                <w:bCs/>
                <w:color w:val="FFFFFF"/>
                <w:sz w:val="20"/>
                <w:szCs w:val="20"/>
                <w:lang w:eastAsia="cs-CZ"/>
              </w:rPr>
            </w:pPr>
            <w:r w:rsidRPr="00B73E3A">
              <w:rPr>
                <w:rFonts w:eastAsia="Times New Roman" w:cs="Arial"/>
                <w:b/>
                <w:bCs/>
                <w:color w:val="FFFFFF"/>
                <w:sz w:val="20"/>
                <w:szCs w:val="20"/>
                <w:lang w:eastAsia="cs-CZ"/>
              </w:rPr>
              <w:t>Zahájení</w:t>
            </w:r>
          </w:p>
        </w:tc>
        <w:tc>
          <w:tcPr>
            <w:tcW w:w="430" w:type="pct"/>
            <w:tcBorders>
              <w:top w:val="nil"/>
              <w:left w:val="nil"/>
              <w:bottom w:val="nil"/>
              <w:right w:val="nil"/>
            </w:tcBorders>
            <w:shd w:val="clear" w:color="000000" w:fill="92CDDC"/>
            <w:vAlign w:val="center"/>
            <w:hideMark/>
          </w:tcPr>
          <w:p w14:paraId="7F19B6B7" w14:textId="77777777" w:rsidR="00E03F4A" w:rsidRPr="00B73E3A" w:rsidRDefault="00E03F4A" w:rsidP="00326A8C">
            <w:pPr>
              <w:spacing w:after="0" w:line="240" w:lineRule="auto"/>
              <w:jc w:val="center"/>
              <w:rPr>
                <w:rFonts w:eastAsia="Times New Roman" w:cs="Arial"/>
                <w:b/>
                <w:bCs/>
                <w:color w:val="FFFFFF"/>
                <w:sz w:val="20"/>
                <w:szCs w:val="20"/>
                <w:lang w:eastAsia="cs-CZ"/>
              </w:rPr>
            </w:pPr>
            <w:r w:rsidRPr="00B73E3A">
              <w:rPr>
                <w:rFonts w:eastAsia="Times New Roman" w:cs="Arial"/>
                <w:b/>
                <w:bCs/>
                <w:color w:val="FFFFFF"/>
                <w:sz w:val="20"/>
                <w:szCs w:val="20"/>
                <w:lang w:eastAsia="cs-CZ"/>
              </w:rPr>
              <w:t>Ukončení</w:t>
            </w:r>
          </w:p>
        </w:tc>
        <w:tc>
          <w:tcPr>
            <w:tcW w:w="603" w:type="pct"/>
            <w:vMerge/>
            <w:tcBorders>
              <w:top w:val="nil"/>
              <w:left w:val="nil"/>
              <w:bottom w:val="single" w:sz="8" w:space="0" w:color="9BC2E6"/>
              <w:right w:val="single" w:sz="8" w:space="0" w:color="9BC2E6"/>
            </w:tcBorders>
            <w:vAlign w:val="center"/>
            <w:hideMark/>
          </w:tcPr>
          <w:p w14:paraId="18837914" w14:textId="77777777" w:rsidR="00E03F4A" w:rsidRPr="00B73E3A" w:rsidRDefault="00E03F4A" w:rsidP="00326A8C">
            <w:pPr>
              <w:spacing w:after="0" w:line="240" w:lineRule="auto"/>
              <w:rPr>
                <w:rFonts w:eastAsia="Times New Roman" w:cs="Arial"/>
                <w:b/>
                <w:bCs/>
                <w:color w:val="FFFFFF"/>
                <w:sz w:val="20"/>
                <w:szCs w:val="20"/>
                <w:lang w:eastAsia="cs-CZ"/>
              </w:rPr>
            </w:pPr>
          </w:p>
        </w:tc>
        <w:tc>
          <w:tcPr>
            <w:tcW w:w="531" w:type="pct"/>
            <w:tcBorders>
              <w:top w:val="nil"/>
              <w:left w:val="nil"/>
              <w:bottom w:val="single" w:sz="8" w:space="0" w:color="9BC2E6"/>
              <w:right w:val="single" w:sz="8" w:space="0" w:color="9BC2E6"/>
            </w:tcBorders>
            <w:shd w:val="clear" w:color="000000" w:fill="9BC2E6"/>
            <w:vAlign w:val="center"/>
            <w:hideMark/>
          </w:tcPr>
          <w:p w14:paraId="06C8ABA4" w14:textId="77777777" w:rsidR="00E03F4A" w:rsidRPr="00B73E3A" w:rsidRDefault="00E03F4A" w:rsidP="00326A8C">
            <w:pPr>
              <w:spacing w:after="0" w:line="240" w:lineRule="auto"/>
              <w:jc w:val="center"/>
              <w:rPr>
                <w:rFonts w:eastAsia="Times New Roman" w:cs="Arial"/>
                <w:b/>
                <w:bCs/>
                <w:color w:val="FFFFFF"/>
                <w:sz w:val="20"/>
                <w:szCs w:val="20"/>
                <w:lang w:eastAsia="cs-CZ"/>
              </w:rPr>
            </w:pPr>
            <w:r w:rsidRPr="00B73E3A">
              <w:rPr>
                <w:rFonts w:eastAsia="Times New Roman" w:cs="Arial"/>
                <w:b/>
                <w:bCs/>
                <w:color w:val="FFFFFF"/>
                <w:sz w:val="20"/>
                <w:szCs w:val="20"/>
                <w:lang w:eastAsia="cs-CZ"/>
              </w:rPr>
              <w:t>Podpora ze SR</w:t>
            </w:r>
          </w:p>
        </w:tc>
        <w:tc>
          <w:tcPr>
            <w:tcW w:w="532" w:type="pct"/>
            <w:tcBorders>
              <w:top w:val="nil"/>
              <w:left w:val="nil"/>
              <w:bottom w:val="single" w:sz="8" w:space="0" w:color="9BC2E6"/>
              <w:right w:val="single" w:sz="8" w:space="0" w:color="8497B0"/>
            </w:tcBorders>
            <w:shd w:val="clear" w:color="000000" w:fill="9BC2E6"/>
            <w:vAlign w:val="center"/>
            <w:hideMark/>
          </w:tcPr>
          <w:p w14:paraId="5B6D6EF8" w14:textId="77777777" w:rsidR="00E03F4A" w:rsidRPr="00B73E3A" w:rsidRDefault="00E03F4A" w:rsidP="00326A8C">
            <w:pPr>
              <w:spacing w:after="0" w:line="240" w:lineRule="auto"/>
              <w:jc w:val="center"/>
              <w:rPr>
                <w:rFonts w:eastAsia="Times New Roman" w:cs="Arial"/>
                <w:b/>
                <w:bCs/>
                <w:color w:val="FFFFFF"/>
                <w:sz w:val="20"/>
                <w:szCs w:val="20"/>
                <w:lang w:eastAsia="cs-CZ"/>
              </w:rPr>
            </w:pPr>
            <w:r w:rsidRPr="00B73E3A">
              <w:rPr>
                <w:rFonts w:eastAsia="Times New Roman" w:cs="Arial"/>
                <w:b/>
                <w:bCs/>
                <w:color w:val="FFFFFF"/>
                <w:sz w:val="20"/>
                <w:szCs w:val="20"/>
                <w:lang w:eastAsia="cs-CZ"/>
              </w:rPr>
              <w:t>Celkové náklady</w:t>
            </w:r>
          </w:p>
        </w:tc>
        <w:tc>
          <w:tcPr>
            <w:tcW w:w="531" w:type="pct"/>
            <w:tcBorders>
              <w:top w:val="nil"/>
              <w:left w:val="nil"/>
              <w:bottom w:val="single" w:sz="8" w:space="0" w:color="8497B0"/>
              <w:right w:val="single" w:sz="8" w:space="0" w:color="8497B0"/>
            </w:tcBorders>
            <w:shd w:val="clear" w:color="000000" w:fill="8497B0"/>
            <w:vAlign w:val="center"/>
            <w:hideMark/>
          </w:tcPr>
          <w:p w14:paraId="1047095F" w14:textId="77777777" w:rsidR="00E03F4A" w:rsidRPr="00B73E3A" w:rsidRDefault="00E03F4A" w:rsidP="00326A8C">
            <w:pPr>
              <w:spacing w:after="0" w:line="240" w:lineRule="auto"/>
              <w:jc w:val="center"/>
              <w:rPr>
                <w:rFonts w:eastAsia="Times New Roman" w:cs="Arial"/>
                <w:b/>
                <w:bCs/>
                <w:color w:val="FFFFFF"/>
                <w:sz w:val="20"/>
                <w:szCs w:val="20"/>
                <w:lang w:eastAsia="cs-CZ"/>
              </w:rPr>
            </w:pPr>
            <w:r w:rsidRPr="00B73E3A">
              <w:rPr>
                <w:rFonts w:eastAsia="Times New Roman" w:cs="Arial"/>
                <w:b/>
                <w:bCs/>
                <w:color w:val="FFFFFF"/>
                <w:sz w:val="20"/>
                <w:szCs w:val="20"/>
                <w:lang w:eastAsia="cs-CZ"/>
              </w:rPr>
              <w:t>Podpora ze SR</w:t>
            </w:r>
          </w:p>
        </w:tc>
        <w:tc>
          <w:tcPr>
            <w:tcW w:w="530" w:type="pct"/>
            <w:tcBorders>
              <w:top w:val="nil"/>
              <w:left w:val="nil"/>
              <w:bottom w:val="single" w:sz="8" w:space="0" w:color="8497B0"/>
              <w:right w:val="single" w:sz="8" w:space="0" w:color="8497B0"/>
            </w:tcBorders>
            <w:shd w:val="clear" w:color="000000" w:fill="8497B0"/>
            <w:vAlign w:val="center"/>
            <w:hideMark/>
          </w:tcPr>
          <w:p w14:paraId="103F3CDC" w14:textId="77777777" w:rsidR="00E03F4A" w:rsidRPr="00B73E3A" w:rsidRDefault="00E03F4A" w:rsidP="00326A8C">
            <w:pPr>
              <w:spacing w:after="0" w:line="240" w:lineRule="auto"/>
              <w:jc w:val="center"/>
              <w:rPr>
                <w:rFonts w:eastAsia="Times New Roman" w:cs="Arial"/>
                <w:b/>
                <w:bCs/>
                <w:color w:val="FFFFFF"/>
                <w:sz w:val="20"/>
                <w:szCs w:val="20"/>
                <w:lang w:eastAsia="cs-CZ"/>
              </w:rPr>
            </w:pPr>
            <w:r w:rsidRPr="00B73E3A">
              <w:rPr>
                <w:rFonts w:eastAsia="Times New Roman" w:cs="Arial"/>
                <w:b/>
                <w:bCs/>
                <w:color w:val="FFFFFF"/>
                <w:sz w:val="20"/>
                <w:szCs w:val="20"/>
                <w:lang w:eastAsia="cs-CZ"/>
              </w:rPr>
              <w:t>Celkové náklady</w:t>
            </w:r>
          </w:p>
        </w:tc>
      </w:tr>
      <w:tr w:rsidR="00E03F4A" w:rsidRPr="00B73E3A" w14:paraId="3A98B261" w14:textId="77777777" w:rsidTr="00326A8C">
        <w:trPr>
          <w:trHeight w:val="510"/>
        </w:trPr>
        <w:tc>
          <w:tcPr>
            <w:tcW w:w="278" w:type="pct"/>
            <w:vMerge w:val="restart"/>
            <w:tcBorders>
              <w:top w:val="nil"/>
              <w:left w:val="single" w:sz="8" w:space="0" w:color="92CDDB"/>
              <w:bottom w:val="single" w:sz="8" w:space="0" w:color="92CDDB"/>
              <w:right w:val="single" w:sz="8" w:space="0" w:color="92CDDB"/>
            </w:tcBorders>
            <w:noWrap/>
            <w:vAlign w:val="center"/>
            <w:hideMark/>
          </w:tcPr>
          <w:p w14:paraId="76385F09"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GA ČR</w:t>
            </w:r>
          </w:p>
        </w:tc>
        <w:tc>
          <w:tcPr>
            <w:tcW w:w="163" w:type="pct"/>
            <w:tcBorders>
              <w:top w:val="nil"/>
              <w:left w:val="nil"/>
              <w:bottom w:val="single" w:sz="8" w:space="0" w:color="92CDDB"/>
              <w:right w:val="single" w:sz="8" w:space="0" w:color="92CDDB"/>
            </w:tcBorders>
            <w:vAlign w:val="center"/>
            <w:hideMark/>
          </w:tcPr>
          <w:p w14:paraId="6BA2D1D4"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GA</w:t>
            </w:r>
          </w:p>
        </w:tc>
        <w:tc>
          <w:tcPr>
            <w:tcW w:w="1005" w:type="pct"/>
            <w:tcBorders>
              <w:top w:val="nil"/>
              <w:left w:val="nil"/>
              <w:bottom w:val="single" w:sz="8" w:space="0" w:color="92CDDB"/>
              <w:right w:val="single" w:sz="8" w:space="0" w:color="92CDDB"/>
            </w:tcBorders>
            <w:vAlign w:val="center"/>
            <w:hideMark/>
          </w:tcPr>
          <w:p w14:paraId="6058B211"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Standard projekty</w:t>
            </w:r>
          </w:p>
        </w:tc>
        <w:tc>
          <w:tcPr>
            <w:tcW w:w="397" w:type="pct"/>
            <w:tcBorders>
              <w:top w:val="single" w:sz="8" w:space="0" w:color="92CDDB"/>
              <w:left w:val="nil"/>
              <w:bottom w:val="single" w:sz="8" w:space="0" w:color="92CDDB"/>
              <w:right w:val="single" w:sz="8" w:space="0" w:color="92CDDB"/>
            </w:tcBorders>
            <w:noWrap/>
            <w:vAlign w:val="center"/>
            <w:hideMark/>
          </w:tcPr>
          <w:p w14:paraId="45B42059"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1993</w:t>
            </w:r>
          </w:p>
        </w:tc>
        <w:tc>
          <w:tcPr>
            <w:tcW w:w="430" w:type="pct"/>
            <w:tcBorders>
              <w:top w:val="single" w:sz="8" w:space="0" w:color="92CDDB"/>
              <w:left w:val="nil"/>
              <w:bottom w:val="single" w:sz="8" w:space="0" w:color="92CDDB"/>
              <w:right w:val="single" w:sz="8" w:space="0" w:color="92CDDB"/>
            </w:tcBorders>
            <w:noWrap/>
            <w:vAlign w:val="center"/>
            <w:hideMark/>
          </w:tcPr>
          <w:p w14:paraId="2A49DEEF"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w:t>
            </w:r>
          </w:p>
        </w:tc>
        <w:tc>
          <w:tcPr>
            <w:tcW w:w="603" w:type="pct"/>
            <w:tcBorders>
              <w:top w:val="nil"/>
              <w:left w:val="nil"/>
              <w:bottom w:val="single" w:sz="8" w:space="0" w:color="9BC2E6"/>
              <w:right w:val="single" w:sz="8" w:space="0" w:color="9BC2E6"/>
            </w:tcBorders>
            <w:noWrap/>
            <w:vAlign w:val="center"/>
            <w:hideMark/>
          </w:tcPr>
          <w:p w14:paraId="6EFA402D"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3 147.59</w:t>
            </w:r>
          </w:p>
        </w:tc>
        <w:tc>
          <w:tcPr>
            <w:tcW w:w="531" w:type="pct"/>
            <w:tcBorders>
              <w:top w:val="nil"/>
              <w:left w:val="nil"/>
              <w:bottom w:val="single" w:sz="8" w:space="0" w:color="9BC2E6"/>
              <w:right w:val="single" w:sz="8" w:space="0" w:color="9BC2E6"/>
            </w:tcBorders>
            <w:noWrap/>
            <w:vAlign w:val="center"/>
            <w:hideMark/>
          </w:tcPr>
          <w:p w14:paraId="117CF7E2"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3 252.66</w:t>
            </w:r>
          </w:p>
        </w:tc>
        <w:tc>
          <w:tcPr>
            <w:tcW w:w="532" w:type="pct"/>
            <w:tcBorders>
              <w:top w:val="nil"/>
              <w:left w:val="nil"/>
              <w:bottom w:val="single" w:sz="8" w:space="0" w:color="9BC2E6"/>
              <w:right w:val="single" w:sz="8" w:space="0" w:color="9BC2E6"/>
            </w:tcBorders>
            <w:noWrap/>
            <w:vAlign w:val="center"/>
            <w:hideMark/>
          </w:tcPr>
          <w:p w14:paraId="023E648F"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3 314.20</w:t>
            </w:r>
          </w:p>
        </w:tc>
        <w:tc>
          <w:tcPr>
            <w:tcW w:w="531" w:type="pct"/>
            <w:tcBorders>
              <w:top w:val="nil"/>
              <w:left w:val="nil"/>
              <w:bottom w:val="single" w:sz="8" w:space="0" w:color="8497B0"/>
              <w:right w:val="single" w:sz="8" w:space="0" w:color="8497B0"/>
            </w:tcBorders>
            <w:noWrap/>
            <w:vAlign w:val="center"/>
            <w:hideMark/>
          </w:tcPr>
          <w:p w14:paraId="2EA4720E"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3 280.70</w:t>
            </w:r>
          </w:p>
        </w:tc>
        <w:tc>
          <w:tcPr>
            <w:tcW w:w="530" w:type="pct"/>
            <w:tcBorders>
              <w:top w:val="nil"/>
              <w:left w:val="nil"/>
              <w:bottom w:val="single" w:sz="8" w:space="0" w:color="8497B0"/>
              <w:right w:val="single" w:sz="8" w:space="0" w:color="8497B0"/>
            </w:tcBorders>
            <w:noWrap/>
            <w:vAlign w:val="center"/>
            <w:hideMark/>
          </w:tcPr>
          <w:p w14:paraId="75B84E17"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3 346.64</w:t>
            </w:r>
          </w:p>
        </w:tc>
      </w:tr>
      <w:tr w:rsidR="00E03F4A" w:rsidRPr="00B73E3A" w14:paraId="765AD01C" w14:textId="77777777" w:rsidTr="00326A8C">
        <w:trPr>
          <w:trHeight w:val="510"/>
        </w:trPr>
        <w:tc>
          <w:tcPr>
            <w:tcW w:w="278" w:type="pct"/>
            <w:vMerge/>
            <w:tcBorders>
              <w:top w:val="nil"/>
              <w:left w:val="single" w:sz="8" w:space="0" w:color="92CDDB"/>
              <w:bottom w:val="single" w:sz="8" w:space="0" w:color="92CDDB"/>
              <w:right w:val="single" w:sz="8" w:space="0" w:color="92CDDB"/>
            </w:tcBorders>
            <w:vAlign w:val="center"/>
            <w:hideMark/>
          </w:tcPr>
          <w:p w14:paraId="0F000DFB" w14:textId="77777777" w:rsidR="00E03F4A" w:rsidRPr="00B73E3A" w:rsidRDefault="00E03F4A" w:rsidP="00326A8C">
            <w:pPr>
              <w:spacing w:after="0" w:line="240" w:lineRule="auto"/>
              <w:rPr>
                <w:rFonts w:eastAsia="Times New Roman" w:cs="Arial"/>
                <w:color w:val="000000"/>
                <w:sz w:val="20"/>
                <w:szCs w:val="20"/>
                <w:lang w:eastAsia="cs-CZ"/>
              </w:rPr>
            </w:pPr>
          </w:p>
        </w:tc>
        <w:tc>
          <w:tcPr>
            <w:tcW w:w="163" w:type="pct"/>
            <w:tcBorders>
              <w:top w:val="nil"/>
              <w:left w:val="nil"/>
              <w:bottom w:val="single" w:sz="8" w:space="0" w:color="92CDDB"/>
              <w:right w:val="single" w:sz="8" w:space="0" w:color="92CDDB"/>
            </w:tcBorders>
            <w:vAlign w:val="center"/>
            <w:hideMark/>
          </w:tcPr>
          <w:p w14:paraId="10250864"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GC</w:t>
            </w:r>
          </w:p>
        </w:tc>
        <w:tc>
          <w:tcPr>
            <w:tcW w:w="1005" w:type="pct"/>
            <w:tcBorders>
              <w:top w:val="nil"/>
              <w:left w:val="nil"/>
              <w:bottom w:val="single" w:sz="8" w:space="0" w:color="92CDDB"/>
              <w:right w:val="single" w:sz="8" w:space="0" w:color="92CDDB"/>
            </w:tcBorders>
            <w:vAlign w:val="center"/>
            <w:hideMark/>
          </w:tcPr>
          <w:p w14:paraId="77BF8C43"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Mezinárodní projekty</w:t>
            </w:r>
          </w:p>
        </w:tc>
        <w:tc>
          <w:tcPr>
            <w:tcW w:w="397" w:type="pct"/>
            <w:tcBorders>
              <w:top w:val="nil"/>
              <w:left w:val="nil"/>
              <w:bottom w:val="single" w:sz="8" w:space="0" w:color="92CDDB"/>
              <w:right w:val="single" w:sz="8" w:space="0" w:color="92CDDB"/>
            </w:tcBorders>
            <w:noWrap/>
            <w:vAlign w:val="center"/>
            <w:hideMark/>
          </w:tcPr>
          <w:p w14:paraId="0A74DF6D"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2007</w:t>
            </w:r>
          </w:p>
        </w:tc>
        <w:tc>
          <w:tcPr>
            <w:tcW w:w="430" w:type="pct"/>
            <w:tcBorders>
              <w:top w:val="nil"/>
              <w:left w:val="nil"/>
              <w:bottom w:val="single" w:sz="8" w:space="0" w:color="92CDDB"/>
              <w:right w:val="single" w:sz="8" w:space="0" w:color="92CDDB"/>
            </w:tcBorders>
            <w:noWrap/>
            <w:vAlign w:val="center"/>
            <w:hideMark/>
          </w:tcPr>
          <w:p w14:paraId="40AC2074"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w:t>
            </w:r>
          </w:p>
        </w:tc>
        <w:tc>
          <w:tcPr>
            <w:tcW w:w="603" w:type="pct"/>
            <w:tcBorders>
              <w:top w:val="nil"/>
              <w:left w:val="nil"/>
              <w:bottom w:val="single" w:sz="8" w:space="0" w:color="9BC2E6"/>
              <w:right w:val="single" w:sz="8" w:space="0" w:color="9BC2E6"/>
            </w:tcBorders>
            <w:noWrap/>
            <w:vAlign w:val="center"/>
            <w:hideMark/>
          </w:tcPr>
          <w:p w14:paraId="2665E366"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63.57</w:t>
            </w:r>
          </w:p>
        </w:tc>
        <w:tc>
          <w:tcPr>
            <w:tcW w:w="531" w:type="pct"/>
            <w:tcBorders>
              <w:top w:val="nil"/>
              <w:left w:val="nil"/>
              <w:bottom w:val="single" w:sz="8" w:space="0" w:color="9BC2E6"/>
              <w:right w:val="single" w:sz="8" w:space="0" w:color="9BC2E6"/>
            </w:tcBorders>
            <w:noWrap/>
            <w:vAlign w:val="center"/>
            <w:hideMark/>
          </w:tcPr>
          <w:p w14:paraId="2DD1910E"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45.86</w:t>
            </w:r>
          </w:p>
        </w:tc>
        <w:tc>
          <w:tcPr>
            <w:tcW w:w="532" w:type="pct"/>
            <w:tcBorders>
              <w:top w:val="nil"/>
              <w:left w:val="nil"/>
              <w:bottom w:val="single" w:sz="8" w:space="0" w:color="9BC2E6"/>
              <w:right w:val="single" w:sz="8" w:space="0" w:color="9BC2E6"/>
            </w:tcBorders>
            <w:noWrap/>
            <w:vAlign w:val="center"/>
            <w:hideMark/>
          </w:tcPr>
          <w:p w14:paraId="5BB6871F"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46.68</w:t>
            </w:r>
          </w:p>
        </w:tc>
        <w:tc>
          <w:tcPr>
            <w:tcW w:w="531" w:type="pct"/>
            <w:tcBorders>
              <w:top w:val="nil"/>
              <w:left w:val="nil"/>
              <w:bottom w:val="single" w:sz="8" w:space="0" w:color="8497B0"/>
              <w:right w:val="single" w:sz="8" w:space="0" w:color="8497B0"/>
            </w:tcBorders>
            <w:noWrap/>
            <w:vAlign w:val="center"/>
            <w:hideMark/>
          </w:tcPr>
          <w:p w14:paraId="046AA395"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48.60</w:t>
            </w:r>
          </w:p>
        </w:tc>
        <w:tc>
          <w:tcPr>
            <w:tcW w:w="530" w:type="pct"/>
            <w:tcBorders>
              <w:top w:val="nil"/>
              <w:left w:val="nil"/>
              <w:bottom w:val="single" w:sz="8" w:space="0" w:color="8497B0"/>
              <w:right w:val="single" w:sz="8" w:space="0" w:color="8497B0"/>
            </w:tcBorders>
            <w:noWrap/>
            <w:vAlign w:val="center"/>
            <w:hideMark/>
          </w:tcPr>
          <w:p w14:paraId="0A122D26"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49.45</w:t>
            </w:r>
          </w:p>
        </w:tc>
      </w:tr>
      <w:tr w:rsidR="00E03F4A" w:rsidRPr="00B73E3A" w14:paraId="0583FC83" w14:textId="77777777" w:rsidTr="00326A8C">
        <w:trPr>
          <w:trHeight w:val="510"/>
        </w:trPr>
        <w:tc>
          <w:tcPr>
            <w:tcW w:w="278" w:type="pct"/>
            <w:vMerge/>
            <w:tcBorders>
              <w:top w:val="nil"/>
              <w:left w:val="single" w:sz="8" w:space="0" w:color="92CDDB"/>
              <w:bottom w:val="single" w:sz="8" w:space="0" w:color="92CDDB"/>
              <w:right w:val="single" w:sz="8" w:space="0" w:color="92CDDB"/>
            </w:tcBorders>
            <w:vAlign w:val="center"/>
            <w:hideMark/>
          </w:tcPr>
          <w:p w14:paraId="14EEC30D" w14:textId="77777777" w:rsidR="00E03F4A" w:rsidRPr="00B73E3A" w:rsidRDefault="00E03F4A" w:rsidP="00326A8C">
            <w:pPr>
              <w:spacing w:after="0" w:line="240" w:lineRule="auto"/>
              <w:rPr>
                <w:rFonts w:eastAsia="Times New Roman" w:cs="Arial"/>
                <w:color w:val="000000"/>
                <w:sz w:val="20"/>
                <w:szCs w:val="20"/>
                <w:lang w:eastAsia="cs-CZ"/>
              </w:rPr>
            </w:pPr>
          </w:p>
        </w:tc>
        <w:tc>
          <w:tcPr>
            <w:tcW w:w="163" w:type="pct"/>
            <w:tcBorders>
              <w:top w:val="nil"/>
              <w:left w:val="nil"/>
              <w:bottom w:val="single" w:sz="8" w:space="0" w:color="92CDDB"/>
              <w:right w:val="single" w:sz="8" w:space="0" w:color="92CDDB"/>
            </w:tcBorders>
            <w:vAlign w:val="center"/>
            <w:hideMark/>
          </w:tcPr>
          <w:p w14:paraId="26BD8D63"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GF</w:t>
            </w:r>
          </w:p>
        </w:tc>
        <w:tc>
          <w:tcPr>
            <w:tcW w:w="1005" w:type="pct"/>
            <w:tcBorders>
              <w:top w:val="nil"/>
              <w:left w:val="nil"/>
              <w:bottom w:val="single" w:sz="8" w:space="0" w:color="92CDDB"/>
              <w:right w:val="single" w:sz="8" w:space="0" w:color="92CDDB"/>
            </w:tcBorders>
            <w:vAlign w:val="center"/>
            <w:hideMark/>
          </w:tcPr>
          <w:p w14:paraId="50E5C344"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 xml:space="preserve">Mezinárodní grantové projekty hodnocené na principu LEAD </w:t>
            </w:r>
            <w:proofErr w:type="spellStart"/>
            <w:r w:rsidRPr="00B73E3A">
              <w:rPr>
                <w:rFonts w:eastAsia="Times New Roman" w:cs="Arial"/>
                <w:color w:val="000000"/>
                <w:sz w:val="20"/>
                <w:szCs w:val="20"/>
                <w:lang w:eastAsia="cs-CZ"/>
              </w:rPr>
              <w:t>Agency</w:t>
            </w:r>
            <w:proofErr w:type="spellEnd"/>
          </w:p>
        </w:tc>
        <w:tc>
          <w:tcPr>
            <w:tcW w:w="397" w:type="pct"/>
            <w:tcBorders>
              <w:top w:val="nil"/>
              <w:left w:val="nil"/>
              <w:bottom w:val="single" w:sz="8" w:space="0" w:color="92CDDB"/>
              <w:right w:val="single" w:sz="8" w:space="0" w:color="92CDDB"/>
            </w:tcBorders>
            <w:noWrap/>
            <w:vAlign w:val="center"/>
            <w:hideMark/>
          </w:tcPr>
          <w:p w14:paraId="1980D94D"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2015</w:t>
            </w:r>
          </w:p>
        </w:tc>
        <w:tc>
          <w:tcPr>
            <w:tcW w:w="430" w:type="pct"/>
            <w:tcBorders>
              <w:top w:val="nil"/>
              <w:left w:val="nil"/>
              <w:bottom w:val="single" w:sz="8" w:space="0" w:color="92CDDB"/>
              <w:right w:val="single" w:sz="8" w:space="0" w:color="92CDDB"/>
            </w:tcBorders>
            <w:noWrap/>
            <w:vAlign w:val="center"/>
            <w:hideMark/>
          </w:tcPr>
          <w:p w14:paraId="7F1D3164"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w:t>
            </w:r>
          </w:p>
        </w:tc>
        <w:tc>
          <w:tcPr>
            <w:tcW w:w="603" w:type="pct"/>
            <w:tcBorders>
              <w:top w:val="nil"/>
              <w:left w:val="nil"/>
              <w:bottom w:val="single" w:sz="8" w:space="0" w:color="9BC2E6"/>
              <w:right w:val="single" w:sz="8" w:space="0" w:color="9BC2E6"/>
            </w:tcBorders>
            <w:noWrap/>
            <w:vAlign w:val="center"/>
            <w:hideMark/>
          </w:tcPr>
          <w:p w14:paraId="1DFCC20A"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378.64</w:t>
            </w:r>
          </w:p>
        </w:tc>
        <w:tc>
          <w:tcPr>
            <w:tcW w:w="531" w:type="pct"/>
            <w:tcBorders>
              <w:top w:val="nil"/>
              <w:left w:val="nil"/>
              <w:bottom w:val="single" w:sz="8" w:space="0" w:color="9BC2E6"/>
              <w:right w:val="single" w:sz="8" w:space="0" w:color="9BC2E6"/>
            </w:tcBorders>
            <w:noWrap/>
            <w:vAlign w:val="center"/>
            <w:hideMark/>
          </w:tcPr>
          <w:p w14:paraId="04ACC517"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420.77</w:t>
            </w:r>
          </w:p>
        </w:tc>
        <w:tc>
          <w:tcPr>
            <w:tcW w:w="532" w:type="pct"/>
            <w:tcBorders>
              <w:top w:val="nil"/>
              <w:left w:val="nil"/>
              <w:bottom w:val="single" w:sz="8" w:space="0" w:color="9BC2E6"/>
              <w:right w:val="single" w:sz="8" w:space="0" w:color="9BC2E6"/>
            </w:tcBorders>
            <w:noWrap/>
            <w:vAlign w:val="center"/>
            <w:hideMark/>
          </w:tcPr>
          <w:p w14:paraId="7311B375"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428.43</w:t>
            </w:r>
          </w:p>
        </w:tc>
        <w:tc>
          <w:tcPr>
            <w:tcW w:w="531" w:type="pct"/>
            <w:tcBorders>
              <w:top w:val="nil"/>
              <w:left w:val="nil"/>
              <w:bottom w:val="single" w:sz="8" w:space="0" w:color="8497B0"/>
              <w:right w:val="single" w:sz="8" w:space="0" w:color="8497B0"/>
            </w:tcBorders>
            <w:noWrap/>
            <w:vAlign w:val="center"/>
            <w:hideMark/>
          </w:tcPr>
          <w:p w14:paraId="091E80E0"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417.39</w:t>
            </w:r>
          </w:p>
        </w:tc>
        <w:tc>
          <w:tcPr>
            <w:tcW w:w="530" w:type="pct"/>
            <w:tcBorders>
              <w:top w:val="nil"/>
              <w:left w:val="nil"/>
              <w:bottom w:val="single" w:sz="8" w:space="0" w:color="8497B0"/>
              <w:right w:val="single" w:sz="8" w:space="0" w:color="8497B0"/>
            </w:tcBorders>
            <w:noWrap/>
            <w:vAlign w:val="center"/>
            <w:hideMark/>
          </w:tcPr>
          <w:p w14:paraId="7242BE1B"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425.04</w:t>
            </w:r>
          </w:p>
        </w:tc>
      </w:tr>
      <w:tr w:rsidR="00E03F4A" w:rsidRPr="00B73E3A" w14:paraId="73778CBA" w14:textId="77777777" w:rsidTr="00326A8C">
        <w:trPr>
          <w:trHeight w:val="510"/>
        </w:trPr>
        <w:tc>
          <w:tcPr>
            <w:tcW w:w="278" w:type="pct"/>
            <w:vMerge/>
            <w:tcBorders>
              <w:top w:val="nil"/>
              <w:left w:val="single" w:sz="8" w:space="0" w:color="92CDDB"/>
              <w:bottom w:val="single" w:sz="8" w:space="0" w:color="92CDDB"/>
              <w:right w:val="single" w:sz="8" w:space="0" w:color="92CDDB"/>
            </w:tcBorders>
            <w:vAlign w:val="center"/>
            <w:hideMark/>
          </w:tcPr>
          <w:p w14:paraId="337AD3E1" w14:textId="77777777" w:rsidR="00E03F4A" w:rsidRPr="00B73E3A" w:rsidRDefault="00E03F4A" w:rsidP="00326A8C">
            <w:pPr>
              <w:spacing w:after="0" w:line="240" w:lineRule="auto"/>
              <w:rPr>
                <w:rFonts w:eastAsia="Times New Roman" w:cs="Arial"/>
                <w:color w:val="000000"/>
                <w:sz w:val="20"/>
                <w:szCs w:val="20"/>
                <w:lang w:eastAsia="cs-CZ"/>
              </w:rPr>
            </w:pPr>
          </w:p>
        </w:tc>
        <w:tc>
          <w:tcPr>
            <w:tcW w:w="163" w:type="pct"/>
            <w:tcBorders>
              <w:top w:val="nil"/>
              <w:left w:val="nil"/>
              <w:bottom w:val="single" w:sz="8" w:space="0" w:color="92CDDB"/>
              <w:right w:val="single" w:sz="8" w:space="0" w:color="92CDDB"/>
            </w:tcBorders>
            <w:shd w:val="clear" w:color="000000" w:fill="F2F2F2"/>
            <w:vAlign w:val="center"/>
            <w:hideMark/>
          </w:tcPr>
          <w:p w14:paraId="0A1F319D"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GJ</w:t>
            </w:r>
          </w:p>
        </w:tc>
        <w:tc>
          <w:tcPr>
            <w:tcW w:w="1005" w:type="pct"/>
            <w:tcBorders>
              <w:top w:val="nil"/>
              <w:left w:val="nil"/>
              <w:bottom w:val="single" w:sz="8" w:space="0" w:color="92CDDB"/>
              <w:right w:val="single" w:sz="8" w:space="0" w:color="92CDDB"/>
            </w:tcBorders>
            <w:shd w:val="clear" w:color="000000" w:fill="F2F2F2"/>
            <w:vAlign w:val="center"/>
            <w:hideMark/>
          </w:tcPr>
          <w:p w14:paraId="69BF0376"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Juniorské granty</w:t>
            </w:r>
          </w:p>
        </w:tc>
        <w:tc>
          <w:tcPr>
            <w:tcW w:w="397" w:type="pct"/>
            <w:tcBorders>
              <w:top w:val="nil"/>
              <w:left w:val="nil"/>
              <w:bottom w:val="single" w:sz="8" w:space="0" w:color="92CDDB"/>
              <w:right w:val="single" w:sz="8" w:space="0" w:color="92CDDB"/>
            </w:tcBorders>
            <w:shd w:val="clear" w:color="000000" w:fill="F2F2F2"/>
            <w:noWrap/>
            <w:vAlign w:val="center"/>
            <w:hideMark/>
          </w:tcPr>
          <w:p w14:paraId="5FF4C53E"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2015</w:t>
            </w:r>
          </w:p>
        </w:tc>
        <w:tc>
          <w:tcPr>
            <w:tcW w:w="430" w:type="pct"/>
            <w:tcBorders>
              <w:top w:val="nil"/>
              <w:left w:val="nil"/>
              <w:bottom w:val="single" w:sz="8" w:space="0" w:color="92CDDB"/>
              <w:right w:val="single" w:sz="8" w:space="0" w:color="92CDDB"/>
            </w:tcBorders>
            <w:shd w:val="clear" w:color="000000" w:fill="F2F2F2"/>
            <w:noWrap/>
            <w:vAlign w:val="center"/>
            <w:hideMark/>
          </w:tcPr>
          <w:p w14:paraId="4C3FD3A2"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2025</w:t>
            </w:r>
          </w:p>
        </w:tc>
        <w:tc>
          <w:tcPr>
            <w:tcW w:w="603" w:type="pct"/>
            <w:tcBorders>
              <w:top w:val="nil"/>
              <w:left w:val="nil"/>
              <w:bottom w:val="single" w:sz="8" w:space="0" w:color="9BC2E6"/>
              <w:right w:val="single" w:sz="8" w:space="0" w:color="9BC2E6"/>
            </w:tcBorders>
            <w:shd w:val="clear" w:color="000000" w:fill="F2F2F2"/>
            <w:noWrap/>
            <w:vAlign w:val="center"/>
            <w:hideMark/>
          </w:tcPr>
          <w:p w14:paraId="47A6CE36"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0.00</w:t>
            </w:r>
          </w:p>
        </w:tc>
        <w:tc>
          <w:tcPr>
            <w:tcW w:w="531" w:type="pct"/>
            <w:tcBorders>
              <w:top w:val="nil"/>
              <w:left w:val="nil"/>
              <w:bottom w:val="single" w:sz="8" w:space="0" w:color="9BC2E6"/>
              <w:right w:val="single" w:sz="8" w:space="0" w:color="9BC2E6"/>
            </w:tcBorders>
            <w:shd w:val="clear" w:color="000000" w:fill="F2F2F2"/>
            <w:noWrap/>
            <w:vAlign w:val="center"/>
            <w:hideMark/>
          </w:tcPr>
          <w:p w14:paraId="6541B7B8"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0.00</w:t>
            </w:r>
          </w:p>
        </w:tc>
        <w:tc>
          <w:tcPr>
            <w:tcW w:w="532" w:type="pct"/>
            <w:tcBorders>
              <w:top w:val="nil"/>
              <w:left w:val="nil"/>
              <w:bottom w:val="single" w:sz="8" w:space="0" w:color="9BC2E6"/>
              <w:right w:val="single" w:sz="8" w:space="0" w:color="9BC2E6"/>
            </w:tcBorders>
            <w:shd w:val="clear" w:color="000000" w:fill="F2F2F2"/>
            <w:noWrap/>
            <w:vAlign w:val="center"/>
            <w:hideMark/>
          </w:tcPr>
          <w:p w14:paraId="25320056"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0.00</w:t>
            </w:r>
          </w:p>
        </w:tc>
        <w:tc>
          <w:tcPr>
            <w:tcW w:w="531" w:type="pct"/>
            <w:tcBorders>
              <w:top w:val="nil"/>
              <w:left w:val="nil"/>
              <w:bottom w:val="single" w:sz="8" w:space="0" w:color="8497B0"/>
              <w:right w:val="single" w:sz="8" w:space="0" w:color="8497B0"/>
            </w:tcBorders>
            <w:shd w:val="clear" w:color="000000" w:fill="F2F2F2"/>
            <w:noWrap/>
            <w:vAlign w:val="center"/>
            <w:hideMark/>
          </w:tcPr>
          <w:p w14:paraId="0A43ABB4"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0.00</w:t>
            </w:r>
          </w:p>
        </w:tc>
        <w:tc>
          <w:tcPr>
            <w:tcW w:w="530" w:type="pct"/>
            <w:tcBorders>
              <w:top w:val="nil"/>
              <w:left w:val="nil"/>
              <w:bottom w:val="single" w:sz="8" w:space="0" w:color="8497B0"/>
              <w:right w:val="single" w:sz="8" w:space="0" w:color="8497B0"/>
            </w:tcBorders>
            <w:shd w:val="clear" w:color="000000" w:fill="F2F2F2"/>
            <w:noWrap/>
            <w:vAlign w:val="center"/>
            <w:hideMark/>
          </w:tcPr>
          <w:p w14:paraId="611EBE4D"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0.00</w:t>
            </w:r>
          </w:p>
        </w:tc>
      </w:tr>
      <w:tr w:rsidR="00E03F4A" w:rsidRPr="00B73E3A" w14:paraId="1A8DEBA2" w14:textId="77777777" w:rsidTr="00326A8C">
        <w:trPr>
          <w:trHeight w:val="510"/>
        </w:trPr>
        <w:tc>
          <w:tcPr>
            <w:tcW w:w="278" w:type="pct"/>
            <w:vMerge/>
            <w:tcBorders>
              <w:top w:val="nil"/>
              <w:left w:val="single" w:sz="8" w:space="0" w:color="92CDDB"/>
              <w:bottom w:val="single" w:sz="8" w:space="0" w:color="92CDDB"/>
              <w:right w:val="single" w:sz="8" w:space="0" w:color="92CDDB"/>
            </w:tcBorders>
            <w:vAlign w:val="center"/>
            <w:hideMark/>
          </w:tcPr>
          <w:p w14:paraId="4C5EA5F8" w14:textId="77777777" w:rsidR="00E03F4A" w:rsidRPr="00B73E3A" w:rsidRDefault="00E03F4A" w:rsidP="00326A8C">
            <w:pPr>
              <w:spacing w:after="0" w:line="240" w:lineRule="auto"/>
              <w:rPr>
                <w:rFonts w:eastAsia="Times New Roman" w:cs="Arial"/>
                <w:color w:val="000000"/>
                <w:sz w:val="20"/>
                <w:szCs w:val="20"/>
                <w:lang w:eastAsia="cs-CZ"/>
              </w:rPr>
            </w:pPr>
          </w:p>
        </w:tc>
        <w:tc>
          <w:tcPr>
            <w:tcW w:w="163" w:type="pct"/>
            <w:tcBorders>
              <w:top w:val="nil"/>
              <w:left w:val="nil"/>
              <w:bottom w:val="single" w:sz="8" w:space="0" w:color="92CDDB"/>
              <w:right w:val="single" w:sz="8" w:space="0" w:color="92CDDB"/>
            </w:tcBorders>
            <w:vAlign w:val="center"/>
            <w:hideMark/>
          </w:tcPr>
          <w:p w14:paraId="6611F23C"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GM</w:t>
            </w:r>
          </w:p>
        </w:tc>
        <w:tc>
          <w:tcPr>
            <w:tcW w:w="1005" w:type="pct"/>
            <w:tcBorders>
              <w:top w:val="nil"/>
              <w:left w:val="nil"/>
              <w:bottom w:val="single" w:sz="8" w:space="0" w:color="92CDDB"/>
              <w:right w:val="single" w:sz="8" w:space="0" w:color="92CDDB"/>
            </w:tcBorders>
            <w:vAlign w:val="center"/>
            <w:hideMark/>
          </w:tcPr>
          <w:p w14:paraId="5986CB27"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JUNIOR STAR</w:t>
            </w:r>
          </w:p>
        </w:tc>
        <w:tc>
          <w:tcPr>
            <w:tcW w:w="397" w:type="pct"/>
            <w:tcBorders>
              <w:top w:val="nil"/>
              <w:left w:val="nil"/>
              <w:bottom w:val="single" w:sz="8" w:space="0" w:color="92CDDB"/>
              <w:right w:val="single" w:sz="8" w:space="0" w:color="92CDDB"/>
            </w:tcBorders>
            <w:noWrap/>
            <w:vAlign w:val="center"/>
            <w:hideMark/>
          </w:tcPr>
          <w:p w14:paraId="232C6B77"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2021</w:t>
            </w:r>
          </w:p>
        </w:tc>
        <w:tc>
          <w:tcPr>
            <w:tcW w:w="430" w:type="pct"/>
            <w:tcBorders>
              <w:top w:val="nil"/>
              <w:left w:val="nil"/>
              <w:bottom w:val="single" w:sz="8" w:space="0" w:color="92CDDB"/>
              <w:right w:val="single" w:sz="8" w:space="0" w:color="92CDDB"/>
            </w:tcBorders>
            <w:noWrap/>
            <w:vAlign w:val="center"/>
            <w:hideMark/>
          </w:tcPr>
          <w:p w14:paraId="7A2374F7"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w:t>
            </w:r>
          </w:p>
        </w:tc>
        <w:tc>
          <w:tcPr>
            <w:tcW w:w="603" w:type="pct"/>
            <w:tcBorders>
              <w:top w:val="nil"/>
              <w:left w:val="nil"/>
              <w:bottom w:val="single" w:sz="8" w:space="0" w:color="9BC2E6"/>
              <w:right w:val="single" w:sz="8" w:space="0" w:color="9BC2E6"/>
            </w:tcBorders>
            <w:noWrap/>
            <w:vAlign w:val="center"/>
            <w:hideMark/>
          </w:tcPr>
          <w:p w14:paraId="3D4B2589"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375.00</w:t>
            </w:r>
          </w:p>
        </w:tc>
        <w:tc>
          <w:tcPr>
            <w:tcW w:w="531" w:type="pct"/>
            <w:tcBorders>
              <w:top w:val="nil"/>
              <w:left w:val="nil"/>
              <w:bottom w:val="single" w:sz="8" w:space="0" w:color="9BC2E6"/>
              <w:right w:val="single" w:sz="8" w:space="0" w:color="9BC2E6"/>
            </w:tcBorders>
            <w:noWrap/>
            <w:vAlign w:val="center"/>
            <w:hideMark/>
          </w:tcPr>
          <w:p w14:paraId="06EBD1B7"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350.03</w:t>
            </w:r>
          </w:p>
        </w:tc>
        <w:tc>
          <w:tcPr>
            <w:tcW w:w="532" w:type="pct"/>
            <w:tcBorders>
              <w:top w:val="nil"/>
              <w:left w:val="nil"/>
              <w:bottom w:val="single" w:sz="8" w:space="0" w:color="9BC2E6"/>
              <w:right w:val="single" w:sz="8" w:space="0" w:color="9BC2E6"/>
            </w:tcBorders>
            <w:noWrap/>
            <w:vAlign w:val="center"/>
            <w:hideMark/>
          </w:tcPr>
          <w:p w14:paraId="1FD8FDE6"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350.73</w:t>
            </w:r>
          </w:p>
        </w:tc>
        <w:tc>
          <w:tcPr>
            <w:tcW w:w="531" w:type="pct"/>
            <w:tcBorders>
              <w:top w:val="nil"/>
              <w:left w:val="nil"/>
              <w:bottom w:val="single" w:sz="8" w:space="0" w:color="8497B0"/>
              <w:right w:val="single" w:sz="8" w:space="0" w:color="8497B0"/>
            </w:tcBorders>
            <w:noWrap/>
            <w:vAlign w:val="center"/>
            <w:hideMark/>
          </w:tcPr>
          <w:p w14:paraId="62911EAB"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332.47</w:t>
            </w:r>
          </w:p>
        </w:tc>
        <w:tc>
          <w:tcPr>
            <w:tcW w:w="530" w:type="pct"/>
            <w:tcBorders>
              <w:top w:val="nil"/>
              <w:left w:val="nil"/>
              <w:bottom w:val="single" w:sz="8" w:space="0" w:color="8497B0"/>
              <w:right w:val="single" w:sz="8" w:space="0" w:color="8497B0"/>
            </w:tcBorders>
            <w:noWrap/>
            <w:vAlign w:val="center"/>
            <w:hideMark/>
          </w:tcPr>
          <w:p w14:paraId="74527636"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333.19</w:t>
            </w:r>
          </w:p>
        </w:tc>
      </w:tr>
      <w:tr w:rsidR="00E03F4A" w:rsidRPr="00B73E3A" w14:paraId="6962F68F" w14:textId="77777777" w:rsidTr="00326A8C">
        <w:trPr>
          <w:trHeight w:val="510"/>
        </w:trPr>
        <w:tc>
          <w:tcPr>
            <w:tcW w:w="278" w:type="pct"/>
            <w:vMerge/>
            <w:tcBorders>
              <w:top w:val="nil"/>
              <w:left w:val="single" w:sz="8" w:space="0" w:color="92CDDB"/>
              <w:bottom w:val="single" w:sz="8" w:space="0" w:color="92CDDB"/>
              <w:right w:val="single" w:sz="8" w:space="0" w:color="92CDDB"/>
            </w:tcBorders>
            <w:vAlign w:val="center"/>
            <w:hideMark/>
          </w:tcPr>
          <w:p w14:paraId="51955CA0" w14:textId="77777777" w:rsidR="00E03F4A" w:rsidRPr="00B73E3A" w:rsidRDefault="00E03F4A" w:rsidP="00326A8C">
            <w:pPr>
              <w:spacing w:after="0" w:line="240" w:lineRule="auto"/>
              <w:rPr>
                <w:rFonts w:eastAsia="Times New Roman" w:cs="Arial"/>
                <w:color w:val="000000"/>
                <w:sz w:val="20"/>
                <w:szCs w:val="20"/>
                <w:lang w:eastAsia="cs-CZ"/>
              </w:rPr>
            </w:pPr>
          </w:p>
        </w:tc>
        <w:tc>
          <w:tcPr>
            <w:tcW w:w="163" w:type="pct"/>
            <w:tcBorders>
              <w:top w:val="nil"/>
              <w:left w:val="nil"/>
              <w:bottom w:val="single" w:sz="8" w:space="0" w:color="92CDDB"/>
              <w:right w:val="single" w:sz="8" w:space="0" w:color="92CDDB"/>
            </w:tcBorders>
            <w:vAlign w:val="center"/>
            <w:hideMark/>
          </w:tcPr>
          <w:p w14:paraId="6A0F377F"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GN</w:t>
            </w:r>
          </w:p>
        </w:tc>
        <w:tc>
          <w:tcPr>
            <w:tcW w:w="1005" w:type="pct"/>
            <w:tcBorders>
              <w:top w:val="nil"/>
              <w:left w:val="nil"/>
              <w:bottom w:val="single" w:sz="8" w:space="0" w:color="92CDDB"/>
              <w:right w:val="single" w:sz="8" w:space="0" w:color="92CDDB"/>
            </w:tcBorders>
            <w:vAlign w:val="center"/>
            <w:hideMark/>
          </w:tcPr>
          <w:p w14:paraId="64D0E704"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POSTDOC INDIVIDUAL FELLOWSHIP</w:t>
            </w:r>
          </w:p>
        </w:tc>
        <w:tc>
          <w:tcPr>
            <w:tcW w:w="397" w:type="pct"/>
            <w:tcBorders>
              <w:top w:val="nil"/>
              <w:left w:val="nil"/>
              <w:bottom w:val="single" w:sz="8" w:space="0" w:color="92CDDB"/>
              <w:right w:val="single" w:sz="8" w:space="0" w:color="92CDDB"/>
            </w:tcBorders>
            <w:noWrap/>
            <w:vAlign w:val="center"/>
            <w:hideMark/>
          </w:tcPr>
          <w:p w14:paraId="3D3B632A"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2022</w:t>
            </w:r>
          </w:p>
        </w:tc>
        <w:tc>
          <w:tcPr>
            <w:tcW w:w="430" w:type="pct"/>
            <w:tcBorders>
              <w:top w:val="nil"/>
              <w:left w:val="nil"/>
              <w:bottom w:val="single" w:sz="8" w:space="0" w:color="92CDDB"/>
              <w:right w:val="single" w:sz="8" w:space="0" w:color="92CDDB"/>
            </w:tcBorders>
            <w:noWrap/>
            <w:vAlign w:val="center"/>
            <w:hideMark/>
          </w:tcPr>
          <w:p w14:paraId="2A580C83"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w:t>
            </w:r>
          </w:p>
        </w:tc>
        <w:tc>
          <w:tcPr>
            <w:tcW w:w="603" w:type="pct"/>
            <w:tcBorders>
              <w:top w:val="nil"/>
              <w:left w:val="nil"/>
              <w:bottom w:val="single" w:sz="8" w:space="0" w:color="9BC2E6"/>
              <w:right w:val="single" w:sz="8" w:space="0" w:color="9BC2E6"/>
            </w:tcBorders>
            <w:noWrap/>
            <w:vAlign w:val="center"/>
            <w:hideMark/>
          </w:tcPr>
          <w:p w14:paraId="0EE4D7A8"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100.00</w:t>
            </w:r>
          </w:p>
        </w:tc>
        <w:tc>
          <w:tcPr>
            <w:tcW w:w="531" w:type="pct"/>
            <w:tcBorders>
              <w:top w:val="nil"/>
              <w:left w:val="nil"/>
              <w:bottom w:val="single" w:sz="8" w:space="0" w:color="9BC2E6"/>
              <w:right w:val="single" w:sz="8" w:space="0" w:color="9BC2E6"/>
            </w:tcBorders>
            <w:noWrap/>
            <w:vAlign w:val="center"/>
            <w:hideMark/>
          </w:tcPr>
          <w:p w14:paraId="7C32083E"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88.56</w:t>
            </w:r>
          </w:p>
        </w:tc>
        <w:tc>
          <w:tcPr>
            <w:tcW w:w="532" w:type="pct"/>
            <w:tcBorders>
              <w:top w:val="nil"/>
              <w:left w:val="nil"/>
              <w:bottom w:val="single" w:sz="8" w:space="0" w:color="9BC2E6"/>
              <w:right w:val="single" w:sz="8" w:space="0" w:color="9BC2E6"/>
            </w:tcBorders>
            <w:noWrap/>
            <w:vAlign w:val="center"/>
            <w:hideMark/>
          </w:tcPr>
          <w:p w14:paraId="267325EA"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89.86</w:t>
            </w:r>
          </w:p>
        </w:tc>
        <w:tc>
          <w:tcPr>
            <w:tcW w:w="531" w:type="pct"/>
            <w:tcBorders>
              <w:top w:val="nil"/>
              <w:left w:val="nil"/>
              <w:bottom w:val="single" w:sz="8" w:space="0" w:color="8497B0"/>
              <w:right w:val="single" w:sz="8" w:space="0" w:color="8497B0"/>
            </w:tcBorders>
            <w:noWrap/>
            <w:vAlign w:val="center"/>
            <w:hideMark/>
          </w:tcPr>
          <w:p w14:paraId="2A82515C"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86.19</w:t>
            </w:r>
          </w:p>
        </w:tc>
        <w:tc>
          <w:tcPr>
            <w:tcW w:w="530" w:type="pct"/>
            <w:tcBorders>
              <w:top w:val="nil"/>
              <w:left w:val="nil"/>
              <w:bottom w:val="single" w:sz="8" w:space="0" w:color="8497B0"/>
              <w:right w:val="single" w:sz="8" w:space="0" w:color="8497B0"/>
            </w:tcBorders>
            <w:noWrap/>
            <w:vAlign w:val="center"/>
            <w:hideMark/>
          </w:tcPr>
          <w:p w14:paraId="6477F79C"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87.39</w:t>
            </w:r>
          </w:p>
        </w:tc>
      </w:tr>
      <w:tr w:rsidR="00E03F4A" w:rsidRPr="00B73E3A" w14:paraId="5EDCCAB9" w14:textId="77777777" w:rsidTr="00326A8C">
        <w:trPr>
          <w:trHeight w:val="510"/>
        </w:trPr>
        <w:tc>
          <w:tcPr>
            <w:tcW w:w="278" w:type="pct"/>
            <w:vMerge/>
            <w:tcBorders>
              <w:top w:val="nil"/>
              <w:left w:val="single" w:sz="8" w:space="0" w:color="92CDDB"/>
              <w:bottom w:val="single" w:sz="8" w:space="0" w:color="92CDDB"/>
              <w:right w:val="single" w:sz="8" w:space="0" w:color="92CDDB"/>
            </w:tcBorders>
            <w:vAlign w:val="center"/>
            <w:hideMark/>
          </w:tcPr>
          <w:p w14:paraId="1499B274" w14:textId="77777777" w:rsidR="00E03F4A" w:rsidRPr="00B73E3A" w:rsidRDefault="00E03F4A" w:rsidP="00326A8C">
            <w:pPr>
              <w:spacing w:after="0" w:line="240" w:lineRule="auto"/>
              <w:rPr>
                <w:rFonts w:eastAsia="Times New Roman" w:cs="Arial"/>
                <w:color w:val="000000"/>
                <w:sz w:val="20"/>
                <w:szCs w:val="20"/>
                <w:lang w:eastAsia="cs-CZ"/>
              </w:rPr>
            </w:pPr>
          </w:p>
        </w:tc>
        <w:tc>
          <w:tcPr>
            <w:tcW w:w="163" w:type="pct"/>
            <w:tcBorders>
              <w:top w:val="nil"/>
              <w:left w:val="nil"/>
              <w:bottom w:val="single" w:sz="8" w:space="0" w:color="92CDDB"/>
              <w:right w:val="single" w:sz="8" w:space="0" w:color="92CDDB"/>
            </w:tcBorders>
            <w:vAlign w:val="center"/>
            <w:hideMark/>
          </w:tcPr>
          <w:p w14:paraId="675FD232"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GX</w:t>
            </w:r>
          </w:p>
        </w:tc>
        <w:tc>
          <w:tcPr>
            <w:tcW w:w="1005" w:type="pct"/>
            <w:tcBorders>
              <w:top w:val="nil"/>
              <w:left w:val="nil"/>
              <w:bottom w:val="single" w:sz="8" w:space="0" w:color="92CDDB"/>
              <w:right w:val="single" w:sz="8" w:space="0" w:color="92CDDB"/>
            </w:tcBorders>
            <w:vAlign w:val="center"/>
            <w:hideMark/>
          </w:tcPr>
          <w:p w14:paraId="620FC1FF"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Grantové projekty excelence v základním výzkumu EXPRO</w:t>
            </w:r>
          </w:p>
        </w:tc>
        <w:tc>
          <w:tcPr>
            <w:tcW w:w="397" w:type="pct"/>
            <w:tcBorders>
              <w:top w:val="nil"/>
              <w:left w:val="nil"/>
              <w:bottom w:val="single" w:sz="8" w:space="0" w:color="92CDDB"/>
              <w:right w:val="single" w:sz="8" w:space="0" w:color="92CDDB"/>
            </w:tcBorders>
            <w:noWrap/>
            <w:vAlign w:val="center"/>
            <w:hideMark/>
          </w:tcPr>
          <w:p w14:paraId="11923AD1"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2019</w:t>
            </w:r>
          </w:p>
        </w:tc>
        <w:tc>
          <w:tcPr>
            <w:tcW w:w="430" w:type="pct"/>
            <w:tcBorders>
              <w:top w:val="nil"/>
              <w:left w:val="nil"/>
              <w:bottom w:val="single" w:sz="8" w:space="0" w:color="92CDDB"/>
              <w:right w:val="single" w:sz="8" w:space="0" w:color="92CDDB"/>
            </w:tcBorders>
            <w:noWrap/>
            <w:vAlign w:val="center"/>
            <w:hideMark/>
          </w:tcPr>
          <w:p w14:paraId="31E71BF9"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2030</w:t>
            </w:r>
          </w:p>
        </w:tc>
        <w:tc>
          <w:tcPr>
            <w:tcW w:w="603" w:type="pct"/>
            <w:tcBorders>
              <w:top w:val="nil"/>
              <w:left w:val="nil"/>
              <w:bottom w:val="single" w:sz="8" w:space="0" w:color="9BC2E6"/>
              <w:right w:val="single" w:sz="8" w:space="0" w:color="9BC2E6"/>
            </w:tcBorders>
            <w:noWrap/>
            <w:vAlign w:val="center"/>
            <w:hideMark/>
          </w:tcPr>
          <w:p w14:paraId="0A28F434"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425.36</w:t>
            </w:r>
          </w:p>
        </w:tc>
        <w:tc>
          <w:tcPr>
            <w:tcW w:w="531" w:type="pct"/>
            <w:tcBorders>
              <w:top w:val="nil"/>
              <w:left w:val="nil"/>
              <w:bottom w:val="single" w:sz="8" w:space="0" w:color="9BC2E6"/>
              <w:right w:val="single" w:sz="8" w:space="0" w:color="9BC2E6"/>
            </w:tcBorders>
            <w:noWrap/>
            <w:vAlign w:val="center"/>
            <w:hideMark/>
          </w:tcPr>
          <w:p w14:paraId="602D3313"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380.10</w:t>
            </w:r>
          </w:p>
        </w:tc>
        <w:tc>
          <w:tcPr>
            <w:tcW w:w="532" w:type="pct"/>
            <w:tcBorders>
              <w:top w:val="nil"/>
              <w:left w:val="nil"/>
              <w:bottom w:val="single" w:sz="8" w:space="0" w:color="9BC2E6"/>
              <w:right w:val="single" w:sz="8" w:space="0" w:color="9BC2E6"/>
            </w:tcBorders>
            <w:noWrap/>
            <w:vAlign w:val="center"/>
            <w:hideMark/>
          </w:tcPr>
          <w:p w14:paraId="410D44FB"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381.85</w:t>
            </w:r>
          </w:p>
        </w:tc>
        <w:tc>
          <w:tcPr>
            <w:tcW w:w="531" w:type="pct"/>
            <w:tcBorders>
              <w:top w:val="nil"/>
              <w:left w:val="nil"/>
              <w:bottom w:val="single" w:sz="8" w:space="0" w:color="8497B0"/>
              <w:right w:val="single" w:sz="8" w:space="0" w:color="8497B0"/>
            </w:tcBorders>
            <w:noWrap/>
            <w:vAlign w:val="center"/>
            <w:hideMark/>
          </w:tcPr>
          <w:p w14:paraId="351C2C4C"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397.49</w:t>
            </w:r>
          </w:p>
        </w:tc>
        <w:tc>
          <w:tcPr>
            <w:tcW w:w="530" w:type="pct"/>
            <w:tcBorders>
              <w:top w:val="nil"/>
              <w:left w:val="nil"/>
              <w:bottom w:val="single" w:sz="8" w:space="0" w:color="8497B0"/>
              <w:right w:val="single" w:sz="8" w:space="0" w:color="8497B0"/>
            </w:tcBorders>
            <w:noWrap/>
            <w:vAlign w:val="center"/>
            <w:hideMark/>
          </w:tcPr>
          <w:p w14:paraId="14DC34A8"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399.26</w:t>
            </w:r>
          </w:p>
        </w:tc>
      </w:tr>
      <w:tr w:rsidR="00E03F4A" w:rsidRPr="00B73E3A" w14:paraId="55EADD79" w14:textId="77777777" w:rsidTr="00326A8C">
        <w:trPr>
          <w:trHeight w:val="510"/>
        </w:trPr>
        <w:tc>
          <w:tcPr>
            <w:tcW w:w="278" w:type="pct"/>
            <w:vMerge w:val="restart"/>
            <w:tcBorders>
              <w:top w:val="nil"/>
              <w:left w:val="single" w:sz="8" w:space="0" w:color="92CDDB"/>
              <w:bottom w:val="single" w:sz="8" w:space="0" w:color="92CDDB"/>
              <w:right w:val="single" w:sz="8" w:space="0" w:color="92CDDB"/>
            </w:tcBorders>
            <w:noWrap/>
            <w:vAlign w:val="center"/>
            <w:hideMark/>
          </w:tcPr>
          <w:p w14:paraId="575A162A"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TA ČR</w:t>
            </w:r>
          </w:p>
        </w:tc>
        <w:tc>
          <w:tcPr>
            <w:tcW w:w="163" w:type="pct"/>
            <w:tcBorders>
              <w:top w:val="nil"/>
              <w:left w:val="nil"/>
              <w:bottom w:val="single" w:sz="8" w:space="0" w:color="92CDDB"/>
              <w:right w:val="single" w:sz="8" w:space="0" w:color="92CDDB"/>
            </w:tcBorders>
            <w:vAlign w:val="center"/>
            <w:hideMark/>
          </w:tcPr>
          <w:p w14:paraId="361125DF"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CK</w:t>
            </w:r>
          </w:p>
        </w:tc>
        <w:tc>
          <w:tcPr>
            <w:tcW w:w="1005" w:type="pct"/>
            <w:tcBorders>
              <w:top w:val="nil"/>
              <w:left w:val="nil"/>
              <w:bottom w:val="single" w:sz="8" w:space="0" w:color="92CDDB"/>
              <w:right w:val="single" w:sz="8" w:space="0" w:color="92CDDB"/>
            </w:tcBorders>
            <w:vAlign w:val="center"/>
            <w:hideMark/>
          </w:tcPr>
          <w:p w14:paraId="4AE6A2F8"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DOPRAVA 2020+</w:t>
            </w:r>
          </w:p>
        </w:tc>
        <w:tc>
          <w:tcPr>
            <w:tcW w:w="397" w:type="pct"/>
            <w:tcBorders>
              <w:top w:val="nil"/>
              <w:left w:val="nil"/>
              <w:bottom w:val="single" w:sz="8" w:space="0" w:color="92CDDB"/>
              <w:right w:val="single" w:sz="8" w:space="0" w:color="92CDDB"/>
            </w:tcBorders>
            <w:noWrap/>
            <w:vAlign w:val="center"/>
            <w:hideMark/>
          </w:tcPr>
          <w:p w14:paraId="0D06DE76"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2020</w:t>
            </w:r>
          </w:p>
        </w:tc>
        <w:tc>
          <w:tcPr>
            <w:tcW w:w="430" w:type="pct"/>
            <w:tcBorders>
              <w:top w:val="nil"/>
              <w:left w:val="nil"/>
              <w:bottom w:val="single" w:sz="8" w:space="0" w:color="92CDDB"/>
              <w:right w:val="single" w:sz="8" w:space="0" w:color="92CDDB"/>
            </w:tcBorders>
            <w:noWrap/>
            <w:vAlign w:val="center"/>
            <w:hideMark/>
          </w:tcPr>
          <w:p w14:paraId="5B910A97"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2026</w:t>
            </w:r>
          </w:p>
        </w:tc>
        <w:tc>
          <w:tcPr>
            <w:tcW w:w="603" w:type="pct"/>
            <w:tcBorders>
              <w:top w:val="nil"/>
              <w:left w:val="nil"/>
              <w:bottom w:val="single" w:sz="8" w:space="0" w:color="9BC2E6"/>
              <w:right w:val="single" w:sz="8" w:space="0" w:color="9BC2E6"/>
            </w:tcBorders>
            <w:noWrap/>
            <w:vAlign w:val="center"/>
            <w:hideMark/>
          </w:tcPr>
          <w:p w14:paraId="665025C2"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306.89</w:t>
            </w:r>
          </w:p>
        </w:tc>
        <w:tc>
          <w:tcPr>
            <w:tcW w:w="531" w:type="pct"/>
            <w:tcBorders>
              <w:top w:val="nil"/>
              <w:left w:val="nil"/>
              <w:bottom w:val="single" w:sz="8" w:space="0" w:color="9BC2E6"/>
              <w:right w:val="single" w:sz="8" w:space="0" w:color="9BC2E6"/>
            </w:tcBorders>
            <w:noWrap/>
            <w:vAlign w:val="center"/>
            <w:hideMark/>
          </w:tcPr>
          <w:p w14:paraId="2BC57AB0"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316.40</w:t>
            </w:r>
          </w:p>
        </w:tc>
        <w:tc>
          <w:tcPr>
            <w:tcW w:w="532" w:type="pct"/>
            <w:tcBorders>
              <w:top w:val="nil"/>
              <w:left w:val="nil"/>
              <w:bottom w:val="single" w:sz="8" w:space="0" w:color="9BC2E6"/>
              <w:right w:val="single" w:sz="8" w:space="0" w:color="9BC2E6"/>
            </w:tcBorders>
            <w:noWrap/>
            <w:vAlign w:val="center"/>
            <w:hideMark/>
          </w:tcPr>
          <w:p w14:paraId="52008B67"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420.01</w:t>
            </w:r>
          </w:p>
        </w:tc>
        <w:tc>
          <w:tcPr>
            <w:tcW w:w="531" w:type="pct"/>
            <w:tcBorders>
              <w:top w:val="nil"/>
              <w:left w:val="nil"/>
              <w:bottom w:val="single" w:sz="8" w:space="0" w:color="8497B0"/>
              <w:right w:val="single" w:sz="8" w:space="0" w:color="8497B0"/>
            </w:tcBorders>
            <w:noWrap/>
            <w:vAlign w:val="center"/>
            <w:hideMark/>
          </w:tcPr>
          <w:p w14:paraId="79F0C39C"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317.59</w:t>
            </w:r>
          </w:p>
        </w:tc>
        <w:tc>
          <w:tcPr>
            <w:tcW w:w="530" w:type="pct"/>
            <w:tcBorders>
              <w:top w:val="nil"/>
              <w:left w:val="nil"/>
              <w:bottom w:val="single" w:sz="8" w:space="0" w:color="8497B0"/>
              <w:right w:val="single" w:sz="8" w:space="0" w:color="8497B0"/>
            </w:tcBorders>
            <w:noWrap/>
            <w:vAlign w:val="center"/>
            <w:hideMark/>
          </w:tcPr>
          <w:p w14:paraId="248D25AB"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422.89</w:t>
            </w:r>
          </w:p>
        </w:tc>
      </w:tr>
      <w:tr w:rsidR="00E03F4A" w:rsidRPr="00B73E3A" w14:paraId="30B7E7D7" w14:textId="77777777" w:rsidTr="00326A8C">
        <w:trPr>
          <w:trHeight w:val="510"/>
        </w:trPr>
        <w:tc>
          <w:tcPr>
            <w:tcW w:w="278" w:type="pct"/>
            <w:vMerge/>
            <w:tcBorders>
              <w:top w:val="nil"/>
              <w:left w:val="single" w:sz="8" w:space="0" w:color="92CDDB"/>
              <w:bottom w:val="single" w:sz="8" w:space="0" w:color="92CDDB"/>
              <w:right w:val="single" w:sz="8" w:space="0" w:color="92CDDB"/>
            </w:tcBorders>
            <w:vAlign w:val="center"/>
            <w:hideMark/>
          </w:tcPr>
          <w:p w14:paraId="2E3F4852" w14:textId="77777777" w:rsidR="00E03F4A" w:rsidRPr="00B73E3A" w:rsidRDefault="00E03F4A" w:rsidP="00326A8C">
            <w:pPr>
              <w:spacing w:after="0" w:line="240" w:lineRule="auto"/>
              <w:rPr>
                <w:rFonts w:eastAsia="Times New Roman" w:cs="Arial"/>
                <w:color w:val="000000"/>
                <w:sz w:val="20"/>
                <w:szCs w:val="20"/>
                <w:lang w:eastAsia="cs-CZ"/>
              </w:rPr>
            </w:pPr>
          </w:p>
        </w:tc>
        <w:tc>
          <w:tcPr>
            <w:tcW w:w="163" w:type="pct"/>
            <w:tcBorders>
              <w:top w:val="nil"/>
              <w:left w:val="nil"/>
              <w:bottom w:val="single" w:sz="8" w:space="0" w:color="92CDDB"/>
              <w:right w:val="single" w:sz="8" w:space="0" w:color="92CDDB"/>
            </w:tcBorders>
            <w:vAlign w:val="center"/>
            <w:hideMark/>
          </w:tcPr>
          <w:p w14:paraId="4CC631B4"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CL</w:t>
            </w:r>
          </w:p>
        </w:tc>
        <w:tc>
          <w:tcPr>
            <w:tcW w:w="1005" w:type="pct"/>
            <w:tcBorders>
              <w:top w:val="nil"/>
              <w:left w:val="nil"/>
              <w:bottom w:val="single" w:sz="8" w:space="0" w:color="92CDDB"/>
              <w:right w:val="single" w:sz="8" w:space="0" w:color="92CDDB"/>
            </w:tcBorders>
            <w:vAlign w:val="center"/>
            <w:hideMark/>
          </w:tcPr>
          <w:p w14:paraId="6A6D9DE8"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DOPRAVA 2030</w:t>
            </w:r>
          </w:p>
        </w:tc>
        <w:tc>
          <w:tcPr>
            <w:tcW w:w="397" w:type="pct"/>
            <w:tcBorders>
              <w:top w:val="nil"/>
              <w:left w:val="nil"/>
              <w:bottom w:val="single" w:sz="8" w:space="0" w:color="92CDDB"/>
              <w:right w:val="single" w:sz="8" w:space="0" w:color="92CDDB"/>
            </w:tcBorders>
            <w:noWrap/>
            <w:vAlign w:val="center"/>
            <w:hideMark/>
          </w:tcPr>
          <w:p w14:paraId="0A4FAD1E"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2023</w:t>
            </w:r>
          </w:p>
        </w:tc>
        <w:tc>
          <w:tcPr>
            <w:tcW w:w="430" w:type="pct"/>
            <w:tcBorders>
              <w:top w:val="nil"/>
              <w:left w:val="nil"/>
              <w:bottom w:val="single" w:sz="8" w:space="0" w:color="92CDDB"/>
              <w:right w:val="single" w:sz="8" w:space="0" w:color="92CDDB"/>
            </w:tcBorders>
            <w:noWrap/>
            <w:vAlign w:val="center"/>
            <w:hideMark/>
          </w:tcPr>
          <w:p w14:paraId="2DB11797"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2030</w:t>
            </w:r>
          </w:p>
        </w:tc>
        <w:tc>
          <w:tcPr>
            <w:tcW w:w="603" w:type="pct"/>
            <w:tcBorders>
              <w:top w:val="nil"/>
              <w:left w:val="nil"/>
              <w:bottom w:val="single" w:sz="8" w:space="0" w:color="9BC2E6"/>
              <w:right w:val="single" w:sz="8" w:space="0" w:color="9BC2E6"/>
            </w:tcBorders>
            <w:noWrap/>
            <w:vAlign w:val="center"/>
            <w:hideMark/>
          </w:tcPr>
          <w:p w14:paraId="7DE2BE77"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0.00</w:t>
            </w:r>
          </w:p>
        </w:tc>
        <w:tc>
          <w:tcPr>
            <w:tcW w:w="531" w:type="pct"/>
            <w:tcBorders>
              <w:top w:val="nil"/>
              <w:left w:val="nil"/>
              <w:bottom w:val="single" w:sz="8" w:space="0" w:color="9BC2E6"/>
              <w:right w:val="single" w:sz="8" w:space="0" w:color="9BC2E6"/>
            </w:tcBorders>
            <w:noWrap/>
            <w:vAlign w:val="center"/>
            <w:hideMark/>
          </w:tcPr>
          <w:p w14:paraId="7EB1C76C"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93.12</w:t>
            </w:r>
          </w:p>
        </w:tc>
        <w:tc>
          <w:tcPr>
            <w:tcW w:w="532" w:type="pct"/>
            <w:tcBorders>
              <w:top w:val="nil"/>
              <w:left w:val="nil"/>
              <w:bottom w:val="single" w:sz="8" w:space="0" w:color="9BC2E6"/>
              <w:right w:val="single" w:sz="8" w:space="0" w:color="9BC2E6"/>
            </w:tcBorders>
            <w:noWrap/>
            <w:vAlign w:val="center"/>
            <w:hideMark/>
          </w:tcPr>
          <w:p w14:paraId="053C8588"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128.03</w:t>
            </w:r>
          </w:p>
        </w:tc>
        <w:tc>
          <w:tcPr>
            <w:tcW w:w="531" w:type="pct"/>
            <w:tcBorders>
              <w:top w:val="nil"/>
              <w:left w:val="nil"/>
              <w:bottom w:val="single" w:sz="8" w:space="0" w:color="8497B0"/>
              <w:right w:val="single" w:sz="8" w:space="0" w:color="8497B0"/>
            </w:tcBorders>
            <w:noWrap/>
            <w:vAlign w:val="center"/>
            <w:hideMark/>
          </w:tcPr>
          <w:p w14:paraId="7DDB594A"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85.16</w:t>
            </w:r>
          </w:p>
        </w:tc>
        <w:tc>
          <w:tcPr>
            <w:tcW w:w="530" w:type="pct"/>
            <w:tcBorders>
              <w:top w:val="nil"/>
              <w:left w:val="nil"/>
              <w:bottom w:val="single" w:sz="8" w:space="0" w:color="8497B0"/>
              <w:right w:val="single" w:sz="8" w:space="0" w:color="8497B0"/>
            </w:tcBorders>
            <w:noWrap/>
            <w:vAlign w:val="center"/>
            <w:hideMark/>
          </w:tcPr>
          <w:p w14:paraId="62FD7680"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117.01</w:t>
            </w:r>
          </w:p>
        </w:tc>
      </w:tr>
      <w:tr w:rsidR="00E03F4A" w:rsidRPr="00B73E3A" w14:paraId="458F7D58" w14:textId="77777777" w:rsidTr="00326A8C">
        <w:trPr>
          <w:trHeight w:val="510"/>
        </w:trPr>
        <w:tc>
          <w:tcPr>
            <w:tcW w:w="278" w:type="pct"/>
            <w:vMerge/>
            <w:tcBorders>
              <w:top w:val="nil"/>
              <w:left w:val="single" w:sz="8" w:space="0" w:color="92CDDB"/>
              <w:bottom w:val="single" w:sz="8" w:space="0" w:color="92CDDB"/>
              <w:right w:val="single" w:sz="8" w:space="0" w:color="92CDDB"/>
            </w:tcBorders>
            <w:vAlign w:val="center"/>
            <w:hideMark/>
          </w:tcPr>
          <w:p w14:paraId="1A45E6B2" w14:textId="77777777" w:rsidR="00E03F4A" w:rsidRPr="00B73E3A" w:rsidRDefault="00E03F4A" w:rsidP="00326A8C">
            <w:pPr>
              <w:spacing w:after="0" w:line="240" w:lineRule="auto"/>
              <w:rPr>
                <w:rFonts w:eastAsia="Times New Roman" w:cs="Arial"/>
                <w:color w:val="000000"/>
                <w:sz w:val="20"/>
                <w:szCs w:val="20"/>
                <w:lang w:eastAsia="cs-CZ"/>
              </w:rPr>
            </w:pPr>
          </w:p>
        </w:tc>
        <w:tc>
          <w:tcPr>
            <w:tcW w:w="163" w:type="pct"/>
            <w:tcBorders>
              <w:top w:val="nil"/>
              <w:left w:val="nil"/>
              <w:bottom w:val="single" w:sz="8" w:space="0" w:color="92CDDB"/>
              <w:right w:val="single" w:sz="8" w:space="0" w:color="92CDDB"/>
            </w:tcBorders>
            <w:vAlign w:val="center"/>
            <w:hideMark/>
          </w:tcPr>
          <w:p w14:paraId="06AFE800"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FW</w:t>
            </w:r>
          </w:p>
        </w:tc>
        <w:tc>
          <w:tcPr>
            <w:tcW w:w="1005" w:type="pct"/>
            <w:tcBorders>
              <w:top w:val="nil"/>
              <w:left w:val="nil"/>
              <w:bottom w:val="single" w:sz="8" w:space="0" w:color="92CDDB"/>
              <w:right w:val="single" w:sz="8" w:space="0" w:color="92CDDB"/>
            </w:tcBorders>
            <w:vAlign w:val="center"/>
            <w:hideMark/>
          </w:tcPr>
          <w:p w14:paraId="2563F75B"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TREND</w:t>
            </w:r>
          </w:p>
        </w:tc>
        <w:tc>
          <w:tcPr>
            <w:tcW w:w="397" w:type="pct"/>
            <w:tcBorders>
              <w:top w:val="nil"/>
              <w:left w:val="nil"/>
              <w:bottom w:val="single" w:sz="8" w:space="0" w:color="92CDDB"/>
              <w:right w:val="single" w:sz="8" w:space="0" w:color="92CDDB"/>
            </w:tcBorders>
            <w:noWrap/>
            <w:vAlign w:val="center"/>
            <w:hideMark/>
          </w:tcPr>
          <w:p w14:paraId="0715301C"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2020</w:t>
            </w:r>
          </w:p>
        </w:tc>
        <w:tc>
          <w:tcPr>
            <w:tcW w:w="430" w:type="pct"/>
            <w:tcBorders>
              <w:top w:val="nil"/>
              <w:left w:val="nil"/>
              <w:bottom w:val="single" w:sz="8" w:space="0" w:color="92CDDB"/>
              <w:right w:val="single" w:sz="8" w:space="0" w:color="92CDDB"/>
            </w:tcBorders>
            <w:noWrap/>
            <w:vAlign w:val="center"/>
            <w:hideMark/>
          </w:tcPr>
          <w:p w14:paraId="52E351AD"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2027</w:t>
            </w:r>
          </w:p>
        </w:tc>
        <w:tc>
          <w:tcPr>
            <w:tcW w:w="603" w:type="pct"/>
            <w:tcBorders>
              <w:top w:val="nil"/>
              <w:left w:val="nil"/>
              <w:bottom w:val="single" w:sz="8" w:space="0" w:color="9BC2E6"/>
              <w:right w:val="single" w:sz="8" w:space="0" w:color="9BC2E6"/>
            </w:tcBorders>
            <w:noWrap/>
            <w:vAlign w:val="center"/>
            <w:hideMark/>
          </w:tcPr>
          <w:p w14:paraId="75C139D4"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1 365.14</w:t>
            </w:r>
          </w:p>
        </w:tc>
        <w:tc>
          <w:tcPr>
            <w:tcW w:w="531" w:type="pct"/>
            <w:tcBorders>
              <w:top w:val="nil"/>
              <w:left w:val="nil"/>
              <w:bottom w:val="single" w:sz="8" w:space="0" w:color="9BC2E6"/>
              <w:right w:val="single" w:sz="8" w:space="0" w:color="9BC2E6"/>
            </w:tcBorders>
            <w:noWrap/>
            <w:vAlign w:val="center"/>
            <w:hideMark/>
          </w:tcPr>
          <w:p w14:paraId="10D46E02"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2 180.27</w:t>
            </w:r>
          </w:p>
        </w:tc>
        <w:tc>
          <w:tcPr>
            <w:tcW w:w="532" w:type="pct"/>
            <w:tcBorders>
              <w:top w:val="nil"/>
              <w:left w:val="nil"/>
              <w:bottom w:val="single" w:sz="8" w:space="0" w:color="9BC2E6"/>
              <w:right w:val="single" w:sz="8" w:space="0" w:color="9BC2E6"/>
            </w:tcBorders>
            <w:noWrap/>
            <w:vAlign w:val="center"/>
            <w:hideMark/>
          </w:tcPr>
          <w:p w14:paraId="408CFD19"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3 312.06</w:t>
            </w:r>
          </w:p>
        </w:tc>
        <w:tc>
          <w:tcPr>
            <w:tcW w:w="531" w:type="pct"/>
            <w:tcBorders>
              <w:top w:val="nil"/>
              <w:left w:val="nil"/>
              <w:bottom w:val="single" w:sz="8" w:space="0" w:color="8497B0"/>
              <w:right w:val="single" w:sz="8" w:space="0" w:color="8497B0"/>
            </w:tcBorders>
            <w:noWrap/>
            <w:vAlign w:val="center"/>
            <w:hideMark/>
          </w:tcPr>
          <w:p w14:paraId="7BD66EA9"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2 079.12</w:t>
            </w:r>
          </w:p>
        </w:tc>
        <w:tc>
          <w:tcPr>
            <w:tcW w:w="530" w:type="pct"/>
            <w:tcBorders>
              <w:top w:val="nil"/>
              <w:left w:val="nil"/>
              <w:bottom w:val="single" w:sz="8" w:space="0" w:color="8497B0"/>
              <w:right w:val="single" w:sz="8" w:space="0" w:color="8497B0"/>
            </w:tcBorders>
            <w:noWrap/>
            <w:vAlign w:val="center"/>
            <w:hideMark/>
          </w:tcPr>
          <w:p w14:paraId="6C604DA4"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3 147.65</w:t>
            </w:r>
          </w:p>
        </w:tc>
      </w:tr>
      <w:tr w:rsidR="00E03F4A" w:rsidRPr="00B73E3A" w14:paraId="3BD8EDE8" w14:textId="77777777" w:rsidTr="00326A8C">
        <w:trPr>
          <w:trHeight w:val="510"/>
        </w:trPr>
        <w:tc>
          <w:tcPr>
            <w:tcW w:w="278" w:type="pct"/>
            <w:vMerge/>
            <w:tcBorders>
              <w:top w:val="nil"/>
              <w:left w:val="single" w:sz="8" w:space="0" w:color="92CDDB"/>
              <w:bottom w:val="single" w:sz="8" w:space="0" w:color="92CDDB"/>
              <w:right w:val="single" w:sz="8" w:space="0" w:color="92CDDB"/>
            </w:tcBorders>
            <w:vAlign w:val="center"/>
            <w:hideMark/>
          </w:tcPr>
          <w:p w14:paraId="2CC8810C" w14:textId="77777777" w:rsidR="00E03F4A" w:rsidRPr="00B73E3A" w:rsidRDefault="00E03F4A" w:rsidP="00326A8C">
            <w:pPr>
              <w:spacing w:after="0" w:line="240" w:lineRule="auto"/>
              <w:rPr>
                <w:rFonts w:eastAsia="Times New Roman" w:cs="Arial"/>
                <w:color w:val="000000"/>
                <w:sz w:val="20"/>
                <w:szCs w:val="20"/>
                <w:lang w:eastAsia="cs-CZ"/>
              </w:rPr>
            </w:pPr>
          </w:p>
        </w:tc>
        <w:tc>
          <w:tcPr>
            <w:tcW w:w="163" w:type="pct"/>
            <w:tcBorders>
              <w:top w:val="nil"/>
              <w:left w:val="nil"/>
              <w:bottom w:val="single" w:sz="8" w:space="0" w:color="92CDDB"/>
              <w:right w:val="single" w:sz="8" w:space="0" w:color="92CDDB"/>
            </w:tcBorders>
            <w:vAlign w:val="center"/>
            <w:hideMark/>
          </w:tcPr>
          <w:p w14:paraId="230B684D"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SS</w:t>
            </w:r>
          </w:p>
        </w:tc>
        <w:tc>
          <w:tcPr>
            <w:tcW w:w="1005" w:type="pct"/>
            <w:tcBorders>
              <w:top w:val="nil"/>
              <w:left w:val="nil"/>
              <w:bottom w:val="single" w:sz="8" w:space="0" w:color="92CDDB"/>
              <w:right w:val="single" w:sz="8" w:space="0" w:color="92CDDB"/>
            </w:tcBorders>
            <w:vAlign w:val="center"/>
            <w:hideMark/>
          </w:tcPr>
          <w:p w14:paraId="07AD1BA2"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Prostředí pro život</w:t>
            </w:r>
          </w:p>
        </w:tc>
        <w:tc>
          <w:tcPr>
            <w:tcW w:w="397" w:type="pct"/>
            <w:tcBorders>
              <w:top w:val="nil"/>
              <w:left w:val="nil"/>
              <w:bottom w:val="single" w:sz="8" w:space="0" w:color="92CDDB"/>
              <w:right w:val="single" w:sz="8" w:space="0" w:color="92CDDB"/>
            </w:tcBorders>
            <w:noWrap/>
            <w:vAlign w:val="center"/>
            <w:hideMark/>
          </w:tcPr>
          <w:p w14:paraId="1709B82C"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2020</w:t>
            </w:r>
          </w:p>
        </w:tc>
        <w:tc>
          <w:tcPr>
            <w:tcW w:w="430" w:type="pct"/>
            <w:tcBorders>
              <w:top w:val="nil"/>
              <w:left w:val="nil"/>
              <w:bottom w:val="single" w:sz="8" w:space="0" w:color="92CDDB"/>
              <w:right w:val="single" w:sz="8" w:space="0" w:color="92CDDB"/>
            </w:tcBorders>
            <w:noWrap/>
            <w:vAlign w:val="center"/>
            <w:hideMark/>
          </w:tcPr>
          <w:p w14:paraId="6AEB2ACD"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2026</w:t>
            </w:r>
          </w:p>
        </w:tc>
        <w:tc>
          <w:tcPr>
            <w:tcW w:w="603" w:type="pct"/>
            <w:tcBorders>
              <w:top w:val="nil"/>
              <w:left w:val="nil"/>
              <w:bottom w:val="single" w:sz="8" w:space="0" w:color="9BC2E6"/>
              <w:right w:val="single" w:sz="8" w:space="0" w:color="9BC2E6"/>
            </w:tcBorders>
            <w:noWrap/>
            <w:vAlign w:val="center"/>
            <w:hideMark/>
          </w:tcPr>
          <w:p w14:paraId="5AD5EADD"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515.30</w:t>
            </w:r>
          </w:p>
        </w:tc>
        <w:tc>
          <w:tcPr>
            <w:tcW w:w="531" w:type="pct"/>
            <w:tcBorders>
              <w:top w:val="nil"/>
              <w:left w:val="nil"/>
              <w:bottom w:val="single" w:sz="8" w:space="0" w:color="9BC2E6"/>
              <w:right w:val="single" w:sz="8" w:space="0" w:color="9BC2E6"/>
            </w:tcBorders>
            <w:noWrap/>
            <w:vAlign w:val="center"/>
            <w:hideMark/>
          </w:tcPr>
          <w:p w14:paraId="5BA00BCE"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793.06</w:t>
            </w:r>
          </w:p>
        </w:tc>
        <w:tc>
          <w:tcPr>
            <w:tcW w:w="532" w:type="pct"/>
            <w:tcBorders>
              <w:top w:val="nil"/>
              <w:left w:val="nil"/>
              <w:bottom w:val="single" w:sz="8" w:space="0" w:color="9BC2E6"/>
              <w:right w:val="single" w:sz="8" w:space="0" w:color="9BC2E6"/>
            </w:tcBorders>
            <w:noWrap/>
            <w:vAlign w:val="center"/>
            <w:hideMark/>
          </w:tcPr>
          <w:p w14:paraId="25F1D0C7"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947.63</w:t>
            </w:r>
          </w:p>
        </w:tc>
        <w:tc>
          <w:tcPr>
            <w:tcW w:w="531" w:type="pct"/>
            <w:tcBorders>
              <w:top w:val="nil"/>
              <w:left w:val="nil"/>
              <w:bottom w:val="single" w:sz="8" w:space="0" w:color="8497B0"/>
              <w:right w:val="single" w:sz="8" w:space="0" w:color="8497B0"/>
            </w:tcBorders>
            <w:noWrap/>
            <w:vAlign w:val="center"/>
            <w:hideMark/>
          </w:tcPr>
          <w:p w14:paraId="48E32E32"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759.52</w:t>
            </w:r>
          </w:p>
        </w:tc>
        <w:tc>
          <w:tcPr>
            <w:tcW w:w="530" w:type="pct"/>
            <w:tcBorders>
              <w:top w:val="nil"/>
              <w:left w:val="nil"/>
              <w:bottom w:val="single" w:sz="8" w:space="0" w:color="8497B0"/>
              <w:right w:val="single" w:sz="8" w:space="0" w:color="8497B0"/>
            </w:tcBorders>
            <w:noWrap/>
            <w:vAlign w:val="center"/>
            <w:hideMark/>
          </w:tcPr>
          <w:p w14:paraId="4E700E14"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906.32</w:t>
            </w:r>
          </w:p>
        </w:tc>
      </w:tr>
      <w:tr w:rsidR="00E03F4A" w:rsidRPr="00B73E3A" w14:paraId="6C33556B" w14:textId="77777777" w:rsidTr="00326A8C">
        <w:trPr>
          <w:trHeight w:val="510"/>
        </w:trPr>
        <w:tc>
          <w:tcPr>
            <w:tcW w:w="278" w:type="pct"/>
            <w:vMerge/>
            <w:tcBorders>
              <w:top w:val="nil"/>
              <w:left w:val="single" w:sz="8" w:space="0" w:color="92CDDB"/>
              <w:bottom w:val="single" w:sz="8" w:space="0" w:color="92CDDB"/>
              <w:right w:val="single" w:sz="8" w:space="0" w:color="92CDDB"/>
            </w:tcBorders>
            <w:vAlign w:val="center"/>
            <w:hideMark/>
          </w:tcPr>
          <w:p w14:paraId="0C2BB28E" w14:textId="77777777" w:rsidR="00E03F4A" w:rsidRPr="00B73E3A" w:rsidRDefault="00E03F4A" w:rsidP="00326A8C">
            <w:pPr>
              <w:spacing w:after="0" w:line="240" w:lineRule="auto"/>
              <w:rPr>
                <w:rFonts w:eastAsia="Times New Roman" w:cs="Arial"/>
                <w:color w:val="000000"/>
                <w:sz w:val="20"/>
                <w:szCs w:val="20"/>
                <w:lang w:eastAsia="cs-CZ"/>
              </w:rPr>
            </w:pPr>
          </w:p>
        </w:tc>
        <w:tc>
          <w:tcPr>
            <w:tcW w:w="163" w:type="pct"/>
            <w:tcBorders>
              <w:top w:val="nil"/>
              <w:left w:val="nil"/>
              <w:bottom w:val="single" w:sz="8" w:space="0" w:color="92CDDB"/>
              <w:right w:val="single" w:sz="8" w:space="0" w:color="92CDDB"/>
            </w:tcBorders>
            <w:vAlign w:val="center"/>
            <w:hideMark/>
          </w:tcPr>
          <w:p w14:paraId="036D99D4"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TH</w:t>
            </w:r>
          </w:p>
        </w:tc>
        <w:tc>
          <w:tcPr>
            <w:tcW w:w="1005" w:type="pct"/>
            <w:tcBorders>
              <w:top w:val="nil"/>
              <w:left w:val="nil"/>
              <w:bottom w:val="single" w:sz="8" w:space="0" w:color="92CDDB"/>
              <w:right w:val="single" w:sz="8" w:space="0" w:color="92CDDB"/>
            </w:tcBorders>
            <w:vAlign w:val="center"/>
            <w:hideMark/>
          </w:tcPr>
          <w:p w14:paraId="1EB2FBE3"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EPSILON</w:t>
            </w:r>
          </w:p>
        </w:tc>
        <w:tc>
          <w:tcPr>
            <w:tcW w:w="397" w:type="pct"/>
            <w:tcBorders>
              <w:top w:val="nil"/>
              <w:left w:val="nil"/>
              <w:bottom w:val="single" w:sz="8" w:space="0" w:color="92CDDB"/>
              <w:right w:val="single" w:sz="8" w:space="0" w:color="92CDDB"/>
            </w:tcBorders>
            <w:noWrap/>
            <w:vAlign w:val="center"/>
            <w:hideMark/>
          </w:tcPr>
          <w:p w14:paraId="5375EAD6"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2015</w:t>
            </w:r>
          </w:p>
        </w:tc>
        <w:tc>
          <w:tcPr>
            <w:tcW w:w="430" w:type="pct"/>
            <w:tcBorders>
              <w:top w:val="nil"/>
              <w:left w:val="nil"/>
              <w:bottom w:val="single" w:sz="8" w:space="0" w:color="92CDDB"/>
              <w:right w:val="single" w:sz="8" w:space="0" w:color="92CDDB"/>
            </w:tcBorders>
            <w:noWrap/>
            <w:vAlign w:val="center"/>
            <w:hideMark/>
          </w:tcPr>
          <w:p w14:paraId="6DBEF67F"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2026</w:t>
            </w:r>
          </w:p>
        </w:tc>
        <w:tc>
          <w:tcPr>
            <w:tcW w:w="603" w:type="pct"/>
            <w:tcBorders>
              <w:top w:val="nil"/>
              <w:left w:val="nil"/>
              <w:bottom w:val="single" w:sz="8" w:space="0" w:color="9BC2E6"/>
              <w:right w:val="single" w:sz="8" w:space="0" w:color="9BC2E6"/>
            </w:tcBorders>
            <w:noWrap/>
            <w:vAlign w:val="center"/>
            <w:hideMark/>
          </w:tcPr>
          <w:p w14:paraId="52034F69"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47.00</w:t>
            </w:r>
          </w:p>
        </w:tc>
        <w:tc>
          <w:tcPr>
            <w:tcW w:w="531" w:type="pct"/>
            <w:tcBorders>
              <w:top w:val="nil"/>
              <w:left w:val="nil"/>
              <w:bottom w:val="single" w:sz="8" w:space="0" w:color="9BC2E6"/>
              <w:right w:val="single" w:sz="8" w:space="0" w:color="9BC2E6"/>
            </w:tcBorders>
            <w:noWrap/>
            <w:vAlign w:val="center"/>
            <w:hideMark/>
          </w:tcPr>
          <w:p w14:paraId="640A50ED"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90.44</w:t>
            </w:r>
          </w:p>
        </w:tc>
        <w:tc>
          <w:tcPr>
            <w:tcW w:w="532" w:type="pct"/>
            <w:tcBorders>
              <w:top w:val="nil"/>
              <w:left w:val="nil"/>
              <w:bottom w:val="single" w:sz="8" w:space="0" w:color="9BC2E6"/>
              <w:right w:val="single" w:sz="8" w:space="0" w:color="9BC2E6"/>
            </w:tcBorders>
            <w:noWrap/>
            <w:vAlign w:val="center"/>
            <w:hideMark/>
          </w:tcPr>
          <w:p w14:paraId="7ACF6F82"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108.61</w:t>
            </w:r>
          </w:p>
        </w:tc>
        <w:tc>
          <w:tcPr>
            <w:tcW w:w="531" w:type="pct"/>
            <w:tcBorders>
              <w:top w:val="nil"/>
              <w:left w:val="nil"/>
              <w:bottom w:val="single" w:sz="8" w:space="0" w:color="8497B0"/>
              <w:right w:val="single" w:sz="8" w:space="0" w:color="8497B0"/>
            </w:tcBorders>
            <w:noWrap/>
            <w:vAlign w:val="center"/>
            <w:hideMark/>
          </w:tcPr>
          <w:p w14:paraId="02F5BF26"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91.44</w:t>
            </w:r>
          </w:p>
        </w:tc>
        <w:tc>
          <w:tcPr>
            <w:tcW w:w="530" w:type="pct"/>
            <w:tcBorders>
              <w:top w:val="nil"/>
              <w:left w:val="nil"/>
              <w:bottom w:val="single" w:sz="8" w:space="0" w:color="8497B0"/>
              <w:right w:val="single" w:sz="8" w:space="0" w:color="8497B0"/>
            </w:tcBorders>
            <w:noWrap/>
            <w:vAlign w:val="center"/>
            <w:hideMark/>
          </w:tcPr>
          <w:p w14:paraId="28B2BE18"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110.85</w:t>
            </w:r>
          </w:p>
        </w:tc>
      </w:tr>
      <w:tr w:rsidR="00E03F4A" w:rsidRPr="00B73E3A" w14:paraId="69CC8076" w14:textId="77777777" w:rsidTr="00326A8C">
        <w:trPr>
          <w:trHeight w:val="510"/>
        </w:trPr>
        <w:tc>
          <w:tcPr>
            <w:tcW w:w="278" w:type="pct"/>
            <w:vMerge/>
            <w:tcBorders>
              <w:top w:val="nil"/>
              <w:left w:val="single" w:sz="8" w:space="0" w:color="92CDDB"/>
              <w:bottom w:val="single" w:sz="8" w:space="0" w:color="92CDDB"/>
              <w:right w:val="single" w:sz="8" w:space="0" w:color="92CDDB"/>
            </w:tcBorders>
            <w:vAlign w:val="center"/>
            <w:hideMark/>
          </w:tcPr>
          <w:p w14:paraId="0860CB48" w14:textId="77777777" w:rsidR="00E03F4A" w:rsidRPr="00B73E3A" w:rsidRDefault="00E03F4A" w:rsidP="00326A8C">
            <w:pPr>
              <w:spacing w:after="0" w:line="240" w:lineRule="auto"/>
              <w:rPr>
                <w:rFonts w:eastAsia="Times New Roman" w:cs="Arial"/>
                <w:color w:val="000000"/>
                <w:sz w:val="20"/>
                <w:szCs w:val="20"/>
                <w:lang w:eastAsia="cs-CZ"/>
              </w:rPr>
            </w:pPr>
          </w:p>
        </w:tc>
        <w:tc>
          <w:tcPr>
            <w:tcW w:w="163" w:type="pct"/>
            <w:tcBorders>
              <w:top w:val="nil"/>
              <w:left w:val="nil"/>
              <w:bottom w:val="single" w:sz="8" w:space="0" w:color="92CDDB"/>
              <w:right w:val="single" w:sz="8" w:space="0" w:color="92CDDB"/>
            </w:tcBorders>
            <w:shd w:val="clear" w:color="000000" w:fill="F2F2F2"/>
            <w:vAlign w:val="center"/>
            <w:hideMark/>
          </w:tcPr>
          <w:p w14:paraId="046341BB"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TI</w:t>
            </w:r>
          </w:p>
        </w:tc>
        <w:tc>
          <w:tcPr>
            <w:tcW w:w="1005" w:type="pct"/>
            <w:tcBorders>
              <w:top w:val="nil"/>
              <w:left w:val="nil"/>
              <w:bottom w:val="single" w:sz="8" w:space="0" w:color="92CDDB"/>
              <w:right w:val="single" w:sz="8" w:space="0" w:color="92CDDB"/>
            </w:tcBorders>
            <w:shd w:val="clear" w:color="000000" w:fill="F2F2F2"/>
            <w:vAlign w:val="center"/>
            <w:hideMark/>
          </w:tcPr>
          <w:p w14:paraId="6EDD5BBA"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BETA2</w:t>
            </w:r>
          </w:p>
        </w:tc>
        <w:tc>
          <w:tcPr>
            <w:tcW w:w="397" w:type="pct"/>
            <w:tcBorders>
              <w:top w:val="nil"/>
              <w:left w:val="nil"/>
              <w:bottom w:val="single" w:sz="8" w:space="0" w:color="92CDDB"/>
              <w:right w:val="single" w:sz="8" w:space="0" w:color="92CDDB"/>
            </w:tcBorders>
            <w:shd w:val="clear" w:color="000000" w:fill="F2F2F2"/>
            <w:noWrap/>
            <w:vAlign w:val="center"/>
            <w:hideMark/>
          </w:tcPr>
          <w:p w14:paraId="3D14E2A2"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2017</w:t>
            </w:r>
          </w:p>
        </w:tc>
        <w:tc>
          <w:tcPr>
            <w:tcW w:w="430" w:type="pct"/>
            <w:tcBorders>
              <w:top w:val="nil"/>
              <w:left w:val="nil"/>
              <w:bottom w:val="single" w:sz="8" w:space="0" w:color="92CDDB"/>
              <w:right w:val="single" w:sz="8" w:space="0" w:color="92CDDB"/>
            </w:tcBorders>
            <w:shd w:val="clear" w:color="000000" w:fill="F2F2F2"/>
            <w:noWrap/>
            <w:vAlign w:val="center"/>
            <w:hideMark/>
          </w:tcPr>
          <w:p w14:paraId="654748A0"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2024</w:t>
            </w:r>
          </w:p>
        </w:tc>
        <w:tc>
          <w:tcPr>
            <w:tcW w:w="603" w:type="pct"/>
            <w:tcBorders>
              <w:top w:val="nil"/>
              <w:left w:val="nil"/>
              <w:bottom w:val="single" w:sz="8" w:space="0" w:color="9BC2E6"/>
              <w:right w:val="single" w:sz="8" w:space="0" w:color="9BC2E6"/>
            </w:tcBorders>
            <w:shd w:val="clear" w:color="000000" w:fill="F2F2F2"/>
            <w:noWrap/>
            <w:vAlign w:val="center"/>
            <w:hideMark/>
          </w:tcPr>
          <w:p w14:paraId="7ABA11EA"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106.50</w:t>
            </w:r>
          </w:p>
        </w:tc>
        <w:tc>
          <w:tcPr>
            <w:tcW w:w="531" w:type="pct"/>
            <w:tcBorders>
              <w:top w:val="nil"/>
              <w:left w:val="nil"/>
              <w:bottom w:val="single" w:sz="8" w:space="0" w:color="9BC2E6"/>
              <w:right w:val="single" w:sz="8" w:space="0" w:color="9BC2E6"/>
            </w:tcBorders>
            <w:shd w:val="clear" w:color="000000" w:fill="F2F2F2"/>
            <w:noWrap/>
            <w:vAlign w:val="center"/>
            <w:hideMark/>
          </w:tcPr>
          <w:p w14:paraId="4F4E3E82"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99.05</w:t>
            </w:r>
          </w:p>
        </w:tc>
        <w:tc>
          <w:tcPr>
            <w:tcW w:w="532" w:type="pct"/>
            <w:tcBorders>
              <w:top w:val="nil"/>
              <w:left w:val="nil"/>
              <w:bottom w:val="single" w:sz="8" w:space="0" w:color="9BC2E6"/>
              <w:right w:val="single" w:sz="8" w:space="0" w:color="9BC2E6"/>
            </w:tcBorders>
            <w:shd w:val="clear" w:color="000000" w:fill="F2F2F2"/>
            <w:noWrap/>
            <w:vAlign w:val="center"/>
            <w:hideMark/>
          </w:tcPr>
          <w:p w14:paraId="07C0EEDA"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99.05</w:t>
            </w:r>
          </w:p>
        </w:tc>
        <w:tc>
          <w:tcPr>
            <w:tcW w:w="531" w:type="pct"/>
            <w:tcBorders>
              <w:top w:val="nil"/>
              <w:left w:val="nil"/>
              <w:bottom w:val="single" w:sz="8" w:space="0" w:color="8497B0"/>
              <w:right w:val="single" w:sz="8" w:space="0" w:color="8497B0"/>
            </w:tcBorders>
            <w:shd w:val="clear" w:color="000000" w:fill="F2F2F2"/>
            <w:noWrap/>
            <w:vAlign w:val="center"/>
            <w:hideMark/>
          </w:tcPr>
          <w:p w14:paraId="0F97CAB5"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99.05</w:t>
            </w:r>
          </w:p>
        </w:tc>
        <w:tc>
          <w:tcPr>
            <w:tcW w:w="530" w:type="pct"/>
            <w:tcBorders>
              <w:top w:val="nil"/>
              <w:left w:val="nil"/>
              <w:bottom w:val="single" w:sz="8" w:space="0" w:color="8497B0"/>
              <w:right w:val="single" w:sz="8" w:space="0" w:color="8497B0"/>
            </w:tcBorders>
            <w:shd w:val="clear" w:color="000000" w:fill="F2F2F2"/>
            <w:noWrap/>
            <w:vAlign w:val="center"/>
            <w:hideMark/>
          </w:tcPr>
          <w:p w14:paraId="4D484D5B"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99.05</w:t>
            </w:r>
          </w:p>
        </w:tc>
      </w:tr>
      <w:tr w:rsidR="00E03F4A" w:rsidRPr="00B73E3A" w14:paraId="76AAE987" w14:textId="77777777" w:rsidTr="00326A8C">
        <w:trPr>
          <w:trHeight w:val="510"/>
        </w:trPr>
        <w:tc>
          <w:tcPr>
            <w:tcW w:w="278" w:type="pct"/>
            <w:vMerge/>
            <w:tcBorders>
              <w:top w:val="nil"/>
              <w:left w:val="single" w:sz="8" w:space="0" w:color="92CDDB"/>
              <w:bottom w:val="single" w:sz="8" w:space="0" w:color="92CDDB"/>
              <w:right w:val="single" w:sz="8" w:space="0" w:color="92CDDB"/>
            </w:tcBorders>
            <w:vAlign w:val="center"/>
            <w:hideMark/>
          </w:tcPr>
          <w:p w14:paraId="656917FD" w14:textId="77777777" w:rsidR="00E03F4A" w:rsidRPr="00B73E3A" w:rsidRDefault="00E03F4A" w:rsidP="00326A8C">
            <w:pPr>
              <w:spacing w:after="0" w:line="240" w:lineRule="auto"/>
              <w:rPr>
                <w:rFonts w:eastAsia="Times New Roman" w:cs="Arial"/>
                <w:color w:val="000000"/>
                <w:sz w:val="20"/>
                <w:szCs w:val="20"/>
                <w:lang w:eastAsia="cs-CZ"/>
              </w:rPr>
            </w:pPr>
          </w:p>
        </w:tc>
        <w:tc>
          <w:tcPr>
            <w:tcW w:w="163" w:type="pct"/>
            <w:tcBorders>
              <w:top w:val="nil"/>
              <w:left w:val="nil"/>
              <w:bottom w:val="single" w:sz="8" w:space="0" w:color="92CDDB"/>
              <w:right w:val="single" w:sz="8" w:space="0" w:color="92CDDB"/>
            </w:tcBorders>
            <w:shd w:val="clear" w:color="000000" w:fill="D9D9D9"/>
            <w:vAlign w:val="center"/>
            <w:hideMark/>
          </w:tcPr>
          <w:p w14:paraId="0BCA3F0C"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TJ</w:t>
            </w:r>
          </w:p>
        </w:tc>
        <w:tc>
          <w:tcPr>
            <w:tcW w:w="1005" w:type="pct"/>
            <w:tcBorders>
              <w:top w:val="nil"/>
              <w:left w:val="nil"/>
              <w:bottom w:val="single" w:sz="8" w:space="0" w:color="92CDDB"/>
              <w:right w:val="single" w:sz="8" w:space="0" w:color="92CDDB"/>
            </w:tcBorders>
            <w:shd w:val="clear" w:color="000000" w:fill="D9D9D9"/>
            <w:vAlign w:val="center"/>
            <w:hideMark/>
          </w:tcPr>
          <w:p w14:paraId="68E165AE"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ZÉTA</w:t>
            </w:r>
          </w:p>
        </w:tc>
        <w:tc>
          <w:tcPr>
            <w:tcW w:w="397" w:type="pct"/>
            <w:tcBorders>
              <w:top w:val="nil"/>
              <w:left w:val="nil"/>
              <w:bottom w:val="single" w:sz="8" w:space="0" w:color="92CDDB"/>
              <w:right w:val="single" w:sz="8" w:space="0" w:color="92CDDB"/>
            </w:tcBorders>
            <w:shd w:val="clear" w:color="000000" w:fill="D9D9D9"/>
            <w:noWrap/>
            <w:vAlign w:val="center"/>
            <w:hideMark/>
          </w:tcPr>
          <w:p w14:paraId="2A06B880"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2017</w:t>
            </w:r>
          </w:p>
        </w:tc>
        <w:tc>
          <w:tcPr>
            <w:tcW w:w="430" w:type="pct"/>
            <w:tcBorders>
              <w:top w:val="nil"/>
              <w:left w:val="nil"/>
              <w:bottom w:val="single" w:sz="8" w:space="0" w:color="92CDDB"/>
              <w:right w:val="single" w:sz="8" w:space="0" w:color="92CDDB"/>
            </w:tcBorders>
            <w:shd w:val="clear" w:color="000000" w:fill="D9D9D9"/>
            <w:noWrap/>
            <w:vAlign w:val="center"/>
            <w:hideMark/>
          </w:tcPr>
          <w:p w14:paraId="5EE0DCBE"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2025</w:t>
            </w:r>
          </w:p>
        </w:tc>
        <w:tc>
          <w:tcPr>
            <w:tcW w:w="603" w:type="pct"/>
            <w:tcBorders>
              <w:top w:val="nil"/>
              <w:left w:val="nil"/>
              <w:bottom w:val="single" w:sz="8" w:space="0" w:color="9BC2E6"/>
              <w:right w:val="single" w:sz="8" w:space="0" w:color="9BC2E6"/>
            </w:tcBorders>
            <w:shd w:val="clear" w:color="000000" w:fill="D9D9D9"/>
            <w:noWrap/>
            <w:vAlign w:val="center"/>
            <w:hideMark/>
          </w:tcPr>
          <w:p w14:paraId="7381417B"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0.00</w:t>
            </w:r>
          </w:p>
        </w:tc>
        <w:tc>
          <w:tcPr>
            <w:tcW w:w="531" w:type="pct"/>
            <w:tcBorders>
              <w:top w:val="nil"/>
              <w:left w:val="nil"/>
              <w:bottom w:val="single" w:sz="8" w:space="0" w:color="9BC2E6"/>
              <w:right w:val="single" w:sz="8" w:space="0" w:color="9BC2E6"/>
            </w:tcBorders>
            <w:shd w:val="clear" w:color="000000" w:fill="D9D9D9"/>
            <w:noWrap/>
            <w:vAlign w:val="center"/>
            <w:hideMark/>
          </w:tcPr>
          <w:p w14:paraId="40BA116E"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0.00</w:t>
            </w:r>
          </w:p>
        </w:tc>
        <w:tc>
          <w:tcPr>
            <w:tcW w:w="532" w:type="pct"/>
            <w:tcBorders>
              <w:top w:val="nil"/>
              <w:left w:val="nil"/>
              <w:bottom w:val="single" w:sz="8" w:space="0" w:color="9BC2E6"/>
              <w:right w:val="single" w:sz="8" w:space="0" w:color="9BC2E6"/>
            </w:tcBorders>
            <w:shd w:val="clear" w:color="000000" w:fill="D9D9D9"/>
            <w:noWrap/>
            <w:vAlign w:val="center"/>
            <w:hideMark/>
          </w:tcPr>
          <w:p w14:paraId="3D3B8BA4"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0.00</w:t>
            </w:r>
          </w:p>
        </w:tc>
        <w:tc>
          <w:tcPr>
            <w:tcW w:w="531" w:type="pct"/>
            <w:tcBorders>
              <w:top w:val="nil"/>
              <w:left w:val="nil"/>
              <w:bottom w:val="single" w:sz="8" w:space="0" w:color="8497B0"/>
              <w:right w:val="single" w:sz="8" w:space="0" w:color="8497B0"/>
            </w:tcBorders>
            <w:shd w:val="clear" w:color="000000" w:fill="D9D9D9"/>
            <w:noWrap/>
            <w:vAlign w:val="center"/>
            <w:hideMark/>
          </w:tcPr>
          <w:p w14:paraId="3068F4E3"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0.00</w:t>
            </w:r>
          </w:p>
        </w:tc>
        <w:tc>
          <w:tcPr>
            <w:tcW w:w="530" w:type="pct"/>
            <w:tcBorders>
              <w:top w:val="nil"/>
              <w:left w:val="nil"/>
              <w:bottom w:val="single" w:sz="8" w:space="0" w:color="8497B0"/>
              <w:right w:val="single" w:sz="8" w:space="0" w:color="8497B0"/>
            </w:tcBorders>
            <w:shd w:val="clear" w:color="000000" w:fill="D9D9D9"/>
            <w:noWrap/>
            <w:vAlign w:val="center"/>
            <w:hideMark/>
          </w:tcPr>
          <w:p w14:paraId="458767EE"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0.00</w:t>
            </w:r>
          </w:p>
        </w:tc>
      </w:tr>
      <w:tr w:rsidR="00E03F4A" w:rsidRPr="00B73E3A" w14:paraId="6665AE1D" w14:textId="77777777" w:rsidTr="00326A8C">
        <w:trPr>
          <w:trHeight w:val="510"/>
        </w:trPr>
        <w:tc>
          <w:tcPr>
            <w:tcW w:w="278" w:type="pct"/>
            <w:vMerge/>
            <w:tcBorders>
              <w:top w:val="nil"/>
              <w:left w:val="single" w:sz="8" w:space="0" w:color="92CDDB"/>
              <w:bottom w:val="single" w:sz="8" w:space="0" w:color="92CDDB"/>
              <w:right w:val="single" w:sz="8" w:space="0" w:color="92CDDB"/>
            </w:tcBorders>
            <w:vAlign w:val="center"/>
            <w:hideMark/>
          </w:tcPr>
          <w:p w14:paraId="15CDD89B" w14:textId="77777777" w:rsidR="00E03F4A" w:rsidRPr="00B73E3A" w:rsidRDefault="00E03F4A" w:rsidP="00326A8C">
            <w:pPr>
              <w:spacing w:after="0" w:line="240" w:lineRule="auto"/>
              <w:rPr>
                <w:rFonts w:eastAsia="Times New Roman" w:cs="Arial"/>
                <w:color w:val="000000"/>
                <w:sz w:val="20"/>
                <w:szCs w:val="20"/>
                <w:lang w:eastAsia="cs-CZ"/>
              </w:rPr>
            </w:pPr>
          </w:p>
        </w:tc>
        <w:tc>
          <w:tcPr>
            <w:tcW w:w="163" w:type="pct"/>
            <w:tcBorders>
              <w:top w:val="nil"/>
              <w:left w:val="nil"/>
              <w:bottom w:val="single" w:sz="8" w:space="0" w:color="92CDDB"/>
              <w:right w:val="single" w:sz="8" w:space="0" w:color="92CDDB"/>
            </w:tcBorders>
            <w:vAlign w:val="center"/>
            <w:hideMark/>
          </w:tcPr>
          <w:p w14:paraId="14FB6FD4"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TK</w:t>
            </w:r>
          </w:p>
        </w:tc>
        <w:tc>
          <w:tcPr>
            <w:tcW w:w="1005" w:type="pct"/>
            <w:tcBorders>
              <w:top w:val="nil"/>
              <w:left w:val="nil"/>
              <w:bottom w:val="single" w:sz="8" w:space="0" w:color="92CDDB"/>
              <w:right w:val="single" w:sz="8" w:space="0" w:color="92CDDB"/>
            </w:tcBorders>
            <w:vAlign w:val="center"/>
            <w:hideMark/>
          </w:tcPr>
          <w:p w14:paraId="0CFDD05D"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THÉTA</w:t>
            </w:r>
          </w:p>
        </w:tc>
        <w:tc>
          <w:tcPr>
            <w:tcW w:w="397" w:type="pct"/>
            <w:tcBorders>
              <w:top w:val="nil"/>
              <w:left w:val="nil"/>
              <w:bottom w:val="single" w:sz="8" w:space="0" w:color="92CDDB"/>
              <w:right w:val="single" w:sz="8" w:space="0" w:color="92CDDB"/>
            </w:tcBorders>
            <w:noWrap/>
            <w:vAlign w:val="center"/>
            <w:hideMark/>
          </w:tcPr>
          <w:p w14:paraId="002F4A0B"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2018</w:t>
            </w:r>
          </w:p>
        </w:tc>
        <w:tc>
          <w:tcPr>
            <w:tcW w:w="430" w:type="pct"/>
            <w:tcBorders>
              <w:top w:val="nil"/>
              <w:left w:val="nil"/>
              <w:bottom w:val="single" w:sz="8" w:space="0" w:color="92CDDB"/>
              <w:right w:val="single" w:sz="8" w:space="0" w:color="92CDDB"/>
            </w:tcBorders>
            <w:noWrap/>
            <w:vAlign w:val="center"/>
            <w:hideMark/>
          </w:tcPr>
          <w:p w14:paraId="31383BB3"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2025</w:t>
            </w:r>
          </w:p>
        </w:tc>
        <w:tc>
          <w:tcPr>
            <w:tcW w:w="603" w:type="pct"/>
            <w:tcBorders>
              <w:top w:val="nil"/>
              <w:left w:val="nil"/>
              <w:bottom w:val="single" w:sz="8" w:space="0" w:color="9BC2E6"/>
              <w:right w:val="single" w:sz="8" w:space="0" w:color="9BC2E6"/>
            </w:tcBorders>
            <w:noWrap/>
            <w:vAlign w:val="center"/>
            <w:hideMark/>
          </w:tcPr>
          <w:p w14:paraId="5557023E"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603.21</w:t>
            </w:r>
          </w:p>
        </w:tc>
        <w:tc>
          <w:tcPr>
            <w:tcW w:w="531" w:type="pct"/>
            <w:tcBorders>
              <w:top w:val="nil"/>
              <w:left w:val="nil"/>
              <w:bottom w:val="single" w:sz="8" w:space="0" w:color="9BC2E6"/>
              <w:right w:val="single" w:sz="8" w:space="0" w:color="9BC2E6"/>
            </w:tcBorders>
            <w:noWrap/>
            <w:vAlign w:val="center"/>
            <w:hideMark/>
          </w:tcPr>
          <w:p w14:paraId="05FDDFF1"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612.41</w:t>
            </w:r>
          </w:p>
        </w:tc>
        <w:tc>
          <w:tcPr>
            <w:tcW w:w="532" w:type="pct"/>
            <w:tcBorders>
              <w:top w:val="nil"/>
              <w:left w:val="nil"/>
              <w:bottom w:val="single" w:sz="8" w:space="0" w:color="9BC2E6"/>
              <w:right w:val="single" w:sz="8" w:space="0" w:color="9BC2E6"/>
            </w:tcBorders>
            <w:noWrap/>
            <w:vAlign w:val="center"/>
            <w:hideMark/>
          </w:tcPr>
          <w:p w14:paraId="7784C4BD"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888.69</w:t>
            </w:r>
          </w:p>
        </w:tc>
        <w:tc>
          <w:tcPr>
            <w:tcW w:w="531" w:type="pct"/>
            <w:tcBorders>
              <w:top w:val="nil"/>
              <w:left w:val="nil"/>
              <w:bottom w:val="single" w:sz="8" w:space="0" w:color="8497B0"/>
              <w:right w:val="single" w:sz="8" w:space="0" w:color="8497B0"/>
            </w:tcBorders>
            <w:noWrap/>
            <w:vAlign w:val="center"/>
            <w:hideMark/>
          </w:tcPr>
          <w:p w14:paraId="3B7C7C99"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596.46</w:t>
            </w:r>
          </w:p>
        </w:tc>
        <w:tc>
          <w:tcPr>
            <w:tcW w:w="530" w:type="pct"/>
            <w:tcBorders>
              <w:top w:val="nil"/>
              <w:left w:val="nil"/>
              <w:bottom w:val="single" w:sz="8" w:space="0" w:color="8497B0"/>
              <w:right w:val="single" w:sz="8" w:space="0" w:color="8497B0"/>
            </w:tcBorders>
            <w:noWrap/>
            <w:vAlign w:val="center"/>
            <w:hideMark/>
          </w:tcPr>
          <w:p w14:paraId="31C4CFD3"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868.65</w:t>
            </w:r>
          </w:p>
        </w:tc>
      </w:tr>
      <w:tr w:rsidR="00E03F4A" w:rsidRPr="00B73E3A" w14:paraId="173F74FA" w14:textId="77777777" w:rsidTr="00326A8C">
        <w:trPr>
          <w:trHeight w:val="510"/>
        </w:trPr>
        <w:tc>
          <w:tcPr>
            <w:tcW w:w="278" w:type="pct"/>
            <w:vMerge/>
            <w:tcBorders>
              <w:top w:val="nil"/>
              <w:left w:val="single" w:sz="8" w:space="0" w:color="92CDDB"/>
              <w:bottom w:val="single" w:sz="8" w:space="0" w:color="92CDDB"/>
              <w:right w:val="single" w:sz="8" w:space="0" w:color="92CDDB"/>
            </w:tcBorders>
            <w:vAlign w:val="center"/>
            <w:hideMark/>
          </w:tcPr>
          <w:p w14:paraId="65D56DEB" w14:textId="77777777" w:rsidR="00E03F4A" w:rsidRPr="00B73E3A" w:rsidRDefault="00E03F4A" w:rsidP="00326A8C">
            <w:pPr>
              <w:spacing w:after="0" w:line="240" w:lineRule="auto"/>
              <w:rPr>
                <w:rFonts w:eastAsia="Times New Roman" w:cs="Arial"/>
                <w:color w:val="000000"/>
                <w:sz w:val="20"/>
                <w:szCs w:val="20"/>
                <w:lang w:eastAsia="cs-CZ"/>
              </w:rPr>
            </w:pPr>
          </w:p>
        </w:tc>
        <w:tc>
          <w:tcPr>
            <w:tcW w:w="163" w:type="pct"/>
            <w:tcBorders>
              <w:top w:val="nil"/>
              <w:left w:val="nil"/>
              <w:bottom w:val="single" w:sz="8" w:space="0" w:color="92CDDB"/>
              <w:right w:val="single" w:sz="8" w:space="0" w:color="92CDDB"/>
            </w:tcBorders>
            <w:shd w:val="clear" w:color="000000" w:fill="D9D9D9"/>
            <w:vAlign w:val="center"/>
            <w:hideMark/>
          </w:tcPr>
          <w:p w14:paraId="47E6B2FA"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TL</w:t>
            </w:r>
          </w:p>
        </w:tc>
        <w:tc>
          <w:tcPr>
            <w:tcW w:w="1005" w:type="pct"/>
            <w:tcBorders>
              <w:top w:val="nil"/>
              <w:left w:val="nil"/>
              <w:bottom w:val="single" w:sz="8" w:space="0" w:color="92CDDB"/>
              <w:right w:val="single" w:sz="8" w:space="0" w:color="92CDDB"/>
            </w:tcBorders>
            <w:shd w:val="clear" w:color="000000" w:fill="D9D9D9"/>
            <w:vAlign w:val="center"/>
            <w:hideMark/>
          </w:tcPr>
          <w:p w14:paraId="786CFC28"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ÉTA</w:t>
            </w:r>
          </w:p>
        </w:tc>
        <w:tc>
          <w:tcPr>
            <w:tcW w:w="397" w:type="pct"/>
            <w:tcBorders>
              <w:top w:val="nil"/>
              <w:left w:val="nil"/>
              <w:bottom w:val="single" w:sz="8" w:space="0" w:color="92CDDB"/>
              <w:right w:val="single" w:sz="8" w:space="0" w:color="92CDDB"/>
            </w:tcBorders>
            <w:shd w:val="clear" w:color="000000" w:fill="D9D9D9"/>
            <w:noWrap/>
            <w:vAlign w:val="center"/>
            <w:hideMark/>
          </w:tcPr>
          <w:p w14:paraId="0812747C"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2018</w:t>
            </w:r>
          </w:p>
        </w:tc>
        <w:tc>
          <w:tcPr>
            <w:tcW w:w="430" w:type="pct"/>
            <w:tcBorders>
              <w:top w:val="nil"/>
              <w:left w:val="nil"/>
              <w:bottom w:val="single" w:sz="8" w:space="0" w:color="92CDDB"/>
              <w:right w:val="single" w:sz="8" w:space="0" w:color="92CDDB"/>
            </w:tcBorders>
            <w:shd w:val="clear" w:color="000000" w:fill="D9D9D9"/>
            <w:noWrap/>
            <w:vAlign w:val="center"/>
            <w:hideMark/>
          </w:tcPr>
          <w:p w14:paraId="470B6687"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2025</w:t>
            </w:r>
          </w:p>
        </w:tc>
        <w:tc>
          <w:tcPr>
            <w:tcW w:w="603" w:type="pct"/>
            <w:tcBorders>
              <w:top w:val="nil"/>
              <w:left w:val="nil"/>
              <w:bottom w:val="single" w:sz="8" w:space="0" w:color="9BC2E6"/>
              <w:right w:val="single" w:sz="8" w:space="0" w:color="9BC2E6"/>
            </w:tcBorders>
            <w:shd w:val="clear" w:color="000000" w:fill="D9D9D9"/>
            <w:noWrap/>
            <w:vAlign w:val="center"/>
            <w:hideMark/>
          </w:tcPr>
          <w:p w14:paraId="1B692CB3"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0.00</w:t>
            </w:r>
          </w:p>
        </w:tc>
        <w:tc>
          <w:tcPr>
            <w:tcW w:w="531" w:type="pct"/>
            <w:tcBorders>
              <w:top w:val="nil"/>
              <w:left w:val="nil"/>
              <w:bottom w:val="single" w:sz="8" w:space="0" w:color="9BC2E6"/>
              <w:right w:val="single" w:sz="8" w:space="0" w:color="9BC2E6"/>
            </w:tcBorders>
            <w:shd w:val="clear" w:color="000000" w:fill="D9D9D9"/>
            <w:noWrap/>
            <w:vAlign w:val="center"/>
            <w:hideMark/>
          </w:tcPr>
          <w:p w14:paraId="2CE498D5"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0.00</w:t>
            </w:r>
          </w:p>
        </w:tc>
        <w:tc>
          <w:tcPr>
            <w:tcW w:w="532" w:type="pct"/>
            <w:tcBorders>
              <w:top w:val="nil"/>
              <w:left w:val="nil"/>
              <w:bottom w:val="single" w:sz="8" w:space="0" w:color="9BC2E6"/>
              <w:right w:val="single" w:sz="8" w:space="0" w:color="9BC2E6"/>
            </w:tcBorders>
            <w:shd w:val="clear" w:color="000000" w:fill="D9D9D9"/>
            <w:noWrap/>
            <w:vAlign w:val="center"/>
            <w:hideMark/>
          </w:tcPr>
          <w:p w14:paraId="58C7F9FF"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0.00</w:t>
            </w:r>
          </w:p>
        </w:tc>
        <w:tc>
          <w:tcPr>
            <w:tcW w:w="531" w:type="pct"/>
            <w:tcBorders>
              <w:top w:val="nil"/>
              <w:left w:val="nil"/>
              <w:bottom w:val="single" w:sz="8" w:space="0" w:color="8497B0"/>
              <w:right w:val="single" w:sz="8" w:space="0" w:color="8497B0"/>
            </w:tcBorders>
            <w:shd w:val="clear" w:color="000000" w:fill="D9D9D9"/>
            <w:noWrap/>
            <w:vAlign w:val="center"/>
            <w:hideMark/>
          </w:tcPr>
          <w:p w14:paraId="0ACE8495"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0.00</w:t>
            </w:r>
          </w:p>
        </w:tc>
        <w:tc>
          <w:tcPr>
            <w:tcW w:w="530" w:type="pct"/>
            <w:tcBorders>
              <w:top w:val="nil"/>
              <w:left w:val="nil"/>
              <w:bottom w:val="single" w:sz="8" w:space="0" w:color="8497B0"/>
              <w:right w:val="single" w:sz="8" w:space="0" w:color="8497B0"/>
            </w:tcBorders>
            <w:shd w:val="clear" w:color="000000" w:fill="D9D9D9"/>
            <w:noWrap/>
            <w:vAlign w:val="center"/>
            <w:hideMark/>
          </w:tcPr>
          <w:p w14:paraId="2FC0EC8C"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0.00</w:t>
            </w:r>
          </w:p>
        </w:tc>
      </w:tr>
      <w:tr w:rsidR="00E03F4A" w:rsidRPr="00B73E3A" w14:paraId="45808869" w14:textId="77777777" w:rsidTr="00326A8C">
        <w:trPr>
          <w:trHeight w:val="510"/>
        </w:trPr>
        <w:tc>
          <w:tcPr>
            <w:tcW w:w="278" w:type="pct"/>
            <w:vMerge/>
            <w:tcBorders>
              <w:top w:val="nil"/>
              <w:left w:val="single" w:sz="8" w:space="0" w:color="92CDDB"/>
              <w:bottom w:val="single" w:sz="8" w:space="0" w:color="92CDDB"/>
              <w:right w:val="single" w:sz="8" w:space="0" w:color="92CDDB"/>
            </w:tcBorders>
            <w:vAlign w:val="center"/>
            <w:hideMark/>
          </w:tcPr>
          <w:p w14:paraId="7877648C" w14:textId="77777777" w:rsidR="00E03F4A" w:rsidRPr="00B73E3A" w:rsidRDefault="00E03F4A" w:rsidP="00326A8C">
            <w:pPr>
              <w:spacing w:after="0" w:line="240" w:lineRule="auto"/>
              <w:rPr>
                <w:rFonts w:eastAsia="Times New Roman" w:cs="Arial"/>
                <w:color w:val="000000"/>
                <w:sz w:val="20"/>
                <w:szCs w:val="20"/>
                <w:lang w:eastAsia="cs-CZ"/>
              </w:rPr>
            </w:pPr>
          </w:p>
        </w:tc>
        <w:tc>
          <w:tcPr>
            <w:tcW w:w="163" w:type="pct"/>
            <w:tcBorders>
              <w:top w:val="nil"/>
              <w:left w:val="nil"/>
              <w:bottom w:val="single" w:sz="8" w:space="0" w:color="92CDDB"/>
              <w:right w:val="single" w:sz="8" w:space="0" w:color="92CDDB"/>
            </w:tcBorders>
            <w:vAlign w:val="center"/>
            <w:hideMark/>
          </w:tcPr>
          <w:p w14:paraId="175944E0"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TM</w:t>
            </w:r>
          </w:p>
        </w:tc>
        <w:tc>
          <w:tcPr>
            <w:tcW w:w="1005" w:type="pct"/>
            <w:tcBorders>
              <w:top w:val="nil"/>
              <w:left w:val="nil"/>
              <w:bottom w:val="single" w:sz="8" w:space="0" w:color="92CDDB"/>
              <w:right w:val="single" w:sz="8" w:space="0" w:color="92CDDB"/>
            </w:tcBorders>
            <w:vAlign w:val="center"/>
            <w:hideMark/>
          </w:tcPr>
          <w:p w14:paraId="56B3FC26"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DELTA 2</w:t>
            </w:r>
          </w:p>
        </w:tc>
        <w:tc>
          <w:tcPr>
            <w:tcW w:w="397" w:type="pct"/>
            <w:tcBorders>
              <w:top w:val="nil"/>
              <w:left w:val="nil"/>
              <w:bottom w:val="single" w:sz="8" w:space="0" w:color="92CDDB"/>
              <w:right w:val="single" w:sz="8" w:space="0" w:color="92CDDB"/>
            </w:tcBorders>
            <w:noWrap/>
            <w:vAlign w:val="center"/>
            <w:hideMark/>
          </w:tcPr>
          <w:p w14:paraId="51DD0F2D"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2020</w:t>
            </w:r>
          </w:p>
        </w:tc>
        <w:tc>
          <w:tcPr>
            <w:tcW w:w="430" w:type="pct"/>
            <w:tcBorders>
              <w:top w:val="nil"/>
              <w:left w:val="nil"/>
              <w:bottom w:val="single" w:sz="8" w:space="0" w:color="92CDDB"/>
              <w:right w:val="single" w:sz="8" w:space="0" w:color="92CDDB"/>
            </w:tcBorders>
            <w:noWrap/>
            <w:vAlign w:val="center"/>
            <w:hideMark/>
          </w:tcPr>
          <w:p w14:paraId="289C153B"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2025</w:t>
            </w:r>
          </w:p>
        </w:tc>
        <w:tc>
          <w:tcPr>
            <w:tcW w:w="603" w:type="pct"/>
            <w:tcBorders>
              <w:top w:val="nil"/>
              <w:left w:val="nil"/>
              <w:bottom w:val="single" w:sz="8" w:space="0" w:color="9BC2E6"/>
              <w:right w:val="single" w:sz="8" w:space="0" w:color="9BC2E6"/>
            </w:tcBorders>
            <w:noWrap/>
            <w:vAlign w:val="center"/>
            <w:hideMark/>
          </w:tcPr>
          <w:p w14:paraId="06E730C9"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236.17</w:t>
            </w:r>
          </w:p>
        </w:tc>
        <w:tc>
          <w:tcPr>
            <w:tcW w:w="531" w:type="pct"/>
            <w:tcBorders>
              <w:top w:val="nil"/>
              <w:left w:val="nil"/>
              <w:bottom w:val="single" w:sz="8" w:space="0" w:color="9BC2E6"/>
              <w:right w:val="single" w:sz="8" w:space="0" w:color="9BC2E6"/>
            </w:tcBorders>
            <w:noWrap/>
            <w:vAlign w:val="center"/>
            <w:hideMark/>
          </w:tcPr>
          <w:p w14:paraId="6E4732E8"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248.45</w:t>
            </w:r>
          </w:p>
        </w:tc>
        <w:tc>
          <w:tcPr>
            <w:tcW w:w="532" w:type="pct"/>
            <w:tcBorders>
              <w:top w:val="nil"/>
              <w:left w:val="nil"/>
              <w:bottom w:val="single" w:sz="8" w:space="0" w:color="9BC2E6"/>
              <w:right w:val="single" w:sz="8" w:space="0" w:color="9BC2E6"/>
            </w:tcBorders>
            <w:noWrap/>
            <w:vAlign w:val="center"/>
            <w:hideMark/>
          </w:tcPr>
          <w:p w14:paraId="3C78EEB5"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340.80</w:t>
            </w:r>
          </w:p>
        </w:tc>
        <w:tc>
          <w:tcPr>
            <w:tcW w:w="531" w:type="pct"/>
            <w:tcBorders>
              <w:top w:val="nil"/>
              <w:left w:val="nil"/>
              <w:bottom w:val="single" w:sz="8" w:space="0" w:color="8497B0"/>
              <w:right w:val="single" w:sz="8" w:space="0" w:color="8497B0"/>
            </w:tcBorders>
            <w:noWrap/>
            <w:vAlign w:val="center"/>
            <w:hideMark/>
          </w:tcPr>
          <w:p w14:paraId="066A7C7C"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235.92</w:t>
            </w:r>
          </w:p>
        </w:tc>
        <w:tc>
          <w:tcPr>
            <w:tcW w:w="530" w:type="pct"/>
            <w:tcBorders>
              <w:top w:val="nil"/>
              <w:left w:val="nil"/>
              <w:bottom w:val="single" w:sz="8" w:space="0" w:color="8497B0"/>
              <w:right w:val="single" w:sz="8" w:space="0" w:color="8497B0"/>
            </w:tcBorders>
            <w:noWrap/>
            <w:vAlign w:val="center"/>
            <w:hideMark/>
          </w:tcPr>
          <w:p w14:paraId="3E3655A6"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325.46</w:t>
            </w:r>
          </w:p>
        </w:tc>
      </w:tr>
      <w:tr w:rsidR="00E03F4A" w:rsidRPr="00B73E3A" w14:paraId="6F267EF5" w14:textId="77777777" w:rsidTr="00326A8C">
        <w:trPr>
          <w:trHeight w:val="510"/>
        </w:trPr>
        <w:tc>
          <w:tcPr>
            <w:tcW w:w="278" w:type="pct"/>
            <w:vMerge/>
            <w:tcBorders>
              <w:top w:val="nil"/>
              <w:left w:val="single" w:sz="8" w:space="0" w:color="92CDDB"/>
              <w:bottom w:val="single" w:sz="8" w:space="0" w:color="92CDDB"/>
              <w:right w:val="single" w:sz="8" w:space="0" w:color="92CDDB"/>
            </w:tcBorders>
            <w:vAlign w:val="center"/>
            <w:hideMark/>
          </w:tcPr>
          <w:p w14:paraId="6EFE0C71" w14:textId="77777777" w:rsidR="00E03F4A" w:rsidRPr="00B73E3A" w:rsidRDefault="00E03F4A" w:rsidP="00326A8C">
            <w:pPr>
              <w:spacing w:after="0" w:line="240" w:lineRule="auto"/>
              <w:rPr>
                <w:rFonts w:eastAsia="Times New Roman" w:cs="Arial"/>
                <w:color w:val="000000"/>
                <w:sz w:val="20"/>
                <w:szCs w:val="20"/>
                <w:lang w:eastAsia="cs-CZ"/>
              </w:rPr>
            </w:pPr>
          </w:p>
        </w:tc>
        <w:tc>
          <w:tcPr>
            <w:tcW w:w="163" w:type="pct"/>
            <w:tcBorders>
              <w:top w:val="nil"/>
              <w:left w:val="nil"/>
              <w:bottom w:val="single" w:sz="8" w:space="0" w:color="92CDDB"/>
              <w:right w:val="single" w:sz="8" w:space="0" w:color="92CDDB"/>
            </w:tcBorders>
            <w:vAlign w:val="center"/>
            <w:hideMark/>
          </w:tcPr>
          <w:p w14:paraId="23304543"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TN</w:t>
            </w:r>
          </w:p>
        </w:tc>
        <w:tc>
          <w:tcPr>
            <w:tcW w:w="1005" w:type="pct"/>
            <w:tcBorders>
              <w:top w:val="nil"/>
              <w:left w:val="nil"/>
              <w:bottom w:val="single" w:sz="8" w:space="0" w:color="92CDDB"/>
              <w:right w:val="single" w:sz="8" w:space="0" w:color="92CDDB"/>
            </w:tcBorders>
            <w:vAlign w:val="center"/>
            <w:hideMark/>
          </w:tcPr>
          <w:p w14:paraId="0DDDD8B6"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Národní centra kompetence</w:t>
            </w:r>
          </w:p>
        </w:tc>
        <w:tc>
          <w:tcPr>
            <w:tcW w:w="397" w:type="pct"/>
            <w:tcBorders>
              <w:top w:val="nil"/>
              <w:left w:val="nil"/>
              <w:bottom w:val="single" w:sz="8" w:space="0" w:color="92CDDB"/>
              <w:right w:val="single" w:sz="8" w:space="0" w:color="92CDDB"/>
            </w:tcBorders>
            <w:noWrap/>
            <w:vAlign w:val="center"/>
            <w:hideMark/>
          </w:tcPr>
          <w:p w14:paraId="12CF6888"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2018</w:t>
            </w:r>
          </w:p>
        </w:tc>
        <w:tc>
          <w:tcPr>
            <w:tcW w:w="430" w:type="pct"/>
            <w:tcBorders>
              <w:top w:val="nil"/>
              <w:left w:val="nil"/>
              <w:bottom w:val="single" w:sz="8" w:space="0" w:color="92CDDB"/>
              <w:right w:val="single" w:sz="8" w:space="0" w:color="92CDDB"/>
            </w:tcBorders>
            <w:noWrap/>
            <w:vAlign w:val="center"/>
            <w:hideMark/>
          </w:tcPr>
          <w:p w14:paraId="39E9D58A"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2028</w:t>
            </w:r>
          </w:p>
        </w:tc>
        <w:tc>
          <w:tcPr>
            <w:tcW w:w="603" w:type="pct"/>
            <w:tcBorders>
              <w:top w:val="nil"/>
              <w:left w:val="nil"/>
              <w:bottom w:val="single" w:sz="8" w:space="0" w:color="9BC2E6"/>
              <w:right w:val="single" w:sz="8" w:space="0" w:color="9BC2E6"/>
            </w:tcBorders>
            <w:noWrap/>
            <w:vAlign w:val="center"/>
            <w:hideMark/>
          </w:tcPr>
          <w:p w14:paraId="5AB1E872"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1 036.00</w:t>
            </w:r>
          </w:p>
        </w:tc>
        <w:tc>
          <w:tcPr>
            <w:tcW w:w="531" w:type="pct"/>
            <w:tcBorders>
              <w:top w:val="nil"/>
              <w:left w:val="nil"/>
              <w:bottom w:val="single" w:sz="8" w:space="0" w:color="9BC2E6"/>
              <w:right w:val="single" w:sz="8" w:space="0" w:color="9BC2E6"/>
            </w:tcBorders>
            <w:noWrap/>
            <w:vAlign w:val="center"/>
            <w:hideMark/>
          </w:tcPr>
          <w:p w14:paraId="762F4B08"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1 462.27</w:t>
            </w:r>
          </w:p>
        </w:tc>
        <w:tc>
          <w:tcPr>
            <w:tcW w:w="532" w:type="pct"/>
            <w:tcBorders>
              <w:top w:val="nil"/>
              <w:left w:val="nil"/>
              <w:bottom w:val="single" w:sz="8" w:space="0" w:color="9BC2E6"/>
              <w:right w:val="single" w:sz="8" w:space="0" w:color="9BC2E6"/>
            </w:tcBorders>
            <w:noWrap/>
            <w:vAlign w:val="center"/>
            <w:hideMark/>
          </w:tcPr>
          <w:p w14:paraId="0F5E6825"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1 870.69</w:t>
            </w:r>
          </w:p>
        </w:tc>
        <w:tc>
          <w:tcPr>
            <w:tcW w:w="531" w:type="pct"/>
            <w:tcBorders>
              <w:top w:val="nil"/>
              <w:left w:val="nil"/>
              <w:bottom w:val="single" w:sz="8" w:space="0" w:color="8497B0"/>
              <w:right w:val="single" w:sz="8" w:space="0" w:color="8497B0"/>
            </w:tcBorders>
            <w:noWrap/>
            <w:vAlign w:val="center"/>
            <w:hideMark/>
          </w:tcPr>
          <w:p w14:paraId="33CE1F32"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1 014.95</w:t>
            </w:r>
          </w:p>
        </w:tc>
        <w:tc>
          <w:tcPr>
            <w:tcW w:w="530" w:type="pct"/>
            <w:tcBorders>
              <w:top w:val="nil"/>
              <w:left w:val="nil"/>
              <w:bottom w:val="single" w:sz="8" w:space="0" w:color="8497B0"/>
              <w:right w:val="single" w:sz="8" w:space="0" w:color="8497B0"/>
            </w:tcBorders>
            <w:noWrap/>
            <w:vAlign w:val="center"/>
            <w:hideMark/>
          </w:tcPr>
          <w:p w14:paraId="058F8D25"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1 784.16</w:t>
            </w:r>
          </w:p>
        </w:tc>
      </w:tr>
      <w:tr w:rsidR="00E03F4A" w:rsidRPr="00B73E3A" w14:paraId="0E79AF08" w14:textId="77777777" w:rsidTr="00326A8C">
        <w:trPr>
          <w:trHeight w:val="510"/>
        </w:trPr>
        <w:tc>
          <w:tcPr>
            <w:tcW w:w="278" w:type="pct"/>
            <w:vMerge/>
            <w:tcBorders>
              <w:top w:val="nil"/>
              <w:left w:val="single" w:sz="8" w:space="0" w:color="92CDDB"/>
              <w:bottom w:val="single" w:sz="8" w:space="0" w:color="92CDDB"/>
              <w:right w:val="single" w:sz="8" w:space="0" w:color="92CDDB"/>
            </w:tcBorders>
            <w:vAlign w:val="center"/>
            <w:hideMark/>
          </w:tcPr>
          <w:p w14:paraId="32E177E3" w14:textId="77777777" w:rsidR="00E03F4A" w:rsidRPr="00B73E3A" w:rsidRDefault="00E03F4A" w:rsidP="00326A8C">
            <w:pPr>
              <w:spacing w:after="0" w:line="240" w:lineRule="auto"/>
              <w:rPr>
                <w:rFonts w:eastAsia="Times New Roman" w:cs="Arial"/>
                <w:color w:val="000000"/>
                <w:sz w:val="20"/>
                <w:szCs w:val="20"/>
                <w:lang w:eastAsia="cs-CZ"/>
              </w:rPr>
            </w:pPr>
          </w:p>
        </w:tc>
        <w:tc>
          <w:tcPr>
            <w:tcW w:w="163" w:type="pct"/>
            <w:tcBorders>
              <w:top w:val="nil"/>
              <w:left w:val="nil"/>
              <w:bottom w:val="single" w:sz="8" w:space="0" w:color="92CDDB"/>
              <w:right w:val="single" w:sz="8" w:space="0" w:color="92CDDB"/>
            </w:tcBorders>
            <w:shd w:val="clear" w:color="000000" w:fill="F2F2F2"/>
            <w:vAlign w:val="center"/>
            <w:hideMark/>
          </w:tcPr>
          <w:p w14:paraId="0EC1151C"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TO</w:t>
            </w:r>
          </w:p>
        </w:tc>
        <w:tc>
          <w:tcPr>
            <w:tcW w:w="1005" w:type="pct"/>
            <w:tcBorders>
              <w:top w:val="nil"/>
              <w:left w:val="nil"/>
              <w:bottom w:val="single" w:sz="8" w:space="0" w:color="92CDDB"/>
              <w:right w:val="single" w:sz="8" w:space="0" w:color="92CDDB"/>
            </w:tcBorders>
            <w:shd w:val="clear" w:color="000000" w:fill="F2F2F2"/>
            <w:vAlign w:val="center"/>
            <w:hideMark/>
          </w:tcPr>
          <w:p w14:paraId="20539E41"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 xml:space="preserve">KAPPA </w:t>
            </w:r>
          </w:p>
        </w:tc>
        <w:tc>
          <w:tcPr>
            <w:tcW w:w="397" w:type="pct"/>
            <w:tcBorders>
              <w:top w:val="nil"/>
              <w:left w:val="nil"/>
              <w:bottom w:val="single" w:sz="8" w:space="0" w:color="92CDDB"/>
              <w:right w:val="single" w:sz="8" w:space="0" w:color="92CDDB"/>
            </w:tcBorders>
            <w:shd w:val="clear" w:color="000000" w:fill="F2F2F2"/>
            <w:noWrap/>
            <w:vAlign w:val="center"/>
            <w:hideMark/>
          </w:tcPr>
          <w:p w14:paraId="42EAD73D"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2019</w:t>
            </w:r>
          </w:p>
        </w:tc>
        <w:tc>
          <w:tcPr>
            <w:tcW w:w="430" w:type="pct"/>
            <w:tcBorders>
              <w:top w:val="nil"/>
              <w:left w:val="nil"/>
              <w:bottom w:val="single" w:sz="8" w:space="0" w:color="92CDDB"/>
              <w:right w:val="single" w:sz="8" w:space="0" w:color="92CDDB"/>
            </w:tcBorders>
            <w:shd w:val="clear" w:color="000000" w:fill="F2F2F2"/>
            <w:noWrap/>
            <w:vAlign w:val="center"/>
            <w:hideMark/>
          </w:tcPr>
          <w:p w14:paraId="46501EC5"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2024</w:t>
            </w:r>
          </w:p>
        </w:tc>
        <w:tc>
          <w:tcPr>
            <w:tcW w:w="603" w:type="pct"/>
            <w:tcBorders>
              <w:top w:val="nil"/>
              <w:left w:val="nil"/>
              <w:bottom w:val="single" w:sz="8" w:space="0" w:color="9BC2E6"/>
              <w:right w:val="single" w:sz="8" w:space="0" w:color="9BC2E6"/>
            </w:tcBorders>
            <w:shd w:val="clear" w:color="000000" w:fill="F2F2F2"/>
            <w:noWrap/>
            <w:vAlign w:val="center"/>
            <w:hideMark/>
          </w:tcPr>
          <w:p w14:paraId="0AB93CB8"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9.59</w:t>
            </w:r>
          </w:p>
        </w:tc>
        <w:tc>
          <w:tcPr>
            <w:tcW w:w="531" w:type="pct"/>
            <w:tcBorders>
              <w:top w:val="nil"/>
              <w:left w:val="nil"/>
              <w:bottom w:val="single" w:sz="8" w:space="0" w:color="9BC2E6"/>
              <w:right w:val="single" w:sz="8" w:space="0" w:color="9BC2E6"/>
            </w:tcBorders>
            <w:shd w:val="clear" w:color="000000" w:fill="F2F2F2"/>
            <w:noWrap/>
            <w:vAlign w:val="center"/>
            <w:hideMark/>
          </w:tcPr>
          <w:p w14:paraId="7F5B0774"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71.70</w:t>
            </w:r>
          </w:p>
        </w:tc>
        <w:tc>
          <w:tcPr>
            <w:tcW w:w="532" w:type="pct"/>
            <w:tcBorders>
              <w:top w:val="nil"/>
              <w:left w:val="nil"/>
              <w:bottom w:val="single" w:sz="8" w:space="0" w:color="9BC2E6"/>
              <w:right w:val="single" w:sz="8" w:space="0" w:color="9BC2E6"/>
            </w:tcBorders>
            <w:shd w:val="clear" w:color="000000" w:fill="F2F2F2"/>
            <w:noWrap/>
            <w:vAlign w:val="center"/>
            <w:hideMark/>
          </w:tcPr>
          <w:p w14:paraId="6239D836"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83.42</w:t>
            </w:r>
          </w:p>
        </w:tc>
        <w:tc>
          <w:tcPr>
            <w:tcW w:w="531" w:type="pct"/>
            <w:tcBorders>
              <w:top w:val="nil"/>
              <w:left w:val="nil"/>
              <w:bottom w:val="single" w:sz="8" w:space="0" w:color="8497B0"/>
              <w:right w:val="single" w:sz="8" w:space="0" w:color="8497B0"/>
            </w:tcBorders>
            <w:shd w:val="clear" w:color="000000" w:fill="F2F2F2"/>
            <w:noWrap/>
            <w:vAlign w:val="center"/>
            <w:hideMark/>
          </w:tcPr>
          <w:p w14:paraId="60287F2F"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106.61</w:t>
            </w:r>
          </w:p>
        </w:tc>
        <w:tc>
          <w:tcPr>
            <w:tcW w:w="530" w:type="pct"/>
            <w:tcBorders>
              <w:top w:val="nil"/>
              <w:left w:val="nil"/>
              <w:bottom w:val="single" w:sz="8" w:space="0" w:color="8497B0"/>
              <w:right w:val="single" w:sz="8" w:space="0" w:color="8497B0"/>
            </w:tcBorders>
            <w:shd w:val="clear" w:color="000000" w:fill="F2F2F2"/>
            <w:noWrap/>
            <w:vAlign w:val="center"/>
            <w:hideMark/>
          </w:tcPr>
          <w:p w14:paraId="0CA419AD"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118.16</w:t>
            </w:r>
          </w:p>
        </w:tc>
      </w:tr>
      <w:tr w:rsidR="00E03F4A" w:rsidRPr="00B73E3A" w14:paraId="3B23F297" w14:textId="77777777" w:rsidTr="00326A8C">
        <w:trPr>
          <w:trHeight w:val="510"/>
        </w:trPr>
        <w:tc>
          <w:tcPr>
            <w:tcW w:w="278" w:type="pct"/>
            <w:vMerge/>
            <w:tcBorders>
              <w:top w:val="nil"/>
              <w:left w:val="single" w:sz="8" w:space="0" w:color="92CDDB"/>
              <w:bottom w:val="single" w:sz="8" w:space="0" w:color="92CDDB"/>
              <w:right w:val="single" w:sz="8" w:space="0" w:color="92CDDB"/>
            </w:tcBorders>
            <w:vAlign w:val="center"/>
            <w:hideMark/>
          </w:tcPr>
          <w:p w14:paraId="6D3C8DAF" w14:textId="77777777" w:rsidR="00E03F4A" w:rsidRPr="00B73E3A" w:rsidRDefault="00E03F4A" w:rsidP="00326A8C">
            <w:pPr>
              <w:spacing w:after="0" w:line="240" w:lineRule="auto"/>
              <w:rPr>
                <w:rFonts w:eastAsia="Times New Roman" w:cs="Arial"/>
                <w:color w:val="000000"/>
                <w:sz w:val="20"/>
                <w:szCs w:val="20"/>
                <w:lang w:eastAsia="cs-CZ"/>
              </w:rPr>
            </w:pPr>
          </w:p>
        </w:tc>
        <w:tc>
          <w:tcPr>
            <w:tcW w:w="163" w:type="pct"/>
            <w:tcBorders>
              <w:top w:val="nil"/>
              <w:left w:val="nil"/>
              <w:bottom w:val="single" w:sz="8" w:space="0" w:color="92CDDB"/>
              <w:right w:val="single" w:sz="8" w:space="0" w:color="92CDDB"/>
            </w:tcBorders>
            <w:vAlign w:val="center"/>
            <w:hideMark/>
          </w:tcPr>
          <w:p w14:paraId="4714733A"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TQ</w:t>
            </w:r>
          </w:p>
        </w:tc>
        <w:tc>
          <w:tcPr>
            <w:tcW w:w="1005" w:type="pct"/>
            <w:tcBorders>
              <w:top w:val="nil"/>
              <w:left w:val="nil"/>
              <w:bottom w:val="single" w:sz="8" w:space="0" w:color="92CDDB"/>
              <w:right w:val="single" w:sz="8" w:space="0" w:color="92CDDB"/>
            </w:tcBorders>
            <w:vAlign w:val="center"/>
            <w:hideMark/>
          </w:tcPr>
          <w:p w14:paraId="76954D43"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SIGMA</w:t>
            </w:r>
          </w:p>
        </w:tc>
        <w:tc>
          <w:tcPr>
            <w:tcW w:w="397" w:type="pct"/>
            <w:tcBorders>
              <w:top w:val="nil"/>
              <w:left w:val="nil"/>
              <w:bottom w:val="single" w:sz="8" w:space="0" w:color="92CDDB"/>
              <w:right w:val="single" w:sz="8" w:space="0" w:color="92CDDB"/>
            </w:tcBorders>
            <w:noWrap/>
            <w:vAlign w:val="center"/>
            <w:hideMark/>
          </w:tcPr>
          <w:p w14:paraId="58C1F155"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2022</w:t>
            </w:r>
          </w:p>
        </w:tc>
        <w:tc>
          <w:tcPr>
            <w:tcW w:w="430" w:type="pct"/>
            <w:tcBorders>
              <w:top w:val="nil"/>
              <w:left w:val="nil"/>
              <w:bottom w:val="single" w:sz="8" w:space="0" w:color="92CDDB"/>
              <w:right w:val="single" w:sz="8" w:space="0" w:color="92CDDB"/>
            </w:tcBorders>
            <w:noWrap/>
            <w:vAlign w:val="center"/>
            <w:hideMark/>
          </w:tcPr>
          <w:p w14:paraId="23543C99"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2029</w:t>
            </w:r>
          </w:p>
        </w:tc>
        <w:tc>
          <w:tcPr>
            <w:tcW w:w="603" w:type="pct"/>
            <w:tcBorders>
              <w:top w:val="nil"/>
              <w:left w:val="nil"/>
              <w:bottom w:val="single" w:sz="8" w:space="0" w:color="9BC2E6"/>
              <w:right w:val="single" w:sz="8" w:space="0" w:color="9BC2E6"/>
            </w:tcBorders>
            <w:noWrap/>
            <w:vAlign w:val="center"/>
            <w:hideMark/>
          </w:tcPr>
          <w:p w14:paraId="71A57094"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274.20</w:t>
            </w:r>
          </w:p>
        </w:tc>
        <w:tc>
          <w:tcPr>
            <w:tcW w:w="531" w:type="pct"/>
            <w:tcBorders>
              <w:top w:val="nil"/>
              <w:left w:val="nil"/>
              <w:bottom w:val="single" w:sz="8" w:space="0" w:color="9BC2E6"/>
              <w:right w:val="single" w:sz="8" w:space="0" w:color="9BC2E6"/>
            </w:tcBorders>
            <w:noWrap/>
            <w:vAlign w:val="center"/>
            <w:hideMark/>
          </w:tcPr>
          <w:p w14:paraId="72DCC40A"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443.88</w:t>
            </w:r>
          </w:p>
        </w:tc>
        <w:tc>
          <w:tcPr>
            <w:tcW w:w="532" w:type="pct"/>
            <w:tcBorders>
              <w:top w:val="nil"/>
              <w:left w:val="nil"/>
              <w:bottom w:val="single" w:sz="8" w:space="0" w:color="9BC2E6"/>
              <w:right w:val="single" w:sz="8" w:space="0" w:color="9BC2E6"/>
            </w:tcBorders>
            <w:noWrap/>
            <w:vAlign w:val="center"/>
            <w:hideMark/>
          </w:tcPr>
          <w:p w14:paraId="1A59B197"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612.44</w:t>
            </w:r>
          </w:p>
        </w:tc>
        <w:tc>
          <w:tcPr>
            <w:tcW w:w="531" w:type="pct"/>
            <w:tcBorders>
              <w:top w:val="nil"/>
              <w:left w:val="nil"/>
              <w:bottom w:val="single" w:sz="8" w:space="0" w:color="8497B0"/>
              <w:right w:val="single" w:sz="8" w:space="0" w:color="8497B0"/>
            </w:tcBorders>
            <w:noWrap/>
            <w:vAlign w:val="center"/>
            <w:hideMark/>
          </w:tcPr>
          <w:p w14:paraId="7DFEAE5E"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403.35</w:t>
            </w:r>
          </w:p>
        </w:tc>
        <w:tc>
          <w:tcPr>
            <w:tcW w:w="530" w:type="pct"/>
            <w:tcBorders>
              <w:top w:val="nil"/>
              <w:left w:val="nil"/>
              <w:bottom w:val="single" w:sz="8" w:space="0" w:color="8497B0"/>
              <w:right w:val="single" w:sz="8" w:space="0" w:color="8497B0"/>
            </w:tcBorders>
            <w:noWrap/>
            <w:vAlign w:val="center"/>
            <w:hideMark/>
          </w:tcPr>
          <w:p w14:paraId="2E74350D"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546.69</w:t>
            </w:r>
          </w:p>
        </w:tc>
      </w:tr>
      <w:tr w:rsidR="00E03F4A" w:rsidRPr="00B73E3A" w14:paraId="575003AF" w14:textId="77777777" w:rsidTr="00326A8C">
        <w:trPr>
          <w:trHeight w:val="510"/>
        </w:trPr>
        <w:tc>
          <w:tcPr>
            <w:tcW w:w="278" w:type="pct"/>
            <w:vMerge/>
            <w:tcBorders>
              <w:top w:val="nil"/>
              <w:left w:val="single" w:sz="8" w:space="0" w:color="92CDDB"/>
              <w:bottom w:val="single" w:sz="8" w:space="0" w:color="92CDDB"/>
              <w:right w:val="single" w:sz="8" w:space="0" w:color="92CDDB"/>
            </w:tcBorders>
            <w:vAlign w:val="center"/>
            <w:hideMark/>
          </w:tcPr>
          <w:p w14:paraId="6D1E4D8A" w14:textId="77777777" w:rsidR="00E03F4A" w:rsidRPr="00B73E3A" w:rsidRDefault="00E03F4A" w:rsidP="00326A8C">
            <w:pPr>
              <w:spacing w:after="0" w:line="240" w:lineRule="auto"/>
              <w:rPr>
                <w:rFonts w:eastAsia="Times New Roman" w:cs="Arial"/>
                <w:color w:val="000000"/>
                <w:sz w:val="20"/>
                <w:szCs w:val="20"/>
                <w:lang w:eastAsia="cs-CZ"/>
              </w:rPr>
            </w:pPr>
          </w:p>
        </w:tc>
        <w:tc>
          <w:tcPr>
            <w:tcW w:w="163" w:type="pct"/>
            <w:tcBorders>
              <w:top w:val="nil"/>
              <w:left w:val="nil"/>
              <w:bottom w:val="single" w:sz="8" w:space="0" w:color="92CDDB"/>
              <w:right w:val="single" w:sz="8" w:space="0" w:color="92CDDB"/>
            </w:tcBorders>
            <w:vAlign w:val="center"/>
            <w:hideMark/>
          </w:tcPr>
          <w:p w14:paraId="3E919A4C"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TT</w:t>
            </w:r>
          </w:p>
        </w:tc>
        <w:tc>
          <w:tcPr>
            <w:tcW w:w="1005" w:type="pct"/>
            <w:tcBorders>
              <w:top w:val="nil"/>
              <w:left w:val="nil"/>
              <w:bottom w:val="single" w:sz="8" w:space="0" w:color="92CDDB"/>
              <w:right w:val="single" w:sz="8" w:space="0" w:color="92CDDB"/>
            </w:tcBorders>
            <w:vAlign w:val="center"/>
            <w:hideMark/>
          </w:tcPr>
          <w:p w14:paraId="72D9367D"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BETA3</w:t>
            </w:r>
          </w:p>
        </w:tc>
        <w:tc>
          <w:tcPr>
            <w:tcW w:w="397" w:type="pct"/>
            <w:tcBorders>
              <w:top w:val="nil"/>
              <w:left w:val="nil"/>
              <w:bottom w:val="single" w:sz="8" w:space="0" w:color="92CDDB"/>
              <w:right w:val="single" w:sz="8" w:space="0" w:color="92CDDB"/>
            </w:tcBorders>
            <w:noWrap/>
            <w:vAlign w:val="center"/>
            <w:hideMark/>
          </w:tcPr>
          <w:p w14:paraId="120C544C"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2023</w:t>
            </w:r>
          </w:p>
        </w:tc>
        <w:tc>
          <w:tcPr>
            <w:tcW w:w="430" w:type="pct"/>
            <w:tcBorders>
              <w:top w:val="nil"/>
              <w:left w:val="nil"/>
              <w:bottom w:val="single" w:sz="8" w:space="0" w:color="92CDDB"/>
              <w:right w:val="single" w:sz="8" w:space="0" w:color="92CDDB"/>
            </w:tcBorders>
            <w:noWrap/>
            <w:vAlign w:val="center"/>
            <w:hideMark/>
          </w:tcPr>
          <w:p w14:paraId="7E0A96E3"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2031</w:t>
            </w:r>
          </w:p>
        </w:tc>
        <w:tc>
          <w:tcPr>
            <w:tcW w:w="603" w:type="pct"/>
            <w:tcBorders>
              <w:top w:val="nil"/>
              <w:left w:val="nil"/>
              <w:bottom w:val="single" w:sz="8" w:space="0" w:color="9BC2E6"/>
              <w:right w:val="single" w:sz="8" w:space="0" w:color="9BC2E6"/>
            </w:tcBorders>
            <w:noWrap/>
            <w:vAlign w:val="center"/>
            <w:hideMark/>
          </w:tcPr>
          <w:p w14:paraId="774B73E7"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0.00</w:t>
            </w:r>
          </w:p>
        </w:tc>
        <w:tc>
          <w:tcPr>
            <w:tcW w:w="531" w:type="pct"/>
            <w:tcBorders>
              <w:top w:val="nil"/>
              <w:left w:val="nil"/>
              <w:bottom w:val="single" w:sz="8" w:space="0" w:color="9BC2E6"/>
              <w:right w:val="single" w:sz="8" w:space="0" w:color="9BC2E6"/>
            </w:tcBorders>
            <w:noWrap/>
            <w:vAlign w:val="center"/>
            <w:hideMark/>
          </w:tcPr>
          <w:p w14:paraId="24AA656C"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0.00</w:t>
            </w:r>
          </w:p>
        </w:tc>
        <w:tc>
          <w:tcPr>
            <w:tcW w:w="532" w:type="pct"/>
            <w:tcBorders>
              <w:top w:val="nil"/>
              <w:left w:val="nil"/>
              <w:bottom w:val="single" w:sz="8" w:space="0" w:color="9BC2E6"/>
              <w:right w:val="single" w:sz="8" w:space="0" w:color="9BC2E6"/>
            </w:tcBorders>
            <w:noWrap/>
            <w:vAlign w:val="center"/>
            <w:hideMark/>
          </w:tcPr>
          <w:p w14:paraId="3801A77E"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0.00</w:t>
            </w:r>
          </w:p>
        </w:tc>
        <w:tc>
          <w:tcPr>
            <w:tcW w:w="531" w:type="pct"/>
            <w:tcBorders>
              <w:top w:val="nil"/>
              <w:left w:val="nil"/>
              <w:bottom w:val="single" w:sz="8" w:space="0" w:color="8497B0"/>
              <w:right w:val="single" w:sz="8" w:space="0" w:color="8497B0"/>
            </w:tcBorders>
            <w:noWrap/>
            <w:vAlign w:val="center"/>
            <w:hideMark/>
          </w:tcPr>
          <w:p w14:paraId="32835CA6"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0.00</w:t>
            </w:r>
          </w:p>
        </w:tc>
        <w:tc>
          <w:tcPr>
            <w:tcW w:w="530" w:type="pct"/>
            <w:tcBorders>
              <w:top w:val="nil"/>
              <w:left w:val="nil"/>
              <w:bottom w:val="single" w:sz="8" w:space="0" w:color="8497B0"/>
              <w:right w:val="single" w:sz="8" w:space="0" w:color="8497B0"/>
            </w:tcBorders>
            <w:noWrap/>
            <w:vAlign w:val="center"/>
            <w:hideMark/>
          </w:tcPr>
          <w:p w14:paraId="748617E8"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0.00</w:t>
            </w:r>
          </w:p>
        </w:tc>
      </w:tr>
      <w:tr w:rsidR="00E03F4A" w:rsidRPr="00B73E3A" w14:paraId="52CDEA4E" w14:textId="77777777" w:rsidTr="00326A8C">
        <w:trPr>
          <w:trHeight w:val="510"/>
        </w:trPr>
        <w:tc>
          <w:tcPr>
            <w:tcW w:w="278" w:type="pct"/>
            <w:vMerge/>
            <w:tcBorders>
              <w:top w:val="nil"/>
              <w:left w:val="single" w:sz="8" w:space="0" w:color="92CDDB"/>
              <w:bottom w:val="single" w:sz="8" w:space="0" w:color="92CDDB"/>
              <w:right w:val="single" w:sz="8" w:space="0" w:color="92CDDB"/>
            </w:tcBorders>
            <w:vAlign w:val="center"/>
            <w:hideMark/>
          </w:tcPr>
          <w:p w14:paraId="33AA39B3" w14:textId="77777777" w:rsidR="00E03F4A" w:rsidRPr="00B73E3A" w:rsidRDefault="00E03F4A" w:rsidP="00326A8C">
            <w:pPr>
              <w:spacing w:after="0" w:line="240" w:lineRule="auto"/>
              <w:rPr>
                <w:rFonts w:eastAsia="Times New Roman" w:cs="Arial"/>
                <w:color w:val="000000"/>
                <w:sz w:val="20"/>
                <w:szCs w:val="20"/>
                <w:lang w:eastAsia="cs-CZ"/>
              </w:rPr>
            </w:pPr>
          </w:p>
        </w:tc>
        <w:tc>
          <w:tcPr>
            <w:tcW w:w="163" w:type="pct"/>
            <w:tcBorders>
              <w:top w:val="nil"/>
              <w:left w:val="nil"/>
              <w:bottom w:val="single" w:sz="8" w:space="0" w:color="92CDDB"/>
              <w:right w:val="single" w:sz="8" w:space="0" w:color="92CDDB"/>
            </w:tcBorders>
            <w:shd w:val="clear" w:color="000000" w:fill="CAEDFB"/>
            <w:vAlign w:val="center"/>
            <w:hideMark/>
          </w:tcPr>
          <w:p w14:paraId="24745BCD"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TS</w:t>
            </w:r>
          </w:p>
        </w:tc>
        <w:tc>
          <w:tcPr>
            <w:tcW w:w="1005" w:type="pct"/>
            <w:tcBorders>
              <w:top w:val="nil"/>
              <w:left w:val="nil"/>
              <w:bottom w:val="single" w:sz="8" w:space="0" w:color="92CDDB"/>
              <w:right w:val="single" w:sz="8" w:space="0" w:color="92CDDB"/>
            </w:tcBorders>
            <w:shd w:val="clear" w:color="000000" w:fill="CAEDFB"/>
            <w:vAlign w:val="center"/>
            <w:hideMark/>
          </w:tcPr>
          <w:p w14:paraId="1EF27DCC"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THÉTA 2</w:t>
            </w:r>
          </w:p>
        </w:tc>
        <w:tc>
          <w:tcPr>
            <w:tcW w:w="397" w:type="pct"/>
            <w:tcBorders>
              <w:top w:val="nil"/>
              <w:left w:val="nil"/>
              <w:bottom w:val="single" w:sz="8" w:space="0" w:color="92CDDB"/>
              <w:right w:val="single" w:sz="8" w:space="0" w:color="92CDDB"/>
            </w:tcBorders>
            <w:shd w:val="clear" w:color="000000" w:fill="CAEDFB"/>
            <w:noWrap/>
            <w:vAlign w:val="center"/>
            <w:hideMark/>
          </w:tcPr>
          <w:p w14:paraId="57D0C909"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2024</w:t>
            </w:r>
          </w:p>
        </w:tc>
        <w:tc>
          <w:tcPr>
            <w:tcW w:w="430" w:type="pct"/>
            <w:tcBorders>
              <w:top w:val="nil"/>
              <w:left w:val="nil"/>
              <w:bottom w:val="single" w:sz="8" w:space="0" w:color="92CDDB"/>
              <w:right w:val="single" w:sz="8" w:space="0" w:color="92CDDB"/>
            </w:tcBorders>
            <w:shd w:val="clear" w:color="000000" w:fill="CAEDFB"/>
            <w:noWrap/>
            <w:vAlign w:val="center"/>
            <w:hideMark/>
          </w:tcPr>
          <w:p w14:paraId="7FBD3482"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2031</w:t>
            </w:r>
          </w:p>
        </w:tc>
        <w:tc>
          <w:tcPr>
            <w:tcW w:w="603" w:type="pct"/>
            <w:tcBorders>
              <w:top w:val="nil"/>
              <w:left w:val="nil"/>
              <w:bottom w:val="single" w:sz="8" w:space="0" w:color="9BC2E6"/>
              <w:right w:val="single" w:sz="8" w:space="0" w:color="9BC2E6"/>
            </w:tcBorders>
            <w:shd w:val="clear" w:color="000000" w:fill="CAEDFB"/>
            <w:noWrap/>
            <w:vAlign w:val="center"/>
            <w:hideMark/>
          </w:tcPr>
          <w:p w14:paraId="1894620E"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100.00</w:t>
            </w:r>
          </w:p>
        </w:tc>
        <w:tc>
          <w:tcPr>
            <w:tcW w:w="531" w:type="pct"/>
            <w:tcBorders>
              <w:top w:val="nil"/>
              <w:left w:val="nil"/>
              <w:bottom w:val="single" w:sz="8" w:space="0" w:color="9BC2E6"/>
              <w:right w:val="single" w:sz="8" w:space="0" w:color="9BC2E6"/>
            </w:tcBorders>
            <w:shd w:val="clear" w:color="000000" w:fill="CAEDFB"/>
            <w:noWrap/>
            <w:vAlign w:val="center"/>
            <w:hideMark/>
          </w:tcPr>
          <w:p w14:paraId="0F826C42"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191.56</w:t>
            </w:r>
          </w:p>
        </w:tc>
        <w:tc>
          <w:tcPr>
            <w:tcW w:w="532" w:type="pct"/>
            <w:tcBorders>
              <w:top w:val="nil"/>
              <w:left w:val="nil"/>
              <w:bottom w:val="single" w:sz="8" w:space="0" w:color="9BC2E6"/>
              <w:right w:val="single" w:sz="8" w:space="0" w:color="9BC2E6"/>
            </w:tcBorders>
            <w:shd w:val="clear" w:color="000000" w:fill="CAEDFB"/>
            <w:noWrap/>
            <w:vAlign w:val="center"/>
            <w:hideMark/>
          </w:tcPr>
          <w:p w14:paraId="197FEA29"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271.73</w:t>
            </w:r>
          </w:p>
        </w:tc>
        <w:tc>
          <w:tcPr>
            <w:tcW w:w="531" w:type="pct"/>
            <w:tcBorders>
              <w:top w:val="nil"/>
              <w:left w:val="nil"/>
              <w:bottom w:val="single" w:sz="8" w:space="0" w:color="8497B0"/>
              <w:right w:val="single" w:sz="8" w:space="0" w:color="8497B0"/>
            </w:tcBorders>
            <w:shd w:val="clear" w:color="000000" w:fill="CAEDFB"/>
            <w:noWrap/>
            <w:vAlign w:val="center"/>
            <w:hideMark/>
          </w:tcPr>
          <w:p w14:paraId="5B46D3A0"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173.21</w:t>
            </w:r>
          </w:p>
        </w:tc>
        <w:tc>
          <w:tcPr>
            <w:tcW w:w="530" w:type="pct"/>
            <w:tcBorders>
              <w:top w:val="nil"/>
              <w:left w:val="nil"/>
              <w:bottom w:val="single" w:sz="8" w:space="0" w:color="8497B0"/>
              <w:right w:val="single" w:sz="8" w:space="0" w:color="8497B0"/>
            </w:tcBorders>
            <w:shd w:val="clear" w:color="000000" w:fill="CAEDFB"/>
            <w:noWrap/>
            <w:vAlign w:val="center"/>
            <w:hideMark/>
          </w:tcPr>
          <w:p w14:paraId="47318BD3"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244.77</w:t>
            </w:r>
          </w:p>
        </w:tc>
      </w:tr>
      <w:tr w:rsidR="00E03F4A" w:rsidRPr="00B73E3A" w14:paraId="3F15A4F8" w14:textId="77777777" w:rsidTr="00326A8C">
        <w:trPr>
          <w:trHeight w:val="510"/>
        </w:trPr>
        <w:tc>
          <w:tcPr>
            <w:tcW w:w="278" w:type="pct"/>
            <w:tcBorders>
              <w:top w:val="nil"/>
              <w:left w:val="single" w:sz="8" w:space="0" w:color="92CDDB"/>
              <w:bottom w:val="single" w:sz="8" w:space="0" w:color="92CDDB"/>
              <w:right w:val="single" w:sz="8" w:space="0" w:color="92CDDB"/>
            </w:tcBorders>
            <w:noWrap/>
            <w:vAlign w:val="center"/>
            <w:hideMark/>
          </w:tcPr>
          <w:p w14:paraId="40A28535"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lastRenderedPageBreak/>
              <w:t>MPO</w:t>
            </w:r>
          </w:p>
        </w:tc>
        <w:tc>
          <w:tcPr>
            <w:tcW w:w="163" w:type="pct"/>
            <w:tcBorders>
              <w:top w:val="nil"/>
              <w:left w:val="nil"/>
              <w:bottom w:val="single" w:sz="8" w:space="0" w:color="92CDDB"/>
              <w:right w:val="single" w:sz="8" w:space="0" w:color="92CDDB"/>
            </w:tcBorders>
            <w:vAlign w:val="center"/>
            <w:hideMark/>
          </w:tcPr>
          <w:p w14:paraId="35DD180C"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FX</w:t>
            </w:r>
          </w:p>
        </w:tc>
        <w:tc>
          <w:tcPr>
            <w:tcW w:w="1005" w:type="pct"/>
            <w:tcBorders>
              <w:top w:val="nil"/>
              <w:left w:val="nil"/>
              <w:bottom w:val="single" w:sz="8" w:space="0" w:color="92CDDB"/>
              <w:right w:val="single" w:sz="8" w:space="0" w:color="92CDDB"/>
            </w:tcBorders>
            <w:vAlign w:val="center"/>
            <w:hideMark/>
          </w:tcPr>
          <w:p w14:paraId="7DF05D5F" w14:textId="77777777" w:rsidR="00E03F4A" w:rsidRPr="00B73E3A" w:rsidRDefault="00E03F4A" w:rsidP="00326A8C">
            <w:pPr>
              <w:spacing w:after="0" w:line="240" w:lineRule="auto"/>
              <w:rPr>
                <w:rFonts w:eastAsia="Times New Roman" w:cs="Arial"/>
                <w:color w:val="000000"/>
                <w:sz w:val="20"/>
                <w:szCs w:val="20"/>
                <w:lang w:eastAsia="cs-CZ"/>
              </w:rPr>
            </w:pPr>
            <w:proofErr w:type="spellStart"/>
            <w:r w:rsidRPr="00B73E3A">
              <w:rPr>
                <w:rFonts w:eastAsia="Times New Roman" w:cs="Arial"/>
                <w:color w:val="000000"/>
                <w:sz w:val="20"/>
                <w:szCs w:val="20"/>
                <w:lang w:eastAsia="cs-CZ"/>
              </w:rPr>
              <w:t>The</w:t>
            </w:r>
            <w:proofErr w:type="spellEnd"/>
            <w:r w:rsidRPr="00B73E3A">
              <w:rPr>
                <w:rFonts w:eastAsia="Times New Roman" w:cs="Arial"/>
                <w:color w:val="000000"/>
                <w:sz w:val="20"/>
                <w:szCs w:val="20"/>
                <w:lang w:eastAsia="cs-CZ"/>
              </w:rPr>
              <w:t xml:space="preserve"> Country </w:t>
            </w:r>
            <w:proofErr w:type="spellStart"/>
            <w:r w:rsidRPr="00B73E3A">
              <w:rPr>
                <w:rFonts w:eastAsia="Times New Roman" w:cs="Arial"/>
                <w:color w:val="000000"/>
                <w:sz w:val="20"/>
                <w:szCs w:val="20"/>
                <w:lang w:eastAsia="cs-CZ"/>
              </w:rPr>
              <w:t>for</w:t>
            </w:r>
            <w:proofErr w:type="spellEnd"/>
            <w:r w:rsidRPr="00B73E3A">
              <w:rPr>
                <w:rFonts w:eastAsia="Times New Roman" w:cs="Arial"/>
                <w:color w:val="000000"/>
                <w:sz w:val="20"/>
                <w:szCs w:val="20"/>
                <w:lang w:eastAsia="cs-CZ"/>
              </w:rPr>
              <w:t xml:space="preserve"> </w:t>
            </w:r>
            <w:proofErr w:type="spellStart"/>
            <w:r w:rsidRPr="00B73E3A">
              <w:rPr>
                <w:rFonts w:eastAsia="Times New Roman" w:cs="Arial"/>
                <w:color w:val="000000"/>
                <w:sz w:val="20"/>
                <w:szCs w:val="20"/>
                <w:lang w:eastAsia="cs-CZ"/>
              </w:rPr>
              <w:t>the</w:t>
            </w:r>
            <w:proofErr w:type="spellEnd"/>
            <w:r w:rsidRPr="00B73E3A">
              <w:rPr>
                <w:rFonts w:eastAsia="Times New Roman" w:cs="Arial"/>
                <w:color w:val="000000"/>
                <w:sz w:val="20"/>
                <w:szCs w:val="20"/>
                <w:lang w:eastAsia="cs-CZ"/>
              </w:rPr>
              <w:t xml:space="preserve"> </w:t>
            </w:r>
            <w:proofErr w:type="spellStart"/>
            <w:r w:rsidRPr="00B73E3A">
              <w:rPr>
                <w:rFonts w:eastAsia="Times New Roman" w:cs="Arial"/>
                <w:color w:val="000000"/>
                <w:sz w:val="20"/>
                <w:szCs w:val="20"/>
                <w:lang w:eastAsia="cs-CZ"/>
              </w:rPr>
              <w:t>Future</w:t>
            </w:r>
            <w:proofErr w:type="spellEnd"/>
          </w:p>
        </w:tc>
        <w:tc>
          <w:tcPr>
            <w:tcW w:w="397" w:type="pct"/>
            <w:tcBorders>
              <w:top w:val="nil"/>
              <w:left w:val="nil"/>
              <w:bottom w:val="single" w:sz="8" w:space="0" w:color="92CDDB"/>
              <w:right w:val="single" w:sz="8" w:space="0" w:color="92CDDB"/>
            </w:tcBorders>
            <w:noWrap/>
            <w:vAlign w:val="center"/>
            <w:hideMark/>
          </w:tcPr>
          <w:p w14:paraId="093AFDA0"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2020</w:t>
            </w:r>
          </w:p>
        </w:tc>
        <w:tc>
          <w:tcPr>
            <w:tcW w:w="430" w:type="pct"/>
            <w:tcBorders>
              <w:top w:val="nil"/>
              <w:left w:val="nil"/>
              <w:bottom w:val="single" w:sz="8" w:space="0" w:color="92CDDB"/>
              <w:right w:val="single" w:sz="8" w:space="0" w:color="92CDDB"/>
            </w:tcBorders>
            <w:noWrap/>
            <w:vAlign w:val="center"/>
            <w:hideMark/>
          </w:tcPr>
          <w:p w14:paraId="37209D32"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2027</w:t>
            </w:r>
          </w:p>
        </w:tc>
        <w:tc>
          <w:tcPr>
            <w:tcW w:w="603" w:type="pct"/>
            <w:tcBorders>
              <w:top w:val="nil"/>
              <w:left w:val="nil"/>
              <w:bottom w:val="single" w:sz="8" w:space="0" w:color="9BC2E6"/>
              <w:right w:val="single" w:sz="8" w:space="0" w:color="9BC2E6"/>
            </w:tcBorders>
            <w:noWrap/>
            <w:vAlign w:val="center"/>
            <w:hideMark/>
          </w:tcPr>
          <w:p w14:paraId="793B583C"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707.99</w:t>
            </w:r>
          </w:p>
        </w:tc>
        <w:tc>
          <w:tcPr>
            <w:tcW w:w="531" w:type="pct"/>
            <w:tcBorders>
              <w:top w:val="nil"/>
              <w:left w:val="nil"/>
              <w:bottom w:val="single" w:sz="8" w:space="0" w:color="9BC2E6"/>
              <w:right w:val="single" w:sz="8" w:space="0" w:color="9BC2E6"/>
            </w:tcBorders>
            <w:noWrap/>
            <w:vAlign w:val="center"/>
            <w:hideMark/>
          </w:tcPr>
          <w:p w14:paraId="74B4E42A"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740.94</w:t>
            </w:r>
          </w:p>
        </w:tc>
        <w:tc>
          <w:tcPr>
            <w:tcW w:w="532" w:type="pct"/>
            <w:tcBorders>
              <w:top w:val="nil"/>
              <w:left w:val="nil"/>
              <w:bottom w:val="single" w:sz="8" w:space="0" w:color="9BC2E6"/>
              <w:right w:val="single" w:sz="8" w:space="0" w:color="9BC2E6"/>
            </w:tcBorders>
            <w:noWrap/>
            <w:vAlign w:val="center"/>
            <w:hideMark/>
          </w:tcPr>
          <w:p w14:paraId="5AA20E86"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1 378.96</w:t>
            </w:r>
          </w:p>
        </w:tc>
        <w:tc>
          <w:tcPr>
            <w:tcW w:w="531" w:type="pct"/>
            <w:tcBorders>
              <w:top w:val="nil"/>
              <w:left w:val="nil"/>
              <w:bottom w:val="single" w:sz="8" w:space="0" w:color="8497B0"/>
              <w:right w:val="single" w:sz="8" w:space="0" w:color="8497B0"/>
            </w:tcBorders>
            <w:noWrap/>
            <w:vAlign w:val="center"/>
            <w:hideMark/>
          </w:tcPr>
          <w:p w14:paraId="161420D8"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681.17</w:t>
            </w:r>
          </w:p>
        </w:tc>
        <w:tc>
          <w:tcPr>
            <w:tcW w:w="530" w:type="pct"/>
            <w:tcBorders>
              <w:top w:val="nil"/>
              <w:left w:val="nil"/>
              <w:bottom w:val="single" w:sz="8" w:space="0" w:color="8497B0"/>
              <w:right w:val="single" w:sz="8" w:space="0" w:color="8497B0"/>
            </w:tcBorders>
            <w:noWrap/>
            <w:vAlign w:val="center"/>
            <w:hideMark/>
          </w:tcPr>
          <w:p w14:paraId="1D3CC31B"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1 323.96</w:t>
            </w:r>
          </w:p>
        </w:tc>
      </w:tr>
      <w:tr w:rsidR="00E03F4A" w:rsidRPr="00B73E3A" w14:paraId="7B0812F9" w14:textId="77777777" w:rsidTr="00326A8C">
        <w:trPr>
          <w:trHeight w:val="510"/>
        </w:trPr>
        <w:tc>
          <w:tcPr>
            <w:tcW w:w="278" w:type="pct"/>
            <w:tcBorders>
              <w:top w:val="nil"/>
              <w:left w:val="single" w:sz="8" w:space="0" w:color="92CDDB"/>
              <w:bottom w:val="single" w:sz="8" w:space="0" w:color="92CDDB"/>
              <w:right w:val="single" w:sz="8" w:space="0" w:color="92CDDB"/>
            </w:tcBorders>
            <w:noWrap/>
            <w:vAlign w:val="center"/>
            <w:hideMark/>
          </w:tcPr>
          <w:p w14:paraId="3C66A6D8"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MK</w:t>
            </w:r>
          </w:p>
        </w:tc>
        <w:tc>
          <w:tcPr>
            <w:tcW w:w="163" w:type="pct"/>
            <w:tcBorders>
              <w:top w:val="nil"/>
              <w:left w:val="nil"/>
              <w:bottom w:val="single" w:sz="8" w:space="0" w:color="92CDDB"/>
              <w:right w:val="single" w:sz="8" w:space="0" w:color="92CDDB"/>
            </w:tcBorders>
            <w:vAlign w:val="center"/>
            <w:hideMark/>
          </w:tcPr>
          <w:p w14:paraId="491B83C3"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DH</w:t>
            </w:r>
          </w:p>
        </w:tc>
        <w:tc>
          <w:tcPr>
            <w:tcW w:w="1005" w:type="pct"/>
            <w:tcBorders>
              <w:top w:val="nil"/>
              <w:left w:val="nil"/>
              <w:bottom w:val="single" w:sz="8" w:space="0" w:color="92CDDB"/>
              <w:right w:val="single" w:sz="8" w:space="0" w:color="92CDDB"/>
            </w:tcBorders>
            <w:vAlign w:val="center"/>
            <w:hideMark/>
          </w:tcPr>
          <w:p w14:paraId="3F9A9AC5"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Program NAKI III</w:t>
            </w:r>
          </w:p>
        </w:tc>
        <w:tc>
          <w:tcPr>
            <w:tcW w:w="397" w:type="pct"/>
            <w:tcBorders>
              <w:top w:val="nil"/>
              <w:left w:val="nil"/>
              <w:bottom w:val="single" w:sz="8" w:space="0" w:color="92CDDB"/>
              <w:right w:val="single" w:sz="8" w:space="0" w:color="92CDDB"/>
            </w:tcBorders>
            <w:noWrap/>
            <w:vAlign w:val="center"/>
            <w:hideMark/>
          </w:tcPr>
          <w:p w14:paraId="2930439F"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2023</w:t>
            </w:r>
          </w:p>
        </w:tc>
        <w:tc>
          <w:tcPr>
            <w:tcW w:w="430" w:type="pct"/>
            <w:tcBorders>
              <w:top w:val="nil"/>
              <w:left w:val="nil"/>
              <w:bottom w:val="single" w:sz="8" w:space="0" w:color="92CDDB"/>
              <w:right w:val="single" w:sz="8" w:space="0" w:color="92CDDB"/>
            </w:tcBorders>
            <w:noWrap/>
            <w:vAlign w:val="center"/>
            <w:hideMark/>
          </w:tcPr>
          <w:p w14:paraId="3B9EEC40"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2030</w:t>
            </w:r>
          </w:p>
        </w:tc>
        <w:tc>
          <w:tcPr>
            <w:tcW w:w="603" w:type="pct"/>
            <w:tcBorders>
              <w:top w:val="nil"/>
              <w:left w:val="nil"/>
              <w:bottom w:val="single" w:sz="8" w:space="0" w:color="9BC2E6"/>
              <w:right w:val="single" w:sz="8" w:space="0" w:color="9BC2E6"/>
            </w:tcBorders>
            <w:noWrap/>
            <w:vAlign w:val="center"/>
            <w:hideMark/>
          </w:tcPr>
          <w:p w14:paraId="5ADA23A6"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308.53</w:t>
            </w:r>
          </w:p>
        </w:tc>
        <w:tc>
          <w:tcPr>
            <w:tcW w:w="531" w:type="pct"/>
            <w:tcBorders>
              <w:top w:val="nil"/>
              <w:left w:val="nil"/>
              <w:bottom w:val="single" w:sz="8" w:space="0" w:color="9BC2E6"/>
              <w:right w:val="single" w:sz="8" w:space="0" w:color="9BC2E6"/>
            </w:tcBorders>
            <w:noWrap/>
            <w:vAlign w:val="center"/>
            <w:hideMark/>
          </w:tcPr>
          <w:p w14:paraId="7D966D52"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335.80</w:t>
            </w:r>
          </w:p>
        </w:tc>
        <w:tc>
          <w:tcPr>
            <w:tcW w:w="532" w:type="pct"/>
            <w:tcBorders>
              <w:top w:val="nil"/>
              <w:left w:val="nil"/>
              <w:bottom w:val="single" w:sz="8" w:space="0" w:color="9BC2E6"/>
              <w:right w:val="single" w:sz="8" w:space="0" w:color="9BC2E6"/>
            </w:tcBorders>
            <w:noWrap/>
            <w:vAlign w:val="center"/>
            <w:hideMark/>
          </w:tcPr>
          <w:p w14:paraId="0EECD0B6"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336.12</w:t>
            </w:r>
          </w:p>
        </w:tc>
        <w:tc>
          <w:tcPr>
            <w:tcW w:w="531" w:type="pct"/>
            <w:tcBorders>
              <w:top w:val="nil"/>
              <w:left w:val="nil"/>
              <w:bottom w:val="single" w:sz="8" w:space="0" w:color="8497B0"/>
              <w:right w:val="single" w:sz="8" w:space="0" w:color="8497B0"/>
            </w:tcBorders>
            <w:noWrap/>
            <w:vAlign w:val="center"/>
            <w:hideMark/>
          </w:tcPr>
          <w:p w14:paraId="2E0F9B94"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333.76</w:t>
            </w:r>
          </w:p>
        </w:tc>
        <w:tc>
          <w:tcPr>
            <w:tcW w:w="530" w:type="pct"/>
            <w:tcBorders>
              <w:top w:val="nil"/>
              <w:left w:val="nil"/>
              <w:bottom w:val="single" w:sz="8" w:space="0" w:color="8497B0"/>
              <w:right w:val="single" w:sz="8" w:space="0" w:color="8497B0"/>
            </w:tcBorders>
            <w:noWrap/>
            <w:vAlign w:val="center"/>
            <w:hideMark/>
          </w:tcPr>
          <w:p w14:paraId="27D03EDB"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334.08</w:t>
            </w:r>
          </w:p>
        </w:tc>
      </w:tr>
      <w:tr w:rsidR="00E03F4A" w:rsidRPr="00B73E3A" w14:paraId="7AEA1136" w14:textId="77777777" w:rsidTr="00326A8C">
        <w:trPr>
          <w:trHeight w:val="510"/>
        </w:trPr>
        <w:tc>
          <w:tcPr>
            <w:tcW w:w="278" w:type="pct"/>
            <w:tcBorders>
              <w:top w:val="nil"/>
              <w:left w:val="single" w:sz="8" w:space="0" w:color="92CDDB"/>
              <w:bottom w:val="single" w:sz="8" w:space="0" w:color="92CDDB"/>
              <w:right w:val="single" w:sz="8" w:space="0" w:color="92CDDB"/>
            </w:tcBorders>
            <w:noWrap/>
            <w:vAlign w:val="center"/>
            <w:hideMark/>
          </w:tcPr>
          <w:p w14:paraId="7FCCDC3B"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MO</w:t>
            </w:r>
          </w:p>
        </w:tc>
        <w:tc>
          <w:tcPr>
            <w:tcW w:w="163" w:type="pct"/>
            <w:tcBorders>
              <w:top w:val="nil"/>
              <w:left w:val="nil"/>
              <w:bottom w:val="single" w:sz="8" w:space="0" w:color="92CDDB"/>
              <w:right w:val="single" w:sz="8" w:space="0" w:color="92CDDB"/>
            </w:tcBorders>
            <w:vAlign w:val="center"/>
            <w:hideMark/>
          </w:tcPr>
          <w:p w14:paraId="7129B459"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OY</w:t>
            </w:r>
          </w:p>
        </w:tc>
        <w:tc>
          <w:tcPr>
            <w:tcW w:w="1005" w:type="pct"/>
            <w:tcBorders>
              <w:top w:val="nil"/>
              <w:left w:val="nil"/>
              <w:bottom w:val="single" w:sz="8" w:space="0" w:color="92CDDB"/>
              <w:right w:val="single" w:sz="8" w:space="0" w:color="92CDDB"/>
            </w:tcBorders>
            <w:vAlign w:val="center"/>
            <w:hideMark/>
          </w:tcPr>
          <w:p w14:paraId="67F8B058"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Ambice</w:t>
            </w:r>
          </w:p>
        </w:tc>
        <w:tc>
          <w:tcPr>
            <w:tcW w:w="397" w:type="pct"/>
            <w:tcBorders>
              <w:top w:val="nil"/>
              <w:left w:val="nil"/>
              <w:bottom w:val="single" w:sz="8" w:space="0" w:color="92CDDB"/>
              <w:right w:val="single" w:sz="8" w:space="0" w:color="92CDDB"/>
            </w:tcBorders>
            <w:noWrap/>
            <w:vAlign w:val="center"/>
            <w:hideMark/>
          </w:tcPr>
          <w:p w14:paraId="4A91FD1B"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2020</w:t>
            </w:r>
          </w:p>
        </w:tc>
        <w:tc>
          <w:tcPr>
            <w:tcW w:w="430" w:type="pct"/>
            <w:tcBorders>
              <w:top w:val="nil"/>
              <w:left w:val="nil"/>
              <w:bottom w:val="single" w:sz="8" w:space="0" w:color="92CDDB"/>
              <w:right w:val="single" w:sz="8" w:space="0" w:color="92CDDB"/>
            </w:tcBorders>
            <w:noWrap/>
            <w:vAlign w:val="center"/>
            <w:hideMark/>
          </w:tcPr>
          <w:p w14:paraId="5DA7C62E"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2026</w:t>
            </w:r>
          </w:p>
        </w:tc>
        <w:tc>
          <w:tcPr>
            <w:tcW w:w="603" w:type="pct"/>
            <w:tcBorders>
              <w:top w:val="nil"/>
              <w:left w:val="nil"/>
              <w:bottom w:val="single" w:sz="8" w:space="0" w:color="9BC2E6"/>
              <w:right w:val="single" w:sz="8" w:space="0" w:color="9BC2E6"/>
            </w:tcBorders>
            <w:noWrap/>
            <w:vAlign w:val="center"/>
            <w:hideMark/>
          </w:tcPr>
          <w:p w14:paraId="086AB698"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333.24</w:t>
            </w:r>
          </w:p>
        </w:tc>
        <w:tc>
          <w:tcPr>
            <w:tcW w:w="531" w:type="pct"/>
            <w:tcBorders>
              <w:top w:val="nil"/>
              <w:left w:val="nil"/>
              <w:bottom w:val="single" w:sz="8" w:space="0" w:color="9BC2E6"/>
              <w:right w:val="single" w:sz="8" w:space="0" w:color="9BC2E6"/>
            </w:tcBorders>
            <w:noWrap/>
            <w:vAlign w:val="center"/>
            <w:hideMark/>
          </w:tcPr>
          <w:p w14:paraId="00EB9D92"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341.17</w:t>
            </w:r>
          </w:p>
        </w:tc>
        <w:tc>
          <w:tcPr>
            <w:tcW w:w="532" w:type="pct"/>
            <w:tcBorders>
              <w:top w:val="nil"/>
              <w:left w:val="nil"/>
              <w:bottom w:val="single" w:sz="8" w:space="0" w:color="9BC2E6"/>
              <w:right w:val="single" w:sz="8" w:space="0" w:color="9BC2E6"/>
            </w:tcBorders>
            <w:noWrap/>
            <w:vAlign w:val="center"/>
            <w:hideMark/>
          </w:tcPr>
          <w:p w14:paraId="6A088DED"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341.17</w:t>
            </w:r>
          </w:p>
        </w:tc>
        <w:tc>
          <w:tcPr>
            <w:tcW w:w="531" w:type="pct"/>
            <w:tcBorders>
              <w:top w:val="nil"/>
              <w:left w:val="nil"/>
              <w:bottom w:val="single" w:sz="8" w:space="0" w:color="8497B0"/>
              <w:right w:val="single" w:sz="8" w:space="0" w:color="8497B0"/>
            </w:tcBorders>
            <w:noWrap/>
            <w:vAlign w:val="center"/>
            <w:hideMark/>
          </w:tcPr>
          <w:p w14:paraId="6539BD86"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339.22</w:t>
            </w:r>
          </w:p>
        </w:tc>
        <w:tc>
          <w:tcPr>
            <w:tcW w:w="530" w:type="pct"/>
            <w:tcBorders>
              <w:top w:val="nil"/>
              <w:left w:val="nil"/>
              <w:bottom w:val="single" w:sz="8" w:space="0" w:color="8497B0"/>
              <w:right w:val="single" w:sz="8" w:space="0" w:color="8497B0"/>
            </w:tcBorders>
            <w:noWrap/>
            <w:vAlign w:val="center"/>
            <w:hideMark/>
          </w:tcPr>
          <w:p w14:paraId="7328AFB8"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339.22</w:t>
            </w:r>
          </w:p>
        </w:tc>
      </w:tr>
      <w:tr w:rsidR="00E03F4A" w:rsidRPr="00B73E3A" w14:paraId="3856CD08" w14:textId="77777777" w:rsidTr="00326A8C">
        <w:trPr>
          <w:trHeight w:val="510"/>
        </w:trPr>
        <w:tc>
          <w:tcPr>
            <w:tcW w:w="278" w:type="pct"/>
            <w:vMerge w:val="restart"/>
            <w:tcBorders>
              <w:top w:val="nil"/>
              <w:left w:val="single" w:sz="8" w:space="0" w:color="92CDDB"/>
              <w:bottom w:val="single" w:sz="8" w:space="0" w:color="92CDDB"/>
              <w:right w:val="single" w:sz="8" w:space="0" w:color="92CDDB"/>
            </w:tcBorders>
            <w:noWrap/>
            <w:vAlign w:val="center"/>
            <w:hideMark/>
          </w:tcPr>
          <w:p w14:paraId="00A35010"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MV</w:t>
            </w:r>
          </w:p>
        </w:tc>
        <w:tc>
          <w:tcPr>
            <w:tcW w:w="163" w:type="pct"/>
            <w:tcBorders>
              <w:top w:val="nil"/>
              <w:left w:val="nil"/>
              <w:bottom w:val="single" w:sz="8" w:space="0" w:color="92CDDB"/>
              <w:right w:val="single" w:sz="8" w:space="0" w:color="92CDDB"/>
            </w:tcBorders>
            <w:vAlign w:val="center"/>
            <w:hideMark/>
          </w:tcPr>
          <w:p w14:paraId="14432AA4"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VB</w:t>
            </w:r>
          </w:p>
        </w:tc>
        <w:tc>
          <w:tcPr>
            <w:tcW w:w="1005" w:type="pct"/>
            <w:tcBorders>
              <w:top w:val="nil"/>
              <w:left w:val="nil"/>
              <w:bottom w:val="single" w:sz="8" w:space="0" w:color="92CDDB"/>
              <w:right w:val="single" w:sz="8" w:space="0" w:color="92CDDB"/>
            </w:tcBorders>
            <w:vAlign w:val="center"/>
            <w:hideMark/>
          </w:tcPr>
          <w:p w14:paraId="6FC78B3A"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Program bezpečnostního výzkumu ČR 2021-2026: vývoj, testování a evaluace nových bezpečnostních technologií (SECTECH)</w:t>
            </w:r>
          </w:p>
        </w:tc>
        <w:tc>
          <w:tcPr>
            <w:tcW w:w="397" w:type="pct"/>
            <w:tcBorders>
              <w:top w:val="nil"/>
              <w:left w:val="nil"/>
              <w:bottom w:val="single" w:sz="8" w:space="0" w:color="92CDDB"/>
              <w:right w:val="single" w:sz="8" w:space="0" w:color="92CDDB"/>
            </w:tcBorders>
            <w:noWrap/>
            <w:vAlign w:val="center"/>
            <w:hideMark/>
          </w:tcPr>
          <w:p w14:paraId="55351782"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2021</w:t>
            </w:r>
          </w:p>
        </w:tc>
        <w:tc>
          <w:tcPr>
            <w:tcW w:w="430" w:type="pct"/>
            <w:tcBorders>
              <w:top w:val="nil"/>
              <w:left w:val="nil"/>
              <w:bottom w:val="single" w:sz="8" w:space="0" w:color="92CDDB"/>
              <w:right w:val="single" w:sz="8" w:space="0" w:color="92CDDB"/>
            </w:tcBorders>
            <w:noWrap/>
            <w:vAlign w:val="center"/>
            <w:hideMark/>
          </w:tcPr>
          <w:p w14:paraId="70D3B9F4"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2026</w:t>
            </w:r>
          </w:p>
        </w:tc>
        <w:tc>
          <w:tcPr>
            <w:tcW w:w="603" w:type="pct"/>
            <w:tcBorders>
              <w:top w:val="nil"/>
              <w:left w:val="nil"/>
              <w:bottom w:val="single" w:sz="8" w:space="0" w:color="9BC2E6"/>
              <w:right w:val="single" w:sz="8" w:space="0" w:color="9BC2E6"/>
            </w:tcBorders>
            <w:noWrap/>
            <w:vAlign w:val="center"/>
            <w:hideMark/>
          </w:tcPr>
          <w:p w14:paraId="0591BCC8"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89.20</w:t>
            </w:r>
          </w:p>
        </w:tc>
        <w:tc>
          <w:tcPr>
            <w:tcW w:w="531" w:type="pct"/>
            <w:tcBorders>
              <w:top w:val="nil"/>
              <w:left w:val="nil"/>
              <w:bottom w:val="single" w:sz="8" w:space="0" w:color="9BC2E6"/>
              <w:right w:val="single" w:sz="8" w:space="0" w:color="9BC2E6"/>
            </w:tcBorders>
            <w:noWrap/>
            <w:vAlign w:val="center"/>
            <w:hideMark/>
          </w:tcPr>
          <w:p w14:paraId="4303F0F0"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100.47</w:t>
            </w:r>
          </w:p>
        </w:tc>
        <w:tc>
          <w:tcPr>
            <w:tcW w:w="532" w:type="pct"/>
            <w:tcBorders>
              <w:top w:val="nil"/>
              <w:left w:val="nil"/>
              <w:bottom w:val="single" w:sz="8" w:space="0" w:color="9BC2E6"/>
              <w:right w:val="single" w:sz="8" w:space="0" w:color="9BC2E6"/>
            </w:tcBorders>
            <w:noWrap/>
            <w:vAlign w:val="center"/>
            <w:hideMark/>
          </w:tcPr>
          <w:p w14:paraId="093F0E71"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146.01</w:t>
            </w:r>
          </w:p>
        </w:tc>
        <w:tc>
          <w:tcPr>
            <w:tcW w:w="531" w:type="pct"/>
            <w:tcBorders>
              <w:top w:val="nil"/>
              <w:left w:val="nil"/>
              <w:bottom w:val="single" w:sz="8" w:space="0" w:color="8497B0"/>
              <w:right w:val="single" w:sz="8" w:space="0" w:color="8497B0"/>
            </w:tcBorders>
            <w:noWrap/>
            <w:vAlign w:val="center"/>
            <w:hideMark/>
          </w:tcPr>
          <w:p w14:paraId="5319C411"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100.47</w:t>
            </w:r>
          </w:p>
        </w:tc>
        <w:tc>
          <w:tcPr>
            <w:tcW w:w="530" w:type="pct"/>
            <w:tcBorders>
              <w:top w:val="nil"/>
              <w:left w:val="nil"/>
              <w:bottom w:val="single" w:sz="8" w:space="0" w:color="8497B0"/>
              <w:right w:val="single" w:sz="8" w:space="0" w:color="8497B0"/>
            </w:tcBorders>
            <w:noWrap/>
            <w:vAlign w:val="center"/>
            <w:hideMark/>
          </w:tcPr>
          <w:p w14:paraId="1E8390CD"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146.01</w:t>
            </w:r>
          </w:p>
        </w:tc>
      </w:tr>
      <w:tr w:rsidR="00E03F4A" w:rsidRPr="00B73E3A" w14:paraId="7A52A0E7" w14:textId="77777777" w:rsidTr="00326A8C">
        <w:trPr>
          <w:trHeight w:val="510"/>
        </w:trPr>
        <w:tc>
          <w:tcPr>
            <w:tcW w:w="278" w:type="pct"/>
            <w:vMerge/>
            <w:tcBorders>
              <w:top w:val="nil"/>
              <w:left w:val="single" w:sz="8" w:space="0" w:color="92CDDB"/>
              <w:bottom w:val="single" w:sz="8" w:space="0" w:color="92CDDB"/>
              <w:right w:val="single" w:sz="8" w:space="0" w:color="92CDDB"/>
            </w:tcBorders>
            <w:vAlign w:val="center"/>
            <w:hideMark/>
          </w:tcPr>
          <w:p w14:paraId="75048D76" w14:textId="77777777" w:rsidR="00E03F4A" w:rsidRPr="00B73E3A" w:rsidRDefault="00E03F4A" w:rsidP="00326A8C">
            <w:pPr>
              <w:spacing w:after="0" w:line="240" w:lineRule="auto"/>
              <w:rPr>
                <w:rFonts w:eastAsia="Times New Roman" w:cs="Arial"/>
                <w:color w:val="000000"/>
                <w:sz w:val="20"/>
                <w:szCs w:val="20"/>
                <w:lang w:eastAsia="cs-CZ"/>
              </w:rPr>
            </w:pPr>
          </w:p>
        </w:tc>
        <w:tc>
          <w:tcPr>
            <w:tcW w:w="163" w:type="pct"/>
            <w:tcBorders>
              <w:top w:val="nil"/>
              <w:left w:val="nil"/>
              <w:bottom w:val="single" w:sz="8" w:space="0" w:color="92CDDB"/>
              <w:right w:val="single" w:sz="8" w:space="0" w:color="92CDDB"/>
            </w:tcBorders>
            <w:vAlign w:val="center"/>
            <w:hideMark/>
          </w:tcPr>
          <w:p w14:paraId="4AB3D4BD"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VC</w:t>
            </w:r>
          </w:p>
        </w:tc>
        <w:tc>
          <w:tcPr>
            <w:tcW w:w="1005" w:type="pct"/>
            <w:tcBorders>
              <w:top w:val="nil"/>
              <w:left w:val="nil"/>
              <w:bottom w:val="single" w:sz="8" w:space="0" w:color="92CDDB"/>
              <w:right w:val="single" w:sz="8" w:space="0" w:color="92CDDB"/>
            </w:tcBorders>
            <w:vAlign w:val="center"/>
            <w:hideMark/>
          </w:tcPr>
          <w:p w14:paraId="6FF52DA6"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Program bezpečnostního výzkumu pro potřeby státu 2022–2027 (SECPRO)</w:t>
            </w:r>
          </w:p>
        </w:tc>
        <w:tc>
          <w:tcPr>
            <w:tcW w:w="397" w:type="pct"/>
            <w:tcBorders>
              <w:top w:val="nil"/>
              <w:left w:val="nil"/>
              <w:bottom w:val="single" w:sz="8" w:space="0" w:color="92CDDB"/>
              <w:right w:val="single" w:sz="8" w:space="0" w:color="92CDDB"/>
            </w:tcBorders>
            <w:noWrap/>
            <w:vAlign w:val="center"/>
            <w:hideMark/>
          </w:tcPr>
          <w:p w14:paraId="2BE53516"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2022</w:t>
            </w:r>
          </w:p>
        </w:tc>
        <w:tc>
          <w:tcPr>
            <w:tcW w:w="430" w:type="pct"/>
            <w:tcBorders>
              <w:top w:val="nil"/>
              <w:left w:val="nil"/>
              <w:bottom w:val="single" w:sz="8" w:space="0" w:color="92CDDB"/>
              <w:right w:val="single" w:sz="8" w:space="0" w:color="92CDDB"/>
            </w:tcBorders>
            <w:noWrap/>
            <w:vAlign w:val="center"/>
            <w:hideMark/>
          </w:tcPr>
          <w:p w14:paraId="13326988"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2027</w:t>
            </w:r>
          </w:p>
        </w:tc>
        <w:tc>
          <w:tcPr>
            <w:tcW w:w="603" w:type="pct"/>
            <w:tcBorders>
              <w:top w:val="nil"/>
              <w:left w:val="nil"/>
              <w:bottom w:val="single" w:sz="8" w:space="0" w:color="9BC2E6"/>
              <w:right w:val="single" w:sz="8" w:space="0" w:color="9BC2E6"/>
            </w:tcBorders>
            <w:noWrap/>
            <w:vAlign w:val="center"/>
            <w:hideMark/>
          </w:tcPr>
          <w:p w14:paraId="10074666"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56.00</w:t>
            </w:r>
          </w:p>
        </w:tc>
        <w:tc>
          <w:tcPr>
            <w:tcW w:w="531" w:type="pct"/>
            <w:tcBorders>
              <w:top w:val="nil"/>
              <w:left w:val="nil"/>
              <w:bottom w:val="single" w:sz="8" w:space="0" w:color="9BC2E6"/>
              <w:right w:val="single" w:sz="8" w:space="0" w:color="9BC2E6"/>
            </w:tcBorders>
            <w:noWrap/>
            <w:vAlign w:val="center"/>
            <w:hideMark/>
          </w:tcPr>
          <w:p w14:paraId="02246F2E"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40.47</w:t>
            </w:r>
          </w:p>
        </w:tc>
        <w:tc>
          <w:tcPr>
            <w:tcW w:w="532" w:type="pct"/>
            <w:tcBorders>
              <w:top w:val="nil"/>
              <w:left w:val="nil"/>
              <w:bottom w:val="single" w:sz="8" w:space="0" w:color="9BC2E6"/>
              <w:right w:val="single" w:sz="8" w:space="0" w:color="9BC2E6"/>
            </w:tcBorders>
            <w:noWrap/>
            <w:vAlign w:val="center"/>
            <w:hideMark/>
          </w:tcPr>
          <w:p w14:paraId="4AC9ED0F"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40.47</w:t>
            </w:r>
          </w:p>
        </w:tc>
        <w:tc>
          <w:tcPr>
            <w:tcW w:w="531" w:type="pct"/>
            <w:tcBorders>
              <w:top w:val="nil"/>
              <w:left w:val="nil"/>
              <w:bottom w:val="single" w:sz="8" w:space="0" w:color="8497B0"/>
              <w:right w:val="single" w:sz="8" w:space="0" w:color="8497B0"/>
            </w:tcBorders>
            <w:noWrap/>
            <w:vAlign w:val="center"/>
            <w:hideMark/>
          </w:tcPr>
          <w:p w14:paraId="3F983EE1"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40.21</w:t>
            </w:r>
          </w:p>
        </w:tc>
        <w:tc>
          <w:tcPr>
            <w:tcW w:w="530" w:type="pct"/>
            <w:tcBorders>
              <w:top w:val="nil"/>
              <w:left w:val="nil"/>
              <w:bottom w:val="single" w:sz="8" w:space="0" w:color="8497B0"/>
              <w:right w:val="single" w:sz="8" w:space="0" w:color="8497B0"/>
            </w:tcBorders>
            <w:noWrap/>
            <w:vAlign w:val="center"/>
            <w:hideMark/>
          </w:tcPr>
          <w:p w14:paraId="4EB113D5"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40.21</w:t>
            </w:r>
          </w:p>
        </w:tc>
      </w:tr>
      <w:tr w:rsidR="00E03F4A" w:rsidRPr="00B73E3A" w14:paraId="22C46EE3" w14:textId="77777777" w:rsidTr="00326A8C">
        <w:trPr>
          <w:trHeight w:val="510"/>
        </w:trPr>
        <w:tc>
          <w:tcPr>
            <w:tcW w:w="278" w:type="pct"/>
            <w:vMerge/>
            <w:tcBorders>
              <w:top w:val="nil"/>
              <w:left w:val="single" w:sz="8" w:space="0" w:color="92CDDB"/>
              <w:bottom w:val="single" w:sz="8" w:space="0" w:color="92CDDB"/>
              <w:right w:val="single" w:sz="8" w:space="0" w:color="92CDDB"/>
            </w:tcBorders>
            <w:vAlign w:val="center"/>
            <w:hideMark/>
          </w:tcPr>
          <w:p w14:paraId="4EF3A58B" w14:textId="77777777" w:rsidR="00E03F4A" w:rsidRPr="00B73E3A" w:rsidRDefault="00E03F4A" w:rsidP="00326A8C">
            <w:pPr>
              <w:spacing w:after="0" w:line="240" w:lineRule="auto"/>
              <w:rPr>
                <w:rFonts w:eastAsia="Times New Roman" w:cs="Arial"/>
                <w:color w:val="000000"/>
                <w:sz w:val="20"/>
                <w:szCs w:val="20"/>
                <w:lang w:eastAsia="cs-CZ"/>
              </w:rPr>
            </w:pPr>
          </w:p>
        </w:tc>
        <w:tc>
          <w:tcPr>
            <w:tcW w:w="163" w:type="pct"/>
            <w:tcBorders>
              <w:top w:val="nil"/>
              <w:left w:val="nil"/>
              <w:bottom w:val="single" w:sz="8" w:space="0" w:color="92CDDB"/>
              <w:right w:val="single" w:sz="8" w:space="0" w:color="92CDDB"/>
            </w:tcBorders>
            <w:vAlign w:val="center"/>
            <w:hideMark/>
          </w:tcPr>
          <w:p w14:paraId="7422A76D"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VJ</w:t>
            </w:r>
          </w:p>
        </w:tc>
        <w:tc>
          <w:tcPr>
            <w:tcW w:w="1005" w:type="pct"/>
            <w:tcBorders>
              <w:top w:val="nil"/>
              <w:left w:val="nil"/>
              <w:bottom w:val="single" w:sz="8" w:space="0" w:color="92CDDB"/>
              <w:right w:val="single" w:sz="8" w:space="0" w:color="92CDDB"/>
            </w:tcBorders>
            <w:vAlign w:val="center"/>
            <w:hideMark/>
          </w:tcPr>
          <w:p w14:paraId="707DE9F2"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Strategická podpora rozvoje bezpečnostního výzkumu ČR 2019–2025 IMPAKT</w:t>
            </w:r>
          </w:p>
        </w:tc>
        <w:tc>
          <w:tcPr>
            <w:tcW w:w="397" w:type="pct"/>
            <w:tcBorders>
              <w:top w:val="nil"/>
              <w:left w:val="nil"/>
              <w:bottom w:val="single" w:sz="8" w:space="0" w:color="92CDDB"/>
              <w:right w:val="single" w:sz="8" w:space="0" w:color="92CDDB"/>
            </w:tcBorders>
            <w:noWrap/>
            <w:vAlign w:val="center"/>
            <w:hideMark/>
          </w:tcPr>
          <w:p w14:paraId="2984D1BE"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2019</w:t>
            </w:r>
          </w:p>
        </w:tc>
        <w:tc>
          <w:tcPr>
            <w:tcW w:w="430" w:type="pct"/>
            <w:tcBorders>
              <w:top w:val="nil"/>
              <w:left w:val="nil"/>
              <w:bottom w:val="single" w:sz="8" w:space="0" w:color="92CDDB"/>
              <w:right w:val="single" w:sz="8" w:space="0" w:color="92CDDB"/>
            </w:tcBorders>
            <w:noWrap/>
            <w:vAlign w:val="center"/>
            <w:hideMark/>
          </w:tcPr>
          <w:p w14:paraId="676F1DFE"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2025</w:t>
            </w:r>
          </w:p>
        </w:tc>
        <w:tc>
          <w:tcPr>
            <w:tcW w:w="603" w:type="pct"/>
            <w:tcBorders>
              <w:top w:val="nil"/>
              <w:left w:val="nil"/>
              <w:bottom w:val="single" w:sz="8" w:space="0" w:color="9BC2E6"/>
              <w:right w:val="single" w:sz="8" w:space="0" w:color="9BC2E6"/>
            </w:tcBorders>
            <w:noWrap/>
            <w:vAlign w:val="center"/>
            <w:hideMark/>
          </w:tcPr>
          <w:p w14:paraId="2CDE8D6A"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200.00</w:t>
            </w:r>
          </w:p>
        </w:tc>
        <w:tc>
          <w:tcPr>
            <w:tcW w:w="531" w:type="pct"/>
            <w:tcBorders>
              <w:top w:val="nil"/>
              <w:left w:val="nil"/>
              <w:bottom w:val="single" w:sz="8" w:space="0" w:color="9BC2E6"/>
              <w:right w:val="single" w:sz="8" w:space="0" w:color="9BC2E6"/>
            </w:tcBorders>
            <w:noWrap/>
            <w:vAlign w:val="center"/>
            <w:hideMark/>
          </w:tcPr>
          <w:p w14:paraId="70E3E3D0"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228.78</w:t>
            </w:r>
          </w:p>
        </w:tc>
        <w:tc>
          <w:tcPr>
            <w:tcW w:w="532" w:type="pct"/>
            <w:tcBorders>
              <w:top w:val="nil"/>
              <w:left w:val="nil"/>
              <w:bottom w:val="single" w:sz="8" w:space="0" w:color="9BC2E6"/>
              <w:right w:val="single" w:sz="8" w:space="0" w:color="9BC2E6"/>
            </w:tcBorders>
            <w:noWrap/>
            <w:vAlign w:val="center"/>
            <w:hideMark/>
          </w:tcPr>
          <w:p w14:paraId="71A78743"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228.78</w:t>
            </w:r>
          </w:p>
        </w:tc>
        <w:tc>
          <w:tcPr>
            <w:tcW w:w="531" w:type="pct"/>
            <w:tcBorders>
              <w:top w:val="nil"/>
              <w:left w:val="nil"/>
              <w:bottom w:val="single" w:sz="8" w:space="0" w:color="8497B0"/>
              <w:right w:val="single" w:sz="8" w:space="0" w:color="8497B0"/>
            </w:tcBorders>
            <w:noWrap/>
            <w:vAlign w:val="center"/>
            <w:hideMark/>
          </w:tcPr>
          <w:p w14:paraId="42FD1A56"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228.78</w:t>
            </w:r>
          </w:p>
        </w:tc>
        <w:tc>
          <w:tcPr>
            <w:tcW w:w="530" w:type="pct"/>
            <w:tcBorders>
              <w:top w:val="nil"/>
              <w:left w:val="nil"/>
              <w:bottom w:val="single" w:sz="8" w:space="0" w:color="8497B0"/>
              <w:right w:val="single" w:sz="8" w:space="0" w:color="8497B0"/>
            </w:tcBorders>
            <w:noWrap/>
            <w:vAlign w:val="center"/>
            <w:hideMark/>
          </w:tcPr>
          <w:p w14:paraId="02E83EF8"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228.78</w:t>
            </w:r>
          </w:p>
        </w:tc>
      </w:tr>
      <w:tr w:rsidR="00E03F4A" w:rsidRPr="00B73E3A" w14:paraId="01D2DA51" w14:textId="77777777" w:rsidTr="00326A8C">
        <w:trPr>
          <w:trHeight w:val="510"/>
        </w:trPr>
        <w:tc>
          <w:tcPr>
            <w:tcW w:w="278" w:type="pct"/>
            <w:vMerge/>
            <w:tcBorders>
              <w:top w:val="nil"/>
              <w:left w:val="single" w:sz="8" w:space="0" w:color="92CDDB"/>
              <w:bottom w:val="single" w:sz="8" w:space="0" w:color="92CDDB"/>
              <w:right w:val="single" w:sz="8" w:space="0" w:color="92CDDB"/>
            </w:tcBorders>
            <w:vAlign w:val="center"/>
            <w:hideMark/>
          </w:tcPr>
          <w:p w14:paraId="64DEB62F" w14:textId="77777777" w:rsidR="00E03F4A" w:rsidRPr="00B73E3A" w:rsidRDefault="00E03F4A" w:rsidP="00326A8C">
            <w:pPr>
              <w:spacing w:after="0" w:line="240" w:lineRule="auto"/>
              <w:rPr>
                <w:rFonts w:eastAsia="Times New Roman" w:cs="Arial"/>
                <w:color w:val="000000"/>
                <w:sz w:val="20"/>
                <w:szCs w:val="20"/>
                <w:lang w:eastAsia="cs-CZ"/>
              </w:rPr>
            </w:pPr>
          </w:p>
        </w:tc>
        <w:tc>
          <w:tcPr>
            <w:tcW w:w="163" w:type="pct"/>
            <w:tcBorders>
              <w:top w:val="nil"/>
              <w:left w:val="nil"/>
              <w:bottom w:val="single" w:sz="8" w:space="0" w:color="92CDDB"/>
              <w:right w:val="single" w:sz="8" w:space="0" w:color="92CDDB"/>
            </w:tcBorders>
            <w:vAlign w:val="center"/>
            <w:hideMark/>
          </w:tcPr>
          <w:p w14:paraId="4F001100"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VK</w:t>
            </w:r>
          </w:p>
        </w:tc>
        <w:tc>
          <w:tcPr>
            <w:tcW w:w="1005" w:type="pct"/>
            <w:tcBorders>
              <w:top w:val="nil"/>
              <w:left w:val="nil"/>
              <w:bottom w:val="single" w:sz="8" w:space="0" w:color="92CDDB"/>
              <w:right w:val="single" w:sz="8" w:space="0" w:color="92CDDB"/>
            </w:tcBorders>
            <w:vAlign w:val="center"/>
            <w:hideMark/>
          </w:tcPr>
          <w:p w14:paraId="5099045E"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Otevřené výzvy v bezpečnostním výzkumu 2023-2029 (OPSEC)</w:t>
            </w:r>
          </w:p>
        </w:tc>
        <w:tc>
          <w:tcPr>
            <w:tcW w:w="397" w:type="pct"/>
            <w:tcBorders>
              <w:top w:val="nil"/>
              <w:left w:val="nil"/>
              <w:bottom w:val="single" w:sz="8" w:space="0" w:color="92CDDB"/>
              <w:right w:val="single" w:sz="8" w:space="0" w:color="92CDDB"/>
            </w:tcBorders>
            <w:noWrap/>
            <w:vAlign w:val="center"/>
            <w:hideMark/>
          </w:tcPr>
          <w:p w14:paraId="19495C0C"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2023</w:t>
            </w:r>
          </w:p>
        </w:tc>
        <w:tc>
          <w:tcPr>
            <w:tcW w:w="430" w:type="pct"/>
            <w:tcBorders>
              <w:top w:val="nil"/>
              <w:left w:val="nil"/>
              <w:bottom w:val="single" w:sz="8" w:space="0" w:color="92CDDB"/>
              <w:right w:val="single" w:sz="8" w:space="0" w:color="92CDDB"/>
            </w:tcBorders>
            <w:noWrap/>
            <w:vAlign w:val="center"/>
            <w:hideMark/>
          </w:tcPr>
          <w:p w14:paraId="2E5D004B"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2029</w:t>
            </w:r>
          </w:p>
        </w:tc>
        <w:tc>
          <w:tcPr>
            <w:tcW w:w="603" w:type="pct"/>
            <w:tcBorders>
              <w:top w:val="nil"/>
              <w:left w:val="nil"/>
              <w:bottom w:val="single" w:sz="8" w:space="0" w:color="9BC2E6"/>
              <w:right w:val="single" w:sz="8" w:space="0" w:color="9BC2E6"/>
            </w:tcBorders>
            <w:noWrap/>
            <w:vAlign w:val="center"/>
            <w:hideMark/>
          </w:tcPr>
          <w:p w14:paraId="40E0FF1C"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278.00</w:t>
            </w:r>
          </w:p>
        </w:tc>
        <w:tc>
          <w:tcPr>
            <w:tcW w:w="531" w:type="pct"/>
            <w:tcBorders>
              <w:top w:val="nil"/>
              <w:left w:val="nil"/>
              <w:bottom w:val="single" w:sz="8" w:space="0" w:color="9BC2E6"/>
              <w:right w:val="single" w:sz="8" w:space="0" w:color="9BC2E6"/>
            </w:tcBorders>
            <w:noWrap/>
            <w:vAlign w:val="center"/>
            <w:hideMark/>
          </w:tcPr>
          <w:p w14:paraId="12A7A20D"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290.56</w:t>
            </w:r>
          </w:p>
        </w:tc>
        <w:tc>
          <w:tcPr>
            <w:tcW w:w="532" w:type="pct"/>
            <w:tcBorders>
              <w:top w:val="nil"/>
              <w:left w:val="nil"/>
              <w:bottom w:val="single" w:sz="8" w:space="0" w:color="9BC2E6"/>
              <w:right w:val="single" w:sz="8" w:space="0" w:color="9BC2E6"/>
            </w:tcBorders>
            <w:noWrap/>
            <w:vAlign w:val="center"/>
            <w:hideMark/>
          </w:tcPr>
          <w:p w14:paraId="44008E23"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311.79</w:t>
            </w:r>
          </w:p>
        </w:tc>
        <w:tc>
          <w:tcPr>
            <w:tcW w:w="531" w:type="pct"/>
            <w:tcBorders>
              <w:top w:val="nil"/>
              <w:left w:val="nil"/>
              <w:bottom w:val="single" w:sz="8" w:space="0" w:color="8497B0"/>
              <w:right w:val="single" w:sz="8" w:space="0" w:color="8497B0"/>
            </w:tcBorders>
            <w:noWrap/>
            <w:vAlign w:val="center"/>
            <w:hideMark/>
          </w:tcPr>
          <w:p w14:paraId="64599E25"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290.56</w:t>
            </w:r>
          </w:p>
        </w:tc>
        <w:tc>
          <w:tcPr>
            <w:tcW w:w="530" w:type="pct"/>
            <w:tcBorders>
              <w:top w:val="nil"/>
              <w:left w:val="nil"/>
              <w:bottom w:val="single" w:sz="8" w:space="0" w:color="8497B0"/>
              <w:right w:val="single" w:sz="8" w:space="0" w:color="8497B0"/>
            </w:tcBorders>
            <w:noWrap/>
            <w:vAlign w:val="center"/>
            <w:hideMark/>
          </w:tcPr>
          <w:p w14:paraId="5D14CB94"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311.79</w:t>
            </w:r>
          </w:p>
        </w:tc>
      </w:tr>
      <w:tr w:rsidR="00E03F4A" w:rsidRPr="00B73E3A" w14:paraId="34133721" w14:textId="77777777" w:rsidTr="00326A8C">
        <w:trPr>
          <w:trHeight w:val="510"/>
        </w:trPr>
        <w:tc>
          <w:tcPr>
            <w:tcW w:w="278" w:type="pct"/>
            <w:vMerge w:val="restart"/>
            <w:tcBorders>
              <w:top w:val="nil"/>
              <w:left w:val="single" w:sz="8" w:space="0" w:color="92CDDB"/>
              <w:bottom w:val="single" w:sz="8" w:space="0" w:color="92CDDB"/>
              <w:right w:val="single" w:sz="8" w:space="0" w:color="92CDDB"/>
            </w:tcBorders>
            <w:noWrap/>
            <w:vAlign w:val="center"/>
            <w:hideMark/>
          </w:tcPr>
          <w:p w14:paraId="110DF7F9" w14:textId="77777777" w:rsidR="00E03F4A" w:rsidRPr="00B73E3A" w:rsidRDefault="00E03F4A" w:rsidP="00326A8C">
            <w:pPr>
              <w:spacing w:after="0" w:line="240" w:lineRule="auto"/>
              <w:jc w:val="center"/>
              <w:rPr>
                <w:rFonts w:eastAsia="Times New Roman" w:cs="Arial"/>
                <w:color w:val="000000"/>
                <w:sz w:val="20"/>
                <w:szCs w:val="20"/>
                <w:lang w:eastAsia="cs-CZ"/>
              </w:rPr>
            </w:pPr>
            <w:proofErr w:type="spellStart"/>
            <w:r w:rsidRPr="00B73E3A">
              <w:rPr>
                <w:rFonts w:eastAsia="Times New Roman" w:cs="Arial"/>
                <w:color w:val="000000"/>
                <w:sz w:val="20"/>
                <w:szCs w:val="20"/>
                <w:lang w:eastAsia="cs-CZ"/>
              </w:rPr>
              <w:t>MZd</w:t>
            </w:r>
            <w:proofErr w:type="spellEnd"/>
          </w:p>
        </w:tc>
        <w:tc>
          <w:tcPr>
            <w:tcW w:w="163" w:type="pct"/>
            <w:tcBorders>
              <w:top w:val="nil"/>
              <w:left w:val="nil"/>
              <w:bottom w:val="single" w:sz="8" w:space="0" w:color="92CDDB"/>
              <w:right w:val="single" w:sz="8" w:space="0" w:color="92CDDB"/>
            </w:tcBorders>
            <w:vAlign w:val="center"/>
            <w:hideMark/>
          </w:tcPr>
          <w:p w14:paraId="5FEEB4D1"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NU</w:t>
            </w:r>
          </w:p>
        </w:tc>
        <w:tc>
          <w:tcPr>
            <w:tcW w:w="1005" w:type="pct"/>
            <w:tcBorders>
              <w:top w:val="nil"/>
              <w:left w:val="nil"/>
              <w:bottom w:val="single" w:sz="8" w:space="0" w:color="92CDDB"/>
              <w:right w:val="single" w:sz="8" w:space="0" w:color="92CDDB"/>
            </w:tcBorders>
            <w:vAlign w:val="center"/>
            <w:hideMark/>
          </w:tcPr>
          <w:p w14:paraId="639BB0F5"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Program na podporu zdravotnického aplikovaného výzkumu na léta 2020–2026</w:t>
            </w:r>
          </w:p>
        </w:tc>
        <w:tc>
          <w:tcPr>
            <w:tcW w:w="397" w:type="pct"/>
            <w:tcBorders>
              <w:top w:val="nil"/>
              <w:left w:val="nil"/>
              <w:bottom w:val="single" w:sz="8" w:space="0" w:color="92CDDB"/>
              <w:right w:val="single" w:sz="8" w:space="0" w:color="92CDDB"/>
            </w:tcBorders>
            <w:noWrap/>
            <w:vAlign w:val="center"/>
            <w:hideMark/>
          </w:tcPr>
          <w:p w14:paraId="66E08A95"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2020</w:t>
            </w:r>
          </w:p>
        </w:tc>
        <w:tc>
          <w:tcPr>
            <w:tcW w:w="430" w:type="pct"/>
            <w:tcBorders>
              <w:top w:val="nil"/>
              <w:left w:val="nil"/>
              <w:bottom w:val="single" w:sz="8" w:space="0" w:color="92CDDB"/>
              <w:right w:val="single" w:sz="8" w:space="0" w:color="92CDDB"/>
            </w:tcBorders>
            <w:noWrap/>
            <w:vAlign w:val="center"/>
            <w:hideMark/>
          </w:tcPr>
          <w:p w14:paraId="4F315F54"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2026</w:t>
            </w:r>
          </w:p>
        </w:tc>
        <w:tc>
          <w:tcPr>
            <w:tcW w:w="603" w:type="pct"/>
            <w:tcBorders>
              <w:top w:val="nil"/>
              <w:left w:val="nil"/>
              <w:bottom w:val="single" w:sz="8" w:space="0" w:color="9BC2E6"/>
              <w:right w:val="single" w:sz="8" w:space="0" w:color="9BC2E6"/>
            </w:tcBorders>
            <w:noWrap/>
            <w:vAlign w:val="center"/>
            <w:hideMark/>
          </w:tcPr>
          <w:p w14:paraId="3422F441"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900.00</w:t>
            </w:r>
          </w:p>
        </w:tc>
        <w:tc>
          <w:tcPr>
            <w:tcW w:w="531" w:type="pct"/>
            <w:tcBorders>
              <w:top w:val="nil"/>
              <w:left w:val="nil"/>
              <w:bottom w:val="single" w:sz="8" w:space="0" w:color="9BC2E6"/>
              <w:right w:val="single" w:sz="8" w:space="0" w:color="9BC2E6"/>
            </w:tcBorders>
            <w:noWrap/>
            <w:vAlign w:val="center"/>
            <w:hideMark/>
          </w:tcPr>
          <w:p w14:paraId="3C013A2E"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902.24</w:t>
            </w:r>
          </w:p>
        </w:tc>
        <w:tc>
          <w:tcPr>
            <w:tcW w:w="532" w:type="pct"/>
            <w:tcBorders>
              <w:top w:val="nil"/>
              <w:left w:val="nil"/>
              <w:bottom w:val="single" w:sz="8" w:space="0" w:color="9BC2E6"/>
              <w:right w:val="single" w:sz="8" w:space="0" w:color="9BC2E6"/>
            </w:tcBorders>
            <w:noWrap/>
            <w:vAlign w:val="center"/>
            <w:hideMark/>
          </w:tcPr>
          <w:p w14:paraId="1621C504"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912.15</w:t>
            </w:r>
          </w:p>
        </w:tc>
        <w:tc>
          <w:tcPr>
            <w:tcW w:w="531" w:type="pct"/>
            <w:tcBorders>
              <w:top w:val="nil"/>
              <w:left w:val="nil"/>
              <w:bottom w:val="single" w:sz="8" w:space="0" w:color="8497B0"/>
              <w:right w:val="single" w:sz="8" w:space="0" w:color="8497B0"/>
            </w:tcBorders>
            <w:noWrap/>
            <w:vAlign w:val="center"/>
            <w:hideMark/>
          </w:tcPr>
          <w:p w14:paraId="288FD6D0"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885.06</w:t>
            </w:r>
          </w:p>
        </w:tc>
        <w:tc>
          <w:tcPr>
            <w:tcW w:w="530" w:type="pct"/>
            <w:tcBorders>
              <w:top w:val="nil"/>
              <w:left w:val="nil"/>
              <w:bottom w:val="single" w:sz="8" w:space="0" w:color="8497B0"/>
              <w:right w:val="single" w:sz="8" w:space="0" w:color="8497B0"/>
            </w:tcBorders>
            <w:noWrap/>
            <w:vAlign w:val="center"/>
            <w:hideMark/>
          </w:tcPr>
          <w:p w14:paraId="3130B16C"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894.83</w:t>
            </w:r>
          </w:p>
        </w:tc>
      </w:tr>
      <w:tr w:rsidR="00E03F4A" w:rsidRPr="00B73E3A" w14:paraId="50376D3E" w14:textId="77777777" w:rsidTr="00326A8C">
        <w:trPr>
          <w:trHeight w:val="510"/>
        </w:trPr>
        <w:tc>
          <w:tcPr>
            <w:tcW w:w="278" w:type="pct"/>
            <w:vMerge/>
            <w:tcBorders>
              <w:top w:val="nil"/>
              <w:left w:val="single" w:sz="8" w:space="0" w:color="92CDDB"/>
              <w:bottom w:val="single" w:sz="8" w:space="0" w:color="92CDDB"/>
              <w:right w:val="single" w:sz="8" w:space="0" w:color="92CDDB"/>
            </w:tcBorders>
            <w:vAlign w:val="center"/>
            <w:hideMark/>
          </w:tcPr>
          <w:p w14:paraId="6036BDFC" w14:textId="77777777" w:rsidR="00E03F4A" w:rsidRPr="00B73E3A" w:rsidRDefault="00E03F4A" w:rsidP="00326A8C">
            <w:pPr>
              <w:spacing w:after="0" w:line="240" w:lineRule="auto"/>
              <w:rPr>
                <w:rFonts w:eastAsia="Times New Roman" w:cs="Arial"/>
                <w:color w:val="000000"/>
                <w:sz w:val="20"/>
                <w:szCs w:val="20"/>
                <w:lang w:eastAsia="cs-CZ"/>
              </w:rPr>
            </w:pPr>
          </w:p>
        </w:tc>
        <w:tc>
          <w:tcPr>
            <w:tcW w:w="163" w:type="pct"/>
            <w:tcBorders>
              <w:top w:val="nil"/>
              <w:left w:val="nil"/>
              <w:bottom w:val="single" w:sz="8" w:space="0" w:color="92CDDB"/>
              <w:right w:val="single" w:sz="8" w:space="0" w:color="92CDDB"/>
            </w:tcBorders>
            <w:shd w:val="clear" w:color="000000" w:fill="CAEDFB"/>
            <w:vAlign w:val="center"/>
            <w:hideMark/>
          </w:tcPr>
          <w:p w14:paraId="2F2353F3"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NW</w:t>
            </w:r>
          </w:p>
        </w:tc>
        <w:tc>
          <w:tcPr>
            <w:tcW w:w="1005" w:type="pct"/>
            <w:tcBorders>
              <w:top w:val="nil"/>
              <w:left w:val="nil"/>
              <w:bottom w:val="single" w:sz="8" w:space="0" w:color="92CDDB"/>
              <w:right w:val="single" w:sz="8" w:space="0" w:color="92CDDB"/>
            </w:tcBorders>
            <w:shd w:val="clear" w:color="000000" w:fill="CAEDFB"/>
            <w:vAlign w:val="center"/>
            <w:hideMark/>
          </w:tcPr>
          <w:p w14:paraId="79585E3A"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Program na podporu zdravotnického aplikovaného výzkumu na léta 2024-2030</w:t>
            </w:r>
          </w:p>
        </w:tc>
        <w:tc>
          <w:tcPr>
            <w:tcW w:w="397" w:type="pct"/>
            <w:tcBorders>
              <w:top w:val="nil"/>
              <w:left w:val="nil"/>
              <w:bottom w:val="single" w:sz="8" w:space="0" w:color="92CDDB"/>
              <w:right w:val="single" w:sz="8" w:space="0" w:color="92CDDB"/>
            </w:tcBorders>
            <w:shd w:val="clear" w:color="000000" w:fill="CAEDFB"/>
            <w:noWrap/>
            <w:vAlign w:val="center"/>
            <w:hideMark/>
          </w:tcPr>
          <w:p w14:paraId="4E23C5D0"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2024</w:t>
            </w:r>
          </w:p>
        </w:tc>
        <w:tc>
          <w:tcPr>
            <w:tcW w:w="430" w:type="pct"/>
            <w:tcBorders>
              <w:top w:val="nil"/>
              <w:left w:val="nil"/>
              <w:bottom w:val="single" w:sz="8" w:space="0" w:color="92CDDB"/>
              <w:right w:val="single" w:sz="8" w:space="0" w:color="92CDDB"/>
            </w:tcBorders>
            <w:shd w:val="clear" w:color="000000" w:fill="CAEDFB"/>
            <w:noWrap/>
            <w:vAlign w:val="center"/>
            <w:hideMark/>
          </w:tcPr>
          <w:p w14:paraId="4D68A862"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2030</w:t>
            </w:r>
          </w:p>
        </w:tc>
        <w:tc>
          <w:tcPr>
            <w:tcW w:w="603" w:type="pct"/>
            <w:tcBorders>
              <w:top w:val="nil"/>
              <w:left w:val="nil"/>
              <w:bottom w:val="single" w:sz="8" w:space="0" w:color="9BC2E6"/>
              <w:right w:val="single" w:sz="8" w:space="0" w:color="9BC2E6"/>
            </w:tcBorders>
            <w:shd w:val="clear" w:color="000000" w:fill="CAEDFB"/>
            <w:noWrap/>
            <w:vAlign w:val="center"/>
            <w:hideMark/>
          </w:tcPr>
          <w:p w14:paraId="4310A00D"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238.36</w:t>
            </w:r>
          </w:p>
        </w:tc>
        <w:tc>
          <w:tcPr>
            <w:tcW w:w="531" w:type="pct"/>
            <w:tcBorders>
              <w:top w:val="nil"/>
              <w:left w:val="nil"/>
              <w:bottom w:val="single" w:sz="8" w:space="0" w:color="9BC2E6"/>
              <w:right w:val="single" w:sz="8" w:space="0" w:color="9BC2E6"/>
            </w:tcBorders>
            <w:shd w:val="clear" w:color="000000" w:fill="CAEDFB"/>
            <w:noWrap/>
            <w:vAlign w:val="center"/>
            <w:hideMark/>
          </w:tcPr>
          <w:p w14:paraId="6FD8F480"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204.76</w:t>
            </w:r>
          </w:p>
        </w:tc>
        <w:tc>
          <w:tcPr>
            <w:tcW w:w="532" w:type="pct"/>
            <w:tcBorders>
              <w:top w:val="nil"/>
              <w:left w:val="nil"/>
              <w:bottom w:val="single" w:sz="8" w:space="0" w:color="9BC2E6"/>
              <w:right w:val="single" w:sz="8" w:space="0" w:color="9BC2E6"/>
            </w:tcBorders>
            <w:shd w:val="clear" w:color="000000" w:fill="CAEDFB"/>
            <w:noWrap/>
            <w:vAlign w:val="center"/>
            <w:hideMark/>
          </w:tcPr>
          <w:p w14:paraId="7128D446"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205.74</w:t>
            </w:r>
          </w:p>
        </w:tc>
        <w:tc>
          <w:tcPr>
            <w:tcW w:w="531" w:type="pct"/>
            <w:tcBorders>
              <w:top w:val="nil"/>
              <w:left w:val="nil"/>
              <w:bottom w:val="single" w:sz="8" w:space="0" w:color="8497B0"/>
              <w:right w:val="single" w:sz="8" w:space="0" w:color="8497B0"/>
            </w:tcBorders>
            <w:shd w:val="clear" w:color="000000" w:fill="CAEDFB"/>
            <w:noWrap/>
            <w:vAlign w:val="center"/>
            <w:hideMark/>
          </w:tcPr>
          <w:p w14:paraId="46647259"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190.44</w:t>
            </w:r>
          </w:p>
        </w:tc>
        <w:tc>
          <w:tcPr>
            <w:tcW w:w="530" w:type="pct"/>
            <w:tcBorders>
              <w:top w:val="nil"/>
              <w:left w:val="nil"/>
              <w:bottom w:val="single" w:sz="8" w:space="0" w:color="8497B0"/>
              <w:right w:val="single" w:sz="8" w:space="0" w:color="8497B0"/>
            </w:tcBorders>
            <w:shd w:val="clear" w:color="000000" w:fill="CAEDFB"/>
            <w:noWrap/>
            <w:vAlign w:val="center"/>
            <w:hideMark/>
          </w:tcPr>
          <w:p w14:paraId="16838FFC"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191.36</w:t>
            </w:r>
          </w:p>
        </w:tc>
      </w:tr>
      <w:tr w:rsidR="00E03F4A" w:rsidRPr="00B73E3A" w14:paraId="631E45D6" w14:textId="77777777" w:rsidTr="00326A8C">
        <w:trPr>
          <w:trHeight w:val="510"/>
        </w:trPr>
        <w:tc>
          <w:tcPr>
            <w:tcW w:w="278" w:type="pct"/>
            <w:vMerge w:val="restart"/>
            <w:tcBorders>
              <w:top w:val="nil"/>
              <w:left w:val="single" w:sz="8" w:space="0" w:color="92CDDB"/>
              <w:bottom w:val="single" w:sz="8" w:space="0" w:color="92CDDB"/>
              <w:right w:val="single" w:sz="8" w:space="0" w:color="92CDDB"/>
            </w:tcBorders>
            <w:noWrap/>
            <w:vAlign w:val="center"/>
            <w:hideMark/>
          </w:tcPr>
          <w:p w14:paraId="7966D44A"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MZE</w:t>
            </w:r>
          </w:p>
        </w:tc>
        <w:tc>
          <w:tcPr>
            <w:tcW w:w="163" w:type="pct"/>
            <w:tcBorders>
              <w:top w:val="nil"/>
              <w:left w:val="nil"/>
              <w:bottom w:val="single" w:sz="8" w:space="0" w:color="92CDDB"/>
              <w:right w:val="single" w:sz="8" w:space="0" w:color="92CDDB"/>
            </w:tcBorders>
            <w:vAlign w:val="center"/>
            <w:hideMark/>
          </w:tcPr>
          <w:p w14:paraId="78EB02E1"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QK</w:t>
            </w:r>
          </w:p>
        </w:tc>
        <w:tc>
          <w:tcPr>
            <w:tcW w:w="1005" w:type="pct"/>
            <w:tcBorders>
              <w:top w:val="nil"/>
              <w:left w:val="nil"/>
              <w:bottom w:val="single" w:sz="8" w:space="0" w:color="92CDDB"/>
              <w:right w:val="single" w:sz="8" w:space="0" w:color="92CDDB"/>
            </w:tcBorders>
            <w:vAlign w:val="center"/>
            <w:hideMark/>
          </w:tcPr>
          <w:p w14:paraId="6ADA766F" w14:textId="77777777" w:rsidR="00E03F4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 xml:space="preserve">Program aplikovaného výzkumu Ministerstva zemědělství na období </w:t>
            </w:r>
          </w:p>
          <w:p w14:paraId="59FE7489"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2017–2025, ZEMĚ</w:t>
            </w:r>
          </w:p>
        </w:tc>
        <w:tc>
          <w:tcPr>
            <w:tcW w:w="397" w:type="pct"/>
            <w:tcBorders>
              <w:top w:val="nil"/>
              <w:left w:val="nil"/>
              <w:bottom w:val="single" w:sz="8" w:space="0" w:color="92CDDB"/>
              <w:right w:val="single" w:sz="8" w:space="0" w:color="92CDDB"/>
            </w:tcBorders>
            <w:noWrap/>
            <w:vAlign w:val="center"/>
            <w:hideMark/>
          </w:tcPr>
          <w:p w14:paraId="11C9A17C"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2017</w:t>
            </w:r>
          </w:p>
        </w:tc>
        <w:tc>
          <w:tcPr>
            <w:tcW w:w="430" w:type="pct"/>
            <w:tcBorders>
              <w:top w:val="nil"/>
              <w:left w:val="nil"/>
              <w:bottom w:val="single" w:sz="8" w:space="0" w:color="92CDDB"/>
              <w:right w:val="single" w:sz="8" w:space="0" w:color="92CDDB"/>
            </w:tcBorders>
            <w:noWrap/>
            <w:vAlign w:val="center"/>
            <w:hideMark/>
          </w:tcPr>
          <w:p w14:paraId="7F44D33B"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2025</w:t>
            </w:r>
          </w:p>
        </w:tc>
        <w:tc>
          <w:tcPr>
            <w:tcW w:w="603" w:type="pct"/>
            <w:tcBorders>
              <w:top w:val="nil"/>
              <w:left w:val="nil"/>
              <w:bottom w:val="single" w:sz="8" w:space="0" w:color="9BC2E6"/>
              <w:right w:val="single" w:sz="8" w:space="0" w:color="9BC2E6"/>
            </w:tcBorders>
            <w:noWrap/>
            <w:vAlign w:val="center"/>
            <w:hideMark/>
          </w:tcPr>
          <w:p w14:paraId="0E687FB0"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331.99</w:t>
            </w:r>
          </w:p>
        </w:tc>
        <w:tc>
          <w:tcPr>
            <w:tcW w:w="531" w:type="pct"/>
            <w:tcBorders>
              <w:top w:val="nil"/>
              <w:left w:val="nil"/>
              <w:bottom w:val="single" w:sz="8" w:space="0" w:color="9BC2E6"/>
              <w:right w:val="single" w:sz="8" w:space="0" w:color="9BC2E6"/>
            </w:tcBorders>
            <w:noWrap/>
            <w:vAlign w:val="center"/>
            <w:hideMark/>
          </w:tcPr>
          <w:p w14:paraId="59F74326"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333.02</w:t>
            </w:r>
          </w:p>
        </w:tc>
        <w:tc>
          <w:tcPr>
            <w:tcW w:w="532" w:type="pct"/>
            <w:tcBorders>
              <w:top w:val="nil"/>
              <w:left w:val="nil"/>
              <w:bottom w:val="single" w:sz="8" w:space="0" w:color="9BC2E6"/>
              <w:right w:val="single" w:sz="8" w:space="0" w:color="9BC2E6"/>
            </w:tcBorders>
            <w:noWrap/>
            <w:vAlign w:val="center"/>
            <w:hideMark/>
          </w:tcPr>
          <w:p w14:paraId="7DD7FC31"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366.23</w:t>
            </w:r>
          </w:p>
        </w:tc>
        <w:tc>
          <w:tcPr>
            <w:tcW w:w="531" w:type="pct"/>
            <w:tcBorders>
              <w:top w:val="nil"/>
              <w:left w:val="nil"/>
              <w:bottom w:val="single" w:sz="8" w:space="0" w:color="8497B0"/>
              <w:right w:val="single" w:sz="8" w:space="0" w:color="8497B0"/>
            </w:tcBorders>
            <w:noWrap/>
            <w:vAlign w:val="center"/>
            <w:hideMark/>
          </w:tcPr>
          <w:p w14:paraId="61F2D983"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335.22</w:t>
            </w:r>
          </w:p>
        </w:tc>
        <w:tc>
          <w:tcPr>
            <w:tcW w:w="530" w:type="pct"/>
            <w:tcBorders>
              <w:top w:val="nil"/>
              <w:left w:val="nil"/>
              <w:bottom w:val="single" w:sz="8" w:space="0" w:color="8497B0"/>
              <w:right w:val="single" w:sz="8" w:space="0" w:color="8497B0"/>
            </w:tcBorders>
            <w:noWrap/>
            <w:vAlign w:val="center"/>
            <w:hideMark/>
          </w:tcPr>
          <w:p w14:paraId="3C8F5E37"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368.57</w:t>
            </w:r>
          </w:p>
        </w:tc>
      </w:tr>
      <w:tr w:rsidR="00E03F4A" w:rsidRPr="00B73E3A" w14:paraId="0C06CA22" w14:textId="77777777" w:rsidTr="002A48ED">
        <w:trPr>
          <w:trHeight w:val="510"/>
        </w:trPr>
        <w:tc>
          <w:tcPr>
            <w:tcW w:w="278" w:type="pct"/>
            <w:vMerge/>
            <w:tcBorders>
              <w:top w:val="nil"/>
              <w:left w:val="single" w:sz="8" w:space="0" w:color="92CDDB"/>
              <w:bottom w:val="single" w:sz="8" w:space="0" w:color="92CDDB"/>
              <w:right w:val="single" w:sz="8" w:space="0" w:color="92CDDB"/>
            </w:tcBorders>
            <w:vAlign w:val="center"/>
            <w:hideMark/>
          </w:tcPr>
          <w:p w14:paraId="1B6A0520" w14:textId="77777777" w:rsidR="00E03F4A" w:rsidRPr="00B73E3A" w:rsidRDefault="00E03F4A" w:rsidP="00326A8C">
            <w:pPr>
              <w:spacing w:after="0" w:line="240" w:lineRule="auto"/>
              <w:rPr>
                <w:rFonts w:eastAsia="Times New Roman" w:cs="Arial"/>
                <w:color w:val="000000"/>
                <w:sz w:val="20"/>
                <w:szCs w:val="20"/>
                <w:lang w:eastAsia="cs-CZ"/>
              </w:rPr>
            </w:pPr>
          </w:p>
        </w:tc>
        <w:tc>
          <w:tcPr>
            <w:tcW w:w="163" w:type="pct"/>
            <w:tcBorders>
              <w:top w:val="nil"/>
              <w:left w:val="nil"/>
              <w:bottom w:val="single" w:sz="8" w:space="0" w:color="92CDDB"/>
              <w:right w:val="single" w:sz="8" w:space="0" w:color="92CDDB"/>
            </w:tcBorders>
            <w:shd w:val="clear" w:color="000000" w:fill="CAEDFB"/>
            <w:vAlign w:val="center"/>
            <w:hideMark/>
          </w:tcPr>
          <w:p w14:paraId="4D53630F"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QL</w:t>
            </w:r>
          </w:p>
        </w:tc>
        <w:tc>
          <w:tcPr>
            <w:tcW w:w="1005" w:type="pct"/>
            <w:tcBorders>
              <w:top w:val="nil"/>
              <w:left w:val="nil"/>
              <w:bottom w:val="single" w:sz="8" w:space="0" w:color="92CDDB"/>
              <w:right w:val="single" w:sz="8" w:space="0" w:color="92CDDB"/>
            </w:tcBorders>
            <w:shd w:val="clear" w:color="000000" w:fill="CAEDFB"/>
            <w:vAlign w:val="center"/>
            <w:hideMark/>
          </w:tcPr>
          <w:p w14:paraId="130C0667" w14:textId="77777777" w:rsidR="00E03F4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 xml:space="preserve">Program aplikovaného výzkumu Ministerstva zemědělství na období </w:t>
            </w:r>
          </w:p>
          <w:p w14:paraId="4F5E49A0"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2024–2032, ZEMĚ II</w:t>
            </w:r>
          </w:p>
        </w:tc>
        <w:tc>
          <w:tcPr>
            <w:tcW w:w="397" w:type="pct"/>
            <w:tcBorders>
              <w:top w:val="nil"/>
              <w:left w:val="nil"/>
              <w:bottom w:val="single" w:sz="8" w:space="0" w:color="92CDDB"/>
              <w:right w:val="single" w:sz="8" w:space="0" w:color="92CDDB"/>
            </w:tcBorders>
            <w:shd w:val="clear" w:color="000000" w:fill="CAEDFB"/>
            <w:noWrap/>
            <w:vAlign w:val="center"/>
            <w:hideMark/>
          </w:tcPr>
          <w:p w14:paraId="6F3B5F68"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2024</w:t>
            </w:r>
          </w:p>
        </w:tc>
        <w:tc>
          <w:tcPr>
            <w:tcW w:w="430" w:type="pct"/>
            <w:tcBorders>
              <w:top w:val="nil"/>
              <w:left w:val="nil"/>
              <w:bottom w:val="single" w:sz="8" w:space="0" w:color="92CDDB"/>
              <w:right w:val="single" w:sz="8" w:space="0" w:color="92CDDB"/>
            </w:tcBorders>
            <w:shd w:val="clear" w:color="000000" w:fill="CAEDFB"/>
            <w:noWrap/>
            <w:vAlign w:val="center"/>
            <w:hideMark/>
          </w:tcPr>
          <w:p w14:paraId="53C80248"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2032</w:t>
            </w:r>
          </w:p>
        </w:tc>
        <w:tc>
          <w:tcPr>
            <w:tcW w:w="603" w:type="pct"/>
            <w:tcBorders>
              <w:top w:val="nil"/>
              <w:left w:val="nil"/>
              <w:bottom w:val="single" w:sz="8" w:space="0" w:color="9BC2E6"/>
              <w:right w:val="single" w:sz="8" w:space="0" w:color="9BC2E6"/>
            </w:tcBorders>
            <w:shd w:val="clear" w:color="000000" w:fill="CAEDFB"/>
            <w:noWrap/>
            <w:vAlign w:val="center"/>
            <w:hideMark/>
          </w:tcPr>
          <w:p w14:paraId="3B0C5468"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208.01</w:t>
            </w:r>
          </w:p>
        </w:tc>
        <w:tc>
          <w:tcPr>
            <w:tcW w:w="531" w:type="pct"/>
            <w:tcBorders>
              <w:top w:val="nil"/>
              <w:left w:val="nil"/>
              <w:bottom w:val="single" w:sz="8" w:space="0" w:color="9BC2E6"/>
              <w:right w:val="single" w:sz="8" w:space="0" w:color="9BC2E6"/>
            </w:tcBorders>
            <w:shd w:val="clear" w:color="000000" w:fill="CAEDFB"/>
            <w:noWrap/>
            <w:vAlign w:val="center"/>
            <w:hideMark/>
          </w:tcPr>
          <w:p w14:paraId="630EE1DC"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211.43</w:t>
            </w:r>
          </w:p>
        </w:tc>
        <w:tc>
          <w:tcPr>
            <w:tcW w:w="532" w:type="pct"/>
            <w:tcBorders>
              <w:top w:val="nil"/>
              <w:left w:val="nil"/>
              <w:bottom w:val="single" w:sz="8" w:space="0" w:color="9BC2E6"/>
              <w:right w:val="single" w:sz="8" w:space="0" w:color="9BC2E6"/>
            </w:tcBorders>
            <w:shd w:val="clear" w:color="000000" w:fill="CAEDFB"/>
            <w:noWrap/>
            <w:vAlign w:val="center"/>
            <w:hideMark/>
          </w:tcPr>
          <w:p w14:paraId="4CFBAB15"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242.66</w:t>
            </w:r>
          </w:p>
        </w:tc>
        <w:tc>
          <w:tcPr>
            <w:tcW w:w="531" w:type="pct"/>
            <w:tcBorders>
              <w:top w:val="nil"/>
              <w:left w:val="nil"/>
              <w:bottom w:val="single" w:sz="8" w:space="0" w:color="8497B0"/>
              <w:right w:val="single" w:sz="8" w:space="0" w:color="8497B0"/>
            </w:tcBorders>
            <w:shd w:val="clear" w:color="000000" w:fill="CAEDFB"/>
            <w:noWrap/>
            <w:vAlign w:val="center"/>
            <w:hideMark/>
          </w:tcPr>
          <w:p w14:paraId="6DDF2FA0"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201.51</w:t>
            </w:r>
          </w:p>
        </w:tc>
        <w:tc>
          <w:tcPr>
            <w:tcW w:w="530" w:type="pct"/>
            <w:tcBorders>
              <w:top w:val="nil"/>
              <w:left w:val="nil"/>
              <w:bottom w:val="single" w:sz="8" w:space="0" w:color="8497B0"/>
              <w:right w:val="single" w:sz="8" w:space="0" w:color="8497B0"/>
            </w:tcBorders>
            <w:shd w:val="clear" w:color="000000" w:fill="CAEDFB"/>
            <w:noWrap/>
            <w:vAlign w:val="center"/>
            <w:hideMark/>
          </w:tcPr>
          <w:p w14:paraId="2632F5A7"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232.61</w:t>
            </w:r>
          </w:p>
        </w:tc>
      </w:tr>
      <w:tr w:rsidR="00E03F4A" w:rsidRPr="00B73E3A" w14:paraId="53D5BBF3" w14:textId="77777777" w:rsidTr="002A48ED">
        <w:trPr>
          <w:trHeight w:val="510"/>
        </w:trPr>
        <w:tc>
          <w:tcPr>
            <w:tcW w:w="278" w:type="pct"/>
            <w:vMerge w:val="restart"/>
            <w:tcBorders>
              <w:top w:val="single" w:sz="8" w:space="0" w:color="92CDDB"/>
              <w:left w:val="single" w:sz="8" w:space="0" w:color="92CDDB"/>
              <w:bottom w:val="single" w:sz="8" w:space="0" w:color="92CDDB"/>
              <w:right w:val="nil"/>
            </w:tcBorders>
            <w:noWrap/>
            <w:vAlign w:val="center"/>
            <w:hideMark/>
          </w:tcPr>
          <w:p w14:paraId="7B85323F"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MŠMT</w:t>
            </w:r>
          </w:p>
        </w:tc>
        <w:tc>
          <w:tcPr>
            <w:tcW w:w="163" w:type="pct"/>
            <w:tcBorders>
              <w:top w:val="nil"/>
              <w:left w:val="single" w:sz="8" w:space="0" w:color="92CDDB"/>
              <w:bottom w:val="single" w:sz="8" w:space="0" w:color="92CDDB"/>
              <w:right w:val="single" w:sz="8" w:space="0" w:color="92CDDB"/>
            </w:tcBorders>
            <w:vAlign w:val="center"/>
            <w:hideMark/>
          </w:tcPr>
          <w:p w14:paraId="3FE5880F"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LL</w:t>
            </w:r>
          </w:p>
        </w:tc>
        <w:tc>
          <w:tcPr>
            <w:tcW w:w="1005" w:type="pct"/>
            <w:tcBorders>
              <w:top w:val="nil"/>
              <w:left w:val="nil"/>
              <w:bottom w:val="single" w:sz="8" w:space="0" w:color="92CDDB"/>
              <w:right w:val="single" w:sz="8" w:space="0" w:color="92CDDB"/>
            </w:tcBorders>
            <w:vAlign w:val="center"/>
            <w:hideMark/>
          </w:tcPr>
          <w:p w14:paraId="63A173F3"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ERC CZ</w:t>
            </w:r>
          </w:p>
        </w:tc>
        <w:tc>
          <w:tcPr>
            <w:tcW w:w="397" w:type="pct"/>
            <w:tcBorders>
              <w:top w:val="nil"/>
              <w:left w:val="nil"/>
              <w:bottom w:val="single" w:sz="8" w:space="0" w:color="92CDDB"/>
              <w:right w:val="single" w:sz="8" w:space="0" w:color="92CDDB"/>
            </w:tcBorders>
            <w:noWrap/>
            <w:vAlign w:val="center"/>
            <w:hideMark/>
          </w:tcPr>
          <w:p w14:paraId="43EA1C93"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2012</w:t>
            </w:r>
          </w:p>
        </w:tc>
        <w:tc>
          <w:tcPr>
            <w:tcW w:w="430" w:type="pct"/>
            <w:tcBorders>
              <w:top w:val="nil"/>
              <w:left w:val="nil"/>
              <w:bottom w:val="single" w:sz="8" w:space="0" w:color="92CDDB"/>
              <w:right w:val="single" w:sz="8" w:space="0" w:color="92CDDB"/>
            </w:tcBorders>
            <w:noWrap/>
            <w:vAlign w:val="center"/>
            <w:hideMark/>
          </w:tcPr>
          <w:p w14:paraId="07571171"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2032</w:t>
            </w:r>
          </w:p>
        </w:tc>
        <w:tc>
          <w:tcPr>
            <w:tcW w:w="603" w:type="pct"/>
            <w:tcBorders>
              <w:top w:val="nil"/>
              <w:left w:val="nil"/>
              <w:bottom w:val="single" w:sz="8" w:space="0" w:color="9BC2E6"/>
              <w:right w:val="single" w:sz="8" w:space="0" w:color="9BC2E6"/>
            </w:tcBorders>
            <w:noWrap/>
            <w:vAlign w:val="center"/>
            <w:hideMark/>
          </w:tcPr>
          <w:p w14:paraId="3244CDF4"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397.11</w:t>
            </w:r>
          </w:p>
        </w:tc>
        <w:tc>
          <w:tcPr>
            <w:tcW w:w="531" w:type="pct"/>
            <w:tcBorders>
              <w:top w:val="nil"/>
              <w:left w:val="nil"/>
              <w:bottom w:val="single" w:sz="8" w:space="0" w:color="9BC2E6"/>
              <w:right w:val="single" w:sz="8" w:space="0" w:color="9BC2E6"/>
            </w:tcBorders>
            <w:noWrap/>
            <w:vAlign w:val="center"/>
            <w:hideMark/>
          </w:tcPr>
          <w:p w14:paraId="149DE26F"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216.14</w:t>
            </w:r>
          </w:p>
        </w:tc>
        <w:tc>
          <w:tcPr>
            <w:tcW w:w="532" w:type="pct"/>
            <w:tcBorders>
              <w:top w:val="nil"/>
              <w:left w:val="nil"/>
              <w:bottom w:val="single" w:sz="8" w:space="0" w:color="9BC2E6"/>
              <w:right w:val="single" w:sz="8" w:space="0" w:color="9BC2E6"/>
            </w:tcBorders>
            <w:noWrap/>
            <w:vAlign w:val="center"/>
            <w:hideMark/>
          </w:tcPr>
          <w:p w14:paraId="0804792B"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219.13</w:t>
            </w:r>
          </w:p>
        </w:tc>
        <w:tc>
          <w:tcPr>
            <w:tcW w:w="531" w:type="pct"/>
            <w:tcBorders>
              <w:top w:val="nil"/>
              <w:left w:val="nil"/>
              <w:bottom w:val="single" w:sz="8" w:space="0" w:color="8497B0"/>
              <w:right w:val="single" w:sz="8" w:space="0" w:color="8497B0"/>
            </w:tcBorders>
            <w:noWrap/>
            <w:vAlign w:val="center"/>
            <w:hideMark/>
          </w:tcPr>
          <w:p w14:paraId="2EA92CFB"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216.08</w:t>
            </w:r>
          </w:p>
        </w:tc>
        <w:tc>
          <w:tcPr>
            <w:tcW w:w="530" w:type="pct"/>
            <w:tcBorders>
              <w:top w:val="nil"/>
              <w:left w:val="nil"/>
              <w:bottom w:val="single" w:sz="8" w:space="0" w:color="8497B0"/>
              <w:right w:val="single" w:sz="8" w:space="0" w:color="8497B0"/>
            </w:tcBorders>
            <w:noWrap/>
            <w:vAlign w:val="center"/>
            <w:hideMark/>
          </w:tcPr>
          <w:p w14:paraId="2B2F622A"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219.13</w:t>
            </w:r>
          </w:p>
        </w:tc>
      </w:tr>
      <w:tr w:rsidR="00E03F4A" w:rsidRPr="00B73E3A" w14:paraId="3C0AA960" w14:textId="77777777" w:rsidTr="002A48ED">
        <w:trPr>
          <w:trHeight w:val="510"/>
        </w:trPr>
        <w:tc>
          <w:tcPr>
            <w:tcW w:w="278" w:type="pct"/>
            <w:vMerge/>
            <w:tcBorders>
              <w:top w:val="single" w:sz="8" w:space="0" w:color="92CDDB"/>
              <w:left w:val="single" w:sz="8" w:space="0" w:color="92CDDB"/>
              <w:bottom w:val="single" w:sz="8" w:space="0" w:color="92CDDB"/>
              <w:right w:val="nil"/>
            </w:tcBorders>
            <w:vAlign w:val="center"/>
            <w:hideMark/>
          </w:tcPr>
          <w:p w14:paraId="4998392F" w14:textId="77777777" w:rsidR="00E03F4A" w:rsidRPr="00B73E3A" w:rsidRDefault="00E03F4A" w:rsidP="00326A8C">
            <w:pPr>
              <w:spacing w:after="0" w:line="240" w:lineRule="auto"/>
              <w:rPr>
                <w:rFonts w:eastAsia="Times New Roman" w:cs="Arial"/>
                <w:color w:val="000000"/>
                <w:sz w:val="20"/>
                <w:szCs w:val="20"/>
                <w:lang w:eastAsia="cs-CZ"/>
              </w:rPr>
            </w:pPr>
          </w:p>
        </w:tc>
        <w:tc>
          <w:tcPr>
            <w:tcW w:w="163" w:type="pct"/>
            <w:tcBorders>
              <w:top w:val="nil"/>
              <w:left w:val="single" w:sz="8" w:space="0" w:color="92CDDB"/>
              <w:bottom w:val="single" w:sz="8" w:space="0" w:color="92CDDB"/>
              <w:right w:val="single" w:sz="8" w:space="0" w:color="92CDDB"/>
            </w:tcBorders>
            <w:shd w:val="clear" w:color="000000" w:fill="F2F2F2"/>
            <w:vAlign w:val="center"/>
            <w:hideMark/>
          </w:tcPr>
          <w:p w14:paraId="6FD6AD18"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LT</w:t>
            </w:r>
          </w:p>
        </w:tc>
        <w:tc>
          <w:tcPr>
            <w:tcW w:w="1005" w:type="pct"/>
            <w:tcBorders>
              <w:top w:val="nil"/>
              <w:left w:val="nil"/>
              <w:bottom w:val="single" w:sz="8" w:space="0" w:color="92CDDB"/>
              <w:right w:val="single" w:sz="8" w:space="0" w:color="92CDDB"/>
            </w:tcBorders>
            <w:shd w:val="clear" w:color="000000" w:fill="F2F2F2"/>
            <w:vAlign w:val="center"/>
            <w:hideMark/>
          </w:tcPr>
          <w:p w14:paraId="19BB5693"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INTER-EXCELLENCE</w:t>
            </w:r>
          </w:p>
        </w:tc>
        <w:tc>
          <w:tcPr>
            <w:tcW w:w="397" w:type="pct"/>
            <w:tcBorders>
              <w:top w:val="nil"/>
              <w:left w:val="nil"/>
              <w:bottom w:val="single" w:sz="8" w:space="0" w:color="92CDDB"/>
              <w:right w:val="single" w:sz="8" w:space="0" w:color="92CDDB"/>
            </w:tcBorders>
            <w:shd w:val="clear" w:color="000000" w:fill="F2F2F2"/>
            <w:noWrap/>
            <w:vAlign w:val="center"/>
            <w:hideMark/>
          </w:tcPr>
          <w:p w14:paraId="42F50BC3"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2016</w:t>
            </w:r>
          </w:p>
        </w:tc>
        <w:tc>
          <w:tcPr>
            <w:tcW w:w="430" w:type="pct"/>
            <w:tcBorders>
              <w:top w:val="nil"/>
              <w:left w:val="nil"/>
              <w:bottom w:val="single" w:sz="8" w:space="0" w:color="92CDDB"/>
              <w:right w:val="single" w:sz="8" w:space="0" w:color="92CDDB"/>
            </w:tcBorders>
            <w:shd w:val="clear" w:color="000000" w:fill="F2F2F2"/>
            <w:noWrap/>
            <w:vAlign w:val="center"/>
            <w:hideMark/>
          </w:tcPr>
          <w:p w14:paraId="4DD100D2"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2024</w:t>
            </w:r>
          </w:p>
        </w:tc>
        <w:tc>
          <w:tcPr>
            <w:tcW w:w="603" w:type="pct"/>
            <w:tcBorders>
              <w:top w:val="nil"/>
              <w:left w:val="nil"/>
              <w:bottom w:val="single" w:sz="8" w:space="0" w:color="9BC2E6"/>
              <w:right w:val="single" w:sz="8" w:space="0" w:color="9BC2E6"/>
            </w:tcBorders>
            <w:shd w:val="clear" w:color="000000" w:fill="F2F2F2"/>
            <w:noWrap/>
            <w:vAlign w:val="center"/>
            <w:hideMark/>
          </w:tcPr>
          <w:p w14:paraId="66194EFB"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19.78</w:t>
            </w:r>
          </w:p>
        </w:tc>
        <w:tc>
          <w:tcPr>
            <w:tcW w:w="531" w:type="pct"/>
            <w:tcBorders>
              <w:top w:val="nil"/>
              <w:left w:val="nil"/>
              <w:bottom w:val="single" w:sz="8" w:space="0" w:color="9BC2E6"/>
              <w:right w:val="single" w:sz="8" w:space="0" w:color="9BC2E6"/>
            </w:tcBorders>
            <w:shd w:val="clear" w:color="000000" w:fill="F2F2F2"/>
            <w:noWrap/>
            <w:vAlign w:val="center"/>
            <w:hideMark/>
          </w:tcPr>
          <w:p w14:paraId="73F7D317"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19.78</w:t>
            </w:r>
          </w:p>
        </w:tc>
        <w:tc>
          <w:tcPr>
            <w:tcW w:w="532" w:type="pct"/>
            <w:tcBorders>
              <w:top w:val="nil"/>
              <w:left w:val="nil"/>
              <w:bottom w:val="single" w:sz="8" w:space="0" w:color="9BC2E6"/>
              <w:right w:val="single" w:sz="8" w:space="0" w:color="9BC2E6"/>
            </w:tcBorders>
            <w:shd w:val="clear" w:color="000000" w:fill="F2F2F2"/>
            <w:noWrap/>
            <w:vAlign w:val="center"/>
            <w:hideMark/>
          </w:tcPr>
          <w:p w14:paraId="056A0661"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19.78</w:t>
            </w:r>
          </w:p>
        </w:tc>
        <w:tc>
          <w:tcPr>
            <w:tcW w:w="531" w:type="pct"/>
            <w:tcBorders>
              <w:top w:val="nil"/>
              <w:left w:val="nil"/>
              <w:bottom w:val="single" w:sz="8" w:space="0" w:color="8497B0"/>
              <w:right w:val="single" w:sz="8" w:space="0" w:color="8497B0"/>
            </w:tcBorders>
            <w:shd w:val="clear" w:color="000000" w:fill="F2F2F2"/>
            <w:noWrap/>
            <w:vAlign w:val="center"/>
            <w:hideMark/>
          </w:tcPr>
          <w:p w14:paraId="4F8375CE"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19.78</w:t>
            </w:r>
          </w:p>
        </w:tc>
        <w:tc>
          <w:tcPr>
            <w:tcW w:w="530" w:type="pct"/>
            <w:tcBorders>
              <w:top w:val="nil"/>
              <w:left w:val="nil"/>
              <w:bottom w:val="single" w:sz="8" w:space="0" w:color="8497B0"/>
              <w:right w:val="single" w:sz="8" w:space="0" w:color="8497B0"/>
            </w:tcBorders>
            <w:shd w:val="clear" w:color="000000" w:fill="F2F2F2"/>
            <w:noWrap/>
            <w:vAlign w:val="center"/>
            <w:hideMark/>
          </w:tcPr>
          <w:p w14:paraId="014B2D04"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19.78</w:t>
            </w:r>
          </w:p>
        </w:tc>
      </w:tr>
      <w:tr w:rsidR="00E03F4A" w:rsidRPr="00B73E3A" w14:paraId="56674C84" w14:textId="77777777" w:rsidTr="002A48ED">
        <w:trPr>
          <w:trHeight w:val="510"/>
        </w:trPr>
        <w:tc>
          <w:tcPr>
            <w:tcW w:w="278" w:type="pct"/>
            <w:vMerge/>
            <w:tcBorders>
              <w:top w:val="single" w:sz="8" w:space="0" w:color="92CDDB"/>
              <w:left w:val="single" w:sz="8" w:space="0" w:color="92CDDB"/>
              <w:bottom w:val="single" w:sz="8" w:space="0" w:color="92CDDB"/>
              <w:right w:val="nil"/>
            </w:tcBorders>
            <w:vAlign w:val="center"/>
            <w:hideMark/>
          </w:tcPr>
          <w:p w14:paraId="0010A730" w14:textId="77777777" w:rsidR="00E03F4A" w:rsidRPr="00B73E3A" w:rsidRDefault="00E03F4A" w:rsidP="00326A8C">
            <w:pPr>
              <w:spacing w:after="0" w:line="240" w:lineRule="auto"/>
              <w:rPr>
                <w:rFonts w:eastAsia="Times New Roman" w:cs="Arial"/>
                <w:color w:val="000000"/>
                <w:sz w:val="20"/>
                <w:szCs w:val="20"/>
                <w:lang w:eastAsia="cs-CZ"/>
              </w:rPr>
            </w:pPr>
          </w:p>
        </w:tc>
        <w:tc>
          <w:tcPr>
            <w:tcW w:w="163" w:type="pct"/>
            <w:tcBorders>
              <w:top w:val="nil"/>
              <w:left w:val="single" w:sz="8" w:space="0" w:color="92CDDB"/>
              <w:bottom w:val="single" w:sz="8" w:space="0" w:color="92CDDB"/>
              <w:right w:val="single" w:sz="8" w:space="0" w:color="92CDDB"/>
            </w:tcBorders>
            <w:vAlign w:val="center"/>
            <w:hideMark/>
          </w:tcPr>
          <w:p w14:paraId="19EA9D2E"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LU</w:t>
            </w:r>
          </w:p>
        </w:tc>
        <w:tc>
          <w:tcPr>
            <w:tcW w:w="1005" w:type="pct"/>
            <w:tcBorders>
              <w:top w:val="nil"/>
              <w:left w:val="nil"/>
              <w:bottom w:val="single" w:sz="8" w:space="0" w:color="92CDDB"/>
              <w:right w:val="single" w:sz="8" w:space="0" w:color="92CDDB"/>
            </w:tcBorders>
            <w:vAlign w:val="center"/>
            <w:hideMark/>
          </w:tcPr>
          <w:p w14:paraId="589C9ECA"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INTER-EXCELLENCE II</w:t>
            </w:r>
          </w:p>
        </w:tc>
        <w:tc>
          <w:tcPr>
            <w:tcW w:w="397" w:type="pct"/>
            <w:tcBorders>
              <w:top w:val="nil"/>
              <w:left w:val="nil"/>
              <w:bottom w:val="single" w:sz="8" w:space="0" w:color="92CDDB"/>
              <w:right w:val="single" w:sz="8" w:space="0" w:color="92CDDB"/>
            </w:tcBorders>
            <w:noWrap/>
            <w:vAlign w:val="center"/>
            <w:hideMark/>
          </w:tcPr>
          <w:p w14:paraId="0B8491E8"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2021</w:t>
            </w:r>
          </w:p>
        </w:tc>
        <w:tc>
          <w:tcPr>
            <w:tcW w:w="430" w:type="pct"/>
            <w:tcBorders>
              <w:top w:val="nil"/>
              <w:left w:val="nil"/>
              <w:bottom w:val="single" w:sz="8" w:space="0" w:color="92CDDB"/>
              <w:right w:val="single" w:sz="8" w:space="0" w:color="92CDDB"/>
            </w:tcBorders>
            <w:noWrap/>
            <w:vAlign w:val="center"/>
            <w:hideMark/>
          </w:tcPr>
          <w:p w14:paraId="77DE2F78"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2029</w:t>
            </w:r>
          </w:p>
        </w:tc>
        <w:tc>
          <w:tcPr>
            <w:tcW w:w="603" w:type="pct"/>
            <w:tcBorders>
              <w:top w:val="nil"/>
              <w:left w:val="nil"/>
              <w:bottom w:val="single" w:sz="8" w:space="0" w:color="9BC2E6"/>
              <w:right w:val="single" w:sz="8" w:space="0" w:color="9BC2E6"/>
            </w:tcBorders>
            <w:noWrap/>
            <w:vAlign w:val="center"/>
            <w:hideMark/>
          </w:tcPr>
          <w:p w14:paraId="21D005A8"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505.07</w:t>
            </w:r>
          </w:p>
        </w:tc>
        <w:tc>
          <w:tcPr>
            <w:tcW w:w="531" w:type="pct"/>
            <w:tcBorders>
              <w:top w:val="nil"/>
              <w:left w:val="nil"/>
              <w:bottom w:val="single" w:sz="8" w:space="0" w:color="9BC2E6"/>
              <w:right w:val="single" w:sz="8" w:space="0" w:color="9BC2E6"/>
            </w:tcBorders>
            <w:noWrap/>
            <w:vAlign w:val="center"/>
            <w:hideMark/>
          </w:tcPr>
          <w:p w14:paraId="4475C9A2"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303.09</w:t>
            </w:r>
          </w:p>
        </w:tc>
        <w:tc>
          <w:tcPr>
            <w:tcW w:w="532" w:type="pct"/>
            <w:tcBorders>
              <w:top w:val="nil"/>
              <w:left w:val="nil"/>
              <w:bottom w:val="single" w:sz="8" w:space="0" w:color="9BC2E6"/>
              <w:right w:val="single" w:sz="8" w:space="0" w:color="9BC2E6"/>
            </w:tcBorders>
            <w:noWrap/>
            <w:vAlign w:val="center"/>
            <w:hideMark/>
          </w:tcPr>
          <w:p w14:paraId="75C53041"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332.63</w:t>
            </w:r>
          </w:p>
        </w:tc>
        <w:tc>
          <w:tcPr>
            <w:tcW w:w="531" w:type="pct"/>
            <w:tcBorders>
              <w:top w:val="nil"/>
              <w:left w:val="nil"/>
              <w:bottom w:val="single" w:sz="8" w:space="0" w:color="8497B0"/>
              <w:right w:val="single" w:sz="8" w:space="0" w:color="8497B0"/>
            </w:tcBorders>
            <w:noWrap/>
            <w:vAlign w:val="center"/>
            <w:hideMark/>
          </w:tcPr>
          <w:p w14:paraId="28D916BD"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303.09</w:t>
            </w:r>
          </w:p>
        </w:tc>
        <w:tc>
          <w:tcPr>
            <w:tcW w:w="530" w:type="pct"/>
            <w:tcBorders>
              <w:top w:val="nil"/>
              <w:left w:val="nil"/>
              <w:bottom w:val="single" w:sz="8" w:space="0" w:color="8497B0"/>
              <w:right w:val="single" w:sz="8" w:space="0" w:color="8497B0"/>
            </w:tcBorders>
            <w:noWrap/>
            <w:vAlign w:val="center"/>
            <w:hideMark/>
          </w:tcPr>
          <w:p w14:paraId="2B4A2482"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332.49</w:t>
            </w:r>
          </w:p>
        </w:tc>
      </w:tr>
      <w:tr w:rsidR="00E03F4A" w:rsidRPr="00B73E3A" w14:paraId="50B8EFEE" w14:textId="77777777" w:rsidTr="002A48ED">
        <w:trPr>
          <w:trHeight w:val="510"/>
        </w:trPr>
        <w:tc>
          <w:tcPr>
            <w:tcW w:w="278" w:type="pct"/>
            <w:vMerge/>
            <w:tcBorders>
              <w:top w:val="single" w:sz="8" w:space="0" w:color="92CDDB"/>
              <w:left w:val="single" w:sz="8" w:space="0" w:color="92CDDB"/>
              <w:bottom w:val="single" w:sz="8" w:space="0" w:color="92CDDB"/>
              <w:right w:val="nil"/>
            </w:tcBorders>
            <w:vAlign w:val="center"/>
            <w:hideMark/>
          </w:tcPr>
          <w:p w14:paraId="53EF541F" w14:textId="77777777" w:rsidR="00E03F4A" w:rsidRPr="00B73E3A" w:rsidRDefault="00E03F4A" w:rsidP="00326A8C">
            <w:pPr>
              <w:spacing w:after="0" w:line="240" w:lineRule="auto"/>
              <w:rPr>
                <w:rFonts w:eastAsia="Times New Roman" w:cs="Arial"/>
                <w:color w:val="000000"/>
                <w:sz w:val="20"/>
                <w:szCs w:val="20"/>
                <w:lang w:eastAsia="cs-CZ"/>
              </w:rPr>
            </w:pPr>
          </w:p>
        </w:tc>
        <w:tc>
          <w:tcPr>
            <w:tcW w:w="163" w:type="pct"/>
            <w:tcBorders>
              <w:top w:val="nil"/>
              <w:left w:val="single" w:sz="8" w:space="0" w:color="92CDDB"/>
              <w:bottom w:val="single" w:sz="8" w:space="0" w:color="92CDDB"/>
              <w:right w:val="single" w:sz="8" w:space="0" w:color="92CDDB"/>
            </w:tcBorders>
            <w:vAlign w:val="center"/>
            <w:hideMark/>
          </w:tcPr>
          <w:p w14:paraId="1F7AFFE2"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LX</w:t>
            </w:r>
          </w:p>
        </w:tc>
        <w:tc>
          <w:tcPr>
            <w:tcW w:w="1005" w:type="pct"/>
            <w:tcBorders>
              <w:top w:val="nil"/>
              <w:left w:val="nil"/>
              <w:bottom w:val="single" w:sz="8" w:space="0" w:color="92CDDB"/>
              <w:right w:val="single" w:sz="8" w:space="0" w:color="92CDDB"/>
            </w:tcBorders>
            <w:vAlign w:val="center"/>
            <w:hideMark/>
          </w:tcPr>
          <w:p w14:paraId="4CB733AD"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EXCELES (2022</w:t>
            </w:r>
            <w:r>
              <w:rPr>
                <w:rFonts w:eastAsia="Times New Roman" w:cs="Arial"/>
                <w:color w:val="000000"/>
                <w:sz w:val="20"/>
                <w:szCs w:val="20"/>
                <w:lang w:eastAsia="cs-CZ"/>
              </w:rPr>
              <w:t>–</w:t>
            </w:r>
            <w:r w:rsidRPr="00B73E3A">
              <w:rPr>
                <w:rFonts w:eastAsia="Times New Roman" w:cs="Arial"/>
                <w:color w:val="000000"/>
                <w:sz w:val="20"/>
                <w:szCs w:val="20"/>
                <w:lang w:eastAsia="cs-CZ"/>
              </w:rPr>
              <w:t>2026)</w:t>
            </w:r>
          </w:p>
        </w:tc>
        <w:tc>
          <w:tcPr>
            <w:tcW w:w="397" w:type="pct"/>
            <w:tcBorders>
              <w:top w:val="nil"/>
              <w:left w:val="nil"/>
              <w:bottom w:val="single" w:sz="8" w:space="0" w:color="92CDDB"/>
              <w:right w:val="single" w:sz="8" w:space="0" w:color="92CDDB"/>
            </w:tcBorders>
            <w:noWrap/>
            <w:vAlign w:val="center"/>
            <w:hideMark/>
          </w:tcPr>
          <w:p w14:paraId="2B4664FE"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2022</w:t>
            </w:r>
          </w:p>
        </w:tc>
        <w:tc>
          <w:tcPr>
            <w:tcW w:w="430" w:type="pct"/>
            <w:tcBorders>
              <w:top w:val="nil"/>
              <w:left w:val="nil"/>
              <w:bottom w:val="single" w:sz="8" w:space="0" w:color="92CDDB"/>
              <w:right w:val="single" w:sz="8" w:space="0" w:color="92CDDB"/>
            </w:tcBorders>
            <w:noWrap/>
            <w:vAlign w:val="center"/>
            <w:hideMark/>
          </w:tcPr>
          <w:p w14:paraId="469D2264" w14:textId="77777777" w:rsidR="00E03F4A" w:rsidRPr="00B73E3A" w:rsidRDefault="00E03F4A" w:rsidP="00326A8C">
            <w:pPr>
              <w:spacing w:after="0" w:line="240" w:lineRule="auto"/>
              <w:jc w:val="center"/>
              <w:rPr>
                <w:rFonts w:eastAsia="Times New Roman" w:cs="Arial"/>
                <w:color w:val="000000"/>
                <w:sz w:val="20"/>
                <w:szCs w:val="20"/>
                <w:lang w:eastAsia="cs-CZ"/>
              </w:rPr>
            </w:pPr>
            <w:r w:rsidRPr="00B73E3A">
              <w:rPr>
                <w:rFonts w:eastAsia="Times New Roman" w:cs="Arial"/>
                <w:color w:val="000000"/>
                <w:sz w:val="20"/>
                <w:szCs w:val="20"/>
                <w:lang w:eastAsia="cs-CZ"/>
              </w:rPr>
              <w:t>2026</w:t>
            </w:r>
          </w:p>
        </w:tc>
        <w:tc>
          <w:tcPr>
            <w:tcW w:w="603" w:type="pct"/>
            <w:tcBorders>
              <w:top w:val="nil"/>
              <w:left w:val="nil"/>
              <w:bottom w:val="single" w:sz="8" w:space="0" w:color="9BC2E6"/>
              <w:right w:val="single" w:sz="8" w:space="0" w:color="9BC2E6"/>
            </w:tcBorders>
            <w:noWrap/>
            <w:vAlign w:val="center"/>
            <w:hideMark/>
          </w:tcPr>
          <w:p w14:paraId="153D200F"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0.00</w:t>
            </w:r>
          </w:p>
        </w:tc>
        <w:tc>
          <w:tcPr>
            <w:tcW w:w="531" w:type="pct"/>
            <w:tcBorders>
              <w:top w:val="nil"/>
              <w:left w:val="nil"/>
              <w:bottom w:val="single" w:sz="8" w:space="0" w:color="9BC2E6"/>
              <w:right w:val="single" w:sz="8" w:space="0" w:color="9BC2E6"/>
            </w:tcBorders>
            <w:noWrap/>
            <w:vAlign w:val="center"/>
            <w:hideMark/>
          </w:tcPr>
          <w:p w14:paraId="6503AF19"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1 335.15</w:t>
            </w:r>
          </w:p>
        </w:tc>
        <w:tc>
          <w:tcPr>
            <w:tcW w:w="532" w:type="pct"/>
            <w:tcBorders>
              <w:top w:val="nil"/>
              <w:left w:val="nil"/>
              <w:bottom w:val="single" w:sz="8" w:space="0" w:color="9BC2E6"/>
              <w:right w:val="single" w:sz="8" w:space="0" w:color="9BC2E6"/>
            </w:tcBorders>
            <w:noWrap/>
            <w:vAlign w:val="center"/>
            <w:hideMark/>
          </w:tcPr>
          <w:p w14:paraId="59612F24"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1 424.88</w:t>
            </w:r>
          </w:p>
        </w:tc>
        <w:tc>
          <w:tcPr>
            <w:tcW w:w="531" w:type="pct"/>
            <w:tcBorders>
              <w:top w:val="nil"/>
              <w:left w:val="nil"/>
              <w:bottom w:val="single" w:sz="8" w:space="0" w:color="8497B0"/>
              <w:right w:val="single" w:sz="8" w:space="0" w:color="8497B0"/>
            </w:tcBorders>
            <w:noWrap/>
            <w:vAlign w:val="center"/>
            <w:hideMark/>
          </w:tcPr>
          <w:p w14:paraId="005A68D9"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1 335.15</w:t>
            </w:r>
          </w:p>
        </w:tc>
        <w:tc>
          <w:tcPr>
            <w:tcW w:w="530" w:type="pct"/>
            <w:tcBorders>
              <w:top w:val="nil"/>
              <w:left w:val="nil"/>
              <w:bottom w:val="single" w:sz="8" w:space="0" w:color="8497B0"/>
              <w:right w:val="single" w:sz="8" w:space="0" w:color="8497B0"/>
            </w:tcBorders>
            <w:noWrap/>
            <w:vAlign w:val="center"/>
            <w:hideMark/>
          </w:tcPr>
          <w:p w14:paraId="27750E79" w14:textId="77777777" w:rsidR="00E03F4A" w:rsidRPr="00B73E3A" w:rsidRDefault="00E03F4A" w:rsidP="00326A8C">
            <w:pPr>
              <w:spacing w:after="0" w:line="240" w:lineRule="auto"/>
              <w:ind w:firstLineChars="100" w:firstLine="200"/>
              <w:jc w:val="right"/>
              <w:rPr>
                <w:rFonts w:eastAsia="Times New Roman" w:cs="Arial"/>
                <w:color w:val="000000"/>
                <w:sz w:val="20"/>
                <w:szCs w:val="20"/>
                <w:lang w:eastAsia="cs-CZ"/>
              </w:rPr>
            </w:pPr>
            <w:r w:rsidRPr="00B73E3A">
              <w:rPr>
                <w:rFonts w:eastAsia="Times New Roman" w:cs="Arial"/>
                <w:color w:val="000000"/>
                <w:sz w:val="20"/>
                <w:szCs w:val="20"/>
                <w:lang w:eastAsia="cs-CZ"/>
              </w:rPr>
              <w:t>1 424.88</w:t>
            </w:r>
          </w:p>
        </w:tc>
      </w:tr>
      <w:tr w:rsidR="00E03F4A" w:rsidRPr="00B73E3A" w14:paraId="69F458AC" w14:textId="77777777" w:rsidTr="00326A8C">
        <w:trPr>
          <w:trHeight w:val="510"/>
        </w:trPr>
        <w:tc>
          <w:tcPr>
            <w:tcW w:w="278" w:type="pct"/>
            <w:tcBorders>
              <w:top w:val="nil"/>
              <w:left w:val="single" w:sz="8" w:space="0" w:color="92CDDB"/>
              <w:bottom w:val="single" w:sz="8" w:space="0" w:color="92CDDB"/>
              <w:right w:val="single" w:sz="8" w:space="0" w:color="92CDDB"/>
            </w:tcBorders>
            <w:shd w:val="clear" w:color="000000" w:fill="92CDDC"/>
            <w:noWrap/>
            <w:vAlign w:val="center"/>
            <w:hideMark/>
          </w:tcPr>
          <w:p w14:paraId="61D9599F" w14:textId="77777777" w:rsidR="00E03F4A" w:rsidRPr="00B73E3A" w:rsidRDefault="00E03F4A" w:rsidP="00326A8C">
            <w:pPr>
              <w:spacing w:after="0" w:line="240" w:lineRule="auto"/>
              <w:jc w:val="center"/>
              <w:rPr>
                <w:rFonts w:eastAsia="Times New Roman" w:cs="Arial"/>
                <w:b/>
                <w:bCs/>
                <w:color w:val="FFFFFF"/>
                <w:sz w:val="20"/>
                <w:szCs w:val="20"/>
                <w:lang w:eastAsia="cs-CZ"/>
              </w:rPr>
            </w:pPr>
            <w:r w:rsidRPr="00B73E3A">
              <w:rPr>
                <w:rFonts w:eastAsia="Times New Roman" w:cs="Arial"/>
                <w:b/>
                <w:bCs/>
                <w:color w:val="FFFFFF"/>
                <w:sz w:val="20"/>
                <w:szCs w:val="20"/>
                <w:lang w:eastAsia="cs-CZ"/>
              </w:rPr>
              <w:t>Celkem</w:t>
            </w:r>
          </w:p>
        </w:tc>
        <w:tc>
          <w:tcPr>
            <w:tcW w:w="163" w:type="pct"/>
            <w:tcBorders>
              <w:top w:val="nil"/>
              <w:left w:val="nil"/>
              <w:bottom w:val="single" w:sz="8" w:space="0" w:color="92CDDB"/>
              <w:right w:val="single" w:sz="8" w:space="0" w:color="92CDDB"/>
            </w:tcBorders>
            <w:shd w:val="clear" w:color="000000" w:fill="92CDDC"/>
            <w:noWrap/>
            <w:vAlign w:val="center"/>
            <w:hideMark/>
          </w:tcPr>
          <w:p w14:paraId="6A5012A2" w14:textId="77777777" w:rsidR="00E03F4A" w:rsidRPr="00B73E3A" w:rsidRDefault="00E03F4A" w:rsidP="00326A8C">
            <w:pPr>
              <w:spacing w:after="0" w:line="240" w:lineRule="auto"/>
              <w:jc w:val="center"/>
              <w:rPr>
                <w:rFonts w:eastAsia="Times New Roman" w:cs="Arial"/>
                <w:b/>
                <w:bCs/>
                <w:color w:val="FFFFFF"/>
                <w:sz w:val="20"/>
                <w:szCs w:val="20"/>
                <w:lang w:eastAsia="cs-CZ"/>
              </w:rPr>
            </w:pPr>
            <w:r w:rsidRPr="00B73E3A">
              <w:rPr>
                <w:rFonts w:eastAsia="Times New Roman" w:cs="Arial"/>
                <w:b/>
                <w:bCs/>
                <w:color w:val="FFFFFF"/>
                <w:sz w:val="20"/>
                <w:szCs w:val="20"/>
                <w:lang w:eastAsia="cs-CZ"/>
              </w:rPr>
              <w:t> </w:t>
            </w:r>
          </w:p>
        </w:tc>
        <w:tc>
          <w:tcPr>
            <w:tcW w:w="1005" w:type="pct"/>
            <w:tcBorders>
              <w:top w:val="nil"/>
              <w:left w:val="nil"/>
              <w:bottom w:val="single" w:sz="8" w:space="0" w:color="92CDDB"/>
              <w:right w:val="single" w:sz="8" w:space="0" w:color="92CDDB"/>
            </w:tcBorders>
            <w:shd w:val="clear" w:color="000000" w:fill="92CDDC"/>
            <w:vAlign w:val="center"/>
            <w:hideMark/>
          </w:tcPr>
          <w:p w14:paraId="1CE7C3F2"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 </w:t>
            </w:r>
          </w:p>
        </w:tc>
        <w:tc>
          <w:tcPr>
            <w:tcW w:w="397" w:type="pct"/>
            <w:tcBorders>
              <w:top w:val="nil"/>
              <w:left w:val="nil"/>
              <w:bottom w:val="single" w:sz="8" w:space="0" w:color="92CDDB"/>
              <w:right w:val="single" w:sz="8" w:space="0" w:color="92CDDB"/>
            </w:tcBorders>
            <w:shd w:val="clear" w:color="000000" w:fill="92CDDC"/>
            <w:noWrap/>
            <w:vAlign w:val="center"/>
            <w:hideMark/>
          </w:tcPr>
          <w:p w14:paraId="0254CE65"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 </w:t>
            </w:r>
          </w:p>
        </w:tc>
        <w:tc>
          <w:tcPr>
            <w:tcW w:w="430" w:type="pct"/>
            <w:tcBorders>
              <w:top w:val="nil"/>
              <w:left w:val="nil"/>
              <w:bottom w:val="single" w:sz="8" w:space="0" w:color="92CDDB"/>
              <w:right w:val="single" w:sz="8" w:space="0" w:color="92CDDB"/>
            </w:tcBorders>
            <w:shd w:val="clear" w:color="000000" w:fill="92CDDC"/>
            <w:noWrap/>
            <w:vAlign w:val="center"/>
            <w:hideMark/>
          </w:tcPr>
          <w:p w14:paraId="0A7EA401" w14:textId="77777777" w:rsidR="00E03F4A" w:rsidRPr="00B73E3A" w:rsidRDefault="00E03F4A" w:rsidP="00326A8C">
            <w:pPr>
              <w:spacing w:after="0" w:line="240" w:lineRule="auto"/>
              <w:rPr>
                <w:rFonts w:eastAsia="Times New Roman" w:cs="Arial"/>
                <w:color w:val="000000"/>
                <w:sz w:val="20"/>
                <w:szCs w:val="20"/>
                <w:lang w:eastAsia="cs-CZ"/>
              </w:rPr>
            </w:pPr>
            <w:r w:rsidRPr="00B73E3A">
              <w:rPr>
                <w:rFonts w:eastAsia="Times New Roman" w:cs="Arial"/>
                <w:color w:val="000000"/>
                <w:sz w:val="20"/>
                <w:szCs w:val="20"/>
                <w:lang w:eastAsia="cs-CZ"/>
              </w:rPr>
              <w:t> </w:t>
            </w:r>
          </w:p>
        </w:tc>
        <w:tc>
          <w:tcPr>
            <w:tcW w:w="603" w:type="pct"/>
            <w:tcBorders>
              <w:top w:val="nil"/>
              <w:left w:val="nil"/>
              <w:bottom w:val="single" w:sz="8" w:space="0" w:color="92CDDB"/>
              <w:right w:val="single" w:sz="8" w:space="0" w:color="92CDDB"/>
            </w:tcBorders>
            <w:shd w:val="clear" w:color="000000" w:fill="92CDDC"/>
            <w:noWrap/>
            <w:vAlign w:val="center"/>
            <w:hideMark/>
          </w:tcPr>
          <w:p w14:paraId="37666D65" w14:textId="77777777" w:rsidR="00E03F4A" w:rsidRPr="00B73E3A" w:rsidRDefault="00E03F4A" w:rsidP="00326A8C">
            <w:pPr>
              <w:spacing w:after="0" w:line="240" w:lineRule="auto"/>
              <w:ind w:firstLineChars="100" w:firstLine="201"/>
              <w:jc w:val="right"/>
              <w:rPr>
                <w:rFonts w:eastAsia="Times New Roman" w:cs="Arial"/>
                <w:b/>
                <w:bCs/>
                <w:color w:val="FFFFFF"/>
                <w:sz w:val="20"/>
                <w:szCs w:val="20"/>
                <w:lang w:eastAsia="cs-CZ"/>
              </w:rPr>
            </w:pPr>
            <w:r w:rsidRPr="00B73E3A">
              <w:rPr>
                <w:rFonts w:eastAsia="Times New Roman" w:cs="Arial"/>
                <w:b/>
                <w:bCs/>
                <w:color w:val="FFFFFF"/>
                <w:sz w:val="20"/>
                <w:szCs w:val="20"/>
                <w:lang w:eastAsia="cs-CZ"/>
              </w:rPr>
              <w:t>13 663.44</w:t>
            </w:r>
          </w:p>
        </w:tc>
        <w:tc>
          <w:tcPr>
            <w:tcW w:w="531" w:type="pct"/>
            <w:tcBorders>
              <w:top w:val="nil"/>
              <w:left w:val="nil"/>
              <w:bottom w:val="single" w:sz="8" w:space="0" w:color="92CDDB"/>
              <w:right w:val="single" w:sz="8" w:space="0" w:color="92CDDB"/>
            </w:tcBorders>
            <w:shd w:val="clear" w:color="000000" w:fill="92CDDC"/>
            <w:noWrap/>
            <w:vAlign w:val="center"/>
            <w:hideMark/>
          </w:tcPr>
          <w:p w14:paraId="6F7F7A8B" w14:textId="77777777" w:rsidR="00E03F4A" w:rsidRPr="00B73E3A" w:rsidRDefault="00E03F4A" w:rsidP="00326A8C">
            <w:pPr>
              <w:spacing w:after="0" w:line="240" w:lineRule="auto"/>
              <w:ind w:firstLineChars="100" w:firstLine="201"/>
              <w:jc w:val="right"/>
              <w:rPr>
                <w:rFonts w:eastAsia="Times New Roman" w:cs="Arial"/>
                <w:b/>
                <w:bCs/>
                <w:color w:val="FFFFFF"/>
                <w:sz w:val="20"/>
                <w:szCs w:val="20"/>
                <w:lang w:eastAsia="cs-CZ"/>
              </w:rPr>
            </w:pPr>
            <w:r w:rsidRPr="00B73E3A">
              <w:rPr>
                <w:rFonts w:eastAsia="Times New Roman" w:cs="Arial"/>
                <w:b/>
                <w:bCs/>
                <w:color w:val="FFFFFF"/>
                <w:sz w:val="20"/>
                <w:szCs w:val="20"/>
                <w:lang w:eastAsia="cs-CZ"/>
              </w:rPr>
              <w:t>16 744.41</w:t>
            </w:r>
          </w:p>
        </w:tc>
        <w:tc>
          <w:tcPr>
            <w:tcW w:w="532" w:type="pct"/>
            <w:tcBorders>
              <w:top w:val="nil"/>
              <w:left w:val="nil"/>
              <w:bottom w:val="single" w:sz="8" w:space="0" w:color="92CDDB"/>
              <w:right w:val="single" w:sz="8" w:space="0" w:color="92CDDB"/>
            </w:tcBorders>
            <w:shd w:val="clear" w:color="000000" w:fill="92CDDC"/>
            <w:noWrap/>
            <w:vAlign w:val="center"/>
            <w:hideMark/>
          </w:tcPr>
          <w:p w14:paraId="088D26A1" w14:textId="77777777" w:rsidR="00E03F4A" w:rsidRPr="00B73E3A" w:rsidRDefault="00E03F4A" w:rsidP="00326A8C">
            <w:pPr>
              <w:spacing w:after="0" w:line="240" w:lineRule="auto"/>
              <w:ind w:firstLineChars="100" w:firstLine="201"/>
              <w:jc w:val="right"/>
              <w:rPr>
                <w:rFonts w:eastAsia="Times New Roman" w:cs="Arial"/>
                <w:b/>
                <w:bCs/>
                <w:color w:val="FFFFFF"/>
                <w:sz w:val="20"/>
                <w:szCs w:val="20"/>
                <w:lang w:eastAsia="cs-CZ"/>
              </w:rPr>
            </w:pPr>
            <w:r w:rsidRPr="00B73E3A">
              <w:rPr>
                <w:rFonts w:eastAsia="Times New Roman" w:cs="Arial"/>
                <w:b/>
                <w:bCs/>
                <w:color w:val="FFFFFF"/>
                <w:sz w:val="20"/>
                <w:szCs w:val="20"/>
                <w:lang w:eastAsia="cs-CZ"/>
              </w:rPr>
              <w:t>20 201.40</w:t>
            </w:r>
          </w:p>
        </w:tc>
        <w:tc>
          <w:tcPr>
            <w:tcW w:w="531" w:type="pct"/>
            <w:tcBorders>
              <w:top w:val="nil"/>
              <w:left w:val="nil"/>
              <w:bottom w:val="single" w:sz="8" w:space="0" w:color="92CDDB"/>
              <w:right w:val="single" w:sz="8" w:space="0" w:color="92CDDB"/>
            </w:tcBorders>
            <w:shd w:val="clear" w:color="000000" w:fill="92CDDC"/>
            <w:noWrap/>
            <w:vAlign w:val="center"/>
            <w:hideMark/>
          </w:tcPr>
          <w:p w14:paraId="2A0F92FB" w14:textId="77777777" w:rsidR="00E03F4A" w:rsidRPr="00B73E3A" w:rsidRDefault="00E03F4A" w:rsidP="00326A8C">
            <w:pPr>
              <w:spacing w:after="0" w:line="240" w:lineRule="auto"/>
              <w:ind w:firstLineChars="100" w:firstLine="201"/>
              <w:jc w:val="right"/>
              <w:rPr>
                <w:rFonts w:eastAsia="Times New Roman" w:cs="Arial"/>
                <w:b/>
                <w:bCs/>
                <w:color w:val="FFFFFF"/>
                <w:sz w:val="20"/>
                <w:szCs w:val="20"/>
                <w:lang w:eastAsia="cs-CZ"/>
              </w:rPr>
            </w:pPr>
            <w:r w:rsidRPr="00B73E3A">
              <w:rPr>
                <w:rFonts w:eastAsia="Times New Roman" w:cs="Arial"/>
                <w:b/>
                <w:bCs/>
                <w:color w:val="FFFFFF"/>
                <w:sz w:val="20"/>
                <w:szCs w:val="20"/>
                <w:lang w:eastAsia="cs-CZ"/>
              </w:rPr>
              <w:t>16 025.74</w:t>
            </w:r>
          </w:p>
        </w:tc>
        <w:tc>
          <w:tcPr>
            <w:tcW w:w="530" w:type="pct"/>
            <w:tcBorders>
              <w:top w:val="nil"/>
              <w:left w:val="nil"/>
              <w:bottom w:val="single" w:sz="8" w:space="0" w:color="92CDDB"/>
              <w:right w:val="single" w:sz="8" w:space="0" w:color="92CDDB"/>
            </w:tcBorders>
            <w:shd w:val="clear" w:color="000000" w:fill="92CDDC"/>
            <w:noWrap/>
            <w:vAlign w:val="center"/>
            <w:hideMark/>
          </w:tcPr>
          <w:p w14:paraId="32866C45" w14:textId="77777777" w:rsidR="00E03F4A" w:rsidRPr="00B73E3A" w:rsidRDefault="00E03F4A" w:rsidP="00326A8C">
            <w:pPr>
              <w:spacing w:after="0" w:line="240" w:lineRule="auto"/>
              <w:ind w:firstLineChars="100" w:firstLine="201"/>
              <w:jc w:val="right"/>
              <w:rPr>
                <w:rFonts w:eastAsia="Times New Roman" w:cs="Arial"/>
                <w:b/>
                <w:bCs/>
                <w:color w:val="FFFFFF"/>
                <w:sz w:val="20"/>
                <w:szCs w:val="20"/>
                <w:lang w:eastAsia="cs-CZ"/>
              </w:rPr>
            </w:pPr>
            <w:r w:rsidRPr="00B73E3A">
              <w:rPr>
                <w:rFonts w:eastAsia="Times New Roman" w:cs="Arial"/>
                <w:b/>
                <w:bCs/>
                <w:color w:val="FFFFFF"/>
                <w:sz w:val="20"/>
                <w:szCs w:val="20"/>
                <w:lang w:eastAsia="cs-CZ"/>
              </w:rPr>
              <w:t>19 740.30</w:t>
            </w:r>
          </w:p>
        </w:tc>
      </w:tr>
    </w:tbl>
    <w:p w14:paraId="75CC7853" w14:textId="77777777" w:rsidR="00E03F4A" w:rsidRDefault="00E03F4A" w:rsidP="00B6564D">
      <w:pPr>
        <w:pStyle w:val="Zdrojapoznmka"/>
      </w:pPr>
    </w:p>
    <w:p w14:paraId="1D3D3E2D" w14:textId="4581F6AC" w:rsidR="00E03F4A" w:rsidRDefault="00E03F4A" w:rsidP="00E03F4A">
      <w:pPr>
        <w:pStyle w:val="Zdrojapoznmka"/>
      </w:pPr>
      <w:r w:rsidRPr="00881EF0">
        <w:t xml:space="preserve">Zdroj: IS </w:t>
      </w:r>
      <w:proofErr w:type="spellStart"/>
      <w:r w:rsidRPr="00881EF0">
        <w:t>VaVaI</w:t>
      </w:r>
      <w:proofErr w:type="spellEnd"/>
      <w:r w:rsidRPr="00881EF0">
        <w:t xml:space="preserve">, export </w:t>
      </w:r>
      <w:r>
        <w:t>dat 30</w:t>
      </w:r>
      <w:r w:rsidRPr="00881EF0">
        <w:t xml:space="preserve">. </w:t>
      </w:r>
      <w:r>
        <w:t>10</w:t>
      </w:r>
      <w:r w:rsidRPr="00881EF0">
        <w:t>. 202</w:t>
      </w:r>
      <w:r>
        <w:t>5</w:t>
      </w:r>
      <w:r w:rsidRPr="00881EF0">
        <w:t>; návrhy programů a skupin grantových projektů schválené vládou</w:t>
      </w:r>
      <w:r>
        <w:t xml:space="preserve"> | </w:t>
      </w:r>
      <w:r w:rsidRPr="00881EF0">
        <w:t xml:space="preserve">V tabulce nejsou zahrnuty Projekty velkých infrastruktur pro </w:t>
      </w:r>
      <w:proofErr w:type="spellStart"/>
      <w:r w:rsidRPr="00881EF0">
        <w:t>VaVaI</w:t>
      </w:r>
      <w:proofErr w:type="spellEnd"/>
      <w:r w:rsidRPr="00881EF0">
        <w:t xml:space="preserve"> (kód programu LM), pro jejich institucionální charakter, bližší údaje o těchto dotačních titulech jsou uvedeny </w:t>
      </w:r>
      <w:r w:rsidRPr="008B0F34">
        <w:t xml:space="preserve">v tabulce </w:t>
      </w:r>
      <w:r w:rsidR="008B0F34">
        <w:t>P.D.2</w:t>
      </w:r>
      <w:r w:rsidRPr="00881EF0">
        <w:t xml:space="preserve"> </w:t>
      </w:r>
      <w:r>
        <w:t xml:space="preserve">Dále nejsou v tabulce uvedeny programy financované výlučně ze zahraničních zdrojů. </w:t>
      </w:r>
      <w:r w:rsidRPr="00881EF0">
        <w:t xml:space="preserve">Celkové náklady </w:t>
      </w:r>
      <w:r>
        <w:t>odpovídají finančním prostředkům</w:t>
      </w:r>
      <w:r w:rsidRPr="00881EF0">
        <w:t xml:space="preserve"> ze všech finančních zdrojů</w:t>
      </w:r>
      <w:r>
        <w:t>. U programů DOPRAVA 2030 (CL) a BETA3 (TT) je poskytování podpory zahájeno od</w:t>
      </w:r>
      <w:r w:rsidR="008B0F34">
        <w:t> </w:t>
      </w:r>
      <w:r>
        <w:t>roku 2024.</w:t>
      </w:r>
    </w:p>
    <w:p w14:paraId="6CDF64FA" w14:textId="77777777" w:rsidR="00DC7689" w:rsidRDefault="00DC7689" w:rsidP="00B6564D">
      <w:pPr>
        <w:pStyle w:val="Zdrojapoznmka"/>
      </w:pPr>
    </w:p>
    <w:p w14:paraId="4460C88F" w14:textId="538D400F" w:rsidR="00DC7689" w:rsidRDefault="00DC7689" w:rsidP="00B6564D">
      <w:pPr>
        <w:pStyle w:val="Zdrojapoznmka"/>
        <w:sectPr w:rsidR="00DC7689" w:rsidSect="00B659E0">
          <w:headerReference w:type="even" r:id="rId100"/>
          <w:headerReference w:type="default" r:id="rId101"/>
          <w:headerReference w:type="first" r:id="rId102"/>
          <w:footerReference w:type="first" r:id="rId103"/>
          <w:pgSz w:w="23811" w:h="16838" w:orient="landscape" w:code="8"/>
          <w:pgMar w:top="720" w:right="720" w:bottom="720" w:left="720" w:header="708" w:footer="708" w:gutter="0"/>
          <w:cols w:space="708"/>
          <w:docGrid w:linePitch="360"/>
        </w:sectPr>
      </w:pPr>
    </w:p>
    <w:p w14:paraId="3E72E7E0" w14:textId="2E3921E2" w:rsidR="00435A9F" w:rsidRDefault="00435A9F" w:rsidP="00435A9F">
      <w:pPr>
        <w:pStyle w:val="Plohanadpis"/>
        <w:pageBreakBefore/>
      </w:pPr>
      <w:bookmarkStart w:id="66" w:name="_Toc215589326"/>
      <w:r w:rsidRPr="00F27262">
        <w:lastRenderedPageBreak/>
        <w:t xml:space="preserve">P. </w:t>
      </w:r>
      <w:r>
        <w:t>B.</w:t>
      </w:r>
      <w:r w:rsidR="00B43C64">
        <w:t>4</w:t>
      </w:r>
      <w:r>
        <w:t xml:space="preserve"> Nepřímá veřejná podpora</w:t>
      </w:r>
      <w:bookmarkEnd w:id="66"/>
    </w:p>
    <w:p w14:paraId="6F1585A9" w14:textId="29218AA4" w:rsidR="00435A9F" w:rsidRPr="00643B83" w:rsidRDefault="00435A9F" w:rsidP="00435A9F">
      <w:pPr>
        <w:pStyle w:val="Obrzek-nadpis"/>
      </w:pPr>
      <w:r>
        <w:t>A</w:t>
      </w:r>
      <w:r w:rsidRPr="00E8168B">
        <w:t xml:space="preserve">: </w:t>
      </w:r>
      <w:r>
        <w:t>Přehled typů nepřímé podpory</w:t>
      </w:r>
    </w:p>
    <w:tbl>
      <w:tblPr>
        <w:tblW w:w="5000" w:type="pct"/>
        <w:tblLook w:val="04A0" w:firstRow="1" w:lastRow="0" w:firstColumn="1" w:lastColumn="0" w:noHBand="0" w:noVBand="1"/>
      </w:tblPr>
      <w:tblGrid>
        <w:gridCol w:w="1478"/>
        <w:gridCol w:w="2095"/>
        <w:gridCol w:w="2095"/>
        <w:gridCol w:w="2095"/>
        <w:gridCol w:w="2091"/>
      </w:tblGrid>
      <w:tr w:rsidR="00435A9F" w:rsidRPr="00435A9F" w14:paraId="621BE4C3" w14:textId="77777777" w:rsidTr="00435A9F">
        <w:trPr>
          <w:trHeight w:val="506"/>
        </w:trPr>
        <w:tc>
          <w:tcPr>
            <w:tcW w:w="750" w:type="pct"/>
            <w:tcBorders>
              <w:top w:val="single" w:sz="4" w:space="0" w:color="auto"/>
              <w:left w:val="nil"/>
              <w:bottom w:val="double" w:sz="6" w:space="0" w:color="auto"/>
              <w:right w:val="nil"/>
            </w:tcBorders>
            <w:noWrap/>
            <w:vAlign w:val="center"/>
            <w:hideMark/>
          </w:tcPr>
          <w:p w14:paraId="78A5BCF1" w14:textId="77777777" w:rsidR="00435A9F" w:rsidRPr="00435A9F" w:rsidRDefault="00435A9F" w:rsidP="00435A9F">
            <w:pPr>
              <w:spacing w:after="0" w:line="240" w:lineRule="auto"/>
              <w:jc w:val="center"/>
              <w:rPr>
                <w:rFonts w:eastAsia="Times New Roman" w:cs="Arial"/>
                <w:b/>
                <w:bCs/>
                <w:color w:val="000000"/>
                <w:lang w:eastAsia="en-GB"/>
              </w:rPr>
            </w:pPr>
            <w:r w:rsidRPr="00435A9F">
              <w:rPr>
                <w:rFonts w:eastAsia="Times New Roman" w:cs="Arial"/>
                <w:b/>
                <w:bCs/>
                <w:color w:val="000000"/>
                <w:lang w:eastAsia="en-GB"/>
              </w:rPr>
              <w:t> </w:t>
            </w:r>
          </w:p>
        </w:tc>
        <w:tc>
          <w:tcPr>
            <w:tcW w:w="1063" w:type="pct"/>
            <w:tcBorders>
              <w:top w:val="single" w:sz="4" w:space="0" w:color="auto"/>
              <w:left w:val="nil"/>
              <w:bottom w:val="double" w:sz="6" w:space="0" w:color="auto"/>
              <w:right w:val="nil"/>
            </w:tcBorders>
            <w:vAlign w:val="center"/>
            <w:hideMark/>
          </w:tcPr>
          <w:p w14:paraId="094E5992" w14:textId="77777777" w:rsidR="00435A9F" w:rsidRPr="00435A9F" w:rsidRDefault="00435A9F" w:rsidP="00435A9F">
            <w:pPr>
              <w:spacing w:after="0" w:line="240" w:lineRule="auto"/>
              <w:jc w:val="center"/>
              <w:rPr>
                <w:rFonts w:eastAsia="Times New Roman" w:cs="Arial"/>
                <w:b/>
                <w:bCs/>
                <w:color w:val="000000"/>
                <w:lang w:eastAsia="en-GB"/>
              </w:rPr>
            </w:pPr>
            <w:r w:rsidRPr="00435A9F">
              <w:rPr>
                <w:rFonts w:eastAsia="Times New Roman" w:cs="Arial"/>
                <w:b/>
                <w:bCs/>
                <w:color w:val="000000"/>
                <w:lang w:eastAsia="en-GB"/>
              </w:rPr>
              <w:t>Zrychlené odpisy</w:t>
            </w:r>
          </w:p>
        </w:tc>
        <w:tc>
          <w:tcPr>
            <w:tcW w:w="1063" w:type="pct"/>
            <w:tcBorders>
              <w:top w:val="single" w:sz="4" w:space="0" w:color="auto"/>
              <w:left w:val="nil"/>
              <w:bottom w:val="double" w:sz="6" w:space="0" w:color="auto"/>
              <w:right w:val="nil"/>
            </w:tcBorders>
            <w:vAlign w:val="center"/>
            <w:hideMark/>
          </w:tcPr>
          <w:p w14:paraId="1DCEFECC" w14:textId="77777777" w:rsidR="00435A9F" w:rsidRPr="00435A9F" w:rsidRDefault="00435A9F" w:rsidP="00435A9F">
            <w:pPr>
              <w:spacing w:after="0" w:line="240" w:lineRule="auto"/>
              <w:jc w:val="center"/>
              <w:rPr>
                <w:rFonts w:eastAsia="Times New Roman" w:cs="Arial"/>
                <w:b/>
                <w:bCs/>
                <w:color w:val="000000"/>
                <w:lang w:eastAsia="en-GB"/>
              </w:rPr>
            </w:pPr>
            <w:r w:rsidRPr="00435A9F">
              <w:rPr>
                <w:rFonts w:eastAsia="Times New Roman" w:cs="Arial"/>
                <w:b/>
                <w:bCs/>
                <w:color w:val="000000"/>
                <w:lang w:eastAsia="en-GB"/>
              </w:rPr>
              <w:t>Mzdové/SSC pobídky</w:t>
            </w:r>
          </w:p>
        </w:tc>
        <w:tc>
          <w:tcPr>
            <w:tcW w:w="1063" w:type="pct"/>
            <w:tcBorders>
              <w:top w:val="single" w:sz="4" w:space="0" w:color="auto"/>
              <w:left w:val="nil"/>
              <w:bottom w:val="double" w:sz="6" w:space="0" w:color="auto"/>
              <w:right w:val="nil"/>
            </w:tcBorders>
            <w:vAlign w:val="center"/>
            <w:hideMark/>
          </w:tcPr>
          <w:p w14:paraId="291199E6" w14:textId="77777777" w:rsidR="00435A9F" w:rsidRPr="00435A9F" w:rsidRDefault="00435A9F" w:rsidP="00435A9F">
            <w:pPr>
              <w:spacing w:after="0" w:line="240" w:lineRule="auto"/>
              <w:jc w:val="center"/>
              <w:rPr>
                <w:rFonts w:eastAsia="Times New Roman" w:cs="Arial"/>
                <w:b/>
                <w:bCs/>
                <w:color w:val="000000"/>
                <w:lang w:eastAsia="en-GB"/>
              </w:rPr>
            </w:pPr>
            <w:r w:rsidRPr="00435A9F">
              <w:rPr>
                <w:rFonts w:eastAsia="Times New Roman" w:cs="Arial"/>
                <w:b/>
                <w:bCs/>
                <w:color w:val="000000"/>
                <w:lang w:eastAsia="en-GB"/>
              </w:rPr>
              <w:t>Daňová úleva</w:t>
            </w:r>
          </w:p>
        </w:tc>
        <w:tc>
          <w:tcPr>
            <w:tcW w:w="1061" w:type="pct"/>
            <w:tcBorders>
              <w:top w:val="single" w:sz="4" w:space="0" w:color="auto"/>
              <w:left w:val="nil"/>
              <w:bottom w:val="double" w:sz="6" w:space="0" w:color="auto"/>
              <w:right w:val="nil"/>
            </w:tcBorders>
            <w:vAlign w:val="center"/>
            <w:hideMark/>
          </w:tcPr>
          <w:p w14:paraId="2349D277" w14:textId="77777777" w:rsidR="00435A9F" w:rsidRPr="00435A9F" w:rsidRDefault="00435A9F" w:rsidP="00435A9F">
            <w:pPr>
              <w:spacing w:after="0" w:line="240" w:lineRule="auto"/>
              <w:jc w:val="center"/>
              <w:rPr>
                <w:rFonts w:eastAsia="Times New Roman" w:cs="Arial"/>
                <w:b/>
                <w:bCs/>
                <w:color w:val="000000"/>
                <w:lang w:eastAsia="en-GB"/>
              </w:rPr>
            </w:pPr>
            <w:r w:rsidRPr="00435A9F">
              <w:rPr>
                <w:rFonts w:eastAsia="Times New Roman" w:cs="Arial"/>
                <w:b/>
                <w:bCs/>
                <w:color w:val="000000"/>
                <w:lang w:eastAsia="en-GB"/>
              </w:rPr>
              <w:t>Daňový odpočet</w:t>
            </w:r>
          </w:p>
        </w:tc>
      </w:tr>
      <w:tr w:rsidR="00435A9F" w:rsidRPr="00435A9F" w14:paraId="5C95FB09" w14:textId="77777777" w:rsidTr="00435A9F">
        <w:trPr>
          <w:trHeight w:val="506"/>
        </w:trPr>
        <w:tc>
          <w:tcPr>
            <w:tcW w:w="750" w:type="pct"/>
            <w:tcBorders>
              <w:top w:val="nil"/>
              <w:left w:val="nil"/>
              <w:bottom w:val="single" w:sz="4" w:space="0" w:color="auto"/>
              <w:right w:val="nil"/>
            </w:tcBorders>
            <w:noWrap/>
            <w:vAlign w:val="center"/>
            <w:hideMark/>
          </w:tcPr>
          <w:p w14:paraId="6323FC42" w14:textId="77777777" w:rsidR="00435A9F" w:rsidRPr="00435A9F" w:rsidRDefault="00435A9F" w:rsidP="00435A9F">
            <w:pPr>
              <w:spacing w:after="0" w:line="240" w:lineRule="auto"/>
              <w:jc w:val="center"/>
              <w:rPr>
                <w:rFonts w:eastAsia="Times New Roman" w:cs="Arial"/>
                <w:b/>
                <w:bCs/>
                <w:color w:val="000000"/>
                <w:lang w:eastAsia="en-GB"/>
              </w:rPr>
            </w:pPr>
            <w:r w:rsidRPr="00435A9F">
              <w:rPr>
                <w:rFonts w:eastAsia="Times New Roman" w:cs="Arial"/>
                <w:b/>
                <w:bCs/>
                <w:color w:val="000000"/>
                <w:lang w:eastAsia="en-GB"/>
              </w:rPr>
              <w:t>AUT</w:t>
            </w:r>
          </w:p>
        </w:tc>
        <w:tc>
          <w:tcPr>
            <w:tcW w:w="1063" w:type="pct"/>
            <w:tcBorders>
              <w:top w:val="nil"/>
              <w:left w:val="nil"/>
              <w:bottom w:val="single" w:sz="4" w:space="0" w:color="auto"/>
              <w:right w:val="nil"/>
            </w:tcBorders>
            <w:vAlign w:val="center"/>
            <w:hideMark/>
          </w:tcPr>
          <w:p w14:paraId="76914DA2"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3" w:type="pct"/>
            <w:tcBorders>
              <w:top w:val="nil"/>
              <w:left w:val="nil"/>
              <w:bottom w:val="single" w:sz="4" w:space="0" w:color="auto"/>
              <w:right w:val="nil"/>
            </w:tcBorders>
            <w:vAlign w:val="center"/>
            <w:hideMark/>
          </w:tcPr>
          <w:p w14:paraId="3F5C4201"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3" w:type="pct"/>
            <w:tcBorders>
              <w:top w:val="nil"/>
              <w:left w:val="nil"/>
              <w:bottom w:val="single" w:sz="4" w:space="0" w:color="auto"/>
              <w:right w:val="nil"/>
            </w:tcBorders>
            <w:vAlign w:val="center"/>
            <w:hideMark/>
          </w:tcPr>
          <w:p w14:paraId="515CE778"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1" w:type="pct"/>
            <w:tcBorders>
              <w:top w:val="nil"/>
              <w:left w:val="nil"/>
              <w:bottom w:val="single" w:sz="4" w:space="0" w:color="auto"/>
              <w:right w:val="nil"/>
            </w:tcBorders>
            <w:shd w:val="clear" w:color="000000" w:fill="D9D9D9"/>
            <w:vAlign w:val="center"/>
            <w:hideMark/>
          </w:tcPr>
          <w:p w14:paraId="7428CEE4" w14:textId="77777777" w:rsidR="00435A9F" w:rsidRPr="00435A9F" w:rsidRDefault="00435A9F" w:rsidP="00435A9F">
            <w:pPr>
              <w:spacing w:after="0" w:line="240" w:lineRule="auto"/>
              <w:jc w:val="center"/>
              <w:rPr>
                <w:rFonts w:eastAsia="Times New Roman" w:cs="Arial"/>
                <w:color w:val="000000"/>
                <w:lang w:eastAsia="en-GB"/>
              </w:rPr>
            </w:pPr>
            <w:proofErr w:type="spellStart"/>
            <w:r w:rsidRPr="00435A9F">
              <w:rPr>
                <w:rFonts w:eastAsia="Times New Roman" w:cs="Arial"/>
                <w:color w:val="000000"/>
                <w:lang w:eastAsia="en-GB"/>
              </w:rPr>
              <w:t>Volume-based</w:t>
            </w:r>
            <w:proofErr w:type="spellEnd"/>
          </w:p>
        </w:tc>
      </w:tr>
      <w:tr w:rsidR="00435A9F" w:rsidRPr="00435A9F" w14:paraId="75EEDA6D" w14:textId="77777777" w:rsidTr="00435A9F">
        <w:trPr>
          <w:trHeight w:val="506"/>
        </w:trPr>
        <w:tc>
          <w:tcPr>
            <w:tcW w:w="750" w:type="pct"/>
            <w:tcBorders>
              <w:top w:val="nil"/>
              <w:left w:val="nil"/>
              <w:bottom w:val="single" w:sz="4" w:space="0" w:color="auto"/>
              <w:right w:val="nil"/>
            </w:tcBorders>
            <w:noWrap/>
            <w:vAlign w:val="center"/>
            <w:hideMark/>
          </w:tcPr>
          <w:p w14:paraId="00CC6C01" w14:textId="77777777" w:rsidR="00435A9F" w:rsidRPr="00435A9F" w:rsidRDefault="00435A9F" w:rsidP="00435A9F">
            <w:pPr>
              <w:spacing w:after="0" w:line="240" w:lineRule="auto"/>
              <w:jc w:val="center"/>
              <w:rPr>
                <w:rFonts w:eastAsia="Times New Roman" w:cs="Arial"/>
                <w:b/>
                <w:bCs/>
                <w:color w:val="000000"/>
                <w:lang w:eastAsia="en-GB"/>
              </w:rPr>
            </w:pPr>
            <w:r w:rsidRPr="00435A9F">
              <w:rPr>
                <w:rFonts w:eastAsia="Times New Roman" w:cs="Arial"/>
                <w:b/>
                <w:bCs/>
                <w:color w:val="000000"/>
                <w:lang w:eastAsia="en-GB"/>
              </w:rPr>
              <w:t>BEL</w:t>
            </w:r>
          </w:p>
        </w:tc>
        <w:tc>
          <w:tcPr>
            <w:tcW w:w="4250" w:type="pct"/>
            <w:gridSpan w:val="4"/>
            <w:tcBorders>
              <w:top w:val="single" w:sz="4" w:space="0" w:color="auto"/>
              <w:left w:val="nil"/>
              <w:bottom w:val="single" w:sz="4" w:space="0" w:color="auto"/>
              <w:right w:val="nil"/>
            </w:tcBorders>
            <w:shd w:val="clear" w:color="000000" w:fill="D9D9D9"/>
            <w:vAlign w:val="center"/>
            <w:hideMark/>
          </w:tcPr>
          <w:p w14:paraId="3D580CC6" w14:textId="77777777" w:rsidR="00435A9F" w:rsidRPr="00435A9F" w:rsidRDefault="00435A9F" w:rsidP="00435A9F">
            <w:pPr>
              <w:spacing w:after="0" w:line="240" w:lineRule="auto"/>
              <w:jc w:val="center"/>
              <w:rPr>
                <w:rFonts w:eastAsia="Times New Roman" w:cs="Arial"/>
                <w:color w:val="000000"/>
                <w:lang w:eastAsia="en-GB"/>
              </w:rPr>
            </w:pPr>
            <w:proofErr w:type="spellStart"/>
            <w:r w:rsidRPr="00435A9F">
              <w:rPr>
                <w:rFonts w:eastAsia="Times New Roman" w:cs="Arial"/>
                <w:color w:val="000000"/>
                <w:lang w:eastAsia="en-GB"/>
              </w:rPr>
              <w:t>Volume-based</w:t>
            </w:r>
            <w:proofErr w:type="spellEnd"/>
          </w:p>
        </w:tc>
      </w:tr>
      <w:tr w:rsidR="00435A9F" w:rsidRPr="00435A9F" w14:paraId="3CBD698D" w14:textId="77777777" w:rsidTr="00435A9F">
        <w:trPr>
          <w:trHeight w:val="506"/>
        </w:trPr>
        <w:tc>
          <w:tcPr>
            <w:tcW w:w="750" w:type="pct"/>
            <w:tcBorders>
              <w:top w:val="nil"/>
              <w:left w:val="nil"/>
              <w:bottom w:val="single" w:sz="4" w:space="0" w:color="auto"/>
              <w:right w:val="nil"/>
            </w:tcBorders>
            <w:noWrap/>
            <w:vAlign w:val="center"/>
            <w:hideMark/>
          </w:tcPr>
          <w:p w14:paraId="673E6C60" w14:textId="77777777" w:rsidR="00435A9F" w:rsidRPr="00435A9F" w:rsidRDefault="00435A9F" w:rsidP="00435A9F">
            <w:pPr>
              <w:spacing w:after="0" w:line="240" w:lineRule="auto"/>
              <w:jc w:val="center"/>
              <w:rPr>
                <w:rFonts w:eastAsia="Times New Roman" w:cs="Arial"/>
                <w:b/>
                <w:bCs/>
                <w:color w:val="000000"/>
                <w:lang w:eastAsia="en-GB"/>
              </w:rPr>
            </w:pPr>
            <w:r w:rsidRPr="00435A9F">
              <w:rPr>
                <w:rFonts w:eastAsia="Times New Roman" w:cs="Arial"/>
                <w:b/>
                <w:bCs/>
                <w:color w:val="000000"/>
                <w:lang w:eastAsia="en-GB"/>
              </w:rPr>
              <w:t>HRV</w:t>
            </w:r>
          </w:p>
        </w:tc>
        <w:tc>
          <w:tcPr>
            <w:tcW w:w="1063" w:type="pct"/>
            <w:tcBorders>
              <w:top w:val="nil"/>
              <w:left w:val="nil"/>
              <w:bottom w:val="single" w:sz="4" w:space="0" w:color="auto"/>
              <w:right w:val="nil"/>
            </w:tcBorders>
            <w:vAlign w:val="center"/>
            <w:hideMark/>
          </w:tcPr>
          <w:p w14:paraId="60D0848D"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3" w:type="pct"/>
            <w:tcBorders>
              <w:top w:val="nil"/>
              <w:left w:val="nil"/>
              <w:bottom w:val="single" w:sz="4" w:space="0" w:color="auto"/>
              <w:right w:val="nil"/>
            </w:tcBorders>
            <w:vAlign w:val="center"/>
            <w:hideMark/>
          </w:tcPr>
          <w:p w14:paraId="3A7A01B8"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3" w:type="pct"/>
            <w:tcBorders>
              <w:top w:val="nil"/>
              <w:left w:val="nil"/>
              <w:bottom w:val="single" w:sz="4" w:space="0" w:color="auto"/>
              <w:right w:val="nil"/>
            </w:tcBorders>
            <w:shd w:val="clear" w:color="000000" w:fill="D9D9D9"/>
            <w:vAlign w:val="center"/>
            <w:hideMark/>
          </w:tcPr>
          <w:p w14:paraId="75A0CA47" w14:textId="77777777" w:rsidR="00435A9F" w:rsidRPr="00435A9F" w:rsidRDefault="00435A9F" w:rsidP="00435A9F">
            <w:pPr>
              <w:spacing w:after="0" w:line="240" w:lineRule="auto"/>
              <w:jc w:val="center"/>
              <w:rPr>
                <w:rFonts w:eastAsia="Times New Roman" w:cs="Arial"/>
                <w:color w:val="000000"/>
                <w:lang w:eastAsia="en-GB"/>
              </w:rPr>
            </w:pPr>
            <w:proofErr w:type="spellStart"/>
            <w:r w:rsidRPr="00435A9F">
              <w:rPr>
                <w:rFonts w:eastAsia="Times New Roman" w:cs="Arial"/>
                <w:color w:val="000000"/>
                <w:lang w:eastAsia="en-GB"/>
              </w:rPr>
              <w:t>Volume-based</w:t>
            </w:r>
            <w:proofErr w:type="spellEnd"/>
          </w:p>
        </w:tc>
        <w:tc>
          <w:tcPr>
            <w:tcW w:w="1061" w:type="pct"/>
            <w:tcBorders>
              <w:top w:val="nil"/>
              <w:left w:val="nil"/>
              <w:bottom w:val="single" w:sz="4" w:space="0" w:color="auto"/>
              <w:right w:val="nil"/>
            </w:tcBorders>
            <w:vAlign w:val="center"/>
            <w:hideMark/>
          </w:tcPr>
          <w:p w14:paraId="347D0F36"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r>
      <w:tr w:rsidR="00435A9F" w:rsidRPr="00435A9F" w14:paraId="1A3CF254" w14:textId="77777777" w:rsidTr="00435A9F">
        <w:trPr>
          <w:trHeight w:val="506"/>
        </w:trPr>
        <w:tc>
          <w:tcPr>
            <w:tcW w:w="750" w:type="pct"/>
            <w:tcBorders>
              <w:top w:val="nil"/>
              <w:left w:val="nil"/>
              <w:bottom w:val="single" w:sz="4" w:space="0" w:color="auto"/>
              <w:right w:val="nil"/>
            </w:tcBorders>
            <w:noWrap/>
            <w:vAlign w:val="center"/>
            <w:hideMark/>
          </w:tcPr>
          <w:p w14:paraId="49872562" w14:textId="77777777" w:rsidR="00435A9F" w:rsidRPr="00435A9F" w:rsidRDefault="00435A9F" w:rsidP="00435A9F">
            <w:pPr>
              <w:spacing w:after="0" w:line="240" w:lineRule="auto"/>
              <w:jc w:val="center"/>
              <w:rPr>
                <w:rFonts w:eastAsia="Times New Roman" w:cs="Arial"/>
                <w:b/>
                <w:bCs/>
                <w:color w:val="000000"/>
                <w:lang w:eastAsia="en-GB"/>
              </w:rPr>
            </w:pPr>
            <w:r w:rsidRPr="00435A9F">
              <w:rPr>
                <w:rFonts w:eastAsia="Times New Roman" w:cs="Arial"/>
                <w:b/>
                <w:bCs/>
                <w:color w:val="000000"/>
                <w:lang w:eastAsia="en-GB"/>
              </w:rPr>
              <w:t>CYP</w:t>
            </w:r>
          </w:p>
        </w:tc>
        <w:tc>
          <w:tcPr>
            <w:tcW w:w="1063" w:type="pct"/>
            <w:tcBorders>
              <w:top w:val="nil"/>
              <w:left w:val="nil"/>
              <w:bottom w:val="single" w:sz="4" w:space="0" w:color="auto"/>
              <w:right w:val="nil"/>
            </w:tcBorders>
            <w:vAlign w:val="center"/>
            <w:hideMark/>
          </w:tcPr>
          <w:p w14:paraId="60B1EE4D"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3" w:type="pct"/>
            <w:tcBorders>
              <w:top w:val="nil"/>
              <w:left w:val="nil"/>
              <w:bottom w:val="single" w:sz="4" w:space="0" w:color="auto"/>
              <w:right w:val="nil"/>
            </w:tcBorders>
            <w:vAlign w:val="center"/>
            <w:hideMark/>
          </w:tcPr>
          <w:p w14:paraId="250FE7AD"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3" w:type="pct"/>
            <w:tcBorders>
              <w:top w:val="nil"/>
              <w:left w:val="nil"/>
              <w:bottom w:val="single" w:sz="4" w:space="0" w:color="auto"/>
              <w:right w:val="nil"/>
            </w:tcBorders>
            <w:shd w:val="clear" w:color="000000" w:fill="D9D9D9"/>
            <w:vAlign w:val="center"/>
            <w:hideMark/>
          </w:tcPr>
          <w:p w14:paraId="6E379A4E" w14:textId="77777777" w:rsidR="00435A9F" w:rsidRPr="00435A9F" w:rsidRDefault="00435A9F" w:rsidP="00435A9F">
            <w:pPr>
              <w:spacing w:after="0" w:line="240" w:lineRule="auto"/>
              <w:jc w:val="center"/>
              <w:rPr>
                <w:rFonts w:eastAsia="Times New Roman" w:cs="Arial"/>
                <w:color w:val="000000"/>
                <w:lang w:eastAsia="en-GB"/>
              </w:rPr>
            </w:pPr>
            <w:proofErr w:type="spellStart"/>
            <w:r w:rsidRPr="00435A9F">
              <w:rPr>
                <w:rFonts w:eastAsia="Times New Roman" w:cs="Arial"/>
                <w:color w:val="000000"/>
                <w:lang w:eastAsia="en-GB"/>
              </w:rPr>
              <w:t>Volume-based</w:t>
            </w:r>
            <w:proofErr w:type="spellEnd"/>
          </w:p>
        </w:tc>
        <w:tc>
          <w:tcPr>
            <w:tcW w:w="1061" w:type="pct"/>
            <w:tcBorders>
              <w:top w:val="nil"/>
              <w:left w:val="nil"/>
              <w:bottom w:val="single" w:sz="4" w:space="0" w:color="auto"/>
              <w:right w:val="nil"/>
            </w:tcBorders>
            <w:vAlign w:val="center"/>
            <w:hideMark/>
          </w:tcPr>
          <w:p w14:paraId="6627A6F5"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r>
      <w:tr w:rsidR="00435A9F" w:rsidRPr="00435A9F" w14:paraId="181F7380" w14:textId="77777777" w:rsidTr="00435A9F">
        <w:trPr>
          <w:trHeight w:val="506"/>
        </w:trPr>
        <w:tc>
          <w:tcPr>
            <w:tcW w:w="750" w:type="pct"/>
            <w:tcBorders>
              <w:top w:val="nil"/>
              <w:left w:val="nil"/>
              <w:bottom w:val="single" w:sz="4" w:space="0" w:color="auto"/>
              <w:right w:val="nil"/>
            </w:tcBorders>
            <w:noWrap/>
            <w:vAlign w:val="center"/>
            <w:hideMark/>
          </w:tcPr>
          <w:p w14:paraId="2F293484" w14:textId="77777777" w:rsidR="00435A9F" w:rsidRPr="00435A9F" w:rsidRDefault="00435A9F" w:rsidP="00435A9F">
            <w:pPr>
              <w:spacing w:after="0" w:line="240" w:lineRule="auto"/>
              <w:jc w:val="center"/>
              <w:rPr>
                <w:rFonts w:eastAsia="Times New Roman" w:cs="Arial"/>
                <w:b/>
                <w:bCs/>
                <w:color w:val="000000"/>
                <w:lang w:eastAsia="en-GB"/>
              </w:rPr>
            </w:pPr>
            <w:r w:rsidRPr="00435A9F">
              <w:rPr>
                <w:rFonts w:eastAsia="Times New Roman" w:cs="Arial"/>
                <w:b/>
                <w:bCs/>
                <w:color w:val="000000"/>
                <w:lang w:eastAsia="en-GB"/>
              </w:rPr>
              <w:t>CZE</w:t>
            </w:r>
          </w:p>
        </w:tc>
        <w:tc>
          <w:tcPr>
            <w:tcW w:w="1063" w:type="pct"/>
            <w:tcBorders>
              <w:top w:val="nil"/>
              <w:left w:val="nil"/>
              <w:bottom w:val="single" w:sz="4" w:space="0" w:color="auto"/>
              <w:right w:val="nil"/>
            </w:tcBorders>
            <w:vAlign w:val="center"/>
            <w:hideMark/>
          </w:tcPr>
          <w:p w14:paraId="5AD0880A"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3" w:type="pct"/>
            <w:tcBorders>
              <w:top w:val="nil"/>
              <w:left w:val="nil"/>
              <w:bottom w:val="single" w:sz="4" w:space="0" w:color="auto"/>
              <w:right w:val="nil"/>
            </w:tcBorders>
            <w:vAlign w:val="center"/>
            <w:hideMark/>
          </w:tcPr>
          <w:p w14:paraId="0CFFCA8B"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3" w:type="pct"/>
            <w:tcBorders>
              <w:top w:val="nil"/>
              <w:left w:val="nil"/>
              <w:bottom w:val="single" w:sz="4" w:space="0" w:color="auto"/>
              <w:right w:val="nil"/>
            </w:tcBorders>
            <w:shd w:val="clear" w:color="000000" w:fill="D9D9D9"/>
            <w:vAlign w:val="center"/>
            <w:hideMark/>
          </w:tcPr>
          <w:p w14:paraId="4C09E0FB"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Hybrid</w:t>
            </w:r>
          </w:p>
        </w:tc>
        <w:tc>
          <w:tcPr>
            <w:tcW w:w="1061" w:type="pct"/>
            <w:tcBorders>
              <w:top w:val="nil"/>
              <w:left w:val="nil"/>
              <w:bottom w:val="single" w:sz="4" w:space="0" w:color="auto"/>
              <w:right w:val="nil"/>
            </w:tcBorders>
            <w:vAlign w:val="center"/>
            <w:hideMark/>
          </w:tcPr>
          <w:p w14:paraId="3208D6A6"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r>
      <w:tr w:rsidR="00435A9F" w:rsidRPr="00435A9F" w14:paraId="541B270F" w14:textId="77777777" w:rsidTr="00435A9F">
        <w:trPr>
          <w:trHeight w:val="506"/>
        </w:trPr>
        <w:tc>
          <w:tcPr>
            <w:tcW w:w="750" w:type="pct"/>
            <w:tcBorders>
              <w:top w:val="nil"/>
              <w:left w:val="nil"/>
              <w:bottom w:val="single" w:sz="4" w:space="0" w:color="auto"/>
              <w:right w:val="nil"/>
            </w:tcBorders>
            <w:noWrap/>
            <w:vAlign w:val="center"/>
            <w:hideMark/>
          </w:tcPr>
          <w:p w14:paraId="099EBD23" w14:textId="77777777" w:rsidR="00435A9F" w:rsidRPr="00435A9F" w:rsidRDefault="00435A9F" w:rsidP="00435A9F">
            <w:pPr>
              <w:spacing w:after="0" w:line="240" w:lineRule="auto"/>
              <w:jc w:val="center"/>
              <w:rPr>
                <w:rFonts w:eastAsia="Times New Roman" w:cs="Arial"/>
                <w:b/>
                <w:bCs/>
                <w:color w:val="000000"/>
                <w:lang w:eastAsia="en-GB"/>
              </w:rPr>
            </w:pPr>
            <w:r w:rsidRPr="00435A9F">
              <w:rPr>
                <w:rFonts w:eastAsia="Times New Roman" w:cs="Arial"/>
                <w:b/>
                <w:bCs/>
                <w:color w:val="000000"/>
                <w:lang w:eastAsia="en-GB"/>
              </w:rPr>
              <w:t>DEN</w:t>
            </w:r>
          </w:p>
        </w:tc>
        <w:tc>
          <w:tcPr>
            <w:tcW w:w="1063" w:type="pct"/>
            <w:tcBorders>
              <w:top w:val="nil"/>
              <w:left w:val="nil"/>
              <w:bottom w:val="single" w:sz="4" w:space="0" w:color="auto"/>
              <w:right w:val="nil"/>
            </w:tcBorders>
            <w:shd w:val="clear" w:color="000000" w:fill="D9D9D9"/>
            <w:vAlign w:val="center"/>
            <w:hideMark/>
          </w:tcPr>
          <w:p w14:paraId="29CA8DB5" w14:textId="77777777" w:rsidR="00435A9F" w:rsidRPr="00435A9F" w:rsidRDefault="00435A9F" w:rsidP="00435A9F">
            <w:pPr>
              <w:spacing w:after="0" w:line="240" w:lineRule="auto"/>
              <w:jc w:val="center"/>
              <w:rPr>
                <w:rFonts w:eastAsia="Times New Roman" w:cs="Arial"/>
                <w:color w:val="000000"/>
                <w:lang w:eastAsia="en-GB"/>
              </w:rPr>
            </w:pPr>
            <w:proofErr w:type="spellStart"/>
            <w:r w:rsidRPr="00435A9F">
              <w:rPr>
                <w:rFonts w:eastAsia="Times New Roman" w:cs="Arial"/>
                <w:color w:val="000000"/>
                <w:lang w:eastAsia="en-GB"/>
              </w:rPr>
              <w:t>Volume-based</w:t>
            </w:r>
            <w:proofErr w:type="spellEnd"/>
          </w:p>
        </w:tc>
        <w:tc>
          <w:tcPr>
            <w:tcW w:w="1063" w:type="pct"/>
            <w:tcBorders>
              <w:top w:val="nil"/>
              <w:left w:val="nil"/>
              <w:bottom w:val="single" w:sz="4" w:space="0" w:color="auto"/>
              <w:right w:val="nil"/>
            </w:tcBorders>
            <w:vAlign w:val="center"/>
            <w:hideMark/>
          </w:tcPr>
          <w:p w14:paraId="5AAB0FC0"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2124" w:type="pct"/>
            <w:gridSpan w:val="2"/>
            <w:tcBorders>
              <w:top w:val="single" w:sz="4" w:space="0" w:color="auto"/>
              <w:left w:val="nil"/>
              <w:bottom w:val="single" w:sz="4" w:space="0" w:color="auto"/>
              <w:right w:val="nil"/>
            </w:tcBorders>
            <w:shd w:val="clear" w:color="000000" w:fill="D9D9D9"/>
            <w:vAlign w:val="center"/>
            <w:hideMark/>
          </w:tcPr>
          <w:p w14:paraId="6F881F06" w14:textId="77777777" w:rsidR="00435A9F" w:rsidRPr="00435A9F" w:rsidRDefault="00435A9F" w:rsidP="00435A9F">
            <w:pPr>
              <w:spacing w:after="0" w:line="240" w:lineRule="auto"/>
              <w:jc w:val="center"/>
              <w:rPr>
                <w:rFonts w:eastAsia="Times New Roman" w:cs="Arial"/>
                <w:color w:val="000000"/>
                <w:lang w:eastAsia="en-GB"/>
              </w:rPr>
            </w:pPr>
            <w:proofErr w:type="spellStart"/>
            <w:r w:rsidRPr="00435A9F">
              <w:rPr>
                <w:rFonts w:eastAsia="Times New Roman" w:cs="Arial"/>
                <w:color w:val="000000"/>
                <w:lang w:eastAsia="en-GB"/>
              </w:rPr>
              <w:t>Volume-based</w:t>
            </w:r>
            <w:proofErr w:type="spellEnd"/>
          </w:p>
        </w:tc>
      </w:tr>
      <w:tr w:rsidR="00435A9F" w:rsidRPr="00435A9F" w14:paraId="248079A5" w14:textId="77777777" w:rsidTr="00435A9F">
        <w:trPr>
          <w:trHeight w:val="506"/>
        </w:trPr>
        <w:tc>
          <w:tcPr>
            <w:tcW w:w="750" w:type="pct"/>
            <w:tcBorders>
              <w:top w:val="nil"/>
              <w:left w:val="nil"/>
              <w:bottom w:val="single" w:sz="4" w:space="0" w:color="auto"/>
              <w:right w:val="nil"/>
            </w:tcBorders>
            <w:noWrap/>
            <w:vAlign w:val="center"/>
            <w:hideMark/>
          </w:tcPr>
          <w:p w14:paraId="30B64A49" w14:textId="77777777" w:rsidR="00435A9F" w:rsidRPr="00435A9F" w:rsidRDefault="00435A9F" w:rsidP="00435A9F">
            <w:pPr>
              <w:spacing w:after="0" w:line="240" w:lineRule="auto"/>
              <w:jc w:val="center"/>
              <w:rPr>
                <w:rFonts w:eastAsia="Times New Roman" w:cs="Arial"/>
                <w:b/>
                <w:bCs/>
                <w:color w:val="000000"/>
                <w:lang w:eastAsia="en-GB"/>
              </w:rPr>
            </w:pPr>
            <w:r w:rsidRPr="00435A9F">
              <w:rPr>
                <w:rFonts w:eastAsia="Times New Roman" w:cs="Arial"/>
                <w:b/>
                <w:bCs/>
                <w:color w:val="000000"/>
                <w:lang w:eastAsia="en-GB"/>
              </w:rPr>
              <w:t>FIN</w:t>
            </w:r>
          </w:p>
        </w:tc>
        <w:tc>
          <w:tcPr>
            <w:tcW w:w="1063" w:type="pct"/>
            <w:tcBorders>
              <w:top w:val="nil"/>
              <w:left w:val="nil"/>
              <w:bottom w:val="single" w:sz="4" w:space="0" w:color="auto"/>
              <w:right w:val="nil"/>
            </w:tcBorders>
            <w:vAlign w:val="center"/>
            <w:hideMark/>
          </w:tcPr>
          <w:p w14:paraId="5C4C9235"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3" w:type="pct"/>
            <w:tcBorders>
              <w:top w:val="nil"/>
              <w:left w:val="nil"/>
              <w:bottom w:val="single" w:sz="4" w:space="0" w:color="auto"/>
              <w:right w:val="nil"/>
            </w:tcBorders>
            <w:vAlign w:val="center"/>
            <w:hideMark/>
          </w:tcPr>
          <w:p w14:paraId="0091E43C"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3" w:type="pct"/>
            <w:tcBorders>
              <w:top w:val="nil"/>
              <w:left w:val="nil"/>
              <w:bottom w:val="single" w:sz="4" w:space="0" w:color="auto"/>
              <w:right w:val="nil"/>
            </w:tcBorders>
            <w:shd w:val="clear" w:color="000000" w:fill="D9D9D9"/>
            <w:vAlign w:val="center"/>
            <w:hideMark/>
          </w:tcPr>
          <w:p w14:paraId="77ED7144" w14:textId="77777777" w:rsidR="00435A9F" w:rsidRPr="00435A9F" w:rsidRDefault="00435A9F" w:rsidP="00435A9F">
            <w:pPr>
              <w:spacing w:after="0" w:line="240" w:lineRule="auto"/>
              <w:jc w:val="center"/>
              <w:rPr>
                <w:rFonts w:eastAsia="Times New Roman" w:cs="Arial"/>
                <w:color w:val="000000"/>
                <w:lang w:eastAsia="en-GB"/>
              </w:rPr>
            </w:pPr>
            <w:proofErr w:type="spellStart"/>
            <w:r w:rsidRPr="00435A9F">
              <w:rPr>
                <w:rFonts w:eastAsia="Times New Roman" w:cs="Arial"/>
                <w:color w:val="000000"/>
                <w:lang w:eastAsia="en-GB"/>
              </w:rPr>
              <w:t>Volume-based</w:t>
            </w:r>
            <w:proofErr w:type="spellEnd"/>
          </w:p>
        </w:tc>
        <w:tc>
          <w:tcPr>
            <w:tcW w:w="1061" w:type="pct"/>
            <w:tcBorders>
              <w:top w:val="nil"/>
              <w:left w:val="nil"/>
              <w:bottom w:val="single" w:sz="4" w:space="0" w:color="auto"/>
              <w:right w:val="nil"/>
            </w:tcBorders>
            <w:vAlign w:val="center"/>
            <w:hideMark/>
          </w:tcPr>
          <w:p w14:paraId="6B1F22A1"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r>
      <w:tr w:rsidR="00435A9F" w:rsidRPr="00435A9F" w14:paraId="68BEB58B" w14:textId="77777777" w:rsidTr="00435A9F">
        <w:trPr>
          <w:trHeight w:val="506"/>
        </w:trPr>
        <w:tc>
          <w:tcPr>
            <w:tcW w:w="750" w:type="pct"/>
            <w:tcBorders>
              <w:top w:val="nil"/>
              <w:left w:val="nil"/>
              <w:bottom w:val="single" w:sz="4" w:space="0" w:color="auto"/>
              <w:right w:val="nil"/>
            </w:tcBorders>
            <w:noWrap/>
            <w:vAlign w:val="center"/>
            <w:hideMark/>
          </w:tcPr>
          <w:p w14:paraId="6FC76BDB" w14:textId="77777777" w:rsidR="00435A9F" w:rsidRPr="00435A9F" w:rsidRDefault="00435A9F" w:rsidP="00435A9F">
            <w:pPr>
              <w:spacing w:after="0" w:line="240" w:lineRule="auto"/>
              <w:jc w:val="center"/>
              <w:rPr>
                <w:rFonts w:eastAsia="Times New Roman" w:cs="Arial"/>
                <w:b/>
                <w:bCs/>
                <w:color w:val="000000"/>
                <w:lang w:eastAsia="en-GB"/>
              </w:rPr>
            </w:pPr>
            <w:r w:rsidRPr="00435A9F">
              <w:rPr>
                <w:rFonts w:eastAsia="Times New Roman" w:cs="Arial"/>
                <w:b/>
                <w:bCs/>
                <w:color w:val="000000"/>
                <w:lang w:eastAsia="en-GB"/>
              </w:rPr>
              <w:t>FRA</w:t>
            </w:r>
          </w:p>
        </w:tc>
        <w:tc>
          <w:tcPr>
            <w:tcW w:w="2126" w:type="pct"/>
            <w:gridSpan w:val="2"/>
            <w:tcBorders>
              <w:top w:val="single" w:sz="4" w:space="0" w:color="auto"/>
              <w:left w:val="nil"/>
              <w:bottom w:val="single" w:sz="4" w:space="0" w:color="auto"/>
              <w:right w:val="nil"/>
            </w:tcBorders>
            <w:shd w:val="clear" w:color="000000" w:fill="D9D9D9"/>
            <w:vAlign w:val="center"/>
            <w:hideMark/>
          </w:tcPr>
          <w:p w14:paraId="5081A43F" w14:textId="77777777" w:rsidR="00435A9F" w:rsidRPr="00435A9F" w:rsidRDefault="00435A9F" w:rsidP="00435A9F">
            <w:pPr>
              <w:spacing w:after="0" w:line="240" w:lineRule="auto"/>
              <w:jc w:val="center"/>
              <w:rPr>
                <w:rFonts w:eastAsia="Times New Roman" w:cs="Arial"/>
                <w:color w:val="000000"/>
                <w:lang w:eastAsia="en-GB"/>
              </w:rPr>
            </w:pPr>
            <w:proofErr w:type="spellStart"/>
            <w:r w:rsidRPr="00435A9F">
              <w:rPr>
                <w:rFonts w:eastAsia="Times New Roman" w:cs="Arial"/>
                <w:color w:val="000000"/>
                <w:lang w:eastAsia="en-GB"/>
              </w:rPr>
              <w:t>Volume-based</w:t>
            </w:r>
            <w:proofErr w:type="spellEnd"/>
          </w:p>
        </w:tc>
        <w:tc>
          <w:tcPr>
            <w:tcW w:w="1063" w:type="pct"/>
            <w:tcBorders>
              <w:top w:val="nil"/>
              <w:left w:val="nil"/>
              <w:bottom w:val="single" w:sz="4" w:space="0" w:color="auto"/>
              <w:right w:val="nil"/>
            </w:tcBorders>
            <w:vAlign w:val="center"/>
            <w:hideMark/>
          </w:tcPr>
          <w:p w14:paraId="1886F01D"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1" w:type="pct"/>
            <w:tcBorders>
              <w:top w:val="nil"/>
              <w:left w:val="nil"/>
              <w:bottom w:val="single" w:sz="4" w:space="0" w:color="auto"/>
              <w:right w:val="nil"/>
            </w:tcBorders>
            <w:shd w:val="clear" w:color="000000" w:fill="D9D9D9"/>
            <w:vAlign w:val="center"/>
            <w:hideMark/>
          </w:tcPr>
          <w:p w14:paraId="0BB6393E" w14:textId="77777777" w:rsidR="00435A9F" w:rsidRPr="00435A9F" w:rsidRDefault="00435A9F" w:rsidP="00435A9F">
            <w:pPr>
              <w:spacing w:after="0" w:line="240" w:lineRule="auto"/>
              <w:jc w:val="center"/>
              <w:rPr>
                <w:rFonts w:eastAsia="Times New Roman" w:cs="Arial"/>
                <w:color w:val="000000"/>
                <w:lang w:eastAsia="en-GB"/>
              </w:rPr>
            </w:pPr>
            <w:proofErr w:type="spellStart"/>
            <w:r w:rsidRPr="00435A9F">
              <w:rPr>
                <w:rFonts w:eastAsia="Times New Roman" w:cs="Arial"/>
                <w:color w:val="000000"/>
                <w:lang w:eastAsia="en-GB"/>
              </w:rPr>
              <w:t>Volume-based</w:t>
            </w:r>
            <w:proofErr w:type="spellEnd"/>
          </w:p>
        </w:tc>
      </w:tr>
      <w:tr w:rsidR="00435A9F" w:rsidRPr="00435A9F" w14:paraId="32F058B3" w14:textId="77777777" w:rsidTr="00435A9F">
        <w:trPr>
          <w:trHeight w:val="506"/>
        </w:trPr>
        <w:tc>
          <w:tcPr>
            <w:tcW w:w="750" w:type="pct"/>
            <w:tcBorders>
              <w:top w:val="nil"/>
              <w:left w:val="nil"/>
              <w:bottom w:val="single" w:sz="4" w:space="0" w:color="auto"/>
              <w:right w:val="nil"/>
            </w:tcBorders>
            <w:noWrap/>
            <w:vAlign w:val="center"/>
            <w:hideMark/>
          </w:tcPr>
          <w:p w14:paraId="77479446" w14:textId="77777777" w:rsidR="00435A9F" w:rsidRPr="00435A9F" w:rsidRDefault="00435A9F" w:rsidP="00435A9F">
            <w:pPr>
              <w:spacing w:after="0" w:line="240" w:lineRule="auto"/>
              <w:jc w:val="center"/>
              <w:rPr>
                <w:rFonts w:eastAsia="Times New Roman" w:cs="Arial"/>
                <w:b/>
                <w:bCs/>
                <w:color w:val="000000"/>
                <w:lang w:eastAsia="en-GB"/>
              </w:rPr>
            </w:pPr>
            <w:r w:rsidRPr="00435A9F">
              <w:rPr>
                <w:rFonts w:eastAsia="Times New Roman" w:cs="Arial"/>
                <w:b/>
                <w:bCs/>
                <w:color w:val="000000"/>
                <w:lang w:eastAsia="en-GB"/>
              </w:rPr>
              <w:t>GER</w:t>
            </w:r>
          </w:p>
        </w:tc>
        <w:tc>
          <w:tcPr>
            <w:tcW w:w="1063" w:type="pct"/>
            <w:tcBorders>
              <w:top w:val="nil"/>
              <w:left w:val="nil"/>
              <w:bottom w:val="single" w:sz="4" w:space="0" w:color="auto"/>
              <w:right w:val="nil"/>
            </w:tcBorders>
            <w:vAlign w:val="center"/>
            <w:hideMark/>
          </w:tcPr>
          <w:p w14:paraId="10102829"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3" w:type="pct"/>
            <w:tcBorders>
              <w:top w:val="nil"/>
              <w:left w:val="nil"/>
              <w:bottom w:val="single" w:sz="4" w:space="0" w:color="auto"/>
              <w:right w:val="nil"/>
            </w:tcBorders>
            <w:vAlign w:val="center"/>
            <w:hideMark/>
          </w:tcPr>
          <w:p w14:paraId="56E16191"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3" w:type="pct"/>
            <w:tcBorders>
              <w:top w:val="nil"/>
              <w:left w:val="nil"/>
              <w:bottom w:val="single" w:sz="4" w:space="0" w:color="auto"/>
              <w:right w:val="nil"/>
            </w:tcBorders>
            <w:vAlign w:val="center"/>
            <w:hideMark/>
          </w:tcPr>
          <w:p w14:paraId="1F68EC1E"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1" w:type="pct"/>
            <w:tcBorders>
              <w:top w:val="nil"/>
              <w:left w:val="nil"/>
              <w:bottom w:val="single" w:sz="4" w:space="0" w:color="auto"/>
              <w:right w:val="nil"/>
            </w:tcBorders>
            <w:shd w:val="clear" w:color="000000" w:fill="D9D9D9"/>
            <w:vAlign w:val="center"/>
            <w:hideMark/>
          </w:tcPr>
          <w:p w14:paraId="1736F8B8" w14:textId="77777777" w:rsidR="00435A9F" w:rsidRPr="00435A9F" w:rsidRDefault="00435A9F" w:rsidP="00435A9F">
            <w:pPr>
              <w:spacing w:after="0" w:line="240" w:lineRule="auto"/>
              <w:jc w:val="center"/>
              <w:rPr>
                <w:rFonts w:eastAsia="Times New Roman" w:cs="Arial"/>
                <w:color w:val="000000"/>
                <w:lang w:eastAsia="en-GB"/>
              </w:rPr>
            </w:pPr>
            <w:proofErr w:type="spellStart"/>
            <w:r w:rsidRPr="00435A9F">
              <w:rPr>
                <w:rFonts w:eastAsia="Times New Roman" w:cs="Arial"/>
                <w:color w:val="000000"/>
                <w:lang w:eastAsia="en-GB"/>
              </w:rPr>
              <w:t>Volume-based</w:t>
            </w:r>
            <w:proofErr w:type="spellEnd"/>
          </w:p>
        </w:tc>
      </w:tr>
      <w:tr w:rsidR="00435A9F" w:rsidRPr="00435A9F" w14:paraId="29BAFC90" w14:textId="77777777" w:rsidTr="00435A9F">
        <w:trPr>
          <w:trHeight w:val="506"/>
        </w:trPr>
        <w:tc>
          <w:tcPr>
            <w:tcW w:w="750" w:type="pct"/>
            <w:tcBorders>
              <w:top w:val="nil"/>
              <w:left w:val="nil"/>
              <w:bottom w:val="single" w:sz="4" w:space="0" w:color="auto"/>
              <w:right w:val="nil"/>
            </w:tcBorders>
            <w:noWrap/>
            <w:vAlign w:val="center"/>
            <w:hideMark/>
          </w:tcPr>
          <w:p w14:paraId="4987AB29" w14:textId="77777777" w:rsidR="00435A9F" w:rsidRPr="00435A9F" w:rsidRDefault="00435A9F" w:rsidP="00435A9F">
            <w:pPr>
              <w:spacing w:after="0" w:line="240" w:lineRule="auto"/>
              <w:jc w:val="center"/>
              <w:rPr>
                <w:rFonts w:eastAsia="Times New Roman" w:cs="Arial"/>
                <w:b/>
                <w:bCs/>
                <w:color w:val="000000"/>
                <w:lang w:eastAsia="en-GB"/>
              </w:rPr>
            </w:pPr>
            <w:r w:rsidRPr="00435A9F">
              <w:rPr>
                <w:rFonts w:eastAsia="Times New Roman" w:cs="Arial"/>
                <w:b/>
                <w:bCs/>
                <w:color w:val="000000"/>
                <w:lang w:eastAsia="en-GB"/>
              </w:rPr>
              <w:t>GRC</w:t>
            </w:r>
          </w:p>
        </w:tc>
        <w:tc>
          <w:tcPr>
            <w:tcW w:w="1063" w:type="pct"/>
            <w:tcBorders>
              <w:top w:val="nil"/>
              <w:left w:val="nil"/>
              <w:bottom w:val="single" w:sz="4" w:space="0" w:color="auto"/>
              <w:right w:val="nil"/>
            </w:tcBorders>
            <w:vAlign w:val="center"/>
            <w:hideMark/>
          </w:tcPr>
          <w:p w14:paraId="74BE1F74"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3" w:type="pct"/>
            <w:tcBorders>
              <w:top w:val="nil"/>
              <w:left w:val="nil"/>
              <w:bottom w:val="single" w:sz="4" w:space="0" w:color="auto"/>
              <w:right w:val="nil"/>
            </w:tcBorders>
            <w:vAlign w:val="center"/>
            <w:hideMark/>
          </w:tcPr>
          <w:p w14:paraId="3CC9A3FF"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3" w:type="pct"/>
            <w:tcBorders>
              <w:top w:val="nil"/>
              <w:left w:val="nil"/>
              <w:bottom w:val="single" w:sz="4" w:space="0" w:color="auto"/>
              <w:right w:val="nil"/>
            </w:tcBorders>
            <w:shd w:val="clear" w:color="000000" w:fill="D9D9D9"/>
            <w:vAlign w:val="center"/>
            <w:hideMark/>
          </w:tcPr>
          <w:p w14:paraId="1EA5350C" w14:textId="77777777" w:rsidR="00435A9F" w:rsidRPr="00435A9F" w:rsidRDefault="00435A9F" w:rsidP="00435A9F">
            <w:pPr>
              <w:spacing w:after="0" w:line="240" w:lineRule="auto"/>
              <w:jc w:val="center"/>
              <w:rPr>
                <w:rFonts w:eastAsia="Times New Roman" w:cs="Arial"/>
                <w:color w:val="000000"/>
                <w:lang w:eastAsia="en-GB"/>
              </w:rPr>
            </w:pPr>
            <w:proofErr w:type="spellStart"/>
            <w:r w:rsidRPr="00435A9F">
              <w:rPr>
                <w:rFonts w:eastAsia="Times New Roman" w:cs="Arial"/>
                <w:color w:val="000000"/>
                <w:lang w:eastAsia="en-GB"/>
              </w:rPr>
              <w:t>Volume-based</w:t>
            </w:r>
            <w:proofErr w:type="spellEnd"/>
          </w:p>
        </w:tc>
        <w:tc>
          <w:tcPr>
            <w:tcW w:w="1061" w:type="pct"/>
            <w:tcBorders>
              <w:top w:val="nil"/>
              <w:left w:val="nil"/>
              <w:bottom w:val="single" w:sz="4" w:space="0" w:color="auto"/>
              <w:right w:val="nil"/>
            </w:tcBorders>
            <w:vAlign w:val="center"/>
            <w:hideMark/>
          </w:tcPr>
          <w:p w14:paraId="42F0C4CE"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r>
      <w:tr w:rsidR="00435A9F" w:rsidRPr="00435A9F" w14:paraId="087B7D2B" w14:textId="77777777" w:rsidTr="00435A9F">
        <w:trPr>
          <w:trHeight w:val="506"/>
        </w:trPr>
        <w:tc>
          <w:tcPr>
            <w:tcW w:w="750" w:type="pct"/>
            <w:tcBorders>
              <w:top w:val="nil"/>
              <w:left w:val="nil"/>
              <w:bottom w:val="single" w:sz="4" w:space="0" w:color="auto"/>
              <w:right w:val="nil"/>
            </w:tcBorders>
            <w:noWrap/>
            <w:vAlign w:val="center"/>
            <w:hideMark/>
          </w:tcPr>
          <w:p w14:paraId="0577DF1B" w14:textId="77777777" w:rsidR="00435A9F" w:rsidRPr="00435A9F" w:rsidRDefault="00435A9F" w:rsidP="00435A9F">
            <w:pPr>
              <w:spacing w:after="0" w:line="240" w:lineRule="auto"/>
              <w:jc w:val="center"/>
              <w:rPr>
                <w:rFonts w:eastAsia="Times New Roman" w:cs="Arial"/>
                <w:b/>
                <w:bCs/>
                <w:color w:val="000000"/>
                <w:lang w:eastAsia="en-GB"/>
              </w:rPr>
            </w:pPr>
            <w:r w:rsidRPr="00435A9F">
              <w:rPr>
                <w:rFonts w:eastAsia="Times New Roman" w:cs="Arial"/>
                <w:b/>
                <w:bCs/>
                <w:color w:val="000000"/>
                <w:lang w:eastAsia="en-GB"/>
              </w:rPr>
              <w:t>HUN</w:t>
            </w:r>
          </w:p>
        </w:tc>
        <w:tc>
          <w:tcPr>
            <w:tcW w:w="1063" w:type="pct"/>
            <w:tcBorders>
              <w:top w:val="nil"/>
              <w:left w:val="nil"/>
              <w:bottom w:val="single" w:sz="4" w:space="0" w:color="auto"/>
              <w:right w:val="nil"/>
            </w:tcBorders>
            <w:vAlign w:val="center"/>
            <w:hideMark/>
          </w:tcPr>
          <w:p w14:paraId="62B6CA86"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3187" w:type="pct"/>
            <w:gridSpan w:val="3"/>
            <w:tcBorders>
              <w:top w:val="single" w:sz="4" w:space="0" w:color="auto"/>
              <w:left w:val="nil"/>
              <w:bottom w:val="single" w:sz="4" w:space="0" w:color="auto"/>
              <w:right w:val="nil"/>
            </w:tcBorders>
            <w:shd w:val="clear" w:color="000000" w:fill="D9D9D9"/>
            <w:vAlign w:val="center"/>
            <w:hideMark/>
          </w:tcPr>
          <w:p w14:paraId="19846DF8" w14:textId="77777777" w:rsidR="00435A9F" w:rsidRPr="00435A9F" w:rsidRDefault="00435A9F" w:rsidP="00435A9F">
            <w:pPr>
              <w:spacing w:after="0" w:line="240" w:lineRule="auto"/>
              <w:jc w:val="center"/>
              <w:rPr>
                <w:rFonts w:eastAsia="Times New Roman" w:cs="Arial"/>
                <w:color w:val="000000"/>
                <w:lang w:eastAsia="en-GB"/>
              </w:rPr>
            </w:pPr>
            <w:proofErr w:type="spellStart"/>
            <w:r w:rsidRPr="00435A9F">
              <w:rPr>
                <w:rFonts w:eastAsia="Times New Roman" w:cs="Arial"/>
                <w:color w:val="000000"/>
                <w:lang w:eastAsia="en-GB"/>
              </w:rPr>
              <w:t>Volume-based</w:t>
            </w:r>
            <w:proofErr w:type="spellEnd"/>
          </w:p>
        </w:tc>
      </w:tr>
      <w:tr w:rsidR="00435A9F" w:rsidRPr="00435A9F" w14:paraId="11344A19" w14:textId="77777777" w:rsidTr="00435A9F">
        <w:trPr>
          <w:trHeight w:val="506"/>
        </w:trPr>
        <w:tc>
          <w:tcPr>
            <w:tcW w:w="750" w:type="pct"/>
            <w:tcBorders>
              <w:top w:val="nil"/>
              <w:left w:val="nil"/>
              <w:bottom w:val="single" w:sz="4" w:space="0" w:color="auto"/>
              <w:right w:val="nil"/>
            </w:tcBorders>
            <w:noWrap/>
            <w:vAlign w:val="center"/>
            <w:hideMark/>
          </w:tcPr>
          <w:p w14:paraId="047D8556" w14:textId="77777777" w:rsidR="00435A9F" w:rsidRPr="00435A9F" w:rsidRDefault="00435A9F" w:rsidP="00435A9F">
            <w:pPr>
              <w:spacing w:after="0" w:line="240" w:lineRule="auto"/>
              <w:jc w:val="center"/>
              <w:rPr>
                <w:rFonts w:eastAsia="Times New Roman" w:cs="Arial"/>
                <w:b/>
                <w:bCs/>
                <w:color w:val="000000"/>
                <w:lang w:eastAsia="en-GB"/>
              </w:rPr>
            </w:pPr>
            <w:r w:rsidRPr="00435A9F">
              <w:rPr>
                <w:rFonts w:eastAsia="Times New Roman" w:cs="Arial"/>
                <w:b/>
                <w:bCs/>
                <w:color w:val="000000"/>
                <w:lang w:eastAsia="en-GB"/>
              </w:rPr>
              <w:t>IRL</w:t>
            </w:r>
          </w:p>
        </w:tc>
        <w:tc>
          <w:tcPr>
            <w:tcW w:w="1063" w:type="pct"/>
            <w:tcBorders>
              <w:top w:val="nil"/>
              <w:left w:val="nil"/>
              <w:bottom w:val="single" w:sz="4" w:space="0" w:color="auto"/>
              <w:right w:val="nil"/>
            </w:tcBorders>
            <w:shd w:val="clear" w:color="000000" w:fill="D9D9D9"/>
            <w:vAlign w:val="center"/>
            <w:hideMark/>
          </w:tcPr>
          <w:p w14:paraId="5E70D5E2" w14:textId="77777777" w:rsidR="00435A9F" w:rsidRPr="00435A9F" w:rsidRDefault="00435A9F" w:rsidP="00435A9F">
            <w:pPr>
              <w:spacing w:after="0" w:line="240" w:lineRule="auto"/>
              <w:jc w:val="center"/>
              <w:rPr>
                <w:rFonts w:eastAsia="Times New Roman" w:cs="Arial"/>
                <w:color w:val="000000"/>
                <w:lang w:eastAsia="en-GB"/>
              </w:rPr>
            </w:pPr>
            <w:proofErr w:type="spellStart"/>
            <w:r w:rsidRPr="00435A9F">
              <w:rPr>
                <w:rFonts w:eastAsia="Times New Roman" w:cs="Arial"/>
                <w:color w:val="000000"/>
                <w:lang w:eastAsia="en-GB"/>
              </w:rPr>
              <w:t>Volume-based</w:t>
            </w:r>
            <w:proofErr w:type="spellEnd"/>
          </w:p>
        </w:tc>
        <w:tc>
          <w:tcPr>
            <w:tcW w:w="1063" w:type="pct"/>
            <w:tcBorders>
              <w:top w:val="nil"/>
              <w:left w:val="nil"/>
              <w:bottom w:val="single" w:sz="4" w:space="0" w:color="auto"/>
              <w:right w:val="nil"/>
            </w:tcBorders>
            <w:vAlign w:val="center"/>
            <w:hideMark/>
          </w:tcPr>
          <w:p w14:paraId="29CA2E4C"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3" w:type="pct"/>
            <w:tcBorders>
              <w:top w:val="nil"/>
              <w:left w:val="nil"/>
              <w:bottom w:val="single" w:sz="4" w:space="0" w:color="auto"/>
              <w:right w:val="nil"/>
            </w:tcBorders>
            <w:vAlign w:val="center"/>
            <w:hideMark/>
          </w:tcPr>
          <w:p w14:paraId="4C5EE25D"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1" w:type="pct"/>
            <w:tcBorders>
              <w:top w:val="nil"/>
              <w:left w:val="nil"/>
              <w:bottom w:val="single" w:sz="4" w:space="0" w:color="auto"/>
              <w:right w:val="nil"/>
            </w:tcBorders>
            <w:shd w:val="clear" w:color="000000" w:fill="D9D9D9"/>
            <w:vAlign w:val="center"/>
            <w:hideMark/>
          </w:tcPr>
          <w:p w14:paraId="6F1EF1EF" w14:textId="77777777" w:rsidR="00435A9F" w:rsidRPr="00435A9F" w:rsidRDefault="00435A9F" w:rsidP="00435A9F">
            <w:pPr>
              <w:spacing w:after="0" w:line="240" w:lineRule="auto"/>
              <w:jc w:val="center"/>
              <w:rPr>
                <w:rFonts w:eastAsia="Times New Roman" w:cs="Arial"/>
                <w:color w:val="000000"/>
                <w:lang w:eastAsia="en-GB"/>
              </w:rPr>
            </w:pPr>
            <w:proofErr w:type="spellStart"/>
            <w:r w:rsidRPr="00435A9F">
              <w:rPr>
                <w:rFonts w:eastAsia="Times New Roman" w:cs="Arial"/>
                <w:color w:val="000000"/>
                <w:lang w:eastAsia="en-GB"/>
              </w:rPr>
              <w:t>Volume-based</w:t>
            </w:r>
            <w:proofErr w:type="spellEnd"/>
          </w:p>
        </w:tc>
      </w:tr>
      <w:tr w:rsidR="00435A9F" w:rsidRPr="00435A9F" w14:paraId="3C0577BE" w14:textId="77777777" w:rsidTr="00435A9F">
        <w:trPr>
          <w:trHeight w:val="506"/>
        </w:trPr>
        <w:tc>
          <w:tcPr>
            <w:tcW w:w="750" w:type="pct"/>
            <w:tcBorders>
              <w:top w:val="nil"/>
              <w:left w:val="nil"/>
              <w:bottom w:val="single" w:sz="4" w:space="0" w:color="auto"/>
              <w:right w:val="nil"/>
            </w:tcBorders>
            <w:noWrap/>
            <w:vAlign w:val="center"/>
            <w:hideMark/>
          </w:tcPr>
          <w:p w14:paraId="1E0B66B1" w14:textId="77777777" w:rsidR="00435A9F" w:rsidRPr="00435A9F" w:rsidRDefault="00435A9F" w:rsidP="00435A9F">
            <w:pPr>
              <w:spacing w:after="0" w:line="240" w:lineRule="auto"/>
              <w:jc w:val="center"/>
              <w:rPr>
                <w:rFonts w:eastAsia="Times New Roman" w:cs="Arial"/>
                <w:b/>
                <w:bCs/>
                <w:color w:val="000000"/>
                <w:lang w:eastAsia="en-GB"/>
              </w:rPr>
            </w:pPr>
            <w:r w:rsidRPr="00435A9F">
              <w:rPr>
                <w:rFonts w:eastAsia="Times New Roman" w:cs="Arial"/>
                <w:b/>
                <w:bCs/>
                <w:color w:val="000000"/>
                <w:lang w:eastAsia="en-GB"/>
              </w:rPr>
              <w:t>ITA</w:t>
            </w:r>
          </w:p>
        </w:tc>
        <w:tc>
          <w:tcPr>
            <w:tcW w:w="1063" w:type="pct"/>
            <w:tcBorders>
              <w:top w:val="nil"/>
              <w:left w:val="nil"/>
              <w:bottom w:val="single" w:sz="4" w:space="0" w:color="auto"/>
              <w:right w:val="nil"/>
            </w:tcBorders>
            <w:vAlign w:val="center"/>
            <w:hideMark/>
          </w:tcPr>
          <w:p w14:paraId="366F6453"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3" w:type="pct"/>
            <w:tcBorders>
              <w:top w:val="nil"/>
              <w:left w:val="nil"/>
              <w:bottom w:val="single" w:sz="4" w:space="0" w:color="auto"/>
              <w:right w:val="nil"/>
            </w:tcBorders>
            <w:vAlign w:val="center"/>
            <w:hideMark/>
          </w:tcPr>
          <w:p w14:paraId="6A689DB0"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2124" w:type="pct"/>
            <w:gridSpan w:val="2"/>
            <w:tcBorders>
              <w:top w:val="single" w:sz="4" w:space="0" w:color="auto"/>
              <w:left w:val="nil"/>
              <w:bottom w:val="single" w:sz="4" w:space="0" w:color="auto"/>
              <w:right w:val="nil"/>
            </w:tcBorders>
            <w:shd w:val="clear" w:color="000000" w:fill="D9D9D9"/>
            <w:vAlign w:val="center"/>
            <w:hideMark/>
          </w:tcPr>
          <w:p w14:paraId="4A766B76" w14:textId="77777777" w:rsidR="00435A9F" w:rsidRPr="00435A9F" w:rsidRDefault="00435A9F" w:rsidP="00435A9F">
            <w:pPr>
              <w:spacing w:after="0" w:line="240" w:lineRule="auto"/>
              <w:jc w:val="center"/>
              <w:rPr>
                <w:rFonts w:eastAsia="Times New Roman" w:cs="Arial"/>
                <w:color w:val="000000"/>
                <w:lang w:eastAsia="en-GB"/>
              </w:rPr>
            </w:pPr>
            <w:proofErr w:type="spellStart"/>
            <w:r w:rsidRPr="00435A9F">
              <w:rPr>
                <w:rFonts w:eastAsia="Times New Roman" w:cs="Arial"/>
                <w:color w:val="000000"/>
                <w:lang w:eastAsia="en-GB"/>
              </w:rPr>
              <w:t>Volume-based</w:t>
            </w:r>
            <w:proofErr w:type="spellEnd"/>
          </w:p>
        </w:tc>
      </w:tr>
      <w:tr w:rsidR="00435A9F" w:rsidRPr="00435A9F" w14:paraId="6D01B9D8" w14:textId="77777777" w:rsidTr="00435A9F">
        <w:trPr>
          <w:trHeight w:val="506"/>
        </w:trPr>
        <w:tc>
          <w:tcPr>
            <w:tcW w:w="750" w:type="pct"/>
            <w:tcBorders>
              <w:top w:val="nil"/>
              <w:left w:val="nil"/>
              <w:bottom w:val="single" w:sz="4" w:space="0" w:color="auto"/>
              <w:right w:val="nil"/>
            </w:tcBorders>
            <w:noWrap/>
            <w:vAlign w:val="center"/>
            <w:hideMark/>
          </w:tcPr>
          <w:p w14:paraId="38CF80C0" w14:textId="77777777" w:rsidR="00435A9F" w:rsidRPr="00435A9F" w:rsidRDefault="00435A9F" w:rsidP="00435A9F">
            <w:pPr>
              <w:spacing w:after="0" w:line="240" w:lineRule="auto"/>
              <w:jc w:val="center"/>
              <w:rPr>
                <w:rFonts w:eastAsia="Times New Roman" w:cs="Arial"/>
                <w:b/>
                <w:bCs/>
                <w:color w:val="000000"/>
                <w:lang w:eastAsia="en-GB"/>
              </w:rPr>
            </w:pPr>
            <w:r w:rsidRPr="00435A9F">
              <w:rPr>
                <w:rFonts w:eastAsia="Times New Roman" w:cs="Arial"/>
                <w:b/>
                <w:bCs/>
                <w:color w:val="000000"/>
                <w:lang w:eastAsia="en-GB"/>
              </w:rPr>
              <w:t>LTU</w:t>
            </w:r>
          </w:p>
        </w:tc>
        <w:tc>
          <w:tcPr>
            <w:tcW w:w="1063" w:type="pct"/>
            <w:tcBorders>
              <w:top w:val="nil"/>
              <w:left w:val="nil"/>
              <w:bottom w:val="single" w:sz="4" w:space="0" w:color="auto"/>
              <w:right w:val="nil"/>
            </w:tcBorders>
            <w:shd w:val="clear" w:color="000000" w:fill="D9D9D9"/>
            <w:vAlign w:val="center"/>
            <w:hideMark/>
          </w:tcPr>
          <w:p w14:paraId="0B8B1F98" w14:textId="77777777" w:rsidR="00435A9F" w:rsidRPr="00435A9F" w:rsidRDefault="00435A9F" w:rsidP="00435A9F">
            <w:pPr>
              <w:spacing w:after="0" w:line="240" w:lineRule="auto"/>
              <w:jc w:val="center"/>
              <w:rPr>
                <w:rFonts w:eastAsia="Times New Roman" w:cs="Arial"/>
                <w:color w:val="000000"/>
                <w:lang w:eastAsia="en-GB"/>
              </w:rPr>
            </w:pPr>
            <w:proofErr w:type="spellStart"/>
            <w:r w:rsidRPr="00435A9F">
              <w:rPr>
                <w:rFonts w:eastAsia="Times New Roman" w:cs="Arial"/>
                <w:color w:val="000000"/>
                <w:lang w:eastAsia="en-GB"/>
              </w:rPr>
              <w:t>Volume-based</w:t>
            </w:r>
            <w:proofErr w:type="spellEnd"/>
          </w:p>
        </w:tc>
        <w:tc>
          <w:tcPr>
            <w:tcW w:w="1063" w:type="pct"/>
            <w:tcBorders>
              <w:top w:val="nil"/>
              <w:left w:val="nil"/>
              <w:bottom w:val="single" w:sz="4" w:space="0" w:color="auto"/>
              <w:right w:val="nil"/>
            </w:tcBorders>
            <w:vAlign w:val="center"/>
            <w:hideMark/>
          </w:tcPr>
          <w:p w14:paraId="7347B586"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3" w:type="pct"/>
            <w:tcBorders>
              <w:top w:val="nil"/>
              <w:left w:val="nil"/>
              <w:bottom w:val="single" w:sz="4" w:space="0" w:color="auto"/>
              <w:right w:val="nil"/>
            </w:tcBorders>
            <w:shd w:val="clear" w:color="000000" w:fill="D9D9D9"/>
            <w:vAlign w:val="center"/>
            <w:hideMark/>
          </w:tcPr>
          <w:p w14:paraId="210BD56F" w14:textId="77777777" w:rsidR="00435A9F" w:rsidRPr="00435A9F" w:rsidRDefault="00435A9F" w:rsidP="00435A9F">
            <w:pPr>
              <w:spacing w:after="0" w:line="240" w:lineRule="auto"/>
              <w:jc w:val="center"/>
              <w:rPr>
                <w:rFonts w:eastAsia="Times New Roman" w:cs="Arial"/>
                <w:color w:val="000000"/>
                <w:lang w:eastAsia="en-GB"/>
              </w:rPr>
            </w:pPr>
            <w:proofErr w:type="spellStart"/>
            <w:r w:rsidRPr="00435A9F">
              <w:rPr>
                <w:rFonts w:eastAsia="Times New Roman" w:cs="Arial"/>
                <w:color w:val="000000"/>
                <w:lang w:eastAsia="en-GB"/>
              </w:rPr>
              <w:t>Volume-based</w:t>
            </w:r>
            <w:proofErr w:type="spellEnd"/>
          </w:p>
        </w:tc>
        <w:tc>
          <w:tcPr>
            <w:tcW w:w="1061" w:type="pct"/>
            <w:tcBorders>
              <w:top w:val="nil"/>
              <w:left w:val="nil"/>
              <w:bottom w:val="single" w:sz="4" w:space="0" w:color="auto"/>
              <w:right w:val="nil"/>
            </w:tcBorders>
            <w:vAlign w:val="center"/>
            <w:hideMark/>
          </w:tcPr>
          <w:p w14:paraId="5E07D19F"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r>
      <w:tr w:rsidR="00435A9F" w:rsidRPr="00435A9F" w14:paraId="2F546944" w14:textId="77777777" w:rsidTr="00435A9F">
        <w:trPr>
          <w:trHeight w:val="506"/>
        </w:trPr>
        <w:tc>
          <w:tcPr>
            <w:tcW w:w="750" w:type="pct"/>
            <w:tcBorders>
              <w:top w:val="nil"/>
              <w:left w:val="nil"/>
              <w:bottom w:val="single" w:sz="4" w:space="0" w:color="auto"/>
              <w:right w:val="nil"/>
            </w:tcBorders>
            <w:noWrap/>
            <w:vAlign w:val="center"/>
            <w:hideMark/>
          </w:tcPr>
          <w:p w14:paraId="764381AF" w14:textId="77777777" w:rsidR="00435A9F" w:rsidRPr="00435A9F" w:rsidRDefault="00435A9F" w:rsidP="00435A9F">
            <w:pPr>
              <w:spacing w:after="0" w:line="240" w:lineRule="auto"/>
              <w:jc w:val="center"/>
              <w:rPr>
                <w:rFonts w:eastAsia="Times New Roman" w:cs="Arial"/>
                <w:b/>
                <w:bCs/>
                <w:color w:val="000000"/>
                <w:lang w:eastAsia="en-GB"/>
              </w:rPr>
            </w:pPr>
            <w:r w:rsidRPr="00435A9F">
              <w:rPr>
                <w:rFonts w:eastAsia="Times New Roman" w:cs="Arial"/>
                <w:b/>
                <w:bCs/>
                <w:color w:val="000000"/>
                <w:lang w:eastAsia="en-GB"/>
              </w:rPr>
              <w:t>NDL</w:t>
            </w:r>
          </w:p>
        </w:tc>
        <w:tc>
          <w:tcPr>
            <w:tcW w:w="1063" w:type="pct"/>
            <w:tcBorders>
              <w:top w:val="nil"/>
              <w:left w:val="nil"/>
              <w:bottom w:val="single" w:sz="4" w:space="0" w:color="auto"/>
              <w:right w:val="nil"/>
            </w:tcBorders>
            <w:vAlign w:val="center"/>
            <w:hideMark/>
          </w:tcPr>
          <w:p w14:paraId="16D31E46"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3" w:type="pct"/>
            <w:tcBorders>
              <w:top w:val="nil"/>
              <w:left w:val="nil"/>
              <w:bottom w:val="single" w:sz="4" w:space="0" w:color="auto"/>
              <w:right w:val="nil"/>
            </w:tcBorders>
            <w:shd w:val="clear" w:color="000000" w:fill="D9D9D9"/>
            <w:vAlign w:val="center"/>
            <w:hideMark/>
          </w:tcPr>
          <w:p w14:paraId="3C3D151C" w14:textId="77777777" w:rsidR="00435A9F" w:rsidRPr="00435A9F" w:rsidRDefault="00435A9F" w:rsidP="00435A9F">
            <w:pPr>
              <w:spacing w:after="0" w:line="240" w:lineRule="auto"/>
              <w:jc w:val="center"/>
              <w:rPr>
                <w:rFonts w:eastAsia="Times New Roman" w:cs="Arial"/>
                <w:color w:val="000000"/>
                <w:lang w:eastAsia="en-GB"/>
              </w:rPr>
            </w:pPr>
            <w:proofErr w:type="spellStart"/>
            <w:r w:rsidRPr="00435A9F">
              <w:rPr>
                <w:rFonts w:eastAsia="Times New Roman" w:cs="Arial"/>
                <w:color w:val="000000"/>
                <w:lang w:eastAsia="en-GB"/>
              </w:rPr>
              <w:t>Volume-based</w:t>
            </w:r>
            <w:proofErr w:type="spellEnd"/>
          </w:p>
        </w:tc>
        <w:tc>
          <w:tcPr>
            <w:tcW w:w="1063" w:type="pct"/>
            <w:tcBorders>
              <w:top w:val="nil"/>
              <w:left w:val="nil"/>
              <w:bottom w:val="single" w:sz="4" w:space="0" w:color="auto"/>
              <w:right w:val="nil"/>
            </w:tcBorders>
            <w:vAlign w:val="center"/>
            <w:hideMark/>
          </w:tcPr>
          <w:p w14:paraId="0E5F970F"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1" w:type="pct"/>
            <w:tcBorders>
              <w:top w:val="nil"/>
              <w:left w:val="nil"/>
              <w:bottom w:val="single" w:sz="4" w:space="0" w:color="auto"/>
              <w:right w:val="nil"/>
            </w:tcBorders>
            <w:vAlign w:val="center"/>
            <w:hideMark/>
          </w:tcPr>
          <w:p w14:paraId="0432E3A8"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r>
      <w:tr w:rsidR="00435A9F" w:rsidRPr="00435A9F" w14:paraId="52E9188C" w14:textId="77777777" w:rsidTr="00435A9F">
        <w:trPr>
          <w:trHeight w:val="506"/>
        </w:trPr>
        <w:tc>
          <w:tcPr>
            <w:tcW w:w="750" w:type="pct"/>
            <w:tcBorders>
              <w:top w:val="nil"/>
              <w:left w:val="nil"/>
              <w:bottom w:val="single" w:sz="4" w:space="0" w:color="auto"/>
              <w:right w:val="nil"/>
            </w:tcBorders>
            <w:noWrap/>
            <w:vAlign w:val="center"/>
            <w:hideMark/>
          </w:tcPr>
          <w:p w14:paraId="5457293F" w14:textId="77777777" w:rsidR="00435A9F" w:rsidRPr="00435A9F" w:rsidRDefault="00435A9F" w:rsidP="00435A9F">
            <w:pPr>
              <w:spacing w:after="0" w:line="240" w:lineRule="auto"/>
              <w:jc w:val="center"/>
              <w:rPr>
                <w:rFonts w:eastAsia="Times New Roman" w:cs="Arial"/>
                <w:b/>
                <w:bCs/>
                <w:color w:val="000000"/>
                <w:lang w:eastAsia="en-GB"/>
              </w:rPr>
            </w:pPr>
            <w:r w:rsidRPr="00435A9F">
              <w:rPr>
                <w:rFonts w:eastAsia="Times New Roman" w:cs="Arial"/>
                <w:b/>
                <w:bCs/>
                <w:color w:val="000000"/>
                <w:lang w:eastAsia="en-GB"/>
              </w:rPr>
              <w:t>POL</w:t>
            </w:r>
          </w:p>
        </w:tc>
        <w:tc>
          <w:tcPr>
            <w:tcW w:w="1063" w:type="pct"/>
            <w:tcBorders>
              <w:top w:val="nil"/>
              <w:left w:val="nil"/>
              <w:bottom w:val="single" w:sz="4" w:space="0" w:color="auto"/>
              <w:right w:val="nil"/>
            </w:tcBorders>
            <w:vAlign w:val="center"/>
            <w:hideMark/>
          </w:tcPr>
          <w:p w14:paraId="2ED64408"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3" w:type="pct"/>
            <w:tcBorders>
              <w:top w:val="nil"/>
              <w:left w:val="nil"/>
              <w:bottom w:val="single" w:sz="4" w:space="0" w:color="auto"/>
              <w:right w:val="nil"/>
            </w:tcBorders>
            <w:vAlign w:val="center"/>
            <w:hideMark/>
          </w:tcPr>
          <w:p w14:paraId="6CFCC131"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3" w:type="pct"/>
            <w:tcBorders>
              <w:top w:val="nil"/>
              <w:left w:val="nil"/>
              <w:bottom w:val="single" w:sz="4" w:space="0" w:color="auto"/>
              <w:right w:val="nil"/>
            </w:tcBorders>
            <w:shd w:val="clear" w:color="000000" w:fill="D9D9D9"/>
            <w:vAlign w:val="center"/>
            <w:hideMark/>
          </w:tcPr>
          <w:p w14:paraId="378C7049" w14:textId="77777777" w:rsidR="00435A9F" w:rsidRPr="00435A9F" w:rsidRDefault="00435A9F" w:rsidP="00435A9F">
            <w:pPr>
              <w:spacing w:after="0" w:line="240" w:lineRule="auto"/>
              <w:jc w:val="center"/>
              <w:rPr>
                <w:rFonts w:eastAsia="Times New Roman" w:cs="Arial"/>
                <w:color w:val="000000"/>
                <w:lang w:eastAsia="en-GB"/>
              </w:rPr>
            </w:pPr>
            <w:proofErr w:type="spellStart"/>
            <w:r w:rsidRPr="00435A9F">
              <w:rPr>
                <w:rFonts w:eastAsia="Times New Roman" w:cs="Arial"/>
                <w:color w:val="000000"/>
                <w:lang w:eastAsia="en-GB"/>
              </w:rPr>
              <w:t>Volume-based</w:t>
            </w:r>
            <w:proofErr w:type="spellEnd"/>
          </w:p>
        </w:tc>
        <w:tc>
          <w:tcPr>
            <w:tcW w:w="1061" w:type="pct"/>
            <w:tcBorders>
              <w:top w:val="nil"/>
              <w:left w:val="nil"/>
              <w:bottom w:val="single" w:sz="4" w:space="0" w:color="auto"/>
              <w:right w:val="nil"/>
            </w:tcBorders>
            <w:vAlign w:val="center"/>
            <w:hideMark/>
          </w:tcPr>
          <w:p w14:paraId="21BC612F"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r>
      <w:tr w:rsidR="00435A9F" w:rsidRPr="00435A9F" w14:paraId="2D95A4CB" w14:textId="77777777" w:rsidTr="00435A9F">
        <w:trPr>
          <w:trHeight w:val="506"/>
        </w:trPr>
        <w:tc>
          <w:tcPr>
            <w:tcW w:w="750" w:type="pct"/>
            <w:tcBorders>
              <w:top w:val="nil"/>
              <w:left w:val="nil"/>
              <w:bottom w:val="single" w:sz="4" w:space="0" w:color="auto"/>
              <w:right w:val="nil"/>
            </w:tcBorders>
            <w:noWrap/>
            <w:vAlign w:val="center"/>
            <w:hideMark/>
          </w:tcPr>
          <w:p w14:paraId="535F8FD8" w14:textId="77777777" w:rsidR="00435A9F" w:rsidRPr="00435A9F" w:rsidRDefault="00435A9F" w:rsidP="00435A9F">
            <w:pPr>
              <w:spacing w:after="0" w:line="240" w:lineRule="auto"/>
              <w:jc w:val="center"/>
              <w:rPr>
                <w:rFonts w:eastAsia="Times New Roman" w:cs="Arial"/>
                <w:b/>
                <w:bCs/>
                <w:color w:val="000000"/>
                <w:lang w:eastAsia="en-GB"/>
              </w:rPr>
            </w:pPr>
            <w:r w:rsidRPr="00435A9F">
              <w:rPr>
                <w:rFonts w:eastAsia="Times New Roman" w:cs="Arial"/>
                <w:b/>
                <w:bCs/>
                <w:color w:val="000000"/>
                <w:lang w:eastAsia="en-GB"/>
              </w:rPr>
              <w:t>PRT</w:t>
            </w:r>
          </w:p>
        </w:tc>
        <w:tc>
          <w:tcPr>
            <w:tcW w:w="1063" w:type="pct"/>
            <w:tcBorders>
              <w:top w:val="nil"/>
              <w:left w:val="nil"/>
              <w:bottom w:val="single" w:sz="4" w:space="0" w:color="auto"/>
              <w:right w:val="nil"/>
            </w:tcBorders>
            <w:vAlign w:val="center"/>
            <w:hideMark/>
          </w:tcPr>
          <w:p w14:paraId="141E3B45"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3" w:type="pct"/>
            <w:tcBorders>
              <w:top w:val="nil"/>
              <w:left w:val="nil"/>
              <w:bottom w:val="single" w:sz="4" w:space="0" w:color="auto"/>
              <w:right w:val="nil"/>
            </w:tcBorders>
            <w:vAlign w:val="center"/>
            <w:hideMark/>
          </w:tcPr>
          <w:p w14:paraId="66D48BD3"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3" w:type="pct"/>
            <w:tcBorders>
              <w:top w:val="nil"/>
              <w:left w:val="nil"/>
              <w:bottom w:val="single" w:sz="4" w:space="0" w:color="auto"/>
              <w:right w:val="nil"/>
            </w:tcBorders>
            <w:vAlign w:val="center"/>
            <w:hideMark/>
          </w:tcPr>
          <w:p w14:paraId="0304FB9E"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1" w:type="pct"/>
            <w:tcBorders>
              <w:top w:val="nil"/>
              <w:left w:val="nil"/>
              <w:bottom w:val="single" w:sz="4" w:space="0" w:color="auto"/>
              <w:right w:val="nil"/>
            </w:tcBorders>
            <w:shd w:val="clear" w:color="000000" w:fill="D9D9D9"/>
            <w:vAlign w:val="center"/>
            <w:hideMark/>
          </w:tcPr>
          <w:p w14:paraId="71358754"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Hybrid</w:t>
            </w:r>
          </w:p>
        </w:tc>
      </w:tr>
      <w:tr w:rsidR="00435A9F" w:rsidRPr="00435A9F" w14:paraId="28C898BC" w14:textId="77777777" w:rsidTr="00435A9F">
        <w:trPr>
          <w:trHeight w:val="506"/>
        </w:trPr>
        <w:tc>
          <w:tcPr>
            <w:tcW w:w="750" w:type="pct"/>
            <w:tcBorders>
              <w:top w:val="nil"/>
              <w:left w:val="nil"/>
              <w:bottom w:val="single" w:sz="4" w:space="0" w:color="auto"/>
              <w:right w:val="nil"/>
            </w:tcBorders>
            <w:noWrap/>
            <w:vAlign w:val="center"/>
            <w:hideMark/>
          </w:tcPr>
          <w:p w14:paraId="60DFD34A" w14:textId="77777777" w:rsidR="00435A9F" w:rsidRPr="00435A9F" w:rsidRDefault="00435A9F" w:rsidP="00435A9F">
            <w:pPr>
              <w:spacing w:after="0" w:line="240" w:lineRule="auto"/>
              <w:jc w:val="center"/>
              <w:rPr>
                <w:rFonts w:eastAsia="Times New Roman" w:cs="Arial"/>
                <w:b/>
                <w:bCs/>
                <w:color w:val="000000"/>
                <w:lang w:eastAsia="en-GB"/>
              </w:rPr>
            </w:pPr>
            <w:r w:rsidRPr="00435A9F">
              <w:rPr>
                <w:rFonts w:eastAsia="Times New Roman" w:cs="Arial"/>
                <w:b/>
                <w:bCs/>
                <w:color w:val="000000"/>
                <w:lang w:eastAsia="en-GB"/>
              </w:rPr>
              <w:t>ROM</w:t>
            </w:r>
          </w:p>
        </w:tc>
        <w:tc>
          <w:tcPr>
            <w:tcW w:w="1063" w:type="pct"/>
            <w:tcBorders>
              <w:top w:val="nil"/>
              <w:left w:val="nil"/>
              <w:bottom w:val="single" w:sz="4" w:space="0" w:color="auto"/>
              <w:right w:val="nil"/>
            </w:tcBorders>
            <w:vAlign w:val="center"/>
            <w:hideMark/>
          </w:tcPr>
          <w:p w14:paraId="05B9AC08"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3" w:type="pct"/>
            <w:tcBorders>
              <w:top w:val="nil"/>
              <w:left w:val="nil"/>
              <w:bottom w:val="single" w:sz="4" w:space="0" w:color="auto"/>
              <w:right w:val="nil"/>
            </w:tcBorders>
            <w:vAlign w:val="center"/>
            <w:hideMark/>
          </w:tcPr>
          <w:p w14:paraId="3F0962D5"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3" w:type="pct"/>
            <w:tcBorders>
              <w:top w:val="nil"/>
              <w:left w:val="nil"/>
              <w:bottom w:val="single" w:sz="4" w:space="0" w:color="auto"/>
              <w:right w:val="nil"/>
            </w:tcBorders>
            <w:shd w:val="clear" w:color="000000" w:fill="D9D9D9"/>
            <w:vAlign w:val="center"/>
            <w:hideMark/>
          </w:tcPr>
          <w:p w14:paraId="66215A7F" w14:textId="77777777" w:rsidR="00435A9F" w:rsidRPr="00435A9F" w:rsidRDefault="00435A9F" w:rsidP="00435A9F">
            <w:pPr>
              <w:spacing w:after="0" w:line="240" w:lineRule="auto"/>
              <w:jc w:val="center"/>
              <w:rPr>
                <w:rFonts w:eastAsia="Times New Roman" w:cs="Arial"/>
                <w:color w:val="000000"/>
                <w:lang w:eastAsia="en-GB"/>
              </w:rPr>
            </w:pPr>
            <w:proofErr w:type="spellStart"/>
            <w:r w:rsidRPr="00435A9F">
              <w:rPr>
                <w:rFonts w:eastAsia="Times New Roman" w:cs="Arial"/>
                <w:color w:val="000000"/>
                <w:lang w:eastAsia="en-GB"/>
              </w:rPr>
              <w:t>Volume-based</w:t>
            </w:r>
            <w:proofErr w:type="spellEnd"/>
          </w:p>
        </w:tc>
        <w:tc>
          <w:tcPr>
            <w:tcW w:w="1061" w:type="pct"/>
            <w:tcBorders>
              <w:top w:val="nil"/>
              <w:left w:val="nil"/>
              <w:bottom w:val="single" w:sz="4" w:space="0" w:color="auto"/>
              <w:right w:val="nil"/>
            </w:tcBorders>
            <w:vAlign w:val="center"/>
            <w:hideMark/>
          </w:tcPr>
          <w:p w14:paraId="2899A12A"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r>
      <w:tr w:rsidR="00435A9F" w:rsidRPr="00435A9F" w14:paraId="34FA5961" w14:textId="77777777" w:rsidTr="00435A9F">
        <w:trPr>
          <w:trHeight w:val="506"/>
        </w:trPr>
        <w:tc>
          <w:tcPr>
            <w:tcW w:w="750" w:type="pct"/>
            <w:tcBorders>
              <w:top w:val="nil"/>
              <w:left w:val="nil"/>
              <w:bottom w:val="single" w:sz="4" w:space="0" w:color="auto"/>
              <w:right w:val="nil"/>
            </w:tcBorders>
            <w:noWrap/>
            <w:vAlign w:val="center"/>
            <w:hideMark/>
          </w:tcPr>
          <w:p w14:paraId="32981AEC" w14:textId="77777777" w:rsidR="00435A9F" w:rsidRPr="00435A9F" w:rsidRDefault="00435A9F" w:rsidP="00435A9F">
            <w:pPr>
              <w:spacing w:after="0" w:line="240" w:lineRule="auto"/>
              <w:jc w:val="center"/>
              <w:rPr>
                <w:rFonts w:eastAsia="Times New Roman" w:cs="Arial"/>
                <w:b/>
                <w:bCs/>
                <w:color w:val="000000"/>
                <w:lang w:eastAsia="en-GB"/>
              </w:rPr>
            </w:pPr>
            <w:r w:rsidRPr="00435A9F">
              <w:rPr>
                <w:rFonts w:eastAsia="Times New Roman" w:cs="Arial"/>
                <w:b/>
                <w:bCs/>
                <w:color w:val="000000"/>
                <w:lang w:eastAsia="en-GB"/>
              </w:rPr>
              <w:t>SVK</w:t>
            </w:r>
          </w:p>
        </w:tc>
        <w:tc>
          <w:tcPr>
            <w:tcW w:w="1063" w:type="pct"/>
            <w:tcBorders>
              <w:top w:val="nil"/>
              <w:left w:val="nil"/>
              <w:bottom w:val="single" w:sz="4" w:space="0" w:color="auto"/>
              <w:right w:val="nil"/>
            </w:tcBorders>
            <w:vAlign w:val="center"/>
            <w:hideMark/>
          </w:tcPr>
          <w:p w14:paraId="104D932C"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3" w:type="pct"/>
            <w:tcBorders>
              <w:top w:val="nil"/>
              <w:left w:val="nil"/>
              <w:bottom w:val="single" w:sz="4" w:space="0" w:color="auto"/>
              <w:right w:val="nil"/>
            </w:tcBorders>
            <w:vAlign w:val="center"/>
            <w:hideMark/>
          </w:tcPr>
          <w:p w14:paraId="0B13C4BF"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3" w:type="pct"/>
            <w:tcBorders>
              <w:top w:val="nil"/>
              <w:left w:val="nil"/>
              <w:bottom w:val="single" w:sz="4" w:space="0" w:color="auto"/>
              <w:right w:val="nil"/>
            </w:tcBorders>
            <w:shd w:val="clear" w:color="000000" w:fill="D9D9D9"/>
            <w:vAlign w:val="center"/>
            <w:hideMark/>
          </w:tcPr>
          <w:p w14:paraId="106F8AFD" w14:textId="24BFFD8B"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xml:space="preserve">Hybrid &amp; </w:t>
            </w:r>
            <w:proofErr w:type="spellStart"/>
            <w:proofErr w:type="gramStart"/>
            <w:r w:rsidRPr="00435A9F">
              <w:rPr>
                <w:rFonts w:eastAsia="Times New Roman" w:cs="Arial"/>
                <w:color w:val="000000"/>
                <w:lang w:eastAsia="en-GB"/>
              </w:rPr>
              <w:t>Volume</w:t>
            </w:r>
            <w:proofErr w:type="spellEnd"/>
            <w:r w:rsidR="00CE37D1">
              <w:rPr>
                <w:rFonts w:eastAsia="Times New Roman" w:cs="Arial"/>
                <w:color w:val="000000"/>
                <w:lang w:eastAsia="en-GB"/>
              </w:rPr>
              <w:t>-</w:t>
            </w:r>
            <w:r w:rsidRPr="00435A9F">
              <w:rPr>
                <w:rFonts w:eastAsia="Times New Roman" w:cs="Arial"/>
                <w:color w:val="000000"/>
                <w:lang w:eastAsia="en-GB"/>
              </w:rPr>
              <w:t xml:space="preserve"> </w:t>
            </w:r>
            <w:proofErr w:type="spellStart"/>
            <w:r w:rsidRPr="00435A9F">
              <w:rPr>
                <w:rFonts w:eastAsia="Times New Roman" w:cs="Arial"/>
                <w:color w:val="000000"/>
                <w:lang w:eastAsia="en-GB"/>
              </w:rPr>
              <w:t>based</w:t>
            </w:r>
            <w:proofErr w:type="spellEnd"/>
            <w:proofErr w:type="gramEnd"/>
          </w:p>
        </w:tc>
        <w:tc>
          <w:tcPr>
            <w:tcW w:w="1061" w:type="pct"/>
            <w:tcBorders>
              <w:top w:val="nil"/>
              <w:left w:val="nil"/>
              <w:bottom w:val="single" w:sz="4" w:space="0" w:color="auto"/>
              <w:right w:val="nil"/>
            </w:tcBorders>
            <w:vAlign w:val="center"/>
            <w:hideMark/>
          </w:tcPr>
          <w:p w14:paraId="2233B6D9"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r>
      <w:tr w:rsidR="00435A9F" w:rsidRPr="00435A9F" w14:paraId="7E3468BA" w14:textId="77777777" w:rsidTr="00435A9F">
        <w:trPr>
          <w:trHeight w:val="506"/>
        </w:trPr>
        <w:tc>
          <w:tcPr>
            <w:tcW w:w="750" w:type="pct"/>
            <w:tcBorders>
              <w:top w:val="nil"/>
              <w:left w:val="nil"/>
              <w:bottom w:val="single" w:sz="4" w:space="0" w:color="auto"/>
              <w:right w:val="nil"/>
            </w:tcBorders>
            <w:noWrap/>
            <w:vAlign w:val="center"/>
            <w:hideMark/>
          </w:tcPr>
          <w:p w14:paraId="0343C113" w14:textId="77777777" w:rsidR="00435A9F" w:rsidRPr="00435A9F" w:rsidRDefault="00435A9F" w:rsidP="00435A9F">
            <w:pPr>
              <w:spacing w:after="0" w:line="240" w:lineRule="auto"/>
              <w:jc w:val="center"/>
              <w:rPr>
                <w:rFonts w:eastAsia="Times New Roman" w:cs="Arial"/>
                <w:b/>
                <w:bCs/>
                <w:color w:val="000000"/>
                <w:lang w:eastAsia="en-GB"/>
              </w:rPr>
            </w:pPr>
            <w:r w:rsidRPr="00435A9F">
              <w:rPr>
                <w:rFonts w:eastAsia="Times New Roman" w:cs="Arial"/>
                <w:b/>
                <w:bCs/>
                <w:color w:val="000000"/>
                <w:lang w:eastAsia="en-GB"/>
              </w:rPr>
              <w:t>SLV</w:t>
            </w:r>
          </w:p>
        </w:tc>
        <w:tc>
          <w:tcPr>
            <w:tcW w:w="1063" w:type="pct"/>
            <w:tcBorders>
              <w:top w:val="nil"/>
              <w:left w:val="nil"/>
              <w:bottom w:val="single" w:sz="4" w:space="0" w:color="auto"/>
              <w:right w:val="nil"/>
            </w:tcBorders>
            <w:vAlign w:val="center"/>
            <w:hideMark/>
          </w:tcPr>
          <w:p w14:paraId="5952996B"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3" w:type="pct"/>
            <w:tcBorders>
              <w:top w:val="nil"/>
              <w:left w:val="nil"/>
              <w:bottom w:val="single" w:sz="4" w:space="0" w:color="auto"/>
              <w:right w:val="nil"/>
            </w:tcBorders>
            <w:vAlign w:val="center"/>
            <w:hideMark/>
          </w:tcPr>
          <w:p w14:paraId="50D47B75"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3" w:type="pct"/>
            <w:tcBorders>
              <w:top w:val="nil"/>
              <w:left w:val="nil"/>
              <w:bottom w:val="single" w:sz="4" w:space="0" w:color="auto"/>
              <w:right w:val="nil"/>
            </w:tcBorders>
            <w:shd w:val="clear" w:color="000000" w:fill="D9D9D9"/>
            <w:vAlign w:val="center"/>
            <w:hideMark/>
          </w:tcPr>
          <w:p w14:paraId="02912354" w14:textId="77777777" w:rsidR="00435A9F" w:rsidRPr="00435A9F" w:rsidRDefault="00435A9F" w:rsidP="00435A9F">
            <w:pPr>
              <w:spacing w:after="0" w:line="240" w:lineRule="auto"/>
              <w:jc w:val="center"/>
              <w:rPr>
                <w:rFonts w:eastAsia="Times New Roman" w:cs="Arial"/>
                <w:color w:val="000000"/>
                <w:lang w:eastAsia="en-GB"/>
              </w:rPr>
            </w:pPr>
            <w:proofErr w:type="spellStart"/>
            <w:r w:rsidRPr="00435A9F">
              <w:rPr>
                <w:rFonts w:eastAsia="Times New Roman" w:cs="Arial"/>
                <w:color w:val="000000"/>
                <w:lang w:eastAsia="en-GB"/>
              </w:rPr>
              <w:t>Volume-based</w:t>
            </w:r>
            <w:proofErr w:type="spellEnd"/>
          </w:p>
        </w:tc>
        <w:tc>
          <w:tcPr>
            <w:tcW w:w="1061" w:type="pct"/>
            <w:tcBorders>
              <w:top w:val="nil"/>
              <w:left w:val="nil"/>
              <w:bottom w:val="single" w:sz="4" w:space="0" w:color="auto"/>
              <w:right w:val="nil"/>
            </w:tcBorders>
            <w:vAlign w:val="center"/>
            <w:hideMark/>
          </w:tcPr>
          <w:p w14:paraId="15050F9B"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r>
      <w:tr w:rsidR="00435A9F" w:rsidRPr="00435A9F" w14:paraId="6D1175A7" w14:textId="77777777" w:rsidTr="00435A9F">
        <w:trPr>
          <w:trHeight w:val="506"/>
        </w:trPr>
        <w:tc>
          <w:tcPr>
            <w:tcW w:w="750" w:type="pct"/>
            <w:tcBorders>
              <w:top w:val="nil"/>
              <w:left w:val="nil"/>
              <w:bottom w:val="single" w:sz="4" w:space="0" w:color="auto"/>
              <w:right w:val="nil"/>
            </w:tcBorders>
            <w:noWrap/>
            <w:vAlign w:val="center"/>
            <w:hideMark/>
          </w:tcPr>
          <w:p w14:paraId="3BA299FD" w14:textId="77777777" w:rsidR="00435A9F" w:rsidRPr="00435A9F" w:rsidRDefault="00435A9F" w:rsidP="00435A9F">
            <w:pPr>
              <w:spacing w:after="0" w:line="240" w:lineRule="auto"/>
              <w:jc w:val="center"/>
              <w:rPr>
                <w:rFonts w:eastAsia="Times New Roman" w:cs="Arial"/>
                <w:b/>
                <w:bCs/>
                <w:color w:val="000000"/>
                <w:lang w:eastAsia="en-GB"/>
              </w:rPr>
            </w:pPr>
            <w:r w:rsidRPr="00435A9F">
              <w:rPr>
                <w:rFonts w:eastAsia="Times New Roman" w:cs="Arial"/>
                <w:b/>
                <w:bCs/>
                <w:color w:val="000000"/>
                <w:lang w:eastAsia="en-GB"/>
              </w:rPr>
              <w:t>ESP</w:t>
            </w:r>
          </w:p>
        </w:tc>
        <w:tc>
          <w:tcPr>
            <w:tcW w:w="2126" w:type="pct"/>
            <w:gridSpan w:val="2"/>
            <w:tcBorders>
              <w:top w:val="single" w:sz="4" w:space="0" w:color="auto"/>
              <w:left w:val="nil"/>
              <w:bottom w:val="single" w:sz="4" w:space="0" w:color="auto"/>
              <w:right w:val="nil"/>
            </w:tcBorders>
            <w:shd w:val="clear" w:color="000000" w:fill="D9D9D9"/>
            <w:vAlign w:val="center"/>
            <w:hideMark/>
          </w:tcPr>
          <w:p w14:paraId="67FA4078" w14:textId="77777777" w:rsidR="00435A9F" w:rsidRPr="00435A9F" w:rsidRDefault="00435A9F" w:rsidP="00435A9F">
            <w:pPr>
              <w:spacing w:after="0" w:line="240" w:lineRule="auto"/>
              <w:jc w:val="center"/>
              <w:rPr>
                <w:rFonts w:eastAsia="Times New Roman" w:cs="Arial"/>
                <w:color w:val="000000"/>
                <w:lang w:eastAsia="en-GB"/>
              </w:rPr>
            </w:pPr>
            <w:proofErr w:type="spellStart"/>
            <w:r w:rsidRPr="00435A9F">
              <w:rPr>
                <w:rFonts w:eastAsia="Times New Roman" w:cs="Arial"/>
                <w:color w:val="000000"/>
                <w:lang w:eastAsia="en-GB"/>
              </w:rPr>
              <w:t>Volume-based</w:t>
            </w:r>
            <w:proofErr w:type="spellEnd"/>
          </w:p>
        </w:tc>
        <w:tc>
          <w:tcPr>
            <w:tcW w:w="1063" w:type="pct"/>
            <w:tcBorders>
              <w:top w:val="nil"/>
              <w:left w:val="nil"/>
              <w:bottom w:val="single" w:sz="4" w:space="0" w:color="auto"/>
              <w:right w:val="nil"/>
            </w:tcBorders>
            <w:vAlign w:val="center"/>
            <w:hideMark/>
          </w:tcPr>
          <w:p w14:paraId="06883954"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1" w:type="pct"/>
            <w:tcBorders>
              <w:top w:val="nil"/>
              <w:left w:val="nil"/>
              <w:bottom w:val="single" w:sz="4" w:space="0" w:color="auto"/>
              <w:right w:val="nil"/>
            </w:tcBorders>
            <w:shd w:val="clear" w:color="000000" w:fill="D9D9D9"/>
            <w:vAlign w:val="center"/>
            <w:hideMark/>
          </w:tcPr>
          <w:p w14:paraId="330BF70D"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Hybrid</w:t>
            </w:r>
          </w:p>
        </w:tc>
      </w:tr>
      <w:tr w:rsidR="00435A9F" w:rsidRPr="00435A9F" w14:paraId="5CBFB7C3" w14:textId="77777777" w:rsidTr="00435A9F">
        <w:trPr>
          <w:trHeight w:val="506"/>
        </w:trPr>
        <w:tc>
          <w:tcPr>
            <w:tcW w:w="750" w:type="pct"/>
            <w:tcBorders>
              <w:top w:val="nil"/>
              <w:left w:val="nil"/>
              <w:bottom w:val="single" w:sz="4" w:space="0" w:color="auto"/>
              <w:right w:val="nil"/>
            </w:tcBorders>
            <w:noWrap/>
            <w:vAlign w:val="center"/>
            <w:hideMark/>
          </w:tcPr>
          <w:p w14:paraId="51DB6FE4" w14:textId="77777777" w:rsidR="00435A9F" w:rsidRPr="00435A9F" w:rsidRDefault="00435A9F" w:rsidP="00435A9F">
            <w:pPr>
              <w:spacing w:after="0" w:line="240" w:lineRule="auto"/>
              <w:jc w:val="center"/>
              <w:rPr>
                <w:rFonts w:eastAsia="Times New Roman" w:cs="Arial"/>
                <w:b/>
                <w:bCs/>
                <w:color w:val="000000"/>
                <w:lang w:eastAsia="en-GB"/>
              </w:rPr>
            </w:pPr>
            <w:r w:rsidRPr="00435A9F">
              <w:rPr>
                <w:rFonts w:eastAsia="Times New Roman" w:cs="Arial"/>
                <w:b/>
                <w:bCs/>
                <w:color w:val="000000"/>
                <w:lang w:eastAsia="en-GB"/>
              </w:rPr>
              <w:t>SWE</w:t>
            </w:r>
          </w:p>
        </w:tc>
        <w:tc>
          <w:tcPr>
            <w:tcW w:w="1063" w:type="pct"/>
            <w:tcBorders>
              <w:top w:val="nil"/>
              <w:left w:val="nil"/>
              <w:bottom w:val="single" w:sz="4" w:space="0" w:color="auto"/>
              <w:right w:val="nil"/>
            </w:tcBorders>
            <w:vAlign w:val="center"/>
            <w:hideMark/>
          </w:tcPr>
          <w:p w14:paraId="6A607124"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3" w:type="pct"/>
            <w:tcBorders>
              <w:top w:val="nil"/>
              <w:left w:val="nil"/>
              <w:bottom w:val="single" w:sz="4" w:space="0" w:color="auto"/>
              <w:right w:val="nil"/>
            </w:tcBorders>
            <w:shd w:val="clear" w:color="000000" w:fill="D9D9D9"/>
            <w:vAlign w:val="center"/>
            <w:hideMark/>
          </w:tcPr>
          <w:p w14:paraId="10E160D3" w14:textId="77777777" w:rsidR="00435A9F" w:rsidRPr="00435A9F" w:rsidRDefault="00435A9F" w:rsidP="00435A9F">
            <w:pPr>
              <w:spacing w:after="0" w:line="240" w:lineRule="auto"/>
              <w:jc w:val="center"/>
              <w:rPr>
                <w:rFonts w:eastAsia="Times New Roman" w:cs="Arial"/>
                <w:color w:val="000000"/>
                <w:lang w:eastAsia="en-GB"/>
              </w:rPr>
            </w:pPr>
            <w:proofErr w:type="spellStart"/>
            <w:r w:rsidRPr="00435A9F">
              <w:rPr>
                <w:rFonts w:eastAsia="Times New Roman" w:cs="Arial"/>
                <w:color w:val="000000"/>
                <w:lang w:eastAsia="en-GB"/>
              </w:rPr>
              <w:t>Volume-based</w:t>
            </w:r>
            <w:proofErr w:type="spellEnd"/>
          </w:p>
        </w:tc>
        <w:tc>
          <w:tcPr>
            <w:tcW w:w="1063" w:type="pct"/>
            <w:tcBorders>
              <w:top w:val="nil"/>
              <w:left w:val="nil"/>
              <w:bottom w:val="single" w:sz="4" w:space="0" w:color="auto"/>
              <w:right w:val="nil"/>
            </w:tcBorders>
            <w:vAlign w:val="center"/>
            <w:hideMark/>
          </w:tcPr>
          <w:p w14:paraId="314C43F6"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c>
          <w:tcPr>
            <w:tcW w:w="1061" w:type="pct"/>
            <w:tcBorders>
              <w:top w:val="nil"/>
              <w:left w:val="nil"/>
              <w:bottom w:val="single" w:sz="4" w:space="0" w:color="auto"/>
              <w:right w:val="nil"/>
            </w:tcBorders>
            <w:vAlign w:val="center"/>
            <w:hideMark/>
          </w:tcPr>
          <w:p w14:paraId="55D80EE1" w14:textId="77777777" w:rsidR="00435A9F" w:rsidRPr="00435A9F" w:rsidRDefault="00435A9F" w:rsidP="00435A9F">
            <w:pPr>
              <w:spacing w:after="0" w:line="240" w:lineRule="auto"/>
              <w:jc w:val="center"/>
              <w:rPr>
                <w:rFonts w:eastAsia="Times New Roman" w:cs="Arial"/>
                <w:color w:val="000000"/>
                <w:lang w:eastAsia="en-GB"/>
              </w:rPr>
            </w:pPr>
            <w:r w:rsidRPr="00435A9F">
              <w:rPr>
                <w:rFonts w:eastAsia="Times New Roman" w:cs="Arial"/>
                <w:color w:val="000000"/>
                <w:lang w:eastAsia="en-GB"/>
              </w:rPr>
              <w:t> </w:t>
            </w:r>
          </w:p>
        </w:tc>
      </w:tr>
    </w:tbl>
    <w:p w14:paraId="6AE633D7" w14:textId="78961EDC" w:rsidR="00435A9F" w:rsidRPr="00435A9F" w:rsidRDefault="00435A9F" w:rsidP="00435A9F">
      <w:pPr>
        <w:pStyle w:val="Zdrojapoznmka"/>
      </w:pPr>
      <w:r w:rsidRPr="007C5A84">
        <w:t xml:space="preserve">Zdroj: </w:t>
      </w:r>
      <w:proofErr w:type="spellStart"/>
      <w:r w:rsidR="0029300E">
        <w:t>The</w:t>
      </w:r>
      <w:proofErr w:type="spellEnd"/>
      <w:r w:rsidR="0029300E">
        <w:t xml:space="preserve"> </w:t>
      </w:r>
      <w:r>
        <w:t>OECD</w:t>
      </w:r>
      <w:r w:rsidR="0029300E">
        <w:t xml:space="preserve"> INNOTAX</w:t>
      </w:r>
    </w:p>
    <w:p w14:paraId="4EE6A8E4" w14:textId="43F1DBA2" w:rsidR="0026501E" w:rsidRDefault="0026501E" w:rsidP="0026501E">
      <w:pPr>
        <w:pStyle w:val="Plohanadpis"/>
        <w:pageBreakBefore/>
      </w:pPr>
      <w:bookmarkStart w:id="67" w:name="_Hlk189578902"/>
      <w:bookmarkStart w:id="68" w:name="_Toc215589327"/>
      <w:r w:rsidRPr="00F27262">
        <w:lastRenderedPageBreak/>
        <w:t xml:space="preserve">P. </w:t>
      </w:r>
      <w:r>
        <w:t>D</w:t>
      </w:r>
      <w:r w:rsidRPr="00F27262">
        <w:t>.</w:t>
      </w:r>
      <w:r>
        <w:t>2</w:t>
      </w:r>
      <w:r w:rsidRPr="00F27262">
        <w:t xml:space="preserve"> </w:t>
      </w:r>
      <w:r>
        <w:t>Výzkumné infrastruktury</w:t>
      </w:r>
      <w:bookmarkEnd w:id="68"/>
    </w:p>
    <w:p w14:paraId="15B67743" w14:textId="47FACED8" w:rsidR="00B83532" w:rsidRPr="00B83532" w:rsidRDefault="00B83532" w:rsidP="00B83532">
      <w:pPr>
        <w:rPr>
          <w:lang w:eastAsia="cs-CZ"/>
        </w:rPr>
      </w:pPr>
      <w:r w:rsidRPr="00B83532">
        <w:rPr>
          <w:highlight w:val="yellow"/>
          <w:lang w:eastAsia="cs-CZ"/>
        </w:rPr>
        <w:t>Bude aktualizováno.</w:t>
      </w:r>
    </w:p>
    <w:p w14:paraId="4668E21D" w14:textId="55CF6897" w:rsidR="0026501E" w:rsidRPr="00424271" w:rsidRDefault="003C6FA4" w:rsidP="0026501E">
      <w:pPr>
        <w:pStyle w:val="Obrzek-nadpis"/>
      </w:pPr>
      <w:r>
        <w:t>A</w:t>
      </w:r>
      <w:r w:rsidR="0026501E" w:rsidRPr="007B25E7">
        <w:t xml:space="preserve">: Přehled </w:t>
      </w:r>
      <w:r w:rsidR="002058DB">
        <w:t>VVI</w:t>
      </w:r>
      <w:r w:rsidR="0026501E" w:rsidRPr="007B25E7">
        <w:t xml:space="preserve"> ČR</w:t>
      </w:r>
      <w:r>
        <w:t xml:space="preserve"> v roce 2023</w:t>
      </w:r>
    </w:p>
    <w:tbl>
      <w:tblPr>
        <w:tblW w:w="0" w:type="auto"/>
        <w:tblLook w:val="04A0" w:firstRow="1" w:lastRow="0" w:firstColumn="1" w:lastColumn="0" w:noHBand="0" w:noVBand="1"/>
      </w:tblPr>
      <w:tblGrid>
        <w:gridCol w:w="656"/>
        <w:gridCol w:w="1593"/>
        <w:gridCol w:w="956"/>
        <w:gridCol w:w="688"/>
        <w:gridCol w:w="695"/>
        <w:gridCol w:w="755"/>
        <w:gridCol w:w="1127"/>
        <w:gridCol w:w="925"/>
        <w:gridCol w:w="901"/>
        <w:gridCol w:w="1558"/>
      </w:tblGrid>
      <w:tr w:rsidR="007B25E7" w:rsidRPr="007B25E7" w14:paraId="4988CD87" w14:textId="77777777" w:rsidTr="008C205A">
        <w:trPr>
          <w:cantSplit/>
          <w:trHeight w:val="490"/>
          <w:tblHeader/>
        </w:trPr>
        <w:tc>
          <w:tcPr>
            <w:tcW w:w="0" w:type="auto"/>
            <w:tcBorders>
              <w:top w:val="single" w:sz="8" w:space="0" w:color="auto"/>
              <w:left w:val="nil"/>
              <w:bottom w:val="single" w:sz="8" w:space="0" w:color="auto"/>
              <w:right w:val="nil"/>
            </w:tcBorders>
            <w:shd w:val="clear" w:color="000000" w:fill="FFFFFF"/>
            <w:vAlign w:val="center"/>
            <w:hideMark/>
          </w:tcPr>
          <w:p w14:paraId="312AFF98" w14:textId="5F7380DC"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single" w:sz="8" w:space="0" w:color="auto"/>
              <w:left w:val="nil"/>
              <w:bottom w:val="single" w:sz="8" w:space="0" w:color="auto"/>
              <w:right w:val="nil"/>
            </w:tcBorders>
            <w:shd w:val="clear" w:color="000000" w:fill="FFFFFF"/>
            <w:vAlign w:val="center"/>
            <w:hideMark/>
          </w:tcPr>
          <w:p w14:paraId="599C440E" w14:textId="79D2D568" w:rsidR="007B25E7" w:rsidRPr="007B25E7" w:rsidRDefault="007B25E7" w:rsidP="007B25E7">
            <w:pPr>
              <w:spacing w:after="0" w:line="240" w:lineRule="auto"/>
              <w:jc w:val="center"/>
              <w:rPr>
                <w:rFonts w:eastAsia="Times New Roman" w:cs="Arial"/>
                <w:b/>
                <w:bCs/>
                <w:color w:val="000000"/>
                <w:sz w:val="14"/>
                <w:szCs w:val="14"/>
                <w:lang w:eastAsia="en-GB"/>
              </w:rPr>
            </w:pPr>
            <w:r>
              <w:rPr>
                <w:rFonts w:eastAsia="Times New Roman" w:cs="Arial"/>
                <w:b/>
                <w:bCs/>
                <w:color w:val="000000"/>
                <w:sz w:val="14"/>
                <w:szCs w:val="14"/>
                <w:lang w:eastAsia="en-GB"/>
              </w:rPr>
              <w:t>Akronym</w:t>
            </w:r>
          </w:p>
        </w:tc>
        <w:tc>
          <w:tcPr>
            <w:tcW w:w="0" w:type="auto"/>
            <w:tcBorders>
              <w:top w:val="single" w:sz="8" w:space="0" w:color="auto"/>
              <w:left w:val="nil"/>
              <w:bottom w:val="single" w:sz="8" w:space="0" w:color="auto"/>
              <w:right w:val="nil"/>
            </w:tcBorders>
            <w:shd w:val="clear" w:color="000000" w:fill="FFFFFF"/>
            <w:vAlign w:val="center"/>
            <w:hideMark/>
          </w:tcPr>
          <w:p w14:paraId="5AEBC51F" w14:textId="2734A826" w:rsidR="007B25E7" w:rsidRPr="007B25E7" w:rsidRDefault="007B25E7" w:rsidP="007B25E7">
            <w:pPr>
              <w:spacing w:after="0" w:line="240" w:lineRule="auto"/>
              <w:jc w:val="center"/>
              <w:rPr>
                <w:rFonts w:eastAsia="Times New Roman" w:cs="Arial"/>
                <w:b/>
                <w:bCs/>
                <w:color w:val="000000"/>
                <w:sz w:val="14"/>
                <w:szCs w:val="14"/>
                <w:lang w:eastAsia="en-GB"/>
              </w:rPr>
            </w:pPr>
            <w:r w:rsidRPr="007B25E7">
              <w:rPr>
                <w:rFonts w:eastAsia="Times New Roman" w:cs="Arial"/>
                <w:b/>
                <w:bCs/>
                <w:color w:val="000000"/>
                <w:sz w:val="14"/>
                <w:szCs w:val="14"/>
                <w:lang w:eastAsia="en-GB"/>
              </w:rPr>
              <w:t>LM2023</w:t>
            </w:r>
          </w:p>
        </w:tc>
        <w:tc>
          <w:tcPr>
            <w:tcW w:w="0" w:type="auto"/>
            <w:gridSpan w:val="3"/>
            <w:tcBorders>
              <w:top w:val="single" w:sz="8" w:space="0" w:color="auto"/>
              <w:left w:val="nil"/>
              <w:bottom w:val="single" w:sz="8" w:space="0" w:color="auto"/>
              <w:right w:val="nil"/>
            </w:tcBorders>
            <w:vAlign w:val="center"/>
            <w:hideMark/>
          </w:tcPr>
          <w:p w14:paraId="21F60FA7" w14:textId="77777777" w:rsidR="007B25E7" w:rsidRPr="007B25E7" w:rsidRDefault="007B25E7" w:rsidP="007B25E7">
            <w:pPr>
              <w:spacing w:after="0" w:line="240" w:lineRule="auto"/>
              <w:jc w:val="center"/>
              <w:rPr>
                <w:rFonts w:eastAsia="Times New Roman" w:cs="Arial"/>
                <w:b/>
                <w:bCs/>
                <w:color w:val="000000"/>
                <w:sz w:val="14"/>
                <w:szCs w:val="14"/>
                <w:lang w:eastAsia="en-GB"/>
              </w:rPr>
            </w:pPr>
            <w:r w:rsidRPr="007B25E7">
              <w:rPr>
                <w:rFonts w:eastAsia="Times New Roman" w:cs="Arial"/>
                <w:b/>
                <w:bCs/>
                <w:color w:val="000000"/>
                <w:sz w:val="14"/>
                <w:szCs w:val="14"/>
                <w:lang w:eastAsia="en-GB"/>
              </w:rPr>
              <w:t>Plánovaná podpora na roky 2023–2026</w:t>
            </w:r>
          </w:p>
        </w:tc>
        <w:tc>
          <w:tcPr>
            <w:tcW w:w="0" w:type="auto"/>
            <w:tcBorders>
              <w:top w:val="single" w:sz="8" w:space="0" w:color="auto"/>
              <w:left w:val="nil"/>
              <w:bottom w:val="single" w:sz="8" w:space="0" w:color="auto"/>
              <w:right w:val="nil"/>
            </w:tcBorders>
            <w:shd w:val="clear" w:color="000000" w:fill="FFFFFF"/>
            <w:vAlign w:val="center"/>
            <w:hideMark/>
          </w:tcPr>
          <w:p w14:paraId="77C347E4" w14:textId="77777777" w:rsidR="007B25E7" w:rsidRPr="007B25E7" w:rsidRDefault="007B25E7" w:rsidP="007B25E7">
            <w:pPr>
              <w:spacing w:after="0" w:line="240" w:lineRule="auto"/>
              <w:jc w:val="center"/>
              <w:rPr>
                <w:rFonts w:eastAsia="Times New Roman" w:cs="Arial"/>
                <w:b/>
                <w:bCs/>
                <w:color w:val="000000"/>
                <w:sz w:val="14"/>
                <w:szCs w:val="14"/>
                <w:lang w:eastAsia="en-GB"/>
              </w:rPr>
            </w:pPr>
            <w:r w:rsidRPr="007B25E7">
              <w:rPr>
                <w:rFonts w:eastAsia="Times New Roman" w:cs="Arial"/>
                <w:b/>
                <w:bCs/>
                <w:color w:val="000000"/>
                <w:sz w:val="14"/>
                <w:szCs w:val="14"/>
                <w:lang w:eastAsia="en-GB"/>
              </w:rPr>
              <w:t>Fáze životního cyklu</w:t>
            </w:r>
          </w:p>
        </w:tc>
        <w:tc>
          <w:tcPr>
            <w:tcW w:w="0" w:type="auto"/>
            <w:tcBorders>
              <w:top w:val="single" w:sz="8" w:space="0" w:color="auto"/>
              <w:left w:val="nil"/>
              <w:bottom w:val="single" w:sz="8" w:space="0" w:color="auto"/>
              <w:right w:val="nil"/>
            </w:tcBorders>
            <w:shd w:val="clear" w:color="000000" w:fill="FFFFFF"/>
            <w:vAlign w:val="center"/>
            <w:hideMark/>
          </w:tcPr>
          <w:p w14:paraId="19A9E7F2" w14:textId="77777777" w:rsidR="007B25E7" w:rsidRPr="007B25E7" w:rsidRDefault="007B25E7" w:rsidP="007B25E7">
            <w:pPr>
              <w:spacing w:after="0" w:line="240" w:lineRule="auto"/>
              <w:jc w:val="center"/>
              <w:rPr>
                <w:rFonts w:eastAsia="Times New Roman" w:cs="Arial"/>
                <w:b/>
                <w:bCs/>
                <w:color w:val="000000"/>
                <w:sz w:val="14"/>
                <w:szCs w:val="14"/>
                <w:lang w:eastAsia="en-GB"/>
              </w:rPr>
            </w:pPr>
            <w:r w:rsidRPr="007B25E7">
              <w:rPr>
                <w:rFonts w:eastAsia="Times New Roman" w:cs="Arial"/>
                <w:b/>
                <w:bCs/>
                <w:color w:val="000000"/>
                <w:sz w:val="14"/>
                <w:szCs w:val="14"/>
                <w:lang w:eastAsia="en-GB"/>
              </w:rPr>
              <w:t>Typ VVI</w:t>
            </w:r>
          </w:p>
        </w:tc>
        <w:tc>
          <w:tcPr>
            <w:tcW w:w="0" w:type="auto"/>
            <w:tcBorders>
              <w:top w:val="single" w:sz="8" w:space="0" w:color="auto"/>
              <w:left w:val="nil"/>
              <w:bottom w:val="single" w:sz="8" w:space="0" w:color="auto"/>
              <w:right w:val="nil"/>
            </w:tcBorders>
            <w:shd w:val="clear" w:color="000000" w:fill="FFFFFF"/>
            <w:vAlign w:val="center"/>
            <w:hideMark/>
          </w:tcPr>
          <w:p w14:paraId="2633FAF8" w14:textId="71D6165F" w:rsidR="007B25E7" w:rsidRPr="007B25E7" w:rsidRDefault="007B25E7" w:rsidP="007B25E7">
            <w:pPr>
              <w:spacing w:after="0" w:line="240" w:lineRule="auto"/>
              <w:jc w:val="center"/>
              <w:rPr>
                <w:rFonts w:eastAsia="Times New Roman" w:cs="Arial"/>
                <w:b/>
                <w:bCs/>
                <w:color w:val="000000"/>
                <w:sz w:val="14"/>
                <w:szCs w:val="14"/>
                <w:lang w:eastAsia="en-GB"/>
              </w:rPr>
            </w:pPr>
            <w:r>
              <w:rPr>
                <w:rFonts w:eastAsia="Times New Roman" w:cs="Arial"/>
                <w:b/>
                <w:bCs/>
                <w:color w:val="000000"/>
                <w:sz w:val="14"/>
                <w:szCs w:val="14"/>
                <w:lang w:eastAsia="en-GB"/>
              </w:rPr>
              <w:t>Z</w:t>
            </w:r>
            <w:r w:rsidRPr="007B25E7">
              <w:rPr>
                <w:rFonts w:eastAsia="Times New Roman" w:cs="Arial"/>
                <w:b/>
                <w:bCs/>
                <w:color w:val="000000"/>
                <w:sz w:val="14"/>
                <w:szCs w:val="14"/>
                <w:lang w:eastAsia="en-GB"/>
              </w:rPr>
              <w:t>ařazení na cestovní mapu ČR</w:t>
            </w:r>
          </w:p>
        </w:tc>
        <w:tc>
          <w:tcPr>
            <w:tcW w:w="0" w:type="auto"/>
            <w:tcBorders>
              <w:top w:val="single" w:sz="8" w:space="0" w:color="auto"/>
              <w:left w:val="nil"/>
              <w:bottom w:val="single" w:sz="8" w:space="0" w:color="auto"/>
              <w:right w:val="nil"/>
            </w:tcBorders>
            <w:shd w:val="clear" w:color="000000" w:fill="FFFFFF"/>
            <w:vAlign w:val="center"/>
            <w:hideMark/>
          </w:tcPr>
          <w:p w14:paraId="332FBD95" w14:textId="542068D1" w:rsidR="007B25E7" w:rsidRPr="007B25E7" w:rsidRDefault="007B25E7" w:rsidP="0030398E">
            <w:pPr>
              <w:spacing w:after="0" w:line="240" w:lineRule="auto"/>
              <w:jc w:val="center"/>
              <w:rPr>
                <w:rFonts w:eastAsia="Times New Roman" w:cs="Arial"/>
                <w:b/>
                <w:bCs/>
                <w:color w:val="000000"/>
                <w:sz w:val="14"/>
                <w:szCs w:val="14"/>
                <w:lang w:eastAsia="en-GB"/>
              </w:rPr>
            </w:pPr>
            <w:r w:rsidRPr="007B25E7">
              <w:rPr>
                <w:rFonts w:eastAsia="Times New Roman" w:cs="Arial"/>
                <w:b/>
                <w:bCs/>
                <w:color w:val="000000"/>
                <w:sz w:val="14"/>
                <w:szCs w:val="14"/>
                <w:lang w:eastAsia="en-GB"/>
              </w:rPr>
              <w:t>Status evropské výzkumn</w:t>
            </w:r>
            <w:r w:rsidR="0030398E">
              <w:rPr>
                <w:rFonts w:eastAsia="Times New Roman" w:cs="Arial"/>
                <w:b/>
                <w:bCs/>
                <w:color w:val="000000"/>
                <w:sz w:val="14"/>
                <w:szCs w:val="14"/>
                <w:lang w:eastAsia="en-GB"/>
              </w:rPr>
              <w:t>é</w:t>
            </w:r>
            <w:r w:rsidRPr="007B25E7">
              <w:rPr>
                <w:rFonts w:eastAsia="Times New Roman" w:cs="Arial"/>
                <w:b/>
                <w:bCs/>
                <w:color w:val="000000"/>
                <w:sz w:val="14"/>
                <w:szCs w:val="14"/>
                <w:lang w:eastAsia="en-GB"/>
              </w:rPr>
              <w:t xml:space="preserve"> infrastruktury na</w:t>
            </w:r>
            <w:r w:rsidR="002058DB">
              <w:rPr>
                <w:rFonts w:eastAsia="Times New Roman" w:cs="Arial"/>
                <w:b/>
                <w:bCs/>
                <w:color w:val="000000"/>
                <w:sz w:val="14"/>
                <w:szCs w:val="14"/>
                <w:lang w:eastAsia="en-GB"/>
              </w:rPr>
              <w:t> </w:t>
            </w:r>
            <w:r w:rsidRPr="007B25E7">
              <w:rPr>
                <w:rFonts w:eastAsia="Times New Roman" w:cs="Arial"/>
                <w:b/>
                <w:bCs/>
                <w:color w:val="000000"/>
                <w:sz w:val="14"/>
                <w:szCs w:val="14"/>
                <w:lang w:eastAsia="en-GB"/>
              </w:rPr>
              <w:t>Cestovní mapě ESFRI</w:t>
            </w:r>
          </w:p>
        </w:tc>
      </w:tr>
      <w:tr w:rsidR="007B25E7" w:rsidRPr="007B25E7" w14:paraId="4E294738" w14:textId="77777777" w:rsidTr="007B25E7">
        <w:trPr>
          <w:cantSplit/>
          <w:trHeight w:val="283"/>
        </w:trPr>
        <w:tc>
          <w:tcPr>
            <w:tcW w:w="0" w:type="auto"/>
            <w:vMerge w:val="restart"/>
            <w:tcBorders>
              <w:top w:val="nil"/>
              <w:left w:val="nil"/>
              <w:bottom w:val="single" w:sz="8" w:space="0" w:color="000000"/>
              <w:right w:val="nil"/>
            </w:tcBorders>
            <w:shd w:val="clear" w:color="000000" w:fill="D9E1F2"/>
            <w:textDirection w:val="btLr"/>
            <w:vAlign w:val="center"/>
            <w:hideMark/>
          </w:tcPr>
          <w:p w14:paraId="20418A10" w14:textId="77777777" w:rsidR="007B25E7" w:rsidRPr="007B25E7" w:rsidRDefault="007B25E7" w:rsidP="007B25E7">
            <w:pPr>
              <w:spacing w:after="0" w:line="240" w:lineRule="auto"/>
              <w:jc w:val="center"/>
              <w:rPr>
                <w:rFonts w:eastAsia="Times New Roman" w:cs="Arial"/>
                <w:b/>
                <w:bCs/>
                <w:color w:val="000000"/>
                <w:sz w:val="14"/>
                <w:szCs w:val="14"/>
                <w:lang w:eastAsia="en-GB"/>
              </w:rPr>
            </w:pPr>
            <w:r w:rsidRPr="007B25E7">
              <w:rPr>
                <w:rFonts w:eastAsia="Times New Roman" w:cs="Arial"/>
                <w:b/>
                <w:bCs/>
                <w:color w:val="000000"/>
                <w:sz w:val="14"/>
                <w:szCs w:val="14"/>
                <w:lang w:eastAsia="en-GB"/>
              </w:rPr>
              <w:t>Fyzikální vědy a inženýrství</w:t>
            </w:r>
          </w:p>
        </w:tc>
        <w:tc>
          <w:tcPr>
            <w:tcW w:w="0" w:type="auto"/>
            <w:tcBorders>
              <w:top w:val="nil"/>
              <w:left w:val="nil"/>
              <w:bottom w:val="single" w:sz="4" w:space="0" w:color="auto"/>
              <w:right w:val="nil"/>
            </w:tcBorders>
            <w:noWrap/>
            <w:vAlign w:val="center"/>
            <w:hideMark/>
          </w:tcPr>
          <w:p w14:paraId="0D5A4F5F"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AUGER-CZ</w:t>
            </w:r>
          </w:p>
        </w:tc>
        <w:tc>
          <w:tcPr>
            <w:tcW w:w="0" w:type="auto"/>
            <w:tcBorders>
              <w:top w:val="nil"/>
              <w:left w:val="nil"/>
              <w:bottom w:val="single" w:sz="4" w:space="0" w:color="auto"/>
              <w:right w:val="nil"/>
            </w:tcBorders>
            <w:shd w:val="clear" w:color="000000" w:fill="FFFFFF"/>
            <w:noWrap/>
            <w:vAlign w:val="center"/>
            <w:hideMark/>
          </w:tcPr>
          <w:p w14:paraId="5CA3B4E5"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LM2023032</w:t>
            </w:r>
          </w:p>
        </w:tc>
        <w:tc>
          <w:tcPr>
            <w:tcW w:w="0" w:type="auto"/>
            <w:tcBorders>
              <w:top w:val="nil"/>
              <w:left w:val="nil"/>
              <w:bottom w:val="single" w:sz="4" w:space="0" w:color="auto"/>
              <w:right w:val="nil"/>
            </w:tcBorders>
            <w:noWrap/>
            <w:vAlign w:val="center"/>
            <w:hideMark/>
          </w:tcPr>
          <w:p w14:paraId="0F5F96AD"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54.9</w:t>
            </w:r>
          </w:p>
        </w:tc>
        <w:tc>
          <w:tcPr>
            <w:tcW w:w="0" w:type="auto"/>
            <w:tcBorders>
              <w:top w:val="single" w:sz="8" w:space="0" w:color="auto"/>
              <w:left w:val="nil"/>
              <w:bottom w:val="single" w:sz="4" w:space="0" w:color="auto"/>
              <w:right w:val="nil"/>
            </w:tcBorders>
            <w:shd w:val="clear" w:color="000000" w:fill="B9D67F"/>
            <w:noWrap/>
            <w:vAlign w:val="center"/>
            <w:hideMark/>
          </w:tcPr>
          <w:p w14:paraId="61242A63"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4.</w:t>
            </w:r>
            <w:proofErr w:type="gramStart"/>
            <w:r w:rsidRPr="007B25E7">
              <w:rPr>
                <w:rFonts w:eastAsia="Times New Roman" w:cs="Arial"/>
                <w:color w:val="000000"/>
                <w:sz w:val="14"/>
                <w:szCs w:val="14"/>
                <w:lang w:eastAsia="en-GB"/>
              </w:rPr>
              <w:t>6%</w:t>
            </w:r>
            <w:proofErr w:type="gramEnd"/>
          </w:p>
        </w:tc>
        <w:tc>
          <w:tcPr>
            <w:tcW w:w="0" w:type="auto"/>
            <w:vMerge w:val="restart"/>
            <w:tcBorders>
              <w:top w:val="nil"/>
              <w:left w:val="nil"/>
              <w:bottom w:val="single" w:sz="8" w:space="0" w:color="000000"/>
              <w:right w:val="nil"/>
            </w:tcBorders>
            <w:vAlign w:val="center"/>
            <w:hideMark/>
          </w:tcPr>
          <w:p w14:paraId="437AF301" w14:textId="5815F6FF"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1 204.5</w:t>
            </w:r>
            <w:r w:rsidRPr="007B25E7">
              <w:rPr>
                <w:rFonts w:eastAsia="Times New Roman" w:cs="Arial"/>
                <w:color w:val="000000"/>
                <w:sz w:val="14"/>
                <w:szCs w:val="14"/>
                <w:lang w:eastAsia="en-GB"/>
              </w:rPr>
              <w:br/>
              <w:t>(16.</w:t>
            </w:r>
            <w:proofErr w:type="gramStart"/>
            <w:r w:rsidRPr="007B25E7">
              <w:rPr>
                <w:rFonts w:eastAsia="Times New Roman" w:cs="Arial"/>
                <w:color w:val="000000"/>
                <w:sz w:val="14"/>
                <w:szCs w:val="14"/>
                <w:lang w:eastAsia="en-GB"/>
              </w:rPr>
              <w:t>8%</w:t>
            </w:r>
            <w:proofErr w:type="gramEnd"/>
            <w:r w:rsidRPr="007B25E7">
              <w:rPr>
                <w:rFonts w:eastAsia="Times New Roman" w:cs="Arial"/>
                <w:color w:val="000000"/>
                <w:sz w:val="14"/>
                <w:szCs w:val="14"/>
                <w:lang w:eastAsia="en-GB"/>
              </w:rPr>
              <w:t>)</w:t>
            </w:r>
          </w:p>
        </w:tc>
        <w:tc>
          <w:tcPr>
            <w:tcW w:w="0" w:type="auto"/>
            <w:tcBorders>
              <w:top w:val="nil"/>
              <w:left w:val="nil"/>
              <w:bottom w:val="single" w:sz="4" w:space="0" w:color="auto"/>
              <w:right w:val="nil"/>
            </w:tcBorders>
            <w:shd w:val="clear" w:color="000000" w:fill="FFFFFF"/>
            <w:noWrap/>
            <w:vAlign w:val="center"/>
            <w:hideMark/>
          </w:tcPr>
          <w:p w14:paraId="5EC93B70"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4" w:space="0" w:color="auto"/>
              <w:right w:val="nil"/>
            </w:tcBorders>
            <w:shd w:val="clear" w:color="000000" w:fill="FFFFFF"/>
            <w:noWrap/>
            <w:vAlign w:val="center"/>
            <w:hideMark/>
          </w:tcPr>
          <w:p w14:paraId="68FA1BDD" w14:textId="11D155E7" w:rsidR="007B25E7" w:rsidRPr="007B25E7" w:rsidRDefault="007B25E7" w:rsidP="007B25E7">
            <w:pPr>
              <w:spacing w:after="0" w:line="240" w:lineRule="auto"/>
              <w:jc w:val="center"/>
              <w:rPr>
                <w:rFonts w:eastAsia="Times New Roman" w:cs="Arial"/>
                <w:color w:val="000000"/>
                <w:sz w:val="14"/>
                <w:szCs w:val="14"/>
                <w:lang w:eastAsia="en-GB"/>
              </w:rPr>
            </w:pPr>
            <w:proofErr w:type="spellStart"/>
            <w:r w:rsidRPr="007B25E7">
              <w:rPr>
                <w:rFonts w:eastAsia="Times New Roman" w:cs="Arial"/>
                <w:color w:val="000000"/>
                <w:sz w:val="14"/>
                <w:szCs w:val="14"/>
                <w:lang w:eastAsia="en-GB"/>
              </w:rPr>
              <w:t>distribu</w:t>
            </w:r>
            <w:r w:rsidR="00472253">
              <w:rPr>
                <w:rFonts w:eastAsia="Times New Roman" w:cs="Arial"/>
                <w:color w:val="000000"/>
                <w:sz w:val="14"/>
                <w:szCs w:val="14"/>
                <w:lang w:eastAsia="en-GB"/>
              </w:rPr>
              <w:t>ted</w:t>
            </w:r>
            <w:proofErr w:type="spellEnd"/>
          </w:p>
        </w:tc>
        <w:tc>
          <w:tcPr>
            <w:tcW w:w="0" w:type="auto"/>
            <w:tcBorders>
              <w:top w:val="nil"/>
              <w:left w:val="nil"/>
              <w:bottom w:val="single" w:sz="4" w:space="0" w:color="auto"/>
              <w:right w:val="nil"/>
            </w:tcBorders>
            <w:shd w:val="clear" w:color="000000" w:fill="FFFFFF"/>
            <w:noWrap/>
            <w:vAlign w:val="center"/>
            <w:hideMark/>
          </w:tcPr>
          <w:p w14:paraId="5E0BE7DE"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2010</w:t>
            </w:r>
          </w:p>
        </w:tc>
        <w:tc>
          <w:tcPr>
            <w:tcW w:w="0" w:type="auto"/>
            <w:tcBorders>
              <w:top w:val="nil"/>
              <w:left w:val="nil"/>
              <w:bottom w:val="single" w:sz="4" w:space="0" w:color="auto"/>
              <w:right w:val="nil"/>
            </w:tcBorders>
            <w:shd w:val="clear" w:color="000000" w:fill="FFFFFF"/>
            <w:noWrap/>
            <w:vAlign w:val="center"/>
            <w:hideMark/>
          </w:tcPr>
          <w:p w14:paraId="09CB0FC9"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X</w:t>
            </w:r>
          </w:p>
        </w:tc>
      </w:tr>
      <w:tr w:rsidR="007B25E7" w:rsidRPr="007B25E7" w14:paraId="53DEACFC" w14:textId="77777777" w:rsidTr="007B25E7">
        <w:trPr>
          <w:cantSplit/>
          <w:trHeight w:val="283"/>
        </w:trPr>
        <w:tc>
          <w:tcPr>
            <w:tcW w:w="0" w:type="auto"/>
            <w:vMerge/>
            <w:tcBorders>
              <w:top w:val="nil"/>
              <w:left w:val="nil"/>
              <w:bottom w:val="single" w:sz="8" w:space="0" w:color="000000"/>
              <w:right w:val="nil"/>
            </w:tcBorders>
            <w:vAlign w:val="center"/>
            <w:hideMark/>
          </w:tcPr>
          <w:p w14:paraId="209E07D6"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4" w:space="0" w:color="auto"/>
              <w:right w:val="nil"/>
            </w:tcBorders>
            <w:noWrap/>
            <w:vAlign w:val="center"/>
            <w:hideMark/>
          </w:tcPr>
          <w:p w14:paraId="699F6412"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BNL-CZ</w:t>
            </w:r>
          </w:p>
        </w:tc>
        <w:tc>
          <w:tcPr>
            <w:tcW w:w="0" w:type="auto"/>
            <w:tcBorders>
              <w:top w:val="nil"/>
              <w:left w:val="nil"/>
              <w:bottom w:val="single" w:sz="4" w:space="0" w:color="auto"/>
              <w:right w:val="nil"/>
            </w:tcBorders>
            <w:shd w:val="clear" w:color="000000" w:fill="FFFFFF"/>
            <w:noWrap/>
            <w:vAlign w:val="center"/>
            <w:hideMark/>
          </w:tcPr>
          <w:p w14:paraId="22CF03BF"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LM2023034</w:t>
            </w:r>
          </w:p>
        </w:tc>
        <w:tc>
          <w:tcPr>
            <w:tcW w:w="0" w:type="auto"/>
            <w:tcBorders>
              <w:top w:val="nil"/>
              <w:left w:val="nil"/>
              <w:bottom w:val="single" w:sz="4" w:space="0" w:color="auto"/>
              <w:right w:val="nil"/>
            </w:tcBorders>
            <w:noWrap/>
            <w:vAlign w:val="center"/>
            <w:hideMark/>
          </w:tcPr>
          <w:p w14:paraId="7ACF7DDD"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46.5</w:t>
            </w:r>
          </w:p>
        </w:tc>
        <w:tc>
          <w:tcPr>
            <w:tcW w:w="0" w:type="auto"/>
            <w:tcBorders>
              <w:top w:val="single" w:sz="4" w:space="0" w:color="auto"/>
              <w:left w:val="nil"/>
              <w:bottom w:val="single" w:sz="4" w:space="0" w:color="auto"/>
              <w:right w:val="nil"/>
            </w:tcBorders>
            <w:shd w:val="clear" w:color="000000" w:fill="A6D17E"/>
            <w:noWrap/>
            <w:vAlign w:val="center"/>
            <w:hideMark/>
          </w:tcPr>
          <w:p w14:paraId="051C926E"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3.</w:t>
            </w:r>
            <w:proofErr w:type="gramStart"/>
            <w:r w:rsidRPr="007B25E7">
              <w:rPr>
                <w:rFonts w:eastAsia="Times New Roman" w:cs="Arial"/>
                <w:color w:val="000000"/>
                <w:sz w:val="14"/>
                <w:szCs w:val="14"/>
                <w:lang w:eastAsia="en-GB"/>
              </w:rPr>
              <w:t>9%</w:t>
            </w:r>
            <w:proofErr w:type="gramEnd"/>
          </w:p>
        </w:tc>
        <w:tc>
          <w:tcPr>
            <w:tcW w:w="0" w:type="auto"/>
            <w:vMerge/>
            <w:tcBorders>
              <w:top w:val="nil"/>
              <w:left w:val="nil"/>
              <w:bottom w:val="single" w:sz="8" w:space="0" w:color="000000"/>
              <w:right w:val="nil"/>
            </w:tcBorders>
            <w:vAlign w:val="center"/>
            <w:hideMark/>
          </w:tcPr>
          <w:p w14:paraId="342A4547"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4" w:space="0" w:color="auto"/>
              <w:right w:val="nil"/>
            </w:tcBorders>
            <w:shd w:val="clear" w:color="000000" w:fill="FFFFFF"/>
            <w:noWrap/>
            <w:vAlign w:val="center"/>
            <w:hideMark/>
          </w:tcPr>
          <w:p w14:paraId="54B07AED"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4" w:space="0" w:color="auto"/>
              <w:right w:val="nil"/>
            </w:tcBorders>
            <w:shd w:val="clear" w:color="000000" w:fill="FFFFFF"/>
            <w:noWrap/>
            <w:vAlign w:val="center"/>
            <w:hideMark/>
          </w:tcPr>
          <w:p w14:paraId="1168B08A" w14:textId="6ACD8DCD" w:rsidR="007B25E7" w:rsidRPr="007B25E7" w:rsidRDefault="00472253" w:rsidP="007B25E7">
            <w:pPr>
              <w:spacing w:after="0" w:line="240" w:lineRule="auto"/>
              <w:jc w:val="center"/>
              <w:rPr>
                <w:rFonts w:eastAsia="Times New Roman" w:cs="Arial"/>
                <w:color w:val="000000"/>
                <w:sz w:val="14"/>
                <w:szCs w:val="14"/>
                <w:lang w:eastAsia="en-GB"/>
              </w:rPr>
            </w:pPr>
            <w:proofErr w:type="spellStart"/>
            <w:r w:rsidRPr="007B25E7">
              <w:rPr>
                <w:rFonts w:eastAsia="Times New Roman" w:cs="Arial"/>
                <w:color w:val="000000"/>
                <w:sz w:val="14"/>
                <w:szCs w:val="14"/>
                <w:lang w:eastAsia="en-GB"/>
              </w:rPr>
              <w:t>distribu</w:t>
            </w:r>
            <w:r>
              <w:rPr>
                <w:rFonts w:eastAsia="Times New Roman" w:cs="Arial"/>
                <w:color w:val="000000"/>
                <w:sz w:val="14"/>
                <w:szCs w:val="14"/>
                <w:lang w:eastAsia="en-GB"/>
              </w:rPr>
              <w:t>ted</w:t>
            </w:r>
            <w:proofErr w:type="spellEnd"/>
          </w:p>
        </w:tc>
        <w:tc>
          <w:tcPr>
            <w:tcW w:w="0" w:type="auto"/>
            <w:tcBorders>
              <w:top w:val="nil"/>
              <w:left w:val="nil"/>
              <w:bottom w:val="single" w:sz="4" w:space="0" w:color="auto"/>
              <w:right w:val="nil"/>
            </w:tcBorders>
            <w:shd w:val="clear" w:color="000000" w:fill="FFFFFF"/>
            <w:noWrap/>
            <w:vAlign w:val="center"/>
            <w:hideMark/>
          </w:tcPr>
          <w:p w14:paraId="78495AD2"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2015</w:t>
            </w:r>
          </w:p>
        </w:tc>
        <w:tc>
          <w:tcPr>
            <w:tcW w:w="0" w:type="auto"/>
            <w:tcBorders>
              <w:top w:val="nil"/>
              <w:left w:val="nil"/>
              <w:bottom w:val="single" w:sz="4" w:space="0" w:color="auto"/>
              <w:right w:val="nil"/>
            </w:tcBorders>
            <w:shd w:val="clear" w:color="000000" w:fill="FFFFFF"/>
            <w:noWrap/>
            <w:vAlign w:val="center"/>
            <w:hideMark/>
          </w:tcPr>
          <w:p w14:paraId="312E2F70"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X</w:t>
            </w:r>
          </w:p>
        </w:tc>
      </w:tr>
      <w:tr w:rsidR="007B25E7" w:rsidRPr="007B25E7" w14:paraId="5D13AED9" w14:textId="77777777" w:rsidTr="007B25E7">
        <w:trPr>
          <w:cantSplit/>
          <w:trHeight w:val="283"/>
        </w:trPr>
        <w:tc>
          <w:tcPr>
            <w:tcW w:w="0" w:type="auto"/>
            <w:vMerge/>
            <w:tcBorders>
              <w:top w:val="nil"/>
              <w:left w:val="nil"/>
              <w:bottom w:val="single" w:sz="8" w:space="0" w:color="000000"/>
              <w:right w:val="nil"/>
            </w:tcBorders>
            <w:vAlign w:val="center"/>
            <w:hideMark/>
          </w:tcPr>
          <w:p w14:paraId="209F1C76"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4" w:space="0" w:color="auto"/>
              <w:right w:val="nil"/>
            </w:tcBorders>
            <w:noWrap/>
            <w:vAlign w:val="center"/>
            <w:hideMark/>
          </w:tcPr>
          <w:p w14:paraId="13139756" w14:textId="77777777" w:rsidR="007B25E7" w:rsidRPr="007B25E7" w:rsidRDefault="007B25E7" w:rsidP="007B25E7">
            <w:pPr>
              <w:spacing w:after="0" w:line="240" w:lineRule="auto"/>
              <w:jc w:val="center"/>
              <w:rPr>
                <w:rFonts w:eastAsia="Times New Roman" w:cs="Arial"/>
                <w:color w:val="00000A"/>
                <w:sz w:val="14"/>
                <w:szCs w:val="14"/>
                <w:lang w:eastAsia="en-GB"/>
              </w:rPr>
            </w:pPr>
            <w:r w:rsidRPr="007B25E7">
              <w:rPr>
                <w:rFonts w:eastAsia="Times New Roman" w:cs="Arial"/>
                <w:color w:val="00000A"/>
                <w:sz w:val="14"/>
                <w:szCs w:val="14"/>
                <w:lang w:eastAsia="en-GB"/>
              </w:rPr>
              <w:t>CEMNAT</w:t>
            </w:r>
          </w:p>
        </w:tc>
        <w:tc>
          <w:tcPr>
            <w:tcW w:w="0" w:type="auto"/>
            <w:tcBorders>
              <w:top w:val="nil"/>
              <w:left w:val="nil"/>
              <w:bottom w:val="single" w:sz="4" w:space="0" w:color="auto"/>
              <w:right w:val="nil"/>
            </w:tcBorders>
            <w:shd w:val="clear" w:color="000000" w:fill="FFFFFF"/>
            <w:noWrap/>
            <w:vAlign w:val="center"/>
            <w:hideMark/>
          </w:tcPr>
          <w:p w14:paraId="71A1881E"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LM2023037</w:t>
            </w:r>
          </w:p>
        </w:tc>
        <w:tc>
          <w:tcPr>
            <w:tcW w:w="0" w:type="auto"/>
            <w:tcBorders>
              <w:top w:val="nil"/>
              <w:left w:val="nil"/>
              <w:bottom w:val="single" w:sz="4" w:space="0" w:color="auto"/>
              <w:right w:val="nil"/>
            </w:tcBorders>
            <w:noWrap/>
            <w:vAlign w:val="center"/>
            <w:hideMark/>
          </w:tcPr>
          <w:p w14:paraId="5CEFEAD9"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58.3</w:t>
            </w:r>
          </w:p>
        </w:tc>
        <w:tc>
          <w:tcPr>
            <w:tcW w:w="0" w:type="auto"/>
            <w:tcBorders>
              <w:top w:val="single" w:sz="4" w:space="0" w:color="auto"/>
              <w:left w:val="nil"/>
              <w:bottom w:val="single" w:sz="4" w:space="0" w:color="auto"/>
              <w:right w:val="nil"/>
            </w:tcBorders>
            <w:shd w:val="clear" w:color="000000" w:fill="C1D980"/>
            <w:noWrap/>
            <w:vAlign w:val="center"/>
            <w:hideMark/>
          </w:tcPr>
          <w:p w14:paraId="7B115BB9"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4.</w:t>
            </w:r>
            <w:proofErr w:type="gramStart"/>
            <w:r w:rsidRPr="007B25E7">
              <w:rPr>
                <w:rFonts w:eastAsia="Times New Roman" w:cs="Arial"/>
                <w:color w:val="000000"/>
                <w:sz w:val="14"/>
                <w:szCs w:val="14"/>
                <w:lang w:eastAsia="en-GB"/>
              </w:rPr>
              <w:t>8%</w:t>
            </w:r>
            <w:proofErr w:type="gramEnd"/>
          </w:p>
        </w:tc>
        <w:tc>
          <w:tcPr>
            <w:tcW w:w="0" w:type="auto"/>
            <w:vMerge/>
            <w:tcBorders>
              <w:top w:val="nil"/>
              <w:left w:val="nil"/>
              <w:bottom w:val="single" w:sz="8" w:space="0" w:color="000000"/>
              <w:right w:val="nil"/>
            </w:tcBorders>
            <w:vAlign w:val="center"/>
            <w:hideMark/>
          </w:tcPr>
          <w:p w14:paraId="63F8C0B1"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4" w:space="0" w:color="auto"/>
              <w:right w:val="nil"/>
            </w:tcBorders>
            <w:shd w:val="clear" w:color="000000" w:fill="FFFFFF"/>
            <w:noWrap/>
            <w:vAlign w:val="center"/>
            <w:hideMark/>
          </w:tcPr>
          <w:p w14:paraId="59052323"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4" w:space="0" w:color="auto"/>
              <w:right w:val="nil"/>
            </w:tcBorders>
            <w:shd w:val="clear" w:color="000000" w:fill="FFFFFF"/>
            <w:noWrap/>
            <w:vAlign w:val="center"/>
            <w:hideMark/>
          </w:tcPr>
          <w:p w14:paraId="3521D194"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single-</w:t>
            </w:r>
            <w:proofErr w:type="spellStart"/>
            <w:r w:rsidRPr="007B25E7">
              <w:rPr>
                <w:rFonts w:eastAsia="Times New Roman" w:cs="Arial"/>
                <w:color w:val="000000"/>
                <w:sz w:val="14"/>
                <w:szCs w:val="14"/>
                <w:lang w:eastAsia="en-GB"/>
              </w:rPr>
              <w:t>sited</w:t>
            </w:r>
            <w:proofErr w:type="spellEnd"/>
          </w:p>
        </w:tc>
        <w:tc>
          <w:tcPr>
            <w:tcW w:w="0" w:type="auto"/>
            <w:tcBorders>
              <w:top w:val="nil"/>
              <w:left w:val="nil"/>
              <w:bottom w:val="single" w:sz="4" w:space="0" w:color="auto"/>
              <w:right w:val="nil"/>
            </w:tcBorders>
            <w:shd w:val="clear" w:color="000000" w:fill="FFFFFF"/>
            <w:noWrap/>
            <w:vAlign w:val="center"/>
            <w:hideMark/>
          </w:tcPr>
          <w:p w14:paraId="6D71E8C3"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2015</w:t>
            </w:r>
          </w:p>
        </w:tc>
        <w:tc>
          <w:tcPr>
            <w:tcW w:w="0" w:type="auto"/>
            <w:tcBorders>
              <w:top w:val="nil"/>
              <w:left w:val="nil"/>
              <w:bottom w:val="single" w:sz="4" w:space="0" w:color="auto"/>
              <w:right w:val="nil"/>
            </w:tcBorders>
            <w:shd w:val="clear" w:color="000000" w:fill="FFFFFF"/>
            <w:noWrap/>
            <w:vAlign w:val="center"/>
            <w:hideMark/>
          </w:tcPr>
          <w:p w14:paraId="45FB846A"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X</w:t>
            </w:r>
          </w:p>
        </w:tc>
      </w:tr>
      <w:tr w:rsidR="007B25E7" w:rsidRPr="007B25E7" w14:paraId="00F700DF" w14:textId="77777777" w:rsidTr="007B25E7">
        <w:trPr>
          <w:cantSplit/>
          <w:trHeight w:val="283"/>
        </w:trPr>
        <w:tc>
          <w:tcPr>
            <w:tcW w:w="0" w:type="auto"/>
            <w:vMerge/>
            <w:tcBorders>
              <w:top w:val="nil"/>
              <w:left w:val="nil"/>
              <w:bottom w:val="single" w:sz="8" w:space="0" w:color="000000"/>
              <w:right w:val="nil"/>
            </w:tcBorders>
            <w:vAlign w:val="center"/>
            <w:hideMark/>
          </w:tcPr>
          <w:p w14:paraId="57279A97"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4" w:space="0" w:color="auto"/>
              <w:right w:val="nil"/>
            </w:tcBorders>
            <w:noWrap/>
            <w:vAlign w:val="center"/>
            <w:hideMark/>
          </w:tcPr>
          <w:p w14:paraId="256271F1"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CEPLANT</w:t>
            </w:r>
          </w:p>
        </w:tc>
        <w:tc>
          <w:tcPr>
            <w:tcW w:w="0" w:type="auto"/>
            <w:tcBorders>
              <w:top w:val="nil"/>
              <w:left w:val="nil"/>
              <w:bottom w:val="single" w:sz="4" w:space="0" w:color="auto"/>
              <w:right w:val="nil"/>
            </w:tcBorders>
            <w:shd w:val="clear" w:color="000000" w:fill="FFFFFF"/>
            <w:noWrap/>
            <w:vAlign w:val="center"/>
            <w:hideMark/>
          </w:tcPr>
          <w:p w14:paraId="4CB9F148"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LM2023039</w:t>
            </w:r>
          </w:p>
        </w:tc>
        <w:tc>
          <w:tcPr>
            <w:tcW w:w="0" w:type="auto"/>
            <w:tcBorders>
              <w:top w:val="nil"/>
              <w:left w:val="nil"/>
              <w:bottom w:val="single" w:sz="4" w:space="0" w:color="auto"/>
              <w:right w:val="nil"/>
            </w:tcBorders>
            <w:noWrap/>
            <w:vAlign w:val="center"/>
            <w:hideMark/>
          </w:tcPr>
          <w:p w14:paraId="146A42FB"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45.4</w:t>
            </w:r>
          </w:p>
        </w:tc>
        <w:tc>
          <w:tcPr>
            <w:tcW w:w="0" w:type="auto"/>
            <w:tcBorders>
              <w:top w:val="single" w:sz="4" w:space="0" w:color="auto"/>
              <w:left w:val="nil"/>
              <w:bottom w:val="single" w:sz="4" w:space="0" w:color="auto"/>
              <w:right w:val="nil"/>
            </w:tcBorders>
            <w:shd w:val="clear" w:color="000000" w:fill="A4D07E"/>
            <w:noWrap/>
            <w:vAlign w:val="center"/>
            <w:hideMark/>
          </w:tcPr>
          <w:p w14:paraId="4B985945"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3.</w:t>
            </w:r>
            <w:proofErr w:type="gramStart"/>
            <w:r w:rsidRPr="007B25E7">
              <w:rPr>
                <w:rFonts w:eastAsia="Times New Roman" w:cs="Arial"/>
                <w:color w:val="000000"/>
                <w:sz w:val="14"/>
                <w:szCs w:val="14"/>
                <w:lang w:eastAsia="en-GB"/>
              </w:rPr>
              <w:t>8%</w:t>
            </w:r>
            <w:proofErr w:type="gramEnd"/>
          </w:p>
        </w:tc>
        <w:tc>
          <w:tcPr>
            <w:tcW w:w="0" w:type="auto"/>
            <w:vMerge/>
            <w:tcBorders>
              <w:top w:val="nil"/>
              <w:left w:val="nil"/>
              <w:bottom w:val="single" w:sz="8" w:space="0" w:color="000000"/>
              <w:right w:val="nil"/>
            </w:tcBorders>
            <w:vAlign w:val="center"/>
            <w:hideMark/>
          </w:tcPr>
          <w:p w14:paraId="2EA58DD9"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4" w:space="0" w:color="auto"/>
              <w:right w:val="nil"/>
            </w:tcBorders>
            <w:shd w:val="clear" w:color="000000" w:fill="FFFFFF"/>
            <w:noWrap/>
            <w:vAlign w:val="center"/>
            <w:hideMark/>
          </w:tcPr>
          <w:p w14:paraId="203F993F"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4" w:space="0" w:color="auto"/>
              <w:right w:val="nil"/>
            </w:tcBorders>
            <w:shd w:val="clear" w:color="000000" w:fill="FFFFFF"/>
            <w:noWrap/>
            <w:vAlign w:val="center"/>
            <w:hideMark/>
          </w:tcPr>
          <w:p w14:paraId="42E6D071"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single-</w:t>
            </w:r>
            <w:proofErr w:type="spellStart"/>
            <w:r w:rsidRPr="007B25E7">
              <w:rPr>
                <w:rFonts w:eastAsia="Times New Roman" w:cs="Arial"/>
                <w:color w:val="000000"/>
                <w:sz w:val="14"/>
                <w:szCs w:val="14"/>
                <w:lang w:eastAsia="en-GB"/>
              </w:rPr>
              <w:t>sited</w:t>
            </w:r>
            <w:proofErr w:type="spellEnd"/>
          </w:p>
        </w:tc>
        <w:tc>
          <w:tcPr>
            <w:tcW w:w="0" w:type="auto"/>
            <w:tcBorders>
              <w:top w:val="nil"/>
              <w:left w:val="nil"/>
              <w:bottom w:val="single" w:sz="4" w:space="0" w:color="auto"/>
              <w:right w:val="nil"/>
            </w:tcBorders>
            <w:shd w:val="clear" w:color="000000" w:fill="FFFFFF"/>
            <w:noWrap/>
            <w:vAlign w:val="center"/>
            <w:hideMark/>
          </w:tcPr>
          <w:p w14:paraId="2BD74EA0"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2019</w:t>
            </w:r>
          </w:p>
        </w:tc>
        <w:tc>
          <w:tcPr>
            <w:tcW w:w="0" w:type="auto"/>
            <w:tcBorders>
              <w:top w:val="nil"/>
              <w:left w:val="nil"/>
              <w:bottom w:val="single" w:sz="4" w:space="0" w:color="auto"/>
              <w:right w:val="nil"/>
            </w:tcBorders>
            <w:shd w:val="clear" w:color="000000" w:fill="FFFFFF"/>
            <w:noWrap/>
            <w:vAlign w:val="center"/>
            <w:hideMark/>
          </w:tcPr>
          <w:p w14:paraId="7DF02637"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X</w:t>
            </w:r>
          </w:p>
        </w:tc>
      </w:tr>
      <w:tr w:rsidR="007B25E7" w:rsidRPr="007B25E7" w14:paraId="409CB996" w14:textId="77777777" w:rsidTr="007B25E7">
        <w:trPr>
          <w:cantSplit/>
          <w:trHeight w:val="283"/>
        </w:trPr>
        <w:tc>
          <w:tcPr>
            <w:tcW w:w="0" w:type="auto"/>
            <w:vMerge/>
            <w:tcBorders>
              <w:top w:val="nil"/>
              <w:left w:val="nil"/>
              <w:bottom w:val="single" w:sz="8" w:space="0" w:color="000000"/>
              <w:right w:val="nil"/>
            </w:tcBorders>
            <w:vAlign w:val="center"/>
            <w:hideMark/>
          </w:tcPr>
          <w:p w14:paraId="1EE92C47"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4" w:space="0" w:color="auto"/>
              <w:right w:val="nil"/>
            </w:tcBorders>
            <w:noWrap/>
            <w:vAlign w:val="center"/>
            <w:hideMark/>
          </w:tcPr>
          <w:p w14:paraId="72545B49"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CERN-CZ</w:t>
            </w:r>
          </w:p>
        </w:tc>
        <w:tc>
          <w:tcPr>
            <w:tcW w:w="0" w:type="auto"/>
            <w:tcBorders>
              <w:top w:val="nil"/>
              <w:left w:val="nil"/>
              <w:bottom w:val="single" w:sz="4" w:space="0" w:color="auto"/>
              <w:right w:val="nil"/>
            </w:tcBorders>
            <w:shd w:val="clear" w:color="000000" w:fill="FFFFFF"/>
            <w:noWrap/>
            <w:vAlign w:val="center"/>
            <w:hideMark/>
          </w:tcPr>
          <w:p w14:paraId="293EED67"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LM2023040</w:t>
            </w:r>
          </w:p>
        </w:tc>
        <w:tc>
          <w:tcPr>
            <w:tcW w:w="0" w:type="auto"/>
            <w:tcBorders>
              <w:top w:val="nil"/>
              <w:left w:val="nil"/>
              <w:bottom w:val="single" w:sz="4" w:space="0" w:color="auto"/>
              <w:right w:val="nil"/>
            </w:tcBorders>
            <w:noWrap/>
            <w:vAlign w:val="center"/>
            <w:hideMark/>
          </w:tcPr>
          <w:p w14:paraId="6E265D9C"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206.4</w:t>
            </w:r>
          </w:p>
        </w:tc>
        <w:tc>
          <w:tcPr>
            <w:tcW w:w="0" w:type="auto"/>
            <w:tcBorders>
              <w:top w:val="single" w:sz="4" w:space="0" w:color="auto"/>
              <w:left w:val="nil"/>
              <w:bottom w:val="single" w:sz="4" w:space="0" w:color="auto"/>
              <w:right w:val="nil"/>
            </w:tcBorders>
            <w:shd w:val="clear" w:color="000000" w:fill="FFDD82"/>
            <w:noWrap/>
            <w:vAlign w:val="center"/>
            <w:hideMark/>
          </w:tcPr>
          <w:p w14:paraId="50E217AA"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17.</w:t>
            </w:r>
            <w:proofErr w:type="gramStart"/>
            <w:r w:rsidRPr="007B25E7">
              <w:rPr>
                <w:rFonts w:eastAsia="Times New Roman" w:cs="Arial"/>
                <w:color w:val="000000"/>
                <w:sz w:val="14"/>
                <w:szCs w:val="14"/>
                <w:lang w:eastAsia="en-GB"/>
              </w:rPr>
              <w:t>1%</w:t>
            </w:r>
            <w:proofErr w:type="gramEnd"/>
          </w:p>
        </w:tc>
        <w:tc>
          <w:tcPr>
            <w:tcW w:w="0" w:type="auto"/>
            <w:vMerge/>
            <w:tcBorders>
              <w:top w:val="nil"/>
              <w:left w:val="nil"/>
              <w:bottom w:val="single" w:sz="8" w:space="0" w:color="000000"/>
              <w:right w:val="nil"/>
            </w:tcBorders>
            <w:vAlign w:val="center"/>
            <w:hideMark/>
          </w:tcPr>
          <w:p w14:paraId="0CB2C77A"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4" w:space="0" w:color="auto"/>
              <w:right w:val="nil"/>
            </w:tcBorders>
            <w:shd w:val="clear" w:color="000000" w:fill="FFFFFF"/>
            <w:noWrap/>
            <w:vAlign w:val="center"/>
            <w:hideMark/>
          </w:tcPr>
          <w:p w14:paraId="419B4A51"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4" w:space="0" w:color="auto"/>
              <w:right w:val="nil"/>
            </w:tcBorders>
            <w:shd w:val="clear" w:color="000000" w:fill="FFFFFF"/>
            <w:noWrap/>
            <w:vAlign w:val="center"/>
            <w:hideMark/>
          </w:tcPr>
          <w:p w14:paraId="7D7EEBB3" w14:textId="463732A2" w:rsidR="007B25E7" w:rsidRPr="007B25E7" w:rsidRDefault="00472253" w:rsidP="007B25E7">
            <w:pPr>
              <w:spacing w:after="0" w:line="240" w:lineRule="auto"/>
              <w:jc w:val="center"/>
              <w:rPr>
                <w:rFonts w:eastAsia="Times New Roman" w:cs="Arial"/>
                <w:color w:val="000000"/>
                <w:sz w:val="14"/>
                <w:szCs w:val="14"/>
                <w:lang w:eastAsia="en-GB"/>
              </w:rPr>
            </w:pPr>
            <w:proofErr w:type="spellStart"/>
            <w:r w:rsidRPr="007B25E7">
              <w:rPr>
                <w:rFonts w:eastAsia="Times New Roman" w:cs="Arial"/>
                <w:color w:val="000000"/>
                <w:sz w:val="14"/>
                <w:szCs w:val="14"/>
                <w:lang w:eastAsia="en-GB"/>
              </w:rPr>
              <w:t>distribu</w:t>
            </w:r>
            <w:r>
              <w:rPr>
                <w:rFonts w:eastAsia="Times New Roman" w:cs="Arial"/>
                <w:color w:val="000000"/>
                <w:sz w:val="14"/>
                <w:szCs w:val="14"/>
                <w:lang w:eastAsia="en-GB"/>
              </w:rPr>
              <w:t>ted</w:t>
            </w:r>
            <w:proofErr w:type="spellEnd"/>
          </w:p>
        </w:tc>
        <w:tc>
          <w:tcPr>
            <w:tcW w:w="0" w:type="auto"/>
            <w:tcBorders>
              <w:top w:val="nil"/>
              <w:left w:val="nil"/>
              <w:bottom w:val="single" w:sz="4" w:space="0" w:color="auto"/>
              <w:right w:val="nil"/>
            </w:tcBorders>
            <w:shd w:val="clear" w:color="000000" w:fill="FFFFFF"/>
            <w:noWrap/>
            <w:vAlign w:val="center"/>
            <w:hideMark/>
          </w:tcPr>
          <w:p w14:paraId="09252FE9"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2010</w:t>
            </w:r>
          </w:p>
        </w:tc>
        <w:tc>
          <w:tcPr>
            <w:tcW w:w="0" w:type="auto"/>
            <w:tcBorders>
              <w:top w:val="nil"/>
              <w:left w:val="nil"/>
              <w:bottom w:val="single" w:sz="4" w:space="0" w:color="auto"/>
              <w:right w:val="nil"/>
            </w:tcBorders>
            <w:noWrap/>
            <w:vAlign w:val="center"/>
            <w:hideMark/>
          </w:tcPr>
          <w:p w14:paraId="72ABB71D" w14:textId="77777777" w:rsidR="007B25E7" w:rsidRPr="007B25E7" w:rsidRDefault="007B25E7" w:rsidP="007B25E7">
            <w:pPr>
              <w:spacing w:after="0" w:line="240" w:lineRule="auto"/>
              <w:jc w:val="center"/>
              <w:rPr>
                <w:rFonts w:eastAsia="Times New Roman" w:cs="Arial"/>
                <w:sz w:val="14"/>
                <w:szCs w:val="14"/>
                <w:lang w:eastAsia="en-GB"/>
              </w:rPr>
            </w:pPr>
            <w:r w:rsidRPr="007B25E7">
              <w:rPr>
                <w:rFonts w:eastAsia="Times New Roman" w:cs="Arial"/>
                <w:sz w:val="14"/>
                <w:szCs w:val="14"/>
                <w:lang w:eastAsia="en-GB"/>
              </w:rPr>
              <w:t xml:space="preserve">ESFRI </w:t>
            </w:r>
            <w:proofErr w:type="spellStart"/>
            <w:r w:rsidRPr="007B25E7">
              <w:rPr>
                <w:rFonts w:eastAsia="Times New Roman" w:cs="Arial"/>
                <w:sz w:val="14"/>
                <w:szCs w:val="14"/>
                <w:lang w:eastAsia="en-GB"/>
              </w:rPr>
              <w:t>Landmark</w:t>
            </w:r>
            <w:proofErr w:type="spellEnd"/>
          </w:p>
        </w:tc>
      </w:tr>
      <w:tr w:rsidR="007B25E7" w:rsidRPr="007B25E7" w14:paraId="68623AF3" w14:textId="77777777" w:rsidTr="007B25E7">
        <w:trPr>
          <w:cantSplit/>
          <w:trHeight w:val="283"/>
        </w:trPr>
        <w:tc>
          <w:tcPr>
            <w:tcW w:w="0" w:type="auto"/>
            <w:vMerge/>
            <w:tcBorders>
              <w:top w:val="nil"/>
              <w:left w:val="nil"/>
              <w:bottom w:val="single" w:sz="8" w:space="0" w:color="000000"/>
              <w:right w:val="nil"/>
            </w:tcBorders>
            <w:vAlign w:val="center"/>
            <w:hideMark/>
          </w:tcPr>
          <w:p w14:paraId="5788989E"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4" w:space="0" w:color="auto"/>
              <w:right w:val="nil"/>
            </w:tcBorders>
            <w:noWrap/>
            <w:vAlign w:val="center"/>
            <w:hideMark/>
          </w:tcPr>
          <w:p w14:paraId="2E53B92B"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CTA-CZ</w:t>
            </w:r>
          </w:p>
        </w:tc>
        <w:tc>
          <w:tcPr>
            <w:tcW w:w="0" w:type="auto"/>
            <w:tcBorders>
              <w:top w:val="nil"/>
              <w:left w:val="nil"/>
              <w:bottom w:val="single" w:sz="4" w:space="0" w:color="auto"/>
              <w:right w:val="nil"/>
            </w:tcBorders>
            <w:shd w:val="clear" w:color="000000" w:fill="FFFFFF"/>
            <w:noWrap/>
            <w:vAlign w:val="center"/>
            <w:hideMark/>
          </w:tcPr>
          <w:p w14:paraId="5CF3834E"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LM2023047</w:t>
            </w:r>
          </w:p>
        </w:tc>
        <w:tc>
          <w:tcPr>
            <w:tcW w:w="0" w:type="auto"/>
            <w:tcBorders>
              <w:top w:val="nil"/>
              <w:left w:val="nil"/>
              <w:bottom w:val="single" w:sz="4" w:space="0" w:color="auto"/>
              <w:right w:val="nil"/>
            </w:tcBorders>
            <w:noWrap/>
            <w:vAlign w:val="center"/>
            <w:hideMark/>
          </w:tcPr>
          <w:p w14:paraId="05013BA1"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65.4</w:t>
            </w:r>
          </w:p>
        </w:tc>
        <w:tc>
          <w:tcPr>
            <w:tcW w:w="0" w:type="auto"/>
            <w:tcBorders>
              <w:top w:val="single" w:sz="4" w:space="0" w:color="auto"/>
              <w:left w:val="nil"/>
              <w:bottom w:val="single" w:sz="4" w:space="0" w:color="auto"/>
              <w:right w:val="nil"/>
            </w:tcBorders>
            <w:shd w:val="clear" w:color="000000" w:fill="D1DD81"/>
            <w:noWrap/>
            <w:vAlign w:val="center"/>
            <w:hideMark/>
          </w:tcPr>
          <w:p w14:paraId="1B593F5F"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5.</w:t>
            </w:r>
            <w:proofErr w:type="gramStart"/>
            <w:r w:rsidRPr="007B25E7">
              <w:rPr>
                <w:rFonts w:eastAsia="Times New Roman" w:cs="Arial"/>
                <w:color w:val="000000"/>
                <w:sz w:val="14"/>
                <w:szCs w:val="14"/>
                <w:lang w:eastAsia="en-GB"/>
              </w:rPr>
              <w:t>4%</w:t>
            </w:r>
            <w:proofErr w:type="gramEnd"/>
          </w:p>
        </w:tc>
        <w:tc>
          <w:tcPr>
            <w:tcW w:w="0" w:type="auto"/>
            <w:vMerge/>
            <w:tcBorders>
              <w:top w:val="nil"/>
              <w:left w:val="nil"/>
              <w:bottom w:val="single" w:sz="8" w:space="0" w:color="000000"/>
              <w:right w:val="nil"/>
            </w:tcBorders>
            <w:vAlign w:val="center"/>
            <w:hideMark/>
          </w:tcPr>
          <w:p w14:paraId="49E0D59C"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4" w:space="0" w:color="auto"/>
              <w:right w:val="nil"/>
            </w:tcBorders>
            <w:shd w:val="clear" w:color="000000" w:fill="FFFFFF"/>
            <w:noWrap/>
            <w:vAlign w:val="center"/>
            <w:hideMark/>
          </w:tcPr>
          <w:p w14:paraId="516FA10E"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výstavba</w:t>
            </w:r>
          </w:p>
        </w:tc>
        <w:tc>
          <w:tcPr>
            <w:tcW w:w="0" w:type="auto"/>
            <w:tcBorders>
              <w:top w:val="nil"/>
              <w:left w:val="nil"/>
              <w:bottom w:val="single" w:sz="4" w:space="0" w:color="auto"/>
              <w:right w:val="nil"/>
            </w:tcBorders>
            <w:shd w:val="clear" w:color="000000" w:fill="FFFFFF"/>
            <w:noWrap/>
            <w:vAlign w:val="center"/>
            <w:hideMark/>
          </w:tcPr>
          <w:p w14:paraId="428278B1" w14:textId="290EC0B3" w:rsidR="007B25E7" w:rsidRPr="007B25E7" w:rsidRDefault="00472253" w:rsidP="007B25E7">
            <w:pPr>
              <w:spacing w:after="0" w:line="240" w:lineRule="auto"/>
              <w:jc w:val="center"/>
              <w:rPr>
                <w:rFonts w:eastAsia="Times New Roman" w:cs="Arial"/>
                <w:color w:val="000000"/>
                <w:sz w:val="14"/>
                <w:szCs w:val="14"/>
                <w:lang w:eastAsia="en-GB"/>
              </w:rPr>
            </w:pPr>
            <w:proofErr w:type="spellStart"/>
            <w:r w:rsidRPr="007B25E7">
              <w:rPr>
                <w:rFonts w:eastAsia="Times New Roman" w:cs="Arial"/>
                <w:color w:val="000000"/>
                <w:sz w:val="14"/>
                <w:szCs w:val="14"/>
                <w:lang w:eastAsia="en-GB"/>
              </w:rPr>
              <w:t>distribu</w:t>
            </w:r>
            <w:r>
              <w:rPr>
                <w:rFonts w:eastAsia="Times New Roman" w:cs="Arial"/>
                <w:color w:val="000000"/>
                <w:sz w:val="14"/>
                <w:szCs w:val="14"/>
                <w:lang w:eastAsia="en-GB"/>
              </w:rPr>
              <w:t>ted</w:t>
            </w:r>
            <w:proofErr w:type="spellEnd"/>
          </w:p>
        </w:tc>
        <w:tc>
          <w:tcPr>
            <w:tcW w:w="0" w:type="auto"/>
            <w:tcBorders>
              <w:top w:val="nil"/>
              <w:left w:val="nil"/>
              <w:bottom w:val="single" w:sz="4" w:space="0" w:color="auto"/>
              <w:right w:val="nil"/>
            </w:tcBorders>
            <w:shd w:val="clear" w:color="000000" w:fill="FFFFFF"/>
            <w:noWrap/>
            <w:vAlign w:val="center"/>
            <w:hideMark/>
          </w:tcPr>
          <w:p w14:paraId="225CF9A4"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2015</w:t>
            </w:r>
          </w:p>
        </w:tc>
        <w:tc>
          <w:tcPr>
            <w:tcW w:w="0" w:type="auto"/>
            <w:tcBorders>
              <w:top w:val="nil"/>
              <w:left w:val="nil"/>
              <w:bottom w:val="single" w:sz="4" w:space="0" w:color="auto"/>
              <w:right w:val="nil"/>
            </w:tcBorders>
            <w:shd w:val="clear" w:color="000000" w:fill="FFFFFF"/>
            <w:noWrap/>
            <w:vAlign w:val="center"/>
            <w:hideMark/>
          </w:tcPr>
          <w:p w14:paraId="63E1CC29"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 xml:space="preserve">ESFRI </w:t>
            </w:r>
            <w:proofErr w:type="spellStart"/>
            <w:r w:rsidRPr="007B25E7">
              <w:rPr>
                <w:rFonts w:eastAsia="Times New Roman" w:cs="Arial"/>
                <w:color w:val="000000"/>
                <w:sz w:val="14"/>
                <w:szCs w:val="14"/>
                <w:lang w:eastAsia="en-GB"/>
              </w:rPr>
              <w:t>Landmark</w:t>
            </w:r>
            <w:proofErr w:type="spellEnd"/>
          </w:p>
        </w:tc>
      </w:tr>
      <w:tr w:rsidR="007B25E7" w:rsidRPr="007B25E7" w14:paraId="36DAFAF3" w14:textId="77777777" w:rsidTr="007B25E7">
        <w:trPr>
          <w:cantSplit/>
          <w:trHeight w:val="283"/>
        </w:trPr>
        <w:tc>
          <w:tcPr>
            <w:tcW w:w="0" w:type="auto"/>
            <w:vMerge/>
            <w:tcBorders>
              <w:top w:val="nil"/>
              <w:left w:val="nil"/>
              <w:bottom w:val="single" w:sz="8" w:space="0" w:color="000000"/>
              <w:right w:val="nil"/>
            </w:tcBorders>
            <w:vAlign w:val="center"/>
            <w:hideMark/>
          </w:tcPr>
          <w:p w14:paraId="1B7C785C"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4" w:space="0" w:color="auto"/>
              <w:right w:val="nil"/>
            </w:tcBorders>
            <w:noWrap/>
            <w:vAlign w:val="center"/>
            <w:hideMark/>
          </w:tcPr>
          <w:p w14:paraId="11223379" w14:textId="77777777" w:rsidR="007B25E7" w:rsidRPr="007B25E7" w:rsidRDefault="007B25E7" w:rsidP="007B25E7">
            <w:pPr>
              <w:spacing w:after="0" w:line="240" w:lineRule="auto"/>
              <w:jc w:val="center"/>
              <w:rPr>
                <w:rFonts w:eastAsia="Times New Roman" w:cs="Arial"/>
                <w:color w:val="000000"/>
                <w:sz w:val="14"/>
                <w:szCs w:val="14"/>
                <w:lang w:eastAsia="en-GB"/>
              </w:rPr>
            </w:pPr>
            <w:proofErr w:type="spellStart"/>
            <w:r w:rsidRPr="007B25E7">
              <w:rPr>
                <w:rFonts w:eastAsia="Times New Roman" w:cs="Arial"/>
                <w:color w:val="000000"/>
                <w:sz w:val="14"/>
                <w:szCs w:val="14"/>
                <w:lang w:eastAsia="en-GB"/>
              </w:rPr>
              <w:t>CzechNanoLab</w:t>
            </w:r>
            <w:proofErr w:type="spellEnd"/>
          </w:p>
        </w:tc>
        <w:tc>
          <w:tcPr>
            <w:tcW w:w="0" w:type="auto"/>
            <w:tcBorders>
              <w:top w:val="nil"/>
              <w:left w:val="nil"/>
              <w:bottom w:val="single" w:sz="4" w:space="0" w:color="auto"/>
              <w:right w:val="nil"/>
            </w:tcBorders>
            <w:shd w:val="clear" w:color="000000" w:fill="FFFFFF"/>
            <w:noWrap/>
            <w:vAlign w:val="center"/>
            <w:hideMark/>
          </w:tcPr>
          <w:p w14:paraId="681D5876"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LM2023051</w:t>
            </w:r>
          </w:p>
        </w:tc>
        <w:tc>
          <w:tcPr>
            <w:tcW w:w="0" w:type="auto"/>
            <w:tcBorders>
              <w:top w:val="nil"/>
              <w:left w:val="nil"/>
              <w:bottom w:val="single" w:sz="4" w:space="0" w:color="auto"/>
              <w:right w:val="nil"/>
            </w:tcBorders>
            <w:noWrap/>
            <w:vAlign w:val="center"/>
            <w:hideMark/>
          </w:tcPr>
          <w:p w14:paraId="48D786DA"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294.5</w:t>
            </w:r>
          </w:p>
        </w:tc>
        <w:tc>
          <w:tcPr>
            <w:tcW w:w="0" w:type="auto"/>
            <w:tcBorders>
              <w:top w:val="single" w:sz="4" w:space="0" w:color="auto"/>
              <w:left w:val="nil"/>
              <w:bottom w:val="single" w:sz="4" w:space="0" w:color="auto"/>
              <w:right w:val="nil"/>
            </w:tcBorders>
            <w:shd w:val="clear" w:color="000000" w:fill="FED380"/>
            <w:noWrap/>
            <w:vAlign w:val="center"/>
            <w:hideMark/>
          </w:tcPr>
          <w:p w14:paraId="0F5D26D3"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24.</w:t>
            </w:r>
            <w:proofErr w:type="gramStart"/>
            <w:r w:rsidRPr="007B25E7">
              <w:rPr>
                <w:rFonts w:eastAsia="Times New Roman" w:cs="Arial"/>
                <w:color w:val="000000"/>
                <w:sz w:val="14"/>
                <w:szCs w:val="14"/>
                <w:lang w:eastAsia="en-GB"/>
              </w:rPr>
              <w:t>4%</w:t>
            </w:r>
            <w:proofErr w:type="gramEnd"/>
          </w:p>
        </w:tc>
        <w:tc>
          <w:tcPr>
            <w:tcW w:w="0" w:type="auto"/>
            <w:vMerge/>
            <w:tcBorders>
              <w:top w:val="nil"/>
              <w:left w:val="nil"/>
              <w:bottom w:val="single" w:sz="8" w:space="0" w:color="000000"/>
              <w:right w:val="nil"/>
            </w:tcBorders>
            <w:vAlign w:val="center"/>
            <w:hideMark/>
          </w:tcPr>
          <w:p w14:paraId="03A72707"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4" w:space="0" w:color="auto"/>
              <w:right w:val="nil"/>
            </w:tcBorders>
            <w:shd w:val="clear" w:color="000000" w:fill="FFFFFF"/>
            <w:noWrap/>
            <w:vAlign w:val="center"/>
            <w:hideMark/>
          </w:tcPr>
          <w:p w14:paraId="3E90D7C3"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4" w:space="0" w:color="auto"/>
              <w:right w:val="nil"/>
            </w:tcBorders>
            <w:shd w:val="clear" w:color="000000" w:fill="FFFFFF"/>
            <w:noWrap/>
            <w:vAlign w:val="center"/>
            <w:hideMark/>
          </w:tcPr>
          <w:p w14:paraId="55B231B9" w14:textId="3A01AE84" w:rsidR="007B25E7" w:rsidRPr="007B25E7" w:rsidRDefault="00472253" w:rsidP="007B25E7">
            <w:pPr>
              <w:spacing w:after="0" w:line="240" w:lineRule="auto"/>
              <w:jc w:val="center"/>
              <w:rPr>
                <w:rFonts w:eastAsia="Times New Roman" w:cs="Arial"/>
                <w:color w:val="000000"/>
                <w:sz w:val="14"/>
                <w:szCs w:val="14"/>
                <w:lang w:eastAsia="en-GB"/>
              </w:rPr>
            </w:pPr>
            <w:proofErr w:type="spellStart"/>
            <w:r w:rsidRPr="007B25E7">
              <w:rPr>
                <w:rFonts w:eastAsia="Times New Roman" w:cs="Arial"/>
                <w:color w:val="000000"/>
                <w:sz w:val="14"/>
                <w:szCs w:val="14"/>
                <w:lang w:eastAsia="en-GB"/>
              </w:rPr>
              <w:t>distribu</w:t>
            </w:r>
            <w:r>
              <w:rPr>
                <w:rFonts w:eastAsia="Times New Roman" w:cs="Arial"/>
                <w:color w:val="000000"/>
                <w:sz w:val="14"/>
                <w:szCs w:val="14"/>
                <w:lang w:eastAsia="en-GB"/>
              </w:rPr>
              <w:t>ted</w:t>
            </w:r>
            <w:proofErr w:type="spellEnd"/>
          </w:p>
        </w:tc>
        <w:tc>
          <w:tcPr>
            <w:tcW w:w="0" w:type="auto"/>
            <w:tcBorders>
              <w:top w:val="nil"/>
              <w:left w:val="nil"/>
              <w:bottom w:val="single" w:sz="4" w:space="0" w:color="auto"/>
              <w:right w:val="nil"/>
            </w:tcBorders>
            <w:shd w:val="clear" w:color="000000" w:fill="FFFFFF"/>
            <w:noWrap/>
            <w:vAlign w:val="center"/>
            <w:hideMark/>
          </w:tcPr>
          <w:p w14:paraId="302A76E7"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2010</w:t>
            </w:r>
          </w:p>
        </w:tc>
        <w:tc>
          <w:tcPr>
            <w:tcW w:w="0" w:type="auto"/>
            <w:tcBorders>
              <w:top w:val="nil"/>
              <w:left w:val="nil"/>
              <w:bottom w:val="single" w:sz="4" w:space="0" w:color="auto"/>
              <w:right w:val="nil"/>
            </w:tcBorders>
            <w:shd w:val="clear" w:color="000000" w:fill="FFFFFF"/>
            <w:noWrap/>
            <w:vAlign w:val="center"/>
            <w:hideMark/>
          </w:tcPr>
          <w:p w14:paraId="68203696"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X</w:t>
            </w:r>
          </w:p>
        </w:tc>
      </w:tr>
      <w:tr w:rsidR="007B25E7" w:rsidRPr="007B25E7" w14:paraId="12992020" w14:textId="77777777" w:rsidTr="007B25E7">
        <w:trPr>
          <w:cantSplit/>
          <w:trHeight w:val="283"/>
        </w:trPr>
        <w:tc>
          <w:tcPr>
            <w:tcW w:w="0" w:type="auto"/>
            <w:vMerge/>
            <w:tcBorders>
              <w:top w:val="nil"/>
              <w:left w:val="nil"/>
              <w:bottom w:val="single" w:sz="8" w:space="0" w:color="000000"/>
              <w:right w:val="nil"/>
            </w:tcBorders>
            <w:vAlign w:val="center"/>
            <w:hideMark/>
          </w:tcPr>
          <w:p w14:paraId="09DA09AF"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4" w:space="0" w:color="auto"/>
              <w:right w:val="nil"/>
            </w:tcBorders>
            <w:noWrap/>
            <w:vAlign w:val="center"/>
            <w:hideMark/>
          </w:tcPr>
          <w:p w14:paraId="0CB2240B"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 xml:space="preserve">ESS </w:t>
            </w:r>
            <w:proofErr w:type="spellStart"/>
            <w:r w:rsidRPr="007B25E7">
              <w:rPr>
                <w:rFonts w:eastAsia="Times New Roman" w:cs="Arial"/>
                <w:color w:val="000000"/>
                <w:sz w:val="14"/>
                <w:szCs w:val="14"/>
                <w:lang w:eastAsia="en-GB"/>
              </w:rPr>
              <w:t>Scandinavia</w:t>
            </w:r>
            <w:proofErr w:type="spellEnd"/>
            <w:r w:rsidRPr="007B25E7">
              <w:rPr>
                <w:rFonts w:eastAsia="Times New Roman" w:cs="Arial"/>
                <w:color w:val="000000"/>
                <w:sz w:val="14"/>
                <w:szCs w:val="14"/>
                <w:lang w:eastAsia="en-GB"/>
              </w:rPr>
              <w:t>-CZ</w:t>
            </w:r>
          </w:p>
        </w:tc>
        <w:tc>
          <w:tcPr>
            <w:tcW w:w="0" w:type="auto"/>
            <w:tcBorders>
              <w:top w:val="nil"/>
              <w:left w:val="nil"/>
              <w:bottom w:val="single" w:sz="4" w:space="0" w:color="auto"/>
              <w:right w:val="nil"/>
            </w:tcBorders>
            <w:shd w:val="clear" w:color="000000" w:fill="FFFFFF"/>
            <w:noWrap/>
            <w:vAlign w:val="center"/>
            <w:hideMark/>
          </w:tcPr>
          <w:p w14:paraId="291D6695"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LM2023057</w:t>
            </w:r>
          </w:p>
        </w:tc>
        <w:tc>
          <w:tcPr>
            <w:tcW w:w="0" w:type="auto"/>
            <w:tcBorders>
              <w:top w:val="nil"/>
              <w:left w:val="nil"/>
              <w:bottom w:val="single" w:sz="4" w:space="0" w:color="auto"/>
              <w:right w:val="nil"/>
            </w:tcBorders>
            <w:noWrap/>
            <w:vAlign w:val="center"/>
            <w:hideMark/>
          </w:tcPr>
          <w:p w14:paraId="67F51886"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21.8</w:t>
            </w:r>
          </w:p>
        </w:tc>
        <w:tc>
          <w:tcPr>
            <w:tcW w:w="0" w:type="auto"/>
            <w:tcBorders>
              <w:top w:val="single" w:sz="4" w:space="0" w:color="auto"/>
              <w:left w:val="nil"/>
              <w:bottom w:val="single" w:sz="4" w:space="0" w:color="auto"/>
              <w:right w:val="nil"/>
            </w:tcBorders>
            <w:shd w:val="clear" w:color="000000" w:fill="6EC17B"/>
            <w:noWrap/>
            <w:vAlign w:val="center"/>
            <w:hideMark/>
          </w:tcPr>
          <w:p w14:paraId="40BAC7F0"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1.</w:t>
            </w:r>
            <w:proofErr w:type="gramStart"/>
            <w:r w:rsidRPr="007B25E7">
              <w:rPr>
                <w:rFonts w:eastAsia="Times New Roman" w:cs="Arial"/>
                <w:color w:val="000000"/>
                <w:sz w:val="14"/>
                <w:szCs w:val="14"/>
                <w:lang w:eastAsia="en-GB"/>
              </w:rPr>
              <w:t>8%</w:t>
            </w:r>
            <w:proofErr w:type="gramEnd"/>
          </w:p>
        </w:tc>
        <w:tc>
          <w:tcPr>
            <w:tcW w:w="0" w:type="auto"/>
            <w:vMerge/>
            <w:tcBorders>
              <w:top w:val="nil"/>
              <w:left w:val="nil"/>
              <w:bottom w:val="single" w:sz="8" w:space="0" w:color="000000"/>
              <w:right w:val="nil"/>
            </w:tcBorders>
            <w:vAlign w:val="center"/>
            <w:hideMark/>
          </w:tcPr>
          <w:p w14:paraId="5895144F"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4" w:space="0" w:color="auto"/>
              <w:right w:val="nil"/>
            </w:tcBorders>
            <w:shd w:val="clear" w:color="000000" w:fill="FFFFFF"/>
            <w:noWrap/>
            <w:vAlign w:val="center"/>
            <w:hideMark/>
          </w:tcPr>
          <w:p w14:paraId="6A38F788"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výstavba</w:t>
            </w:r>
          </w:p>
        </w:tc>
        <w:tc>
          <w:tcPr>
            <w:tcW w:w="0" w:type="auto"/>
            <w:tcBorders>
              <w:top w:val="nil"/>
              <w:left w:val="nil"/>
              <w:bottom w:val="single" w:sz="4" w:space="0" w:color="auto"/>
              <w:right w:val="nil"/>
            </w:tcBorders>
            <w:shd w:val="clear" w:color="000000" w:fill="FFFFFF"/>
            <w:noWrap/>
            <w:vAlign w:val="center"/>
            <w:hideMark/>
          </w:tcPr>
          <w:p w14:paraId="267D1EA2"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single-</w:t>
            </w:r>
            <w:proofErr w:type="spellStart"/>
            <w:r w:rsidRPr="007B25E7">
              <w:rPr>
                <w:rFonts w:eastAsia="Times New Roman" w:cs="Arial"/>
                <w:color w:val="000000"/>
                <w:sz w:val="14"/>
                <w:szCs w:val="14"/>
                <w:lang w:eastAsia="en-GB"/>
              </w:rPr>
              <w:t>sited</w:t>
            </w:r>
            <w:proofErr w:type="spellEnd"/>
          </w:p>
        </w:tc>
        <w:tc>
          <w:tcPr>
            <w:tcW w:w="0" w:type="auto"/>
            <w:tcBorders>
              <w:top w:val="nil"/>
              <w:left w:val="nil"/>
              <w:bottom w:val="single" w:sz="4" w:space="0" w:color="auto"/>
              <w:right w:val="nil"/>
            </w:tcBorders>
            <w:shd w:val="clear" w:color="000000" w:fill="FFFFFF"/>
            <w:noWrap/>
            <w:vAlign w:val="center"/>
            <w:hideMark/>
          </w:tcPr>
          <w:p w14:paraId="290CFADB"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2010</w:t>
            </w:r>
          </w:p>
        </w:tc>
        <w:tc>
          <w:tcPr>
            <w:tcW w:w="0" w:type="auto"/>
            <w:tcBorders>
              <w:top w:val="nil"/>
              <w:left w:val="nil"/>
              <w:bottom w:val="single" w:sz="4" w:space="0" w:color="auto"/>
              <w:right w:val="nil"/>
            </w:tcBorders>
            <w:shd w:val="clear" w:color="000000" w:fill="FFFFFF"/>
            <w:noWrap/>
            <w:vAlign w:val="center"/>
            <w:hideMark/>
          </w:tcPr>
          <w:p w14:paraId="72005A67"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 xml:space="preserve">ESFRI </w:t>
            </w:r>
            <w:proofErr w:type="spellStart"/>
            <w:r w:rsidRPr="007B25E7">
              <w:rPr>
                <w:rFonts w:eastAsia="Times New Roman" w:cs="Arial"/>
                <w:color w:val="000000"/>
                <w:sz w:val="14"/>
                <w:szCs w:val="14"/>
                <w:lang w:eastAsia="en-GB"/>
              </w:rPr>
              <w:t>Landmark</w:t>
            </w:r>
            <w:proofErr w:type="spellEnd"/>
          </w:p>
        </w:tc>
      </w:tr>
      <w:tr w:rsidR="007B25E7" w:rsidRPr="007B25E7" w14:paraId="1B738AFF" w14:textId="77777777" w:rsidTr="007B25E7">
        <w:trPr>
          <w:cantSplit/>
          <w:trHeight w:val="283"/>
        </w:trPr>
        <w:tc>
          <w:tcPr>
            <w:tcW w:w="0" w:type="auto"/>
            <w:vMerge/>
            <w:tcBorders>
              <w:top w:val="nil"/>
              <w:left w:val="nil"/>
              <w:bottom w:val="single" w:sz="8" w:space="0" w:color="000000"/>
              <w:right w:val="nil"/>
            </w:tcBorders>
            <w:vAlign w:val="center"/>
            <w:hideMark/>
          </w:tcPr>
          <w:p w14:paraId="17722519"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4" w:space="0" w:color="auto"/>
              <w:right w:val="nil"/>
            </w:tcBorders>
            <w:noWrap/>
            <w:vAlign w:val="center"/>
            <w:hideMark/>
          </w:tcPr>
          <w:p w14:paraId="1105EFC6"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EST-CZ</w:t>
            </w:r>
          </w:p>
        </w:tc>
        <w:tc>
          <w:tcPr>
            <w:tcW w:w="0" w:type="auto"/>
            <w:tcBorders>
              <w:top w:val="nil"/>
              <w:left w:val="nil"/>
              <w:bottom w:val="single" w:sz="4" w:space="0" w:color="auto"/>
              <w:right w:val="nil"/>
            </w:tcBorders>
            <w:shd w:val="clear" w:color="000000" w:fill="FFFFFF"/>
            <w:noWrap/>
            <w:vAlign w:val="center"/>
            <w:hideMark/>
          </w:tcPr>
          <w:p w14:paraId="2BCC418B"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LM2023058</w:t>
            </w:r>
          </w:p>
        </w:tc>
        <w:tc>
          <w:tcPr>
            <w:tcW w:w="0" w:type="auto"/>
            <w:tcBorders>
              <w:top w:val="nil"/>
              <w:left w:val="nil"/>
              <w:bottom w:val="single" w:sz="4" w:space="0" w:color="auto"/>
              <w:right w:val="nil"/>
            </w:tcBorders>
            <w:noWrap/>
            <w:vAlign w:val="center"/>
            <w:hideMark/>
          </w:tcPr>
          <w:p w14:paraId="55FB3754"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41.4</w:t>
            </w:r>
          </w:p>
        </w:tc>
        <w:tc>
          <w:tcPr>
            <w:tcW w:w="0" w:type="auto"/>
            <w:tcBorders>
              <w:top w:val="single" w:sz="4" w:space="0" w:color="auto"/>
              <w:left w:val="nil"/>
              <w:bottom w:val="single" w:sz="4" w:space="0" w:color="auto"/>
              <w:right w:val="nil"/>
            </w:tcBorders>
            <w:shd w:val="clear" w:color="000000" w:fill="9ACE7E"/>
            <w:noWrap/>
            <w:vAlign w:val="center"/>
            <w:hideMark/>
          </w:tcPr>
          <w:p w14:paraId="21867672"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3.</w:t>
            </w:r>
            <w:proofErr w:type="gramStart"/>
            <w:r w:rsidRPr="007B25E7">
              <w:rPr>
                <w:rFonts w:eastAsia="Times New Roman" w:cs="Arial"/>
                <w:color w:val="000000"/>
                <w:sz w:val="14"/>
                <w:szCs w:val="14"/>
                <w:lang w:eastAsia="en-GB"/>
              </w:rPr>
              <w:t>4%</w:t>
            </w:r>
            <w:proofErr w:type="gramEnd"/>
          </w:p>
        </w:tc>
        <w:tc>
          <w:tcPr>
            <w:tcW w:w="0" w:type="auto"/>
            <w:vMerge/>
            <w:tcBorders>
              <w:top w:val="nil"/>
              <w:left w:val="nil"/>
              <w:bottom w:val="single" w:sz="8" w:space="0" w:color="000000"/>
              <w:right w:val="nil"/>
            </w:tcBorders>
            <w:vAlign w:val="center"/>
            <w:hideMark/>
          </w:tcPr>
          <w:p w14:paraId="3E7AC097"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4" w:space="0" w:color="auto"/>
              <w:right w:val="nil"/>
            </w:tcBorders>
            <w:shd w:val="clear" w:color="000000" w:fill="FFFFFF"/>
            <w:noWrap/>
            <w:vAlign w:val="center"/>
            <w:hideMark/>
          </w:tcPr>
          <w:p w14:paraId="063B3E25"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příprava</w:t>
            </w:r>
          </w:p>
        </w:tc>
        <w:tc>
          <w:tcPr>
            <w:tcW w:w="0" w:type="auto"/>
            <w:tcBorders>
              <w:top w:val="nil"/>
              <w:left w:val="nil"/>
              <w:bottom w:val="single" w:sz="4" w:space="0" w:color="auto"/>
              <w:right w:val="nil"/>
            </w:tcBorders>
            <w:shd w:val="clear" w:color="000000" w:fill="FFFFFF"/>
            <w:noWrap/>
            <w:vAlign w:val="center"/>
            <w:hideMark/>
          </w:tcPr>
          <w:p w14:paraId="29CBCA63"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single-</w:t>
            </w:r>
            <w:proofErr w:type="spellStart"/>
            <w:r w:rsidRPr="007B25E7">
              <w:rPr>
                <w:rFonts w:eastAsia="Times New Roman" w:cs="Arial"/>
                <w:color w:val="000000"/>
                <w:sz w:val="14"/>
                <w:szCs w:val="14"/>
                <w:lang w:eastAsia="en-GB"/>
              </w:rPr>
              <w:t>sited</w:t>
            </w:r>
            <w:proofErr w:type="spellEnd"/>
          </w:p>
        </w:tc>
        <w:tc>
          <w:tcPr>
            <w:tcW w:w="0" w:type="auto"/>
            <w:tcBorders>
              <w:top w:val="nil"/>
              <w:left w:val="nil"/>
              <w:bottom w:val="single" w:sz="4" w:space="0" w:color="auto"/>
              <w:right w:val="nil"/>
            </w:tcBorders>
            <w:shd w:val="clear" w:color="000000" w:fill="FFFFFF"/>
            <w:noWrap/>
            <w:vAlign w:val="center"/>
            <w:hideMark/>
          </w:tcPr>
          <w:p w14:paraId="0A20139B"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2019</w:t>
            </w:r>
          </w:p>
        </w:tc>
        <w:tc>
          <w:tcPr>
            <w:tcW w:w="0" w:type="auto"/>
            <w:tcBorders>
              <w:top w:val="nil"/>
              <w:left w:val="nil"/>
              <w:bottom w:val="single" w:sz="4" w:space="0" w:color="auto"/>
              <w:right w:val="nil"/>
            </w:tcBorders>
            <w:shd w:val="clear" w:color="000000" w:fill="FFFFFF"/>
            <w:noWrap/>
            <w:vAlign w:val="center"/>
            <w:hideMark/>
          </w:tcPr>
          <w:p w14:paraId="0B9CDA68"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ESFRI Project</w:t>
            </w:r>
          </w:p>
        </w:tc>
      </w:tr>
      <w:tr w:rsidR="007B25E7" w:rsidRPr="007B25E7" w14:paraId="5D24D6AE" w14:textId="77777777" w:rsidTr="007B25E7">
        <w:trPr>
          <w:cantSplit/>
          <w:trHeight w:val="283"/>
        </w:trPr>
        <w:tc>
          <w:tcPr>
            <w:tcW w:w="0" w:type="auto"/>
            <w:vMerge/>
            <w:tcBorders>
              <w:top w:val="nil"/>
              <w:left w:val="nil"/>
              <w:bottom w:val="single" w:sz="8" w:space="0" w:color="000000"/>
              <w:right w:val="nil"/>
            </w:tcBorders>
            <w:vAlign w:val="center"/>
            <w:hideMark/>
          </w:tcPr>
          <w:p w14:paraId="3AA8097E"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4" w:space="0" w:color="auto"/>
              <w:right w:val="nil"/>
            </w:tcBorders>
            <w:noWrap/>
            <w:vAlign w:val="center"/>
            <w:hideMark/>
          </w:tcPr>
          <w:p w14:paraId="5B80EABB" w14:textId="77777777" w:rsidR="007B25E7" w:rsidRPr="007B25E7" w:rsidRDefault="007B25E7" w:rsidP="007B25E7">
            <w:pPr>
              <w:spacing w:after="0" w:line="240" w:lineRule="auto"/>
              <w:jc w:val="center"/>
              <w:rPr>
                <w:rFonts w:eastAsia="Times New Roman" w:cs="Arial"/>
                <w:color w:val="00000A"/>
                <w:sz w:val="14"/>
                <w:szCs w:val="14"/>
                <w:lang w:eastAsia="en-GB"/>
              </w:rPr>
            </w:pPr>
            <w:r w:rsidRPr="007B25E7">
              <w:rPr>
                <w:rFonts w:eastAsia="Times New Roman" w:cs="Arial"/>
                <w:color w:val="00000A"/>
                <w:sz w:val="14"/>
                <w:szCs w:val="14"/>
                <w:lang w:eastAsia="en-GB"/>
              </w:rPr>
              <w:t>EU-ARC.CZ</w:t>
            </w:r>
          </w:p>
        </w:tc>
        <w:tc>
          <w:tcPr>
            <w:tcW w:w="0" w:type="auto"/>
            <w:tcBorders>
              <w:top w:val="nil"/>
              <w:left w:val="nil"/>
              <w:bottom w:val="single" w:sz="4" w:space="0" w:color="auto"/>
              <w:right w:val="nil"/>
            </w:tcBorders>
            <w:shd w:val="clear" w:color="000000" w:fill="FFFFFF"/>
            <w:noWrap/>
            <w:vAlign w:val="center"/>
            <w:hideMark/>
          </w:tcPr>
          <w:p w14:paraId="7BB9FE78"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LM2023059</w:t>
            </w:r>
          </w:p>
        </w:tc>
        <w:tc>
          <w:tcPr>
            <w:tcW w:w="0" w:type="auto"/>
            <w:tcBorders>
              <w:top w:val="nil"/>
              <w:left w:val="nil"/>
              <w:bottom w:val="single" w:sz="4" w:space="0" w:color="auto"/>
              <w:right w:val="nil"/>
            </w:tcBorders>
            <w:noWrap/>
            <w:vAlign w:val="center"/>
            <w:hideMark/>
          </w:tcPr>
          <w:p w14:paraId="29642912"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20.7</w:t>
            </w:r>
          </w:p>
        </w:tc>
        <w:tc>
          <w:tcPr>
            <w:tcW w:w="0" w:type="auto"/>
            <w:tcBorders>
              <w:top w:val="single" w:sz="4" w:space="0" w:color="auto"/>
              <w:left w:val="nil"/>
              <w:bottom w:val="single" w:sz="4" w:space="0" w:color="auto"/>
              <w:right w:val="nil"/>
            </w:tcBorders>
            <w:shd w:val="clear" w:color="000000" w:fill="6BC07B"/>
            <w:noWrap/>
            <w:vAlign w:val="center"/>
            <w:hideMark/>
          </w:tcPr>
          <w:p w14:paraId="02886B8A"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1.</w:t>
            </w:r>
            <w:proofErr w:type="gramStart"/>
            <w:r w:rsidRPr="007B25E7">
              <w:rPr>
                <w:rFonts w:eastAsia="Times New Roman" w:cs="Arial"/>
                <w:color w:val="000000"/>
                <w:sz w:val="14"/>
                <w:szCs w:val="14"/>
                <w:lang w:eastAsia="en-GB"/>
              </w:rPr>
              <w:t>7%</w:t>
            </w:r>
            <w:proofErr w:type="gramEnd"/>
          </w:p>
        </w:tc>
        <w:tc>
          <w:tcPr>
            <w:tcW w:w="0" w:type="auto"/>
            <w:vMerge/>
            <w:tcBorders>
              <w:top w:val="nil"/>
              <w:left w:val="nil"/>
              <w:bottom w:val="single" w:sz="8" w:space="0" w:color="000000"/>
              <w:right w:val="nil"/>
            </w:tcBorders>
            <w:vAlign w:val="center"/>
            <w:hideMark/>
          </w:tcPr>
          <w:p w14:paraId="469231FF"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4" w:space="0" w:color="auto"/>
              <w:right w:val="nil"/>
            </w:tcBorders>
            <w:shd w:val="clear" w:color="000000" w:fill="FFFFFF"/>
            <w:noWrap/>
            <w:vAlign w:val="center"/>
            <w:hideMark/>
          </w:tcPr>
          <w:p w14:paraId="7194EB90"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4" w:space="0" w:color="auto"/>
              <w:right w:val="nil"/>
            </w:tcBorders>
            <w:shd w:val="clear" w:color="000000" w:fill="FFFFFF"/>
            <w:noWrap/>
            <w:vAlign w:val="center"/>
            <w:hideMark/>
          </w:tcPr>
          <w:p w14:paraId="791DE1AE" w14:textId="65497FBB" w:rsidR="007B25E7" w:rsidRPr="007B25E7" w:rsidRDefault="00472253" w:rsidP="007B25E7">
            <w:pPr>
              <w:spacing w:after="0" w:line="240" w:lineRule="auto"/>
              <w:jc w:val="center"/>
              <w:rPr>
                <w:rFonts w:eastAsia="Times New Roman" w:cs="Arial"/>
                <w:color w:val="000000"/>
                <w:sz w:val="14"/>
                <w:szCs w:val="14"/>
                <w:lang w:eastAsia="en-GB"/>
              </w:rPr>
            </w:pPr>
            <w:proofErr w:type="spellStart"/>
            <w:r w:rsidRPr="007B25E7">
              <w:rPr>
                <w:rFonts w:eastAsia="Times New Roman" w:cs="Arial"/>
                <w:color w:val="000000"/>
                <w:sz w:val="14"/>
                <w:szCs w:val="14"/>
                <w:lang w:eastAsia="en-GB"/>
              </w:rPr>
              <w:t>distribu</w:t>
            </w:r>
            <w:r>
              <w:rPr>
                <w:rFonts w:eastAsia="Times New Roman" w:cs="Arial"/>
                <w:color w:val="000000"/>
                <w:sz w:val="14"/>
                <w:szCs w:val="14"/>
                <w:lang w:eastAsia="en-GB"/>
              </w:rPr>
              <w:t>ted</w:t>
            </w:r>
            <w:proofErr w:type="spellEnd"/>
          </w:p>
        </w:tc>
        <w:tc>
          <w:tcPr>
            <w:tcW w:w="0" w:type="auto"/>
            <w:tcBorders>
              <w:top w:val="nil"/>
              <w:left w:val="nil"/>
              <w:bottom w:val="single" w:sz="4" w:space="0" w:color="auto"/>
              <w:right w:val="nil"/>
            </w:tcBorders>
            <w:shd w:val="clear" w:color="000000" w:fill="FFFFFF"/>
            <w:noWrap/>
            <w:vAlign w:val="center"/>
            <w:hideMark/>
          </w:tcPr>
          <w:p w14:paraId="0A67BF7C"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2015</w:t>
            </w:r>
          </w:p>
        </w:tc>
        <w:tc>
          <w:tcPr>
            <w:tcW w:w="0" w:type="auto"/>
            <w:tcBorders>
              <w:top w:val="nil"/>
              <w:left w:val="nil"/>
              <w:bottom w:val="single" w:sz="4" w:space="0" w:color="auto"/>
              <w:right w:val="nil"/>
            </w:tcBorders>
            <w:shd w:val="clear" w:color="000000" w:fill="FFFFFF"/>
            <w:noWrap/>
            <w:vAlign w:val="center"/>
            <w:hideMark/>
          </w:tcPr>
          <w:p w14:paraId="4929A17B"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X</w:t>
            </w:r>
          </w:p>
        </w:tc>
      </w:tr>
      <w:tr w:rsidR="007B25E7" w:rsidRPr="007B25E7" w14:paraId="317AEF60" w14:textId="77777777" w:rsidTr="007B25E7">
        <w:trPr>
          <w:cantSplit/>
          <w:trHeight w:val="283"/>
        </w:trPr>
        <w:tc>
          <w:tcPr>
            <w:tcW w:w="0" w:type="auto"/>
            <w:vMerge/>
            <w:tcBorders>
              <w:top w:val="nil"/>
              <w:left w:val="nil"/>
              <w:bottom w:val="single" w:sz="8" w:space="0" w:color="000000"/>
              <w:right w:val="nil"/>
            </w:tcBorders>
            <w:vAlign w:val="center"/>
            <w:hideMark/>
          </w:tcPr>
          <w:p w14:paraId="694CB9BC"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4" w:space="0" w:color="auto"/>
              <w:right w:val="nil"/>
            </w:tcBorders>
            <w:noWrap/>
            <w:vAlign w:val="center"/>
            <w:hideMark/>
          </w:tcPr>
          <w:p w14:paraId="3F7E4A0C"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FAIR-CZ</w:t>
            </w:r>
          </w:p>
        </w:tc>
        <w:tc>
          <w:tcPr>
            <w:tcW w:w="0" w:type="auto"/>
            <w:tcBorders>
              <w:top w:val="nil"/>
              <w:left w:val="nil"/>
              <w:bottom w:val="single" w:sz="4" w:space="0" w:color="auto"/>
              <w:right w:val="nil"/>
            </w:tcBorders>
            <w:shd w:val="clear" w:color="000000" w:fill="FFFFFF"/>
            <w:noWrap/>
            <w:vAlign w:val="center"/>
            <w:hideMark/>
          </w:tcPr>
          <w:p w14:paraId="6AEB85A6"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LM2023060</w:t>
            </w:r>
          </w:p>
        </w:tc>
        <w:tc>
          <w:tcPr>
            <w:tcW w:w="0" w:type="auto"/>
            <w:tcBorders>
              <w:top w:val="nil"/>
              <w:left w:val="nil"/>
              <w:bottom w:val="single" w:sz="4" w:space="0" w:color="auto"/>
              <w:right w:val="nil"/>
            </w:tcBorders>
            <w:noWrap/>
            <w:vAlign w:val="center"/>
            <w:hideMark/>
          </w:tcPr>
          <w:p w14:paraId="68732298"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29.7</w:t>
            </w:r>
          </w:p>
        </w:tc>
        <w:tc>
          <w:tcPr>
            <w:tcW w:w="0" w:type="auto"/>
            <w:tcBorders>
              <w:top w:val="single" w:sz="4" w:space="0" w:color="auto"/>
              <w:left w:val="nil"/>
              <w:bottom w:val="single" w:sz="4" w:space="0" w:color="auto"/>
              <w:right w:val="nil"/>
            </w:tcBorders>
            <w:shd w:val="clear" w:color="000000" w:fill="80C67C"/>
            <w:noWrap/>
            <w:vAlign w:val="center"/>
            <w:hideMark/>
          </w:tcPr>
          <w:p w14:paraId="240313A3"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w:t>
            </w:r>
            <w:proofErr w:type="gramStart"/>
            <w:r w:rsidRPr="007B25E7">
              <w:rPr>
                <w:rFonts w:eastAsia="Times New Roman" w:cs="Arial"/>
                <w:color w:val="000000"/>
                <w:sz w:val="14"/>
                <w:szCs w:val="14"/>
                <w:lang w:eastAsia="en-GB"/>
              </w:rPr>
              <w:t>5%</w:t>
            </w:r>
            <w:proofErr w:type="gramEnd"/>
          </w:p>
        </w:tc>
        <w:tc>
          <w:tcPr>
            <w:tcW w:w="0" w:type="auto"/>
            <w:vMerge/>
            <w:tcBorders>
              <w:top w:val="nil"/>
              <w:left w:val="nil"/>
              <w:bottom w:val="single" w:sz="8" w:space="0" w:color="000000"/>
              <w:right w:val="nil"/>
            </w:tcBorders>
            <w:vAlign w:val="center"/>
            <w:hideMark/>
          </w:tcPr>
          <w:p w14:paraId="251515B4"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4" w:space="0" w:color="auto"/>
              <w:right w:val="nil"/>
            </w:tcBorders>
            <w:shd w:val="clear" w:color="000000" w:fill="FFFFFF"/>
            <w:noWrap/>
            <w:vAlign w:val="center"/>
            <w:hideMark/>
          </w:tcPr>
          <w:p w14:paraId="34EE6ACA"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výstavba</w:t>
            </w:r>
          </w:p>
        </w:tc>
        <w:tc>
          <w:tcPr>
            <w:tcW w:w="0" w:type="auto"/>
            <w:tcBorders>
              <w:top w:val="nil"/>
              <w:left w:val="nil"/>
              <w:bottom w:val="single" w:sz="4" w:space="0" w:color="auto"/>
              <w:right w:val="nil"/>
            </w:tcBorders>
            <w:shd w:val="clear" w:color="000000" w:fill="FFFFFF"/>
            <w:noWrap/>
            <w:vAlign w:val="center"/>
            <w:hideMark/>
          </w:tcPr>
          <w:p w14:paraId="39839D67" w14:textId="184F8CAB" w:rsidR="007B25E7" w:rsidRPr="007B25E7" w:rsidRDefault="00472253" w:rsidP="007B25E7">
            <w:pPr>
              <w:spacing w:after="0" w:line="240" w:lineRule="auto"/>
              <w:jc w:val="center"/>
              <w:rPr>
                <w:rFonts w:eastAsia="Times New Roman" w:cs="Arial"/>
                <w:color w:val="000000"/>
                <w:sz w:val="14"/>
                <w:szCs w:val="14"/>
                <w:lang w:eastAsia="en-GB"/>
              </w:rPr>
            </w:pPr>
            <w:proofErr w:type="spellStart"/>
            <w:r w:rsidRPr="007B25E7">
              <w:rPr>
                <w:rFonts w:eastAsia="Times New Roman" w:cs="Arial"/>
                <w:color w:val="000000"/>
                <w:sz w:val="14"/>
                <w:szCs w:val="14"/>
                <w:lang w:eastAsia="en-GB"/>
              </w:rPr>
              <w:t>distribu</w:t>
            </w:r>
            <w:r>
              <w:rPr>
                <w:rFonts w:eastAsia="Times New Roman" w:cs="Arial"/>
                <w:color w:val="000000"/>
                <w:sz w:val="14"/>
                <w:szCs w:val="14"/>
                <w:lang w:eastAsia="en-GB"/>
              </w:rPr>
              <w:t>ted</w:t>
            </w:r>
            <w:proofErr w:type="spellEnd"/>
          </w:p>
        </w:tc>
        <w:tc>
          <w:tcPr>
            <w:tcW w:w="0" w:type="auto"/>
            <w:tcBorders>
              <w:top w:val="nil"/>
              <w:left w:val="nil"/>
              <w:bottom w:val="single" w:sz="4" w:space="0" w:color="auto"/>
              <w:right w:val="nil"/>
            </w:tcBorders>
            <w:shd w:val="clear" w:color="000000" w:fill="FFFFFF"/>
            <w:noWrap/>
            <w:vAlign w:val="center"/>
            <w:hideMark/>
          </w:tcPr>
          <w:p w14:paraId="093A3FFA"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2010</w:t>
            </w:r>
          </w:p>
        </w:tc>
        <w:tc>
          <w:tcPr>
            <w:tcW w:w="0" w:type="auto"/>
            <w:tcBorders>
              <w:top w:val="nil"/>
              <w:left w:val="nil"/>
              <w:bottom w:val="single" w:sz="4" w:space="0" w:color="auto"/>
              <w:right w:val="nil"/>
            </w:tcBorders>
            <w:shd w:val="clear" w:color="000000" w:fill="FFFFFF"/>
            <w:noWrap/>
            <w:vAlign w:val="center"/>
            <w:hideMark/>
          </w:tcPr>
          <w:p w14:paraId="1AB51F35"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 xml:space="preserve">ESFRI </w:t>
            </w:r>
            <w:proofErr w:type="spellStart"/>
            <w:r w:rsidRPr="007B25E7">
              <w:rPr>
                <w:rFonts w:eastAsia="Times New Roman" w:cs="Arial"/>
                <w:color w:val="000000"/>
                <w:sz w:val="14"/>
                <w:szCs w:val="14"/>
                <w:lang w:eastAsia="en-GB"/>
              </w:rPr>
              <w:t>Landmark</w:t>
            </w:r>
            <w:proofErr w:type="spellEnd"/>
          </w:p>
        </w:tc>
      </w:tr>
      <w:tr w:rsidR="007B25E7" w:rsidRPr="007B25E7" w14:paraId="394368D1" w14:textId="77777777" w:rsidTr="007B25E7">
        <w:trPr>
          <w:cantSplit/>
          <w:trHeight w:val="283"/>
        </w:trPr>
        <w:tc>
          <w:tcPr>
            <w:tcW w:w="0" w:type="auto"/>
            <w:vMerge/>
            <w:tcBorders>
              <w:top w:val="nil"/>
              <w:left w:val="nil"/>
              <w:bottom w:val="single" w:sz="8" w:space="0" w:color="000000"/>
              <w:right w:val="nil"/>
            </w:tcBorders>
            <w:vAlign w:val="center"/>
            <w:hideMark/>
          </w:tcPr>
          <w:p w14:paraId="543DF56A"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4" w:space="0" w:color="auto"/>
              <w:right w:val="nil"/>
            </w:tcBorders>
            <w:noWrap/>
            <w:vAlign w:val="center"/>
            <w:hideMark/>
          </w:tcPr>
          <w:p w14:paraId="67FCBE8B"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FERMILAB-CZ</w:t>
            </w:r>
          </w:p>
        </w:tc>
        <w:tc>
          <w:tcPr>
            <w:tcW w:w="0" w:type="auto"/>
            <w:tcBorders>
              <w:top w:val="nil"/>
              <w:left w:val="nil"/>
              <w:bottom w:val="single" w:sz="4" w:space="0" w:color="auto"/>
              <w:right w:val="nil"/>
            </w:tcBorders>
            <w:shd w:val="clear" w:color="000000" w:fill="FFFFFF"/>
            <w:noWrap/>
            <w:vAlign w:val="center"/>
            <w:hideMark/>
          </w:tcPr>
          <w:p w14:paraId="6626CEEF"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LM2023061</w:t>
            </w:r>
          </w:p>
        </w:tc>
        <w:tc>
          <w:tcPr>
            <w:tcW w:w="0" w:type="auto"/>
            <w:tcBorders>
              <w:top w:val="nil"/>
              <w:left w:val="nil"/>
              <w:bottom w:val="single" w:sz="4" w:space="0" w:color="auto"/>
              <w:right w:val="nil"/>
            </w:tcBorders>
            <w:noWrap/>
            <w:vAlign w:val="center"/>
            <w:hideMark/>
          </w:tcPr>
          <w:p w14:paraId="79DD8B00"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42.3</w:t>
            </w:r>
          </w:p>
        </w:tc>
        <w:tc>
          <w:tcPr>
            <w:tcW w:w="0" w:type="auto"/>
            <w:tcBorders>
              <w:top w:val="single" w:sz="4" w:space="0" w:color="auto"/>
              <w:left w:val="nil"/>
              <w:bottom w:val="single" w:sz="4" w:space="0" w:color="auto"/>
              <w:right w:val="nil"/>
            </w:tcBorders>
            <w:shd w:val="clear" w:color="000000" w:fill="9CCE7E"/>
            <w:noWrap/>
            <w:vAlign w:val="center"/>
            <w:hideMark/>
          </w:tcPr>
          <w:p w14:paraId="432A7995"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3.</w:t>
            </w:r>
            <w:proofErr w:type="gramStart"/>
            <w:r w:rsidRPr="007B25E7">
              <w:rPr>
                <w:rFonts w:eastAsia="Times New Roman" w:cs="Arial"/>
                <w:color w:val="000000"/>
                <w:sz w:val="14"/>
                <w:szCs w:val="14"/>
                <w:lang w:eastAsia="en-GB"/>
              </w:rPr>
              <w:t>5%</w:t>
            </w:r>
            <w:proofErr w:type="gramEnd"/>
          </w:p>
        </w:tc>
        <w:tc>
          <w:tcPr>
            <w:tcW w:w="0" w:type="auto"/>
            <w:vMerge/>
            <w:tcBorders>
              <w:top w:val="nil"/>
              <w:left w:val="nil"/>
              <w:bottom w:val="single" w:sz="8" w:space="0" w:color="000000"/>
              <w:right w:val="nil"/>
            </w:tcBorders>
            <w:vAlign w:val="center"/>
            <w:hideMark/>
          </w:tcPr>
          <w:p w14:paraId="4F872943"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4" w:space="0" w:color="auto"/>
              <w:right w:val="nil"/>
            </w:tcBorders>
            <w:shd w:val="clear" w:color="000000" w:fill="FFFFFF"/>
            <w:noWrap/>
            <w:vAlign w:val="center"/>
            <w:hideMark/>
          </w:tcPr>
          <w:p w14:paraId="0F46CAE8"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4" w:space="0" w:color="auto"/>
              <w:right w:val="nil"/>
            </w:tcBorders>
            <w:shd w:val="clear" w:color="000000" w:fill="FFFFFF"/>
            <w:noWrap/>
            <w:vAlign w:val="center"/>
            <w:hideMark/>
          </w:tcPr>
          <w:p w14:paraId="29E2D869" w14:textId="6F0FFCC9" w:rsidR="007B25E7" w:rsidRPr="007B25E7" w:rsidRDefault="00472253" w:rsidP="007B25E7">
            <w:pPr>
              <w:spacing w:after="0" w:line="240" w:lineRule="auto"/>
              <w:jc w:val="center"/>
              <w:rPr>
                <w:rFonts w:eastAsia="Times New Roman" w:cs="Arial"/>
                <w:color w:val="000000"/>
                <w:sz w:val="14"/>
                <w:szCs w:val="14"/>
                <w:lang w:eastAsia="en-GB"/>
              </w:rPr>
            </w:pPr>
            <w:proofErr w:type="spellStart"/>
            <w:r w:rsidRPr="007B25E7">
              <w:rPr>
                <w:rFonts w:eastAsia="Times New Roman" w:cs="Arial"/>
                <w:color w:val="000000"/>
                <w:sz w:val="14"/>
                <w:szCs w:val="14"/>
                <w:lang w:eastAsia="en-GB"/>
              </w:rPr>
              <w:t>distribu</w:t>
            </w:r>
            <w:r>
              <w:rPr>
                <w:rFonts w:eastAsia="Times New Roman" w:cs="Arial"/>
                <w:color w:val="000000"/>
                <w:sz w:val="14"/>
                <w:szCs w:val="14"/>
                <w:lang w:eastAsia="en-GB"/>
              </w:rPr>
              <w:t>ted</w:t>
            </w:r>
            <w:proofErr w:type="spellEnd"/>
          </w:p>
        </w:tc>
        <w:tc>
          <w:tcPr>
            <w:tcW w:w="0" w:type="auto"/>
            <w:tcBorders>
              <w:top w:val="nil"/>
              <w:left w:val="nil"/>
              <w:bottom w:val="single" w:sz="4" w:space="0" w:color="auto"/>
              <w:right w:val="nil"/>
            </w:tcBorders>
            <w:shd w:val="clear" w:color="000000" w:fill="FFFFFF"/>
            <w:noWrap/>
            <w:vAlign w:val="center"/>
            <w:hideMark/>
          </w:tcPr>
          <w:p w14:paraId="7E94FB79"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2010</w:t>
            </w:r>
          </w:p>
        </w:tc>
        <w:tc>
          <w:tcPr>
            <w:tcW w:w="0" w:type="auto"/>
            <w:tcBorders>
              <w:top w:val="nil"/>
              <w:left w:val="nil"/>
              <w:bottom w:val="single" w:sz="4" w:space="0" w:color="auto"/>
              <w:right w:val="nil"/>
            </w:tcBorders>
            <w:shd w:val="clear" w:color="000000" w:fill="FFFFFF"/>
            <w:noWrap/>
            <w:vAlign w:val="center"/>
            <w:hideMark/>
          </w:tcPr>
          <w:p w14:paraId="34804E2A"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X</w:t>
            </w:r>
          </w:p>
        </w:tc>
      </w:tr>
      <w:tr w:rsidR="007B25E7" w:rsidRPr="007B25E7" w14:paraId="324DC4BC" w14:textId="77777777" w:rsidTr="007B25E7">
        <w:trPr>
          <w:cantSplit/>
          <w:trHeight w:val="283"/>
        </w:trPr>
        <w:tc>
          <w:tcPr>
            <w:tcW w:w="0" w:type="auto"/>
            <w:vMerge/>
            <w:tcBorders>
              <w:top w:val="nil"/>
              <w:left w:val="nil"/>
              <w:bottom w:val="single" w:sz="8" w:space="0" w:color="000000"/>
              <w:right w:val="nil"/>
            </w:tcBorders>
            <w:vAlign w:val="center"/>
            <w:hideMark/>
          </w:tcPr>
          <w:p w14:paraId="6A18DF4F"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4" w:space="0" w:color="auto"/>
              <w:right w:val="nil"/>
            </w:tcBorders>
            <w:noWrap/>
            <w:vAlign w:val="center"/>
            <w:hideMark/>
          </w:tcPr>
          <w:p w14:paraId="573BBB2E"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LSM-CZ</w:t>
            </w:r>
          </w:p>
        </w:tc>
        <w:tc>
          <w:tcPr>
            <w:tcW w:w="0" w:type="auto"/>
            <w:tcBorders>
              <w:top w:val="nil"/>
              <w:left w:val="nil"/>
              <w:bottom w:val="single" w:sz="4" w:space="0" w:color="auto"/>
              <w:right w:val="nil"/>
            </w:tcBorders>
            <w:shd w:val="clear" w:color="000000" w:fill="FFFFFF"/>
            <w:noWrap/>
            <w:vAlign w:val="center"/>
            <w:hideMark/>
          </w:tcPr>
          <w:p w14:paraId="2988B99D"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LM2023063</w:t>
            </w:r>
          </w:p>
        </w:tc>
        <w:tc>
          <w:tcPr>
            <w:tcW w:w="0" w:type="auto"/>
            <w:tcBorders>
              <w:top w:val="nil"/>
              <w:left w:val="nil"/>
              <w:bottom w:val="single" w:sz="4" w:space="0" w:color="auto"/>
              <w:right w:val="nil"/>
            </w:tcBorders>
            <w:noWrap/>
            <w:vAlign w:val="center"/>
            <w:hideMark/>
          </w:tcPr>
          <w:p w14:paraId="7D459712"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21.6</w:t>
            </w:r>
          </w:p>
        </w:tc>
        <w:tc>
          <w:tcPr>
            <w:tcW w:w="0" w:type="auto"/>
            <w:tcBorders>
              <w:top w:val="single" w:sz="4" w:space="0" w:color="auto"/>
              <w:left w:val="nil"/>
              <w:bottom w:val="single" w:sz="4" w:space="0" w:color="auto"/>
              <w:right w:val="nil"/>
            </w:tcBorders>
            <w:shd w:val="clear" w:color="000000" w:fill="6DC17B"/>
            <w:noWrap/>
            <w:vAlign w:val="center"/>
            <w:hideMark/>
          </w:tcPr>
          <w:p w14:paraId="71C181FA"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1.</w:t>
            </w:r>
            <w:proofErr w:type="gramStart"/>
            <w:r w:rsidRPr="007B25E7">
              <w:rPr>
                <w:rFonts w:eastAsia="Times New Roman" w:cs="Arial"/>
                <w:color w:val="000000"/>
                <w:sz w:val="14"/>
                <w:szCs w:val="14"/>
                <w:lang w:eastAsia="en-GB"/>
              </w:rPr>
              <w:t>8%</w:t>
            </w:r>
            <w:proofErr w:type="gramEnd"/>
          </w:p>
        </w:tc>
        <w:tc>
          <w:tcPr>
            <w:tcW w:w="0" w:type="auto"/>
            <w:vMerge/>
            <w:tcBorders>
              <w:top w:val="nil"/>
              <w:left w:val="nil"/>
              <w:bottom w:val="single" w:sz="8" w:space="0" w:color="000000"/>
              <w:right w:val="nil"/>
            </w:tcBorders>
            <w:vAlign w:val="center"/>
            <w:hideMark/>
          </w:tcPr>
          <w:p w14:paraId="27A43827"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4" w:space="0" w:color="auto"/>
              <w:right w:val="nil"/>
            </w:tcBorders>
            <w:shd w:val="clear" w:color="000000" w:fill="FFFFFF"/>
            <w:noWrap/>
            <w:vAlign w:val="center"/>
            <w:hideMark/>
          </w:tcPr>
          <w:p w14:paraId="620AEC09"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4" w:space="0" w:color="auto"/>
              <w:right w:val="nil"/>
            </w:tcBorders>
            <w:shd w:val="clear" w:color="000000" w:fill="FFFFFF"/>
            <w:noWrap/>
            <w:vAlign w:val="center"/>
            <w:hideMark/>
          </w:tcPr>
          <w:p w14:paraId="580DF421" w14:textId="6018B352" w:rsidR="007B25E7" w:rsidRPr="007B25E7" w:rsidRDefault="00472253" w:rsidP="007B25E7">
            <w:pPr>
              <w:spacing w:after="0" w:line="240" w:lineRule="auto"/>
              <w:jc w:val="center"/>
              <w:rPr>
                <w:rFonts w:eastAsia="Times New Roman" w:cs="Arial"/>
                <w:color w:val="000000"/>
                <w:sz w:val="14"/>
                <w:szCs w:val="14"/>
                <w:lang w:eastAsia="en-GB"/>
              </w:rPr>
            </w:pPr>
            <w:proofErr w:type="spellStart"/>
            <w:r w:rsidRPr="007B25E7">
              <w:rPr>
                <w:rFonts w:eastAsia="Times New Roman" w:cs="Arial"/>
                <w:color w:val="000000"/>
                <w:sz w:val="14"/>
                <w:szCs w:val="14"/>
                <w:lang w:eastAsia="en-GB"/>
              </w:rPr>
              <w:t>distribu</w:t>
            </w:r>
            <w:r>
              <w:rPr>
                <w:rFonts w:eastAsia="Times New Roman" w:cs="Arial"/>
                <w:color w:val="000000"/>
                <w:sz w:val="14"/>
                <w:szCs w:val="14"/>
                <w:lang w:eastAsia="en-GB"/>
              </w:rPr>
              <w:t>ted</w:t>
            </w:r>
            <w:proofErr w:type="spellEnd"/>
          </w:p>
        </w:tc>
        <w:tc>
          <w:tcPr>
            <w:tcW w:w="0" w:type="auto"/>
            <w:tcBorders>
              <w:top w:val="nil"/>
              <w:left w:val="nil"/>
              <w:bottom w:val="single" w:sz="4" w:space="0" w:color="auto"/>
              <w:right w:val="nil"/>
            </w:tcBorders>
            <w:shd w:val="clear" w:color="000000" w:fill="FFFFFF"/>
            <w:noWrap/>
            <w:vAlign w:val="center"/>
            <w:hideMark/>
          </w:tcPr>
          <w:p w14:paraId="2A5B6E2E"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2010</w:t>
            </w:r>
          </w:p>
        </w:tc>
        <w:tc>
          <w:tcPr>
            <w:tcW w:w="0" w:type="auto"/>
            <w:tcBorders>
              <w:top w:val="nil"/>
              <w:left w:val="nil"/>
              <w:bottom w:val="single" w:sz="4" w:space="0" w:color="auto"/>
              <w:right w:val="nil"/>
            </w:tcBorders>
            <w:shd w:val="clear" w:color="000000" w:fill="FFFFFF"/>
            <w:noWrap/>
            <w:vAlign w:val="center"/>
            <w:hideMark/>
          </w:tcPr>
          <w:p w14:paraId="109EAC89"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X</w:t>
            </w:r>
          </w:p>
        </w:tc>
      </w:tr>
      <w:tr w:rsidR="007B25E7" w:rsidRPr="007B25E7" w14:paraId="15D11F5D" w14:textId="77777777" w:rsidTr="007B25E7">
        <w:trPr>
          <w:cantSplit/>
          <w:trHeight w:val="283"/>
        </w:trPr>
        <w:tc>
          <w:tcPr>
            <w:tcW w:w="0" w:type="auto"/>
            <w:vMerge/>
            <w:tcBorders>
              <w:top w:val="nil"/>
              <w:left w:val="nil"/>
              <w:bottom w:val="single" w:sz="8" w:space="0" w:color="000000"/>
              <w:right w:val="nil"/>
            </w:tcBorders>
            <w:vAlign w:val="center"/>
            <w:hideMark/>
          </w:tcPr>
          <w:p w14:paraId="6C812647"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4" w:space="0" w:color="auto"/>
              <w:right w:val="nil"/>
            </w:tcBorders>
            <w:noWrap/>
            <w:vAlign w:val="center"/>
            <w:hideMark/>
          </w:tcPr>
          <w:p w14:paraId="31A664A9" w14:textId="77777777" w:rsidR="007B25E7" w:rsidRPr="007B25E7" w:rsidRDefault="007B25E7" w:rsidP="007B25E7">
            <w:pPr>
              <w:spacing w:after="0" w:line="240" w:lineRule="auto"/>
              <w:jc w:val="center"/>
              <w:rPr>
                <w:rFonts w:eastAsia="Times New Roman" w:cs="Arial"/>
                <w:sz w:val="14"/>
                <w:szCs w:val="14"/>
                <w:lang w:eastAsia="en-GB"/>
              </w:rPr>
            </w:pPr>
            <w:r w:rsidRPr="007B25E7">
              <w:rPr>
                <w:rFonts w:eastAsia="Times New Roman" w:cs="Arial"/>
                <w:sz w:val="14"/>
                <w:szCs w:val="14"/>
                <w:lang w:eastAsia="en-GB"/>
              </w:rPr>
              <w:t>MGML</w:t>
            </w:r>
          </w:p>
        </w:tc>
        <w:tc>
          <w:tcPr>
            <w:tcW w:w="0" w:type="auto"/>
            <w:tcBorders>
              <w:top w:val="nil"/>
              <w:left w:val="nil"/>
              <w:bottom w:val="single" w:sz="4" w:space="0" w:color="auto"/>
              <w:right w:val="nil"/>
            </w:tcBorders>
            <w:shd w:val="clear" w:color="000000" w:fill="FFFFFF"/>
            <w:noWrap/>
            <w:vAlign w:val="center"/>
            <w:hideMark/>
          </w:tcPr>
          <w:p w14:paraId="57706C67"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LM2023065</w:t>
            </w:r>
          </w:p>
        </w:tc>
        <w:tc>
          <w:tcPr>
            <w:tcW w:w="0" w:type="auto"/>
            <w:tcBorders>
              <w:top w:val="nil"/>
              <w:left w:val="nil"/>
              <w:bottom w:val="single" w:sz="4" w:space="0" w:color="auto"/>
              <w:right w:val="nil"/>
            </w:tcBorders>
            <w:noWrap/>
            <w:vAlign w:val="center"/>
            <w:hideMark/>
          </w:tcPr>
          <w:p w14:paraId="0EFB906D"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47.1</w:t>
            </w:r>
          </w:p>
        </w:tc>
        <w:tc>
          <w:tcPr>
            <w:tcW w:w="0" w:type="auto"/>
            <w:tcBorders>
              <w:top w:val="single" w:sz="4" w:space="0" w:color="auto"/>
              <w:left w:val="nil"/>
              <w:bottom w:val="single" w:sz="4" w:space="0" w:color="auto"/>
              <w:right w:val="nil"/>
            </w:tcBorders>
            <w:shd w:val="clear" w:color="000000" w:fill="A7D17E"/>
            <w:noWrap/>
            <w:vAlign w:val="center"/>
            <w:hideMark/>
          </w:tcPr>
          <w:p w14:paraId="63E05361"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3.</w:t>
            </w:r>
            <w:proofErr w:type="gramStart"/>
            <w:r w:rsidRPr="007B25E7">
              <w:rPr>
                <w:rFonts w:eastAsia="Times New Roman" w:cs="Arial"/>
                <w:color w:val="000000"/>
                <w:sz w:val="14"/>
                <w:szCs w:val="14"/>
                <w:lang w:eastAsia="en-GB"/>
              </w:rPr>
              <w:t>9%</w:t>
            </w:r>
            <w:proofErr w:type="gramEnd"/>
          </w:p>
        </w:tc>
        <w:tc>
          <w:tcPr>
            <w:tcW w:w="0" w:type="auto"/>
            <w:vMerge/>
            <w:tcBorders>
              <w:top w:val="nil"/>
              <w:left w:val="nil"/>
              <w:bottom w:val="single" w:sz="8" w:space="0" w:color="000000"/>
              <w:right w:val="nil"/>
            </w:tcBorders>
            <w:vAlign w:val="center"/>
            <w:hideMark/>
          </w:tcPr>
          <w:p w14:paraId="2FEB8967"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4" w:space="0" w:color="auto"/>
              <w:right w:val="nil"/>
            </w:tcBorders>
            <w:shd w:val="clear" w:color="000000" w:fill="FFFFFF"/>
            <w:noWrap/>
            <w:vAlign w:val="center"/>
            <w:hideMark/>
          </w:tcPr>
          <w:p w14:paraId="7A031419"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4" w:space="0" w:color="auto"/>
              <w:right w:val="nil"/>
            </w:tcBorders>
            <w:shd w:val="clear" w:color="000000" w:fill="FFFFFF"/>
            <w:noWrap/>
            <w:vAlign w:val="center"/>
            <w:hideMark/>
          </w:tcPr>
          <w:p w14:paraId="6327018F"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single-</w:t>
            </w:r>
            <w:proofErr w:type="spellStart"/>
            <w:r w:rsidRPr="007B25E7">
              <w:rPr>
                <w:rFonts w:eastAsia="Times New Roman" w:cs="Arial"/>
                <w:color w:val="000000"/>
                <w:sz w:val="14"/>
                <w:szCs w:val="14"/>
                <w:lang w:eastAsia="en-GB"/>
              </w:rPr>
              <w:t>sited</w:t>
            </w:r>
            <w:proofErr w:type="spellEnd"/>
          </w:p>
        </w:tc>
        <w:tc>
          <w:tcPr>
            <w:tcW w:w="0" w:type="auto"/>
            <w:tcBorders>
              <w:top w:val="nil"/>
              <w:left w:val="nil"/>
              <w:bottom w:val="single" w:sz="4" w:space="0" w:color="auto"/>
              <w:right w:val="nil"/>
            </w:tcBorders>
            <w:shd w:val="clear" w:color="000000" w:fill="FFFFFF"/>
            <w:noWrap/>
            <w:vAlign w:val="center"/>
            <w:hideMark/>
          </w:tcPr>
          <w:p w14:paraId="6A73BC2A"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2010</w:t>
            </w:r>
          </w:p>
        </w:tc>
        <w:tc>
          <w:tcPr>
            <w:tcW w:w="0" w:type="auto"/>
            <w:tcBorders>
              <w:top w:val="nil"/>
              <w:left w:val="nil"/>
              <w:bottom w:val="single" w:sz="4" w:space="0" w:color="auto"/>
              <w:right w:val="nil"/>
            </w:tcBorders>
            <w:shd w:val="clear" w:color="000000" w:fill="FFFFFF"/>
            <w:noWrap/>
            <w:vAlign w:val="center"/>
            <w:hideMark/>
          </w:tcPr>
          <w:p w14:paraId="750682B4"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X</w:t>
            </w:r>
          </w:p>
        </w:tc>
      </w:tr>
      <w:tr w:rsidR="007B25E7" w:rsidRPr="007B25E7" w14:paraId="3F8625AA" w14:textId="77777777" w:rsidTr="007B25E7">
        <w:trPr>
          <w:cantSplit/>
          <w:trHeight w:val="283"/>
        </w:trPr>
        <w:tc>
          <w:tcPr>
            <w:tcW w:w="0" w:type="auto"/>
            <w:vMerge/>
            <w:tcBorders>
              <w:top w:val="nil"/>
              <w:left w:val="nil"/>
              <w:bottom w:val="single" w:sz="8" w:space="0" w:color="000000"/>
              <w:right w:val="nil"/>
            </w:tcBorders>
            <w:vAlign w:val="center"/>
            <w:hideMark/>
          </w:tcPr>
          <w:p w14:paraId="12AD02E3"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4" w:space="0" w:color="auto"/>
              <w:right w:val="nil"/>
            </w:tcBorders>
            <w:noWrap/>
            <w:vAlign w:val="center"/>
            <w:hideMark/>
          </w:tcPr>
          <w:p w14:paraId="1254789D"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PALS</w:t>
            </w:r>
          </w:p>
        </w:tc>
        <w:tc>
          <w:tcPr>
            <w:tcW w:w="0" w:type="auto"/>
            <w:tcBorders>
              <w:top w:val="nil"/>
              <w:left w:val="nil"/>
              <w:bottom w:val="single" w:sz="4" w:space="0" w:color="auto"/>
              <w:right w:val="nil"/>
            </w:tcBorders>
            <w:shd w:val="clear" w:color="000000" w:fill="FFFFFF"/>
            <w:noWrap/>
            <w:vAlign w:val="center"/>
            <w:hideMark/>
          </w:tcPr>
          <w:p w14:paraId="4DA3D0B6"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LM2023068</w:t>
            </w:r>
          </w:p>
        </w:tc>
        <w:tc>
          <w:tcPr>
            <w:tcW w:w="0" w:type="auto"/>
            <w:tcBorders>
              <w:top w:val="nil"/>
              <w:left w:val="nil"/>
              <w:bottom w:val="single" w:sz="4" w:space="0" w:color="auto"/>
              <w:right w:val="nil"/>
            </w:tcBorders>
            <w:noWrap/>
            <w:vAlign w:val="center"/>
            <w:hideMark/>
          </w:tcPr>
          <w:p w14:paraId="208AC05E"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79.7</w:t>
            </w:r>
          </w:p>
        </w:tc>
        <w:tc>
          <w:tcPr>
            <w:tcW w:w="0" w:type="auto"/>
            <w:tcBorders>
              <w:top w:val="single" w:sz="4" w:space="0" w:color="auto"/>
              <w:left w:val="nil"/>
              <w:bottom w:val="single" w:sz="4" w:space="0" w:color="auto"/>
              <w:right w:val="nil"/>
            </w:tcBorders>
            <w:shd w:val="clear" w:color="000000" w:fill="F2E783"/>
            <w:noWrap/>
            <w:vAlign w:val="center"/>
            <w:hideMark/>
          </w:tcPr>
          <w:p w14:paraId="06029F5B"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6.</w:t>
            </w:r>
            <w:proofErr w:type="gramStart"/>
            <w:r w:rsidRPr="007B25E7">
              <w:rPr>
                <w:rFonts w:eastAsia="Times New Roman" w:cs="Arial"/>
                <w:color w:val="000000"/>
                <w:sz w:val="14"/>
                <w:szCs w:val="14"/>
                <w:lang w:eastAsia="en-GB"/>
              </w:rPr>
              <w:t>6%</w:t>
            </w:r>
            <w:proofErr w:type="gramEnd"/>
          </w:p>
        </w:tc>
        <w:tc>
          <w:tcPr>
            <w:tcW w:w="0" w:type="auto"/>
            <w:vMerge/>
            <w:tcBorders>
              <w:top w:val="nil"/>
              <w:left w:val="nil"/>
              <w:bottom w:val="single" w:sz="8" w:space="0" w:color="000000"/>
              <w:right w:val="nil"/>
            </w:tcBorders>
            <w:vAlign w:val="center"/>
            <w:hideMark/>
          </w:tcPr>
          <w:p w14:paraId="2DA82B4B"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4" w:space="0" w:color="auto"/>
              <w:right w:val="nil"/>
            </w:tcBorders>
            <w:shd w:val="clear" w:color="000000" w:fill="FFFFFF"/>
            <w:noWrap/>
            <w:vAlign w:val="center"/>
            <w:hideMark/>
          </w:tcPr>
          <w:p w14:paraId="2791AFCB"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4" w:space="0" w:color="auto"/>
              <w:right w:val="nil"/>
            </w:tcBorders>
            <w:shd w:val="clear" w:color="000000" w:fill="FFFFFF"/>
            <w:noWrap/>
            <w:vAlign w:val="center"/>
            <w:hideMark/>
          </w:tcPr>
          <w:p w14:paraId="1B11C688"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single-</w:t>
            </w:r>
            <w:proofErr w:type="spellStart"/>
            <w:r w:rsidRPr="007B25E7">
              <w:rPr>
                <w:rFonts w:eastAsia="Times New Roman" w:cs="Arial"/>
                <w:color w:val="000000"/>
                <w:sz w:val="14"/>
                <w:szCs w:val="14"/>
                <w:lang w:eastAsia="en-GB"/>
              </w:rPr>
              <w:t>sited</w:t>
            </w:r>
            <w:proofErr w:type="spellEnd"/>
          </w:p>
        </w:tc>
        <w:tc>
          <w:tcPr>
            <w:tcW w:w="0" w:type="auto"/>
            <w:tcBorders>
              <w:top w:val="nil"/>
              <w:left w:val="nil"/>
              <w:bottom w:val="single" w:sz="4" w:space="0" w:color="auto"/>
              <w:right w:val="nil"/>
            </w:tcBorders>
            <w:shd w:val="clear" w:color="000000" w:fill="FFFFFF"/>
            <w:noWrap/>
            <w:vAlign w:val="center"/>
            <w:hideMark/>
          </w:tcPr>
          <w:p w14:paraId="13FA0356"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2010</w:t>
            </w:r>
          </w:p>
        </w:tc>
        <w:tc>
          <w:tcPr>
            <w:tcW w:w="0" w:type="auto"/>
            <w:tcBorders>
              <w:top w:val="nil"/>
              <w:left w:val="nil"/>
              <w:bottom w:val="single" w:sz="4" w:space="0" w:color="auto"/>
              <w:right w:val="nil"/>
            </w:tcBorders>
            <w:shd w:val="clear" w:color="000000" w:fill="FFFFFF"/>
            <w:noWrap/>
            <w:vAlign w:val="center"/>
            <w:hideMark/>
          </w:tcPr>
          <w:p w14:paraId="795EA8FF"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X</w:t>
            </w:r>
          </w:p>
        </w:tc>
      </w:tr>
      <w:tr w:rsidR="007B25E7" w:rsidRPr="007B25E7" w14:paraId="60810BD4" w14:textId="77777777" w:rsidTr="007B25E7">
        <w:trPr>
          <w:cantSplit/>
          <w:trHeight w:val="283"/>
        </w:trPr>
        <w:tc>
          <w:tcPr>
            <w:tcW w:w="0" w:type="auto"/>
            <w:vMerge/>
            <w:tcBorders>
              <w:top w:val="nil"/>
              <w:left w:val="nil"/>
              <w:bottom w:val="single" w:sz="8" w:space="0" w:color="000000"/>
              <w:right w:val="nil"/>
            </w:tcBorders>
            <w:vAlign w:val="center"/>
            <w:hideMark/>
          </w:tcPr>
          <w:p w14:paraId="185FBB4F"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4" w:space="0" w:color="auto"/>
              <w:right w:val="nil"/>
            </w:tcBorders>
            <w:noWrap/>
            <w:vAlign w:val="center"/>
            <w:hideMark/>
          </w:tcPr>
          <w:p w14:paraId="2BA1834B"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SPIRAL2-CZ</w:t>
            </w:r>
          </w:p>
        </w:tc>
        <w:tc>
          <w:tcPr>
            <w:tcW w:w="0" w:type="auto"/>
            <w:tcBorders>
              <w:top w:val="nil"/>
              <w:left w:val="nil"/>
              <w:bottom w:val="single" w:sz="4" w:space="0" w:color="auto"/>
              <w:right w:val="nil"/>
            </w:tcBorders>
            <w:shd w:val="clear" w:color="000000" w:fill="FFFFFF"/>
            <w:noWrap/>
            <w:vAlign w:val="center"/>
            <w:hideMark/>
          </w:tcPr>
          <w:p w14:paraId="6E36938F"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LM2023071</w:t>
            </w:r>
          </w:p>
        </w:tc>
        <w:tc>
          <w:tcPr>
            <w:tcW w:w="0" w:type="auto"/>
            <w:tcBorders>
              <w:top w:val="nil"/>
              <w:left w:val="nil"/>
              <w:bottom w:val="single" w:sz="4" w:space="0" w:color="auto"/>
              <w:right w:val="nil"/>
            </w:tcBorders>
            <w:noWrap/>
            <w:vAlign w:val="center"/>
            <w:hideMark/>
          </w:tcPr>
          <w:p w14:paraId="3EC7C172"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16.8</w:t>
            </w:r>
          </w:p>
        </w:tc>
        <w:tc>
          <w:tcPr>
            <w:tcW w:w="0" w:type="auto"/>
            <w:tcBorders>
              <w:top w:val="single" w:sz="4" w:space="0" w:color="auto"/>
              <w:left w:val="nil"/>
              <w:bottom w:val="single" w:sz="4" w:space="0" w:color="auto"/>
              <w:right w:val="nil"/>
            </w:tcBorders>
            <w:shd w:val="clear" w:color="000000" w:fill="63BE7B"/>
            <w:noWrap/>
            <w:vAlign w:val="center"/>
            <w:hideMark/>
          </w:tcPr>
          <w:p w14:paraId="10550CDB"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1.</w:t>
            </w:r>
            <w:proofErr w:type="gramStart"/>
            <w:r w:rsidRPr="007B25E7">
              <w:rPr>
                <w:rFonts w:eastAsia="Times New Roman" w:cs="Arial"/>
                <w:color w:val="000000"/>
                <w:sz w:val="14"/>
                <w:szCs w:val="14"/>
                <w:lang w:eastAsia="en-GB"/>
              </w:rPr>
              <w:t>4%</w:t>
            </w:r>
            <w:proofErr w:type="gramEnd"/>
          </w:p>
        </w:tc>
        <w:tc>
          <w:tcPr>
            <w:tcW w:w="0" w:type="auto"/>
            <w:vMerge/>
            <w:tcBorders>
              <w:top w:val="nil"/>
              <w:left w:val="nil"/>
              <w:bottom w:val="single" w:sz="8" w:space="0" w:color="000000"/>
              <w:right w:val="nil"/>
            </w:tcBorders>
            <w:vAlign w:val="center"/>
            <w:hideMark/>
          </w:tcPr>
          <w:p w14:paraId="29DAEA41"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4" w:space="0" w:color="auto"/>
              <w:right w:val="nil"/>
            </w:tcBorders>
            <w:shd w:val="clear" w:color="000000" w:fill="FFFFFF"/>
            <w:noWrap/>
            <w:vAlign w:val="center"/>
            <w:hideMark/>
          </w:tcPr>
          <w:p w14:paraId="4E597809"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výstavba</w:t>
            </w:r>
          </w:p>
        </w:tc>
        <w:tc>
          <w:tcPr>
            <w:tcW w:w="0" w:type="auto"/>
            <w:tcBorders>
              <w:top w:val="nil"/>
              <w:left w:val="nil"/>
              <w:bottom w:val="single" w:sz="4" w:space="0" w:color="auto"/>
              <w:right w:val="nil"/>
            </w:tcBorders>
            <w:shd w:val="clear" w:color="000000" w:fill="FFFFFF"/>
            <w:noWrap/>
            <w:vAlign w:val="center"/>
            <w:hideMark/>
          </w:tcPr>
          <w:p w14:paraId="595EC27E"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single-</w:t>
            </w:r>
            <w:proofErr w:type="spellStart"/>
            <w:r w:rsidRPr="007B25E7">
              <w:rPr>
                <w:rFonts w:eastAsia="Times New Roman" w:cs="Arial"/>
                <w:color w:val="000000"/>
                <w:sz w:val="14"/>
                <w:szCs w:val="14"/>
                <w:lang w:eastAsia="en-GB"/>
              </w:rPr>
              <w:t>sited</w:t>
            </w:r>
            <w:proofErr w:type="spellEnd"/>
          </w:p>
        </w:tc>
        <w:tc>
          <w:tcPr>
            <w:tcW w:w="0" w:type="auto"/>
            <w:tcBorders>
              <w:top w:val="nil"/>
              <w:left w:val="nil"/>
              <w:bottom w:val="single" w:sz="4" w:space="0" w:color="auto"/>
              <w:right w:val="nil"/>
            </w:tcBorders>
            <w:shd w:val="clear" w:color="000000" w:fill="FFFFFF"/>
            <w:noWrap/>
            <w:vAlign w:val="center"/>
            <w:hideMark/>
          </w:tcPr>
          <w:p w14:paraId="235831B8"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2010</w:t>
            </w:r>
          </w:p>
        </w:tc>
        <w:tc>
          <w:tcPr>
            <w:tcW w:w="0" w:type="auto"/>
            <w:tcBorders>
              <w:top w:val="nil"/>
              <w:left w:val="nil"/>
              <w:bottom w:val="single" w:sz="4" w:space="0" w:color="auto"/>
              <w:right w:val="nil"/>
            </w:tcBorders>
            <w:shd w:val="clear" w:color="000000" w:fill="FFFFFF"/>
            <w:noWrap/>
            <w:vAlign w:val="center"/>
            <w:hideMark/>
          </w:tcPr>
          <w:p w14:paraId="09782070"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 xml:space="preserve">ESFRI </w:t>
            </w:r>
            <w:proofErr w:type="spellStart"/>
            <w:r w:rsidRPr="007B25E7">
              <w:rPr>
                <w:rFonts w:eastAsia="Times New Roman" w:cs="Arial"/>
                <w:color w:val="000000"/>
                <w:sz w:val="14"/>
                <w:szCs w:val="14"/>
                <w:lang w:eastAsia="en-GB"/>
              </w:rPr>
              <w:t>Landmark</w:t>
            </w:r>
            <w:proofErr w:type="spellEnd"/>
          </w:p>
        </w:tc>
      </w:tr>
      <w:tr w:rsidR="007B25E7" w:rsidRPr="007B25E7" w14:paraId="09A03832" w14:textId="77777777" w:rsidTr="007B25E7">
        <w:trPr>
          <w:cantSplit/>
          <w:trHeight w:val="283"/>
        </w:trPr>
        <w:tc>
          <w:tcPr>
            <w:tcW w:w="0" w:type="auto"/>
            <w:vMerge/>
            <w:tcBorders>
              <w:top w:val="nil"/>
              <w:left w:val="nil"/>
              <w:bottom w:val="single" w:sz="8" w:space="0" w:color="000000"/>
              <w:right w:val="nil"/>
            </w:tcBorders>
            <w:vAlign w:val="center"/>
            <w:hideMark/>
          </w:tcPr>
          <w:p w14:paraId="51AFA51F"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4" w:space="0" w:color="auto"/>
              <w:right w:val="nil"/>
            </w:tcBorders>
            <w:noWrap/>
            <w:vAlign w:val="center"/>
            <w:hideMark/>
          </w:tcPr>
          <w:p w14:paraId="5A5E7FAF"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SPL-HTC</w:t>
            </w:r>
          </w:p>
        </w:tc>
        <w:tc>
          <w:tcPr>
            <w:tcW w:w="0" w:type="auto"/>
            <w:tcBorders>
              <w:top w:val="nil"/>
              <w:left w:val="nil"/>
              <w:bottom w:val="single" w:sz="4" w:space="0" w:color="auto"/>
              <w:right w:val="nil"/>
            </w:tcBorders>
            <w:shd w:val="clear" w:color="000000" w:fill="FFFFFF"/>
            <w:noWrap/>
            <w:vAlign w:val="center"/>
            <w:hideMark/>
          </w:tcPr>
          <w:p w14:paraId="76554C37"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LM2023072</w:t>
            </w:r>
          </w:p>
        </w:tc>
        <w:tc>
          <w:tcPr>
            <w:tcW w:w="0" w:type="auto"/>
            <w:tcBorders>
              <w:top w:val="nil"/>
              <w:left w:val="nil"/>
              <w:bottom w:val="single" w:sz="4" w:space="0" w:color="auto"/>
              <w:right w:val="nil"/>
            </w:tcBorders>
            <w:noWrap/>
            <w:vAlign w:val="center"/>
            <w:hideMark/>
          </w:tcPr>
          <w:p w14:paraId="4159CC8C"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65.5</w:t>
            </w:r>
          </w:p>
        </w:tc>
        <w:tc>
          <w:tcPr>
            <w:tcW w:w="0" w:type="auto"/>
            <w:tcBorders>
              <w:top w:val="single" w:sz="4" w:space="0" w:color="auto"/>
              <w:left w:val="nil"/>
              <w:bottom w:val="single" w:sz="4" w:space="0" w:color="auto"/>
              <w:right w:val="nil"/>
            </w:tcBorders>
            <w:shd w:val="clear" w:color="000000" w:fill="D1DD81"/>
            <w:noWrap/>
            <w:vAlign w:val="center"/>
            <w:hideMark/>
          </w:tcPr>
          <w:p w14:paraId="2D08E65C"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5.</w:t>
            </w:r>
            <w:proofErr w:type="gramStart"/>
            <w:r w:rsidRPr="007B25E7">
              <w:rPr>
                <w:rFonts w:eastAsia="Times New Roman" w:cs="Arial"/>
                <w:color w:val="000000"/>
                <w:sz w:val="14"/>
                <w:szCs w:val="14"/>
                <w:lang w:eastAsia="en-GB"/>
              </w:rPr>
              <w:t>4%</w:t>
            </w:r>
            <w:proofErr w:type="gramEnd"/>
          </w:p>
        </w:tc>
        <w:tc>
          <w:tcPr>
            <w:tcW w:w="0" w:type="auto"/>
            <w:vMerge/>
            <w:tcBorders>
              <w:top w:val="nil"/>
              <w:left w:val="nil"/>
              <w:bottom w:val="single" w:sz="8" w:space="0" w:color="000000"/>
              <w:right w:val="nil"/>
            </w:tcBorders>
            <w:vAlign w:val="center"/>
            <w:hideMark/>
          </w:tcPr>
          <w:p w14:paraId="497A268C"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4" w:space="0" w:color="auto"/>
              <w:right w:val="nil"/>
            </w:tcBorders>
            <w:shd w:val="clear" w:color="000000" w:fill="FFFFFF"/>
            <w:noWrap/>
            <w:vAlign w:val="center"/>
            <w:hideMark/>
          </w:tcPr>
          <w:p w14:paraId="6E259B81"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4" w:space="0" w:color="auto"/>
              <w:right w:val="nil"/>
            </w:tcBorders>
            <w:shd w:val="clear" w:color="000000" w:fill="FFFFFF"/>
            <w:noWrap/>
            <w:vAlign w:val="center"/>
            <w:hideMark/>
          </w:tcPr>
          <w:p w14:paraId="33CB8B1E" w14:textId="6E542E02" w:rsidR="007B25E7" w:rsidRPr="007B25E7" w:rsidRDefault="00472253" w:rsidP="007B25E7">
            <w:pPr>
              <w:spacing w:after="0" w:line="240" w:lineRule="auto"/>
              <w:jc w:val="center"/>
              <w:rPr>
                <w:rFonts w:eastAsia="Times New Roman" w:cs="Arial"/>
                <w:color w:val="000000"/>
                <w:sz w:val="14"/>
                <w:szCs w:val="14"/>
                <w:lang w:eastAsia="en-GB"/>
              </w:rPr>
            </w:pPr>
            <w:proofErr w:type="spellStart"/>
            <w:r w:rsidRPr="007B25E7">
              <w:rPr>
                <w:rFonts w:eastAsia="Times New Roman" w:cs="Arial"/>
                <w:color w:val="000000"/>
                <w:sz w:val="14"/>
                <w:szCs w:val="14"/>
                <w:lang w:eastAsia="en-GB"/>
              </w:rPr>
              <w:t>distribu</w:t>
            </w:r>
            <w:r>
              <w:rPr>
                <w:rFonts w:eastAsia="Times New Roman" w:cs="Arial"/>
                <w:color w:val="000000"/>
                <w:sz w:val="14"/>
                <w:szCs w:val="14"/>
                <w:lang w:eastAsia="en-GB"/>
              </w:rPr>
              <w:t>ted</w:t>
            </w:r>
            <w:proofErr w:type="spellEnd"/>
          </w:p>
        </w:tc>
        <w:tc>
          <w:tcPr>
            <w:tcW w:w="0" w:type="auto"/>
            <w:tcBorders>
              <w:top w:val="nil"/>
              <w:left w:val="nil"/>
              <w:bottom w:val="single" w:sz="4" w:space="0" w:color="auto"/>
              <w:right w:val="nil"/>
            </w:tcBorders>
            <w:shd w:val="clear" w:color="000000" w:fill="FFFFFF"/>
            <w:noWrap/>
            <w:vAlign w:val="center"/>
            <w:hideMark/>
          </w:tcPr>
          <w:p w14:paraId="22A4BD11"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2010</w:t>
            </w:r>
          </w:p>
        </w:tc>
        <w:tc>
          <w:tcPr>
            <w:tcW w:w="0" w:type="auto"/>
            <w:tcBorders>
              <w:top w:val="nil"/>
              <w:left w:val="nil"/>
              <w:bottom w:val="single" w:sz="4" w:space="0" w:color="auto"/>
              <w:right w:val="nil"/>
            </w:tcBorders>
            <w:shd w:val="clear" w:color="000000" w:fill="FFFFFF"/>
            <w:noWrap/>
            <w:vAlign w:val="center"/>
            <w:hideMark/>
          </w:tcPr>
          <w:p w14:paraId="24F5ED60"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X</w:t>
            </w:r>
          </w:p>
        </w:tc>
      </w:tr>
      <w:tr w:rsidR="007B25E7" w:rsidRPr="007B25E7" w14:paraId="2D83D992" w14:textId="77777777" w:rsidTr="007B25E7">
        <w:trPr>
          <w:cantSplit/>
          <w:trHeight w:val="227"/>
        </w:trPr>
        <w:tc>
          <w:tcPr>
            <w:tcW w:w="0" w:type="auto"/>
            <w:vMerge w:val="restart"/>
            <w:tcBorders>
              <w:top w:val="nil"/>
              <w:left w:val="nil"/>
              <w:bottom w:val="single" w:sz="8" w:space="0" w:color="000000"/>
              <w:right w:val="nil"/>
            </w:tcBorders>
            <w:shd w:val="clear" w:color="000000" w:fill="FFF2CC"/>
            <w:textDirection w:val="btLr"/>
            <w:vAlign w:val="center"/>
            <w:hideMark/>
          </w:tcPr>
          <w:p w14:paraId="5E0875D4" w14:textId="77777777" w:rsidR="007B25E7" w:rsidRPr="007B25E7" w:rsidRDefault="007B25E7" w:rsidP="007B25E7">
            <w:pPr>
              <w:spacing w:after="0" w:line="240" w:lineRule="auto"/>
              <w:jc w:val="center"/>
              <w:rPr>
                <w:rFonts w:eastAsia="Times New Roman" w:cs="Arial"/>
                <w:b/>
                <w:bCs/>
                <w:color w:val="000000"/>
                <w:sz w:val="14"/>
                <w:szCs w:val="14"/>
                <w:lang w:eastAsia="en-GB"/>
              </w:rPr>
            </w:pPr>
            <w:proofErr w:type="spellStart"/>
            <w:r w:rsidRPr="007B25E7">
              <w:rPr>
                <w:rFonts w:eastAsia="Times New Roman" w:cs="Arial"/>
                <w:b/>
                <w:bCs/>
                <w:color w:val="000000"/>
                <w:sz w:val="14"/>
                <w:szCs w:val="14"/>
                <w:lang w:eastAsia="en-GB"/>
              </w:rPr>
              <w:t>Energy</w:t>
            </w:r>
            <w:proofErr w:type="spellEnd"/>
          </w:p>
        </w:tc>
        <w:tc>
          <w:tcPr>
            <w:tcW w:w="0" w:type="auto"/>
            <w:tcBorders>
              <w:top w:val="nil"/>
              <w:left w:val="nil"/>
              <w:bottom w:val="single" w:sz="4" w:space="0" w:color="auto"/>
              <w:right w:val="nil"/>
            </w:tcBorders>
            <w:shd w:val="clear" w:color="000000" w:fill="FFFFFF"/>
            <w:noWrap/>
            <w:vAlign w:val="center"/>
            <w:hideMark/>
          </w:tcPr>
          <w:p w14:paraId="059D20E8"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CICRR</w:t>
            </w:r>
          </w:p>
        </w:tc>
        <w:tc>
          <w:tcPr>
            <w:tcW w:w="0" w:type="auto"/>
            <w:tcBorders>
              <w:top w:val="nil"/>
              <w:left w:val="nil"/>
              <w:bottom w:val="single" w:sz="4" w:space="0" w:color="auto"/>
              <w:right w:val="nil"/>
            </w:tcBorders>
            <w:shd w:val="clear" w:color="000000" w:fill="FFFFFF"/>
            <w:noWrap/>
            <w:vAlign w:val="center"/>
            <w:hideMark/>
          </w:tcPr>
          <w:p w14:paraId="7804246B"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LM2023041</w:t>
            </w:r>
          </w:p>
        </w:tc>
        <w:tc>
          <w:tcPr>
            <w:tcW w:w="0" w:type="auto"/>
            <w:tcBorders>
              <w:top w:val="nil"/>
              <w:left w:val="nil"/>
              <w:bottom w:val="single" w:sz="4" w:space="0" w:color="auto"/>
              <w:right w:val="nil"/>
            </w:tcBorders>
            <w:noWrap/>
            <w:vAlign w:val="center"/>
            <w:hideMark/>
          </w:tcPr>
          <w:p w14:paraId="51F6094B"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762.7</w:t>
            </w:r>
          </w:p>
        </w:tc>
        <w:tc>
          <w:tcPr>
            <w:tcW w:w="0" w:type="auto"/>
            <w:tcBorders>
              <w:top w:val="single" w:sz="8" w:space="0" w:color="auto"/>
              <w:left w:val="nil"/>
              <w:bottom w:val="single" w:sz="4" w:space="0" w:color="auto"/>
              <w:right w:val="nil"/>
            </w:tcBorders>
            <w:shd w:val="clear" w:color="000000" w:fill="FB9273"/>
            <w:noWrap/>
            <w:vAlign w:val="center"/>
            <w:hideMark/>
          </w:tcPr>
          <w:p w14:paraId="66CF55CA"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71.</w:t>
            </w:r>
            <w:proofErr w:type="gramStart"/>
            <w:r w:rsidRPr="007B25E7">
              <w:rPr>
                <w:rFonts w:eastAsia="Times New Roman" w:cs="Arial"/>
                <w:color w:val="000000"/>
                <w:sz w:val="14"/>
                <w:szCs w:val="14"/>
                <w:lang w:eastAsia="en-GB"/>
              </w:rPr>
              <w:t>0%</w:t>
            </w:r>
            <w:proofErr w:type="gramEnd"/>
          </w:p>
        </w:tc>
        <w:tc>
          <w:tcPr>
            <w:tcW w:w="0" w:type="auto"/>
            <w:vMerge w:val="restart"/>
            <w:tcBorders>
              <w:top w:val="nil"/>
              <w:left w:val="nil"/>
              <w:bottom w:val="single" w:sz="8" w:space="0" w:color="000000"/>
              <w:right w:val="nil"/>
            </w:tcBorders>
            <w:vAlign w:val="center"/>
            <w:hideMark/>
          </w:tcPr>
          <w:p w14:paraId="3B1B1487" w14:textId="662AE126"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1 074.2</w:t>
            </w:r>
            <w:r w:rsidRPr="007B25E7">
              <w:rPr>
                <w:rFonts w:eastAsia="Times New Roman" w:cs="Arial"/>
                <w:color w:val="000000"/>
                <w:sz w:val="14"/>
                <w:szCs w:val="14"/>
                <w:lang w:eastAsia="en-GB"/>
              </w:rPr>
              <w:br/>
              <w:t>(15.</w:t>
            </w:r>
            <w:proofErr w:type="gramStart"/>
            <w:r w:rsidRPr="007B25E7">
              <w:rPr>
                <w:rFonts w:eastAsia="Times New Roman" w:cs="Arial"/>
                <w:color w:val="000000"/>
                <w:sz w:val="14"/>
                <w:szCs w:val="14"/>
                <w:lang w:eastAsia="en-GB"/>
              </w:rPr>
              <w:t>0%</w:t>
            </w:r>
            <w:proofErr w:type="gramEnd"/>
            <w:r w:rsidRPr="007B25E7">
              <w:rPr>
                <w:rFonts w:eastAsia="Times New Roman" w:cs="Arial"/>
                <w:color w:val="000000"/>
                <w:sz w:val="14"/>
                <w:szCs w:val="14"/>
                <w:lang w:eastAsia="en-GB"/>
              </w:rPr>
              <w:t>)</w:t>
            </w:r>
          </w:p>
        </w:tc>
        <w:tc>
          <w:tcPr>
            <w:tcW w:w="0" w:type="auto"/>
            <w:tcBorders>
              <w:top w:val="nil"/>
              <w:left w:val="nil"/>
              <w:bottom w:val="single" w:sz="4" w:space="0" w:color="auto"/>
              <w:right w:val="nil"/>
            </w:tcBorders>
            <w:shd w:val="clear" w:color="000000" w:fill="FFFFFF"/>
            <w:vAlign w:val="center"/>
            <w:hideMark/>
          </w:tcPr>
          <w:p w14:paraId="18EF5956"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4" w:space="0" w:color="auto"/>
              <w:right w:val="nil"/>
            </w:tcBorders>
            <w:shd w:val="clear" w:color="000000" w:fill="FFFFFF"/>
            <w:noWrap/>
            <w:vAlign w:val="center"/>
            <w:hideMark/>
          </w:tcPr>
          <w:p w14:paraId="3142E700" w14:textId="77777777" w:rsidR="007B25E7" w:rsidRPr="007B25E7" w:rsidRDefault="007B25E7" w:rsidP="007B25E7">
            <w:pPr>
              <w:spacing w:after="0" w:line="240" w:lineRule="auto"/>
              <w:jc w:val="center"/>
              <w:rPr>
                <w:rFonts w:eastAsia="Times New Roman" w:cs="Arial"/>
                <w:color w:val="000000"/>
                <w:sz w:val="14"/>
                <w:szCs w:val="14"/>
                <w:lang w:eastAsia="en-GB"/>
              </w:rPr>
            </w:pPr>
            <w:proofErr w:type="spellStart"/>
            <w:r w:rsidRPr="007B25E7">
              <w:rPr>
                <w:rFonts w:eastAsia="Times New Roman" w:cs="Arial"/>
                <w:color w:val="000000"/>
                <w:sz w:val="14"/>
                <w:szCs w:val="14"/>
                <w:lang w:eastAsia="en-GB"/>
              </w:rPr>
              <w:t>multi-sited</w:t>
            </w:r>
            <w:proofErr w:type="spellEnd"/>
          </w:p>
        </w:tc>
        <w:tc>
          <w:tcPr>
            <w:tcW w:w="0" w:type="auto"/>
            <w:tcBorders>
              <w:top w:val="nil"/>
              <w:left w:val="nil"/>
              <w:bottom w:val="single" w:sz="4" w:space="0" w:color="auto"/>
              <w:right w:val="nil"/>
            </w:tcBorders>
            <w:shd w:val="clear" w:color="000000" w:fill="FFFFFF"/>
            <w:noWrap/>
            <w:vAlign w:val="center"/>
            <w:hideMark/>
          </w:tcPr>
          <w:p w14:paraId="6EA4ABA9"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2010</w:t>
            </w:r>
          </w:p>
        </w:tc>
        <w:tc>
          <w:tcPr>
            <w:tcW w:w="0" w:type="auto"/>
            <w:tcBorders>
              <w:top w:val="nil"/>
              <w:left w:val="nil"/>
              <w:bottom w:val="single" w:sz="4" w:space="0" w:color="auto"/>
              <w:right w:val="nil"/>
            </w:tcBorders>
            <w:shd w:val="clear" w:color="000000" w:fill="FFFFFF"/>
            <w:noWrap/>
            <w:vAlign w:val="center"/>
            <w:hideMark/>
          </w:tcPr>
          <w:p w14:paraId="3E5A693B"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 xml:space="preserve">ESFRI </w:t>
            </w:r>
            <w:proofErr w:type="spellStart"/>
            <w:r w:rsidRPr="007B25E7">
              <w:rPr>
                <w:rFonts w:eastAsia="Times New Roman" w:cs="Arial"/>
                <w:color w:val="000000"/>
                <w:sz w:val="14"/>
                <w:szCs w:val="14"/>
                <w:lang w:eastAsia="en-GB"/>
              </w:rPr>
              <w:t>Landmark</w:t>
            </w:r>
            <w:proofErr w:type="spellEnd"/>
          </w:p>
        </w:tc>
      </w:tr>
      <w:tr w:rsidR="007B25E7" w:rsidRPr="007B25E7" w14:paraId="0D31BDA6" w14:textId="77777777" w:rsidTr="007B25E7">
        <w:trPr>
          <w:cantSplit/>
          <w:trHeight w:val="227"/>
        </w:trPr>
        <w:tc>
          <w:tcPr>
            <w:tcW w:w="0" w:type="auto"/>
            <w:vMerge/>
            <w:tcBorders>
              <w:top w:val="nil"/>
              <w:left w:val="nil"/>
              <w:bottom w:val="single" w:sz="8" w:space="0" w:color="000000"/>
              <w:right w:val="nil"/>
            </w:tcBorders>
            <w:vAlign w:val="center"/>
            <w:hideMark/>
          </w:tcPr>
          <w:p w14:paraId="363E876A"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4" w:space="0" w:color="auto"/>
              <w:right w:val="nil"/>
            </w:tcBorders>
            <w:noWrap/>
            <w:vAlign w:val="center"/>
            <w:hideMark/>
          </w:tcPr>
          <w:p w14:paraId="17DDAB07"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COMPASS</w:t>
            </w:r>
          </w:p>
        </w:tc>
        <w:tc>
          <w:tcPr>
            <w:tcW w:w="0" w:type="auto"/>
            <w:tcBorders>
              <w:top w:val="nil"/>
              <w:left w:val="nil"/>
              <w:bottom w:val="single" w:sz="4" w:space="0" w:color="auto"/>
              <w:right w:val="nil"/>
            </w:tcBorders>
            <w:shd w:val="clear" w:color="000000" w:fill="FFFFFF"/>
            <w:noWrap/>
            <w:vAlign w:val="center"/>
            <w:hideMark/>
          </w:tcPr>
          <w:p w14:paraId="2DF6E3E4"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LM2023045</w:t>
            </w:r>
          </w:p>
        </w:tc>
        <w:tc>
          <w:tcPr>
            <w:tcW w:w="0" w:type="auto"/>
            <w:tcBorders>
              <w:top w:val="nil"/>
              <w:left w:val="nil"/>
              <w:bottom w:val="single" w:sz="4" w:space="0" w:color="auto"/>
              <w:right w:val="nil"/>
            </w:tcBorders>
            <w:noWrap/>
            <w:vAlign w:val="center"/>
            <w:hideMark/>
          </w:tcPr>
          <w:p w14:paraId="73916C14"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226.6</w:t>
            </w:r>
          </w:p>
        </w:tc>
        <w:tc>
          <w:tcPr>
            <w:tcW w:w="0" w:type="auto"/>
            <w:tcBorders>
              <w:top w:val="single" w:sz="4" w:space="0" w:color="auto"/>
              <w:left w:val="nil"/>
              <w:bottom w:val="single" w:sz="4" w:space="0" w:color="auto"/>
              <w:right w:val="nil"/>
            </w:tcBorders>
            <w:shd w:val="clear" w:color="000000" w:fill="FED881"/>
            <w:noWrap/>
            <w:vAlign w:val="center"/>
            <w:hideMark/>
          </w:tcPr>
          <w:p w14:paraId="2CEC3BB2"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21.</w:t>
            </w:r>
            <w:proofErr w:type="gramStart"/>
            <w:r w:rsidRPr="007B25E7">
              <w:rPr>
                <w:rFonts w:eastAsia="Times New Roman" w:cs="Arial"/>
                <w:color w:val="000000"/>
                <w:sz w:val="14"/>
                <w:szCs w:val="14"/>
                <w:lang w:eastAsia="en-GB"/>
              </w:rPr>
              <w:t>1%</w:t>
            </w:r>
            <w:proofErr w:type="gramEnd"/>
          </w:p>
        </w:tc>
        <w:tc>
          <w:tcPr>
            <w:tcW w:w="0" w:type="auto"/>
            <w:vMerge/>
            <w:tcBorders>
              <w:top w:val="nil"/>
              <w:left w:val="nil"/>
              <w:bottom w:val="single" w:sz="8" w:space="0" w:color="000000"/>
              <w:right w:val="nil"/>
            </w:tcBorders>
            <w:vAlign w:val="center"/>
            <w:hideMark/>
          </w:tcPr>
          <w:p w14:paraId="7DBADC06"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4" w:space="0" w:color="auto"/>
              <w:right w:val="nil"/>
            </w:tcBorders>
            <w:vAlign w:val="center"/>
            <w:hideMark/>
          </w:tcPr>
          <w:p w14:paraId="0497D383"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zásadní modernizace</w:t>
            </w:r>
          </w:p>
        </w:tc>
        <w:tc>
          <w:tcPr>
            <w:tcW w:w="0" w:type="auto"/>
            <w:tcBorders>
              <w:top w:val="nil"/>
              <w:left w:val="nil"/>
              <w:bottom w:val="single" w:sz="4" w:space="0" w:color="auto"/>
              <w:right w:val="nil"/>
            </w:tcBorders>
            <w:shd w:val="clear" w:color="000000" w:fill="FFFFFF"/>
            <w:noWrap/>
            <w:vAlign w:val="center"/>
            <w:hideMark/>
          </w:tcPr>
          <w:p w14:paraId="4F99E97C"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single-</w:t>
            </w:r>
            <w:proofErr w:type="spellStart"/>
            <w:r w:rsidRPr="007B25E7">
              <w:rPr>
                <w:rFonts w:eastAsia="Times New Roman" w:cs="Arial"/>
                <w:color w:val="000000"/>
                <w:sz w:val="14"/>
                <w:szCs w:val="14"/>
                <w:lang w:eastAsia="en-GB"/>
              </w:rPr>
              <w:t>sited</w:t>
            </w:r>
            <w:proofErr w:type="spellEnd"/>
          </w:p>
        </w:tc>
        <w:tc>
          <w:tcPr>
            <w:tcW w:w="0" w:type="auto"/>
            <w:tcBorders>
              <w:top w:val="nil"/>
              <w:left w:val="nil"/>
              <w:bottom w:val="single" w:sz="4" w:space="0" w:color="auto"/>
              <w:right w:val="nil"/>
            </w:tcBorders>
            <w:shd w:val="clear" w:color="000000" w:fill="FFFFFF"/>
            <w:noWrap/>
            <w:vAlign w:val="center"/>
            <w:hideMark/>
          </w:tcPr>
          <w:p w14:paraId="5E9F09EB"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2010</w:t>
            </w:r>
          </w:p>
        </w:tc>
        <w:tc>
          <w:tcPr>
            <w:tcW w:w="0" w:type="auto"/>
            <w:tcBorders>
              <w:top w:val="nil"/>
              <w:left w:val="nil"/>
              <w:bottom w:val="single" w:sz="4" w:space="0" w:color="auto"/>
              <w:right w:val="nil"/>
            </w:tcBorders>
            <w:shd w:val="clear" w:color="000000" w:fill="FFFFFF"/>
            <w:noWrap/>
            <w:vAlign w:val="center"/>
            <w:hideMark/>
          </w:tcPr>
          <w:p w14:paraId="164C6E57"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X</w:t>
            </w:r>
          </w:p>
        </w:tc>
      </w:tr>
      <w:tr w:rsidR="007B25E7" w:rsidRPr="007B25E7" w14:paraId="4668300D" w14:textId="77777777" w:rsidTr="007B25E7">
        <w:trPr>
          <w:cantSplit/>
          <w:trHeight w:val="227"/>
        </w:trPr>
        <w:tc>
          <w:tcPr>
            <w:tcW w:w="0" w:type="auto"/>
            <w:vMerge/>
            <w:tcBorders>
              <w:top w:val="nil"/>
              <w:left w:val="nil"/>
              <w:bottom w:val="single" w:sz="8" w:space="0" w:color="000000"/>
              <w:right w:val="nil"/>
            </w:tcBorders>
            <w:vAlign w:val="center"/>
            <w:hideMark/>
          </w:tcPr>
          <w:p w14:paraId="48454C11"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4" w:space="0" w:color="auto"/>
              <w:right w:val="nil"/>
            </w:tcBorders>
            <w:noWrap/>
            <w:vAlign w:val="center"/>
            <w:hideMark/>
          </w:tcPr>
          <w:p w14:paraId="2583FBF3"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ENREGAT</w:t>
            </w:r>
          </w:p>
        </w:tc>
        <w:tc>
          <w:tcPr>
            <w:tcW w:w="0" w:type="auto"/>
            <w:tcBorders>
              <w:top w:val="nil"/>
              <w:left w:val="nil"/>
              <w:bottom w:val="single" w:sz="4" w:space="0" w:color="auto"/>
              <w:right w:val="nil"/>
            </w:tcBorders>
            <w:shd w:val="clear" w:color="000000" w:fill="FFFFFF"/>
            <w:noWrap/>
            <w:vAlign w:val="center"/>
            <w:hideMark/>
          </w:tcPr>
          <w:p w14:paraId="53654F99"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LM2023056</w:t>
            </w:r>
          </w:p>
        </w:tc>
        <w:tc>
          <w:tcPr>
            <w:tcW w:w="0" w:type="auto"/>
            <w:tcBorders>
              <w:top w:val="nil"/>
              <w:left w:val="nil"/>
              <w:bottom w:val="single" w:sz="4" w:space="0" w:color="auto"/>
              <w:right w:val="nil"/>
            </w:tcBorders>
            <w:noWrap/>
            <w:vAlign w:val="center"/>
            <w:hideMark/>
          </w:tcPr>
          <w:p w14:paraId="70AB94DE"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38.4</w:t>
            </w:r>
          </w:p>
        </w:tc>
        <w:tc>
          <w:tcPr>
            <w:tcW w:w="0" w:type="auto"/>
            <w:tcBorders>
              <w:top w:val="single" w:sz="4" w:space="0" w:color="auto"/>
              <w:left w:val="nil"/>
              <w:bottom w:val="single" w:sz="4" w:space="0" w:color="auto"/>
              <w:right w:val="nil"/>
            </w:tcBorders>
            <w:shd w:val="clear" w:color="000000" w:fill="9ECF7E"/>
            <w:noWrap/>
            <w:vAlign w:val="center"/>
            <w:hideMark/>
          </w:tcPr>
          <w:p w14:paraId="017B0542"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3.</w:t>
            </w:r>
            <w:proofErr w:type="gramStart"/>
            <w:r w:rsidRPr="007B25E7">
              <w:rPr>
                <w:rFonts w:eastAsia="Times New Roman" w:cs="Arial"/>
                <w:color w:val="000000"/>
                <w:sz w:val="14"/>
                <w:szCs w:val="14"/>
                <w:lang w:eastAsia="en-GB"/>
              </w:rPr>
              <w:t>6%</w:t>
            </w:r>
            <w:proofErr w:type="gramEnd"/>
          </w:p>
        </w:tc>
        <w:tc>
          <w:tcPr>
            <w:tcW w:w="0" w:type="auto"/>
            <w:vMerge/>
            <w:tcBorders>
              <w:top w:val="nil"/>
              <w:left w:val="nil"/>
              <w:bottom w:val="single" w:sz="8" w:space="0" w:color="000000"/>
              <w:right w:val="nil"/>
            </w:tcBorders>
            <w:vAlign w:val="center"/>
            <w:hideMark/>
          </w:tcPr>
          <w:p w14:paraId="67856B26"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4" w:space="0" w:color="auto"/>
              <w:right w:val="nil"/>
            </w:tcBorders>
            <w:shd w:val="clear" w:color="000000" w:fill="FFFFFF"/>
            <w:noWrap/>
            <w:vAlign w:val="center"/>
            <w:hideMark/>
          </w:tcPr>
          <w:p w14:paraId="046C7729"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4" w:space="0" w:color="auto"/>
              <w:right w:val="nil"/>
            </w:tcBorders>
            <w:shd w:val="clear" w:color="000000" w:fill="FFFFFF"/>
            <w:noWrap/>
            <w:vAlign w:val="center"/>
            <w:hideMark/>
          </w:tcPr>
          <w:p w14:paraId="5024237B"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single-</w:t>
            </w:r>
            <w:proofErr w:type="spellStart"/>
            <w:r w:rsidRPr="007B25E7">
              <w:rPr>
                <w:rFonts w:eastAsia="Times New Roman" w:cs="Arial"/>
                <w:color w:val="000000"/>
                <w:sz w:val="14"/>
                <w:szCs w:val="14"/>
                <w:lang w:eastAsia="en-GB"/>
              </w:rPr>
              <w:t>sited</w:t>
            </w:r>
            <w:proofErr w:type="spellEnd"/>
          </w:p>
        </w:tc>
        <w:tc>
          <w:tcPr>
            <w:tcW w:w="0" w:type="auto"/>
            <w:tcBorders>
              <w:top w:val="nil"/>
              <w:left w:val="nil"/>
              <w:bottom w:val="single" w:sz="4" w:space="0" w:color="auto"/>
              <w:right w:val="nil"/>
            </w:tcBorders>
            <w:shd w:val="clear" w:color="000000" w:fill="FFFFFF"/>
            <w:noWrap/>
            <w:vAlign w:val="center"/>
            <w:hideMark/>
          </w:tcPr>
          <w:p w14:paraId="1571F962"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2019</w:t>
            </w:r>
          </w:p>
        </w:tc>
        <w:tc>
          <w:tcPr>
            <w:tcW w:w="0" w:type="auto"/>
            <w:tcBorders>
              <w:top w:val="nil"/>
              <w:left w:val="nil"/>
              <w:bottom w:val="single" w:sz="4" w:space="0" w:color="auto"/>
              <w:right w:val="nil"/>
            </w:tcBorders>
            <w:shd w:val="clear" w:color="000000" w:fill="FFFFFF"/>
            <w:noWrap/>
            <w:vAlign w:val="center"/>
            <w:hideMark/>
          </w:tcPr>
          <w:p w14:paraId="5078D3F5"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X</w:t>
            </w:r>
          </w:p>
        </w:tc>
      </w:tr>
      <w:tr w:rsidR="007B25E7" w:rsidRPr="007B25E7" w14:paraId="597B3F01" w14:textId="77777777" w:rsidTr="007B25E7">
        <w:trPr>
          <w:cantSplit/>
          <w:trHeight w:val="227"/>
        </w:trPr>
        <w:tc>
          <w:tcPr>
            <w:tcW w:w="0" w:type="auto"/>
            <w:vMerge/>
            <w:tcBorders>
              <w:top w:val="nil"/>
              <w:left w:val="nil"/>
              <w:bottom w:val="single" w:sz="8" w:space="0" w:color="000000"/>
              <w:right w:val="nil"/>
            </w:tcBorders>
            <w:vAlign w:val="center"/>
            <w:hideMark/>
          </w:tcPr>
          <w:p w14:paraId="26083898"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8" w:space="0" w:color="auto"/>
              <w:right w:val="nil"/>
            </w:tcBorders>
            <w:noWrap/>
            <w:vAlign w:val="center"/>
            <w:hideMark/>
          </w:tcPr>
          <w:p w14:paraId="246FD8D7"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WCZV</w:t>
            </w:r>
          </w:p>
        </w:tc>
        <w:tc>
          <w:tcPr>
            <w:tcW w:w="0" w:type="auto"/>
            <w:tcBorders>
              <w:top w:val="nil"/>
              <w:left w:val="nil"/>
              <w:bottom w:val="single" w:sz="8" w:space="0" w:color="auto"/>
              <w:right w:val="nil"/>
            </w:tcBorders>
            <w:shd w:val="clear" w:color="000000" w:fill="FFFFFF"/>
            <w:noWrap/>
            <w:vAlign w:val="center"/>
            <w:hideMark/>
          </w:tcPr>
          <w:p w14:paraId="71DE7DBA"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LM2023073</w:t>
            </w:r>
          </w:p>
        </w:tc>
        <w:tc>
          <w:tcPr>
            <w:tcW w:w="0" w:type="auto"/>
            <w:tcBorders>
              <w:top w:val="nil"/>
              <w:left w:val="nil"/>
              <w:bottom w:val="single" w:sz="8" w:space="0" w:color="auto"/>
              <w:right w:val="nil"/>
            </w:tcBorders>
            <w:noWrap/>
            <w:vAlign w:val="center"/>
            <w:hideMark/>
          </w:tcPr>
          <w:p w14:paraId="7F8A4FAA"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46.5</w:t>
            </w:r>
          </w:p>
        </w:tc>
        <w:tc>
          <w:tcPr>
            <w:tcW w:w="0" w:type="auto"/>
            <w:tcBorders>
              <w:top w:val="single" w:sz="4" w:space="0" w:color="auto"/>
              <w:left w:val="nil"/>
              <w:bottom w:val="single" w:sz="8" w:space="0" w:color="auto"/>
              <w:right w:val="nil"/>
            </w:tcBorders>
            <w:shd w:val="clear" w:color="000000" w:fill="B3D57F"/>
            <w:noWrap/>
            <w:vAlign w:val="center"/>
            <w:hideMark/>
          </w:tcPr>
          <w:p w14:paraId="781F19C6"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4.</w:t>
            </w:r>
            <w:proofErr w:type="gramStart"/>
            <w:r w:rsidRPr="007B25E7">
              <w:rPr>
                <w:rFonts w:eastAsia="Times New Roman" w:cs="Arial"/>
                <w:color w:val="000000"/>
                <w:sz w:val="14"/>
                <w:szCs w:val="14"/>
                <w:lang w:eastAsia="en-GB"/>
              </w:rPr>
              <w:t>3%</w:t>
            </w:r>
            <w:proofErr w:type="gramEnd"/>
          </w:p>
        </w:tc>
        <w:tc>
          <w:tcPr>
            <w:tcW w:w="0" w:type="auto"/>
            <w:vMerge/>
            <w:tcBorders>
              <w:top w:val="nil"/>
              <w:left w:val="nil"/>
              <w:bottom w:val="single" w:sz="8" w:space="0" w:color="000000"/>
              <w:right w:val="nil"/>
            </w:tcBorders>
            <w:vAlign w:val="center"/>
            <w:hideMark/>
          </w:tcPr>
          <w:p w14:paraId="5C2CCC38"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8" w:space="0" w:color="auto"/>
              <w:right w:val="nil"/>
            </w:tcBorders>
            <w:shd w:val="clear" w:color="000000" w:fill="FFFFFF"/>
            <w:noWrap/>
            <w:vAlign w:val="center"/>
            <w:hideMark/>
          </w:tcPr>
          <w:p w14:paraId="3DA373F5"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8" w:space="0" w:color="auto"/>
              <w:right w:val="nil"/>
            </w:tcBorders>
            <w:shd w:val="clear" w:color="000000" w:fill="FFFFFF"/>
            <w:noWrap/>
            <w:vAlign w:val="center"/>
            <w:hideMark/>
          </w:tcPr>
          <w:p w14:paraId="42A46242"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single-</w:t>
            </w:r>
            <w:proofErr w:type="spellStart"/>
            <w:r w:rsidRPr="007B25E7">
              <w:rPr>
                <w:rFonts w:eastAsia="Times New Roman" w:cs="Arial"/>
                <w:color w:val="000000"/>
                <w:sz w:val="14"/>
                <w:szCs w:val="14"/>
                <w:lang w:eastAsia="en-GB"/>
              </w:rPr>
              <w:t>sited</w:t>
            </w:r>
            <w:proofErr w:type="spellEnd"/>
          </w:p>
        </w:tc>
        <w:tc>
          <w:tcPr>
            <w:tcW w:w="0" w:type="auto"/>
            <w:tcBorders>
              <w:top w:val="nil"/>
              <w:left w:val="nil"/>
              <w:bottom w:val="single" w:sz="8" w:space="0" w:color="auto"/>
              <w:right w:val="nil"/>
            </w:tcBorders>
            <w:shd w:val="clear" w:color="000000" w:fill="FFFFFF"/>
            <w:noWrap/>
            <w:vAlign w:val="center"/>
            <w:hideMark/>
          </w:tcPr>
          <w:p w14:paraId="375A592A"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2011</w:t>
            </w:r>
          </w:p>
        </w:tc>
        <w:tc>
          <w:tcPr>
            <w:tcW w:w="0" w:type="auto"/>
            <w:tcBorders>
              <w:top w:val="nil"/>
              <w:left w:val="nil"/>
              <w:bottom w:val="single" w:sz="8" w:space="0" w:color="auto"/>
              <w:right w:val="nil"/>
            </w:tcBorders>
            <w:shd w:val="clear" w:color="000000" w:fill="FFFFFF"/>
            <w:noWrap/>
            <w:vAlign w:val="center"/>
            <w:hideMark/>
          </w:tcPr>
          <w:p w14:paraId="201B7C46"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X</w:t>
            </w:r>
          </w:p>
        </w:tc>
      </w:tr>
      <w:tr w:rsidR="007B25E7" w:rsidRPr="007B25E7" w14:paraId="582E1522" w14:textId="77777777" w:rsidTr="007B25E7">
        <w:trPr>
          <w:cantSplit/>
          <w:trHeight w:val="227"/>
        </w:trPr>
        <w:tc>
          <w:tcPr>
            <w:tcW w:w="0" w:type="auto"/>
            <w:vMerge w:val="restart"/>
            <w:tcBorders>
              <w:top w:val="nil"/>
              <w:left w:val="nil"/>
              <w:bottom w:val="single" w:sz="8" w:space="0" w:color="000000"/>
              <w:right w:val="nil"/>
            </w:tcBorders>
            <w:shd w:val="clear" w:color="000000" w:fill="E2EFDA"/>
            <w:textDirection w:val="btLr"/>
            <w:vAlign w:val="center"/>
            <w:hideMark/>
          </w:tcPr>
          <w:p w14:paraId="682CDE54" w14:textId="01BEF817" w:rsidR="007B25E7" w:rsidRPr="007B25E7" w:rsidRDefault="007B25E7" w:rsidP="007B25E7">
            <w:pPr>
              <w:spacing w:after="0" w:line="240" w:lineRule="auto"/>
              <w:jc w:val="center"/>
              <w:rPr>
                <w:rFonts w:eastAsia="Times New Roman" w:cs="Arial"/>
                <w:b/>
                <w:bCs/>
                <w:color w:val="000000"/>
                <w:sz w:val="14"/>
                <w:szCs w:val="14"/>
                <w:lang w:eastAsia="en-GB"/>
              </w:rPr>
            </w:pPr>
            <w:proofErr w:type="spellStart"/>
            <w:r w:rsidRPr="007B25E7">
              <w:rPr>
                <w:rFonts w:eastAsia="Times New Roman" w:cs="Arial"/>
                <w:b/>
                <w:bCs/>
                <w:color w:val="000000"/>
                <w:sz w:val="14"/>
                <w:szCs w:val="14"/>
                <w:lang w:eastAsia="en-GB"/>
              </w:rPr>
              <w:t>Environmental</w:t>
            </w:r>
            <w:proofErr w:type="spellEnd"/>
            <w:r w:rsidRPr="007B25E7">
              <w:rPr>
                <w:rFonts w:eastAsia="Times New Roman" w:cs="Arial"/>
                <w:b/>
                <w:bCs/>
                <w:color w:val="000000"/>
                <w:sz w:val="14"/>
                <w:szCs w:val="14"/>
                <w:lang w:eastAsia="en-GB"/>
              </w:rPr>
              <w:t xml:space="preserve"> </w:t>
            </w:r>
            <w:proofErr w:type="spellStart"/>
            <w:r w:rsidRPr="007B25E7">
              <w:rPr>
                <w:rFonts w:eastAsia="Times New Roman" w:cs="Arial"/>
                <w:b/>
                <w:bCs/>
                <w:color w:val="000000"/>
                <w:sz w:val="14"/>
                <w:szCs w:val="14"/>
                <w:lang w:eastAsia="en-GB"/>
              </w:rPr>
              <w:t>sciences</w:t>
            </w:r>
            <w:proofErr w:type="spellEnd"/>
          </w:p>
        </w:tc>
        <w:tc>
          <w:tcPr>
            <w:tcW w:w="0" w:type="auto"/>
            <w:tcBorders>
              <w:top w:val="nil"/>
              <w:left w:val="nil"/>
              <w:bottom w:val="single" w:sz="4" w:space="0" w:color="auto"/>
              <w:right w:val="nil"/>
            </w:tcBorders>
            <w:noWrap/>
            <w:vAlign w:val="center"/>
            <w:hideMark/>
          </w:tcPr>
          <w:p w14:paraId="1C5A3BF9"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ACTRIS-CZ</w:t>
            </w:r>
          </w:p>
        </w:tc>
        <w:tc>
          <w:tcPr>
            <w:tcW w:w="0" w:type="auto"/>
            <w:tcBorders>
              <w:top w:val="nil"/>
              <w:left w:val="nil"/>
              <w:bottom w:val="single" w:sz="4" w:space="0" w:color="auto"/>
              <w:right w:val="nil"/>
            </w:tcBorders>
            <w:shd w:val="clear" w:color="000000" w:fill="FFFFFF"/>
            <w:noWrap/>
            <w:vAlign w:val="center"/>
            <w:hideMark/>
          </w:tcPr>
          <w:p w14:paraId="4CBB71CF"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LM2023030</w:t>
            </w:r>
          </w:p>
        </w:tc>
        <w:tc>
          <w:tcPr>
            <w:tcW w:w="0" w:type="auto"/>
            <w:tcBorders>
              <w:top w:val="nil"/>
              <w:left w:val="nil"/>
              <w:bottom w:val="single" w:sz="4" w:space="0" w:color="auto"/>
              <w:right w:val="nil"/>
            </w:tcBorders>
            <w:noWrap/>
            <w:vAlign w:val="center"/>
            <w:hideMark/>
          </w:tcPr>
          <w:p w14:paraId="4E09EE6F"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109.8</w:t>
            </w:r>
          </w:p>
        </w:tc>
        <w:tc>
          <w:tcPr>
            <w:tcW w:w="0" w:type="auto"/>
            <w:tcBorders>
              <w:top w:val="single" w:sz="8" w:space="0" w:color="auto"/>
              <w:left w:val="nil"/>
              <w:bottom w:val="single" w:sz="4" w:space="0" w:color="auto"/>
              <w:right w:val="nil"/>
            </w:tcBorders>
            <w:shd w:val="clear" w:color="000000" w:fill="FFDE82"/>
            <w:noWrap/>
            <w:vAlign w:val="center"/>
            <w:hideMark/>
          </w:tcPr>
          <w:p w14:paraId="6E0D092A"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16.</w:t>
            </w:r>
            <w:proofErr w:type="gramStart"/>
            <w:r w:rsidRPr="007B25E7">
              <w:rPr>
                <w:rFonts w:eastAsia="Times New Roman" w:cs="Arial"/>
                <w:color w:val="000000"/>
                <w:sz w:val="14"/>
                <w:szCs w:val="14"/>
                <w:lang w:eastAsia="en-GB"/>
              </w:rPr>
              <w:t>8%</w:t>
            </w:r>
            <w:proofErr w:type="gramEnd"/>
          </w:p>
        </w:tc>
        <w:tc>
          <w:tcPr>
            <w:tcW w:w="0" w:type="auto"/>
            <w:vMerge w:val="restart"/>
            <w:tcBorders>
              <w:top w:val="nil"/>
              <w:left w:val="nil"/>
              <w:bottom w:val="single" w:sz="8" w:space="0" w:color="000000"/>
              <w:right w:val="nil"/>
            </w:tcBorders>
            <w:vAlign w:val="center"/>
            <w:hideMark/>
          </w:tcPr>
          <w:p w14:paraId="05257F3B"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 xml:space="preserve">653.0 </w:t>
            </w:r>
            <w:r w:rsidRPr="007B25E7">
              <w:rPr>
                <w:rFonts w:eastAsia="Times New Roman" w:cs="Arial"/>
                <w:color w:val="000000"/>
                <w:sz w:val="14"/>
                <w:szCs w:val="14"/>
                <w:lang w:eastAsia="en-GB"/>
              </w:rPr>
              <w:br/>
              <w:t>(9.</w:t>
            </w:r>
            <w:proofErr w:type="gramStart"/>
            <w:r w:rsidRPr="007B25E7">
              <w:rPr>
                <w:rFonts w:eastAsia="Times New Roman" w:cs="Arial"/>
                <w:color w:val="000000"/>
                <w:sz w:val="14"/>
                <w:szCs w:val="14"/>
                <w:lang w:eastAsia="en-GB"/>
              </w:rPr>
              <w:t>1%</w:t>
            </w:r>
            <w:proofErr w:type="gramEnd"/>
            <w:r w:rsidRPr="007B25E7">
              <w:rPr>
                <w:rFonts w:eastAsia="Times New Roman" w:cs="Arial"/>
                <w:color w:val="000000"/>
                <w:sz w:val="14"/>
                <w:szCs w:val="14"/>
                <w:lang w:eastAsia="en-GB"/>
              </w:rPr>
              <w:t>)</w:t>
            </w:r>
          </w:p>
        </w:tc>
        <w:tc>
          <w:tcPr>
            <w:tcW w:w="0" w:type="auto"/>
            <w:tcBorders>
              <w:top w:val="nil"/>
              <w:left w:val="nil"/>
              <w:bottom w:val="single" w:sz="4" w:space="0" w:color="auto"/>
              <w:right w:val="nil"/>
            </w:tcBorders>
            <w:shd w:val="clear" w:color="000000" w:fill="FFFFFF"/>
            <w:noWrap/>
            <w:vAlign w:val="center"/>
            <w:hideMark/>
          </w:tcPr>
          <w:p w14:paraId="0A8EAE5D"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4" w:space="0" w:color="auto"/>
              <w:right w:val="nil"/>
            </w:tcBorders>
            <w:shd w:val="clear" w:color="000000" w:fill="FFFFFF"/>
            <w:noWrap/>
            <w:vAlign w:val="center"/>
            <w:hideMark/>
          </w:tcPr>
          <w:p w14:paraId="1EC3D48B" w14:textId="7C53448F" w:rsidR="007B25E7" w:rsidRPr="007B25E7" w:rsidRDefault="00472253" w:rsidP="007B25E7">
            <w:pPr>
              <w:spacing w:after="0" w:line="240" w:lineRule="auto"/>
              <w:jc w:val="center"/>
              <w:rPr>
                <w:rFonts w:eastAsia="Times New Roman" w:cs="Arial"/>
                <w:color w:val="000000"/>
                <w:sz w:val="14"/>
                <w:szCs w:val="14"/>
                <w:lang w:eastAsia="en-GB"/>
              </w:rPr>
            </w:pPr>
            <w:proofErr w:type="spellStart"/>
            <w:r w:rsidRPr="007B25E7">
              <w:rPr>
                <w:rFonts w:eastAsia="Times New Roman" w:cs="Arial"/>
                <w:color w:val="000000"/>
                <w:sz w:val="14"/>
                <w:szCs w:val="14"/>
                <w:lang w:eastAsia="en-GB"/>
              </w:rPr>
              <w:t>distribu</w:t>
            </w:r>
            <w:r>
              <w:rPr>
                <w:rFonts w:eastAsia="Times New Roman" w:cs="Arial"/>
                <w:color w:val="000000"/>
                <w:sz w:val="14"/>
                <w:szCs w:val="14"/>
                <w:lang w:eastAsia="en-GB"/>
              </w:rPr>
              <w:t>ted</w:t>
            </w:r>
            <w:proofErr w:type="spellEnd"/>
          </w:p>
        </w:tc>
        <w:tc>
          <w:tcPr>
            <w:tcW w:w="0" w:type="auto"/>
            <w:tcBorders>
              <w:top w:val="nil"/>
              <w:left w:val="nil"/>
              <w:bottom w:val="single" w:sz="4" w:space="0" w:color="auto"/>
              <w:right w:val="nil"/>
            </w:tcBorders>
            <w:shd w:val="clear" w:color="000000" w:fill="FFFFFF"/>
            <w:noWrap/>
            <w:vAlign w:val="center"/>
            <w:hideMark/>
          </w:tcPr>
          <w:p w14:paraId="59BD9928"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2015</w:t>
            </w:r>
          </w:p>
        </w:tc>
        <w:tc>
          <w:tcPr>
            <w:tcW w:w="0" w:type="auto"/>
            <w:tcBorders>
              <w:top w:val="nil"/>
              <w:left w:val="nil"/>
              <w:bottom w:val="single" w:sz="4" w:space="0" w:color="auto"/>
              <w:right w:val="nil"/>
            </w:tcBorders>
            <w:shd w:val="clear" w:color="000000" w:fill="FFFFFF"/>
            <w:vAlign w:val="center"/>
            <w:hideMark/>
          </w:tcPr>
          <w:p w14:paraId="59A98A5E"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 xml:space="preserve">ESFRI </w:t>
            </w:r>
            <w:proofErr w:type="spellStart"/>
            <w:r w:rsidRPr="007B25E7">
              <w:rPr>
                <w:rFonts w:eastAsia="Times New Roman" w:cs="Arial"/>
                <w:color w:val="000000"/>
                <w:sz w:val="14"/>
                <w:szCs w:val="14"/>
                <w:lang w:eastAsia="en-GB"/>
              </w:rPr>
              <w:t>Landmark</w:t>
            </w:r>
            <w:proofErr w:type="spellEnd"/>
          </w:p>
        </w:tc>
      </w:tr>
      <w:tr w:rsidR="007B25E7" w:rsidRPr="007B25E7" w14:paraId="6CFD00E9" w14:textId="77777777" w:rsidTr="007B25E7">
        <w:trPr>
          <w:cantSplit/>
          <w:trHeight w:val="227"/>
        </w:trPr>
        <w:tc>
          <w:tcPr>
            <w:tcW w:w="0" w:type="auto"/>
            <w:vMerge/>
            <w:tcBorders>
              <w:top w:val="nil"/>
              <w:left w:val="nil"/>
              <w:bottom w:val="single" w:sz="8" w:space="0" w:color="000000"/>
              <w:right w:val="nil"/>
            </w:tcBorders>
            <w:vAlign w:val="center"/>
            <w:hideMark/>
          </w:tcPr>
          <w:p w14:paraId="7AEDA326"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4" w:space="0" w:color="auto"/>
              <w:right w:val="nil"/>
            </w:tcBorders>
            <w:noWrap/>
            <w:vAlign w:val="center"/>
            <w:hideMark/>
          </w:tcPr>
          <w:p w14:paraId="0998D4EE"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CENAKVA</w:t>
            </w:r>
          </w:p>
        </w:tc>
        <w:tc>
          <w:tcPr>
            <w:tcW w:w="0" w:type="auto"/>
            <w:tcBorders>
              <w:top w:val="nil"/>
              <w:left w:val="nil"/>
              <w:bottom w:val="single" w:sz="4" w:space="0" w:color="auto"/>
              <w:right w:val="nil"/>
            </w:tcBorders>
            <w:shd w:val="clear" w:color="000000" w:fill="FFFFFF"/>
            <w:noWrap/>
            <w:vAlign w:val="center"/>
            <w:hideMark/>
          </w:tcPr>
          <w:p w14:paraId="472D6622"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LM2023038</w:t>
            </w:r>
          </w:p>
        </w:tc>
        <w:tc>
          <w:tcPr>
            <w:tcW w:w="0" w:type="auto"/>
            <w:tcBorders>
              <w:top w:val="nil"/>
              <w:left w:val="nil"/>
              <w:bottom w:val="single" w:sz="4" w:space="0" w:color="auto"/>
              <w:right w:val="nil"/>
            </w:tcBorders>
            <w:noWrap/>
            <w:vAlign w:val="center"/>
            <w:hideMark/>
          </w:tcPr>
          <w:p w14:paraId="33B3FE9E"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58.5</w:t>
            </w:r>
          </w:p>
        </w:tc>
        <w:tc>
          <w:tcPr>
            <w:tcW w:w="0" w:type="auto"/>
            <w:tcBorders>
              <w:top w:val="single" w:sz="4" w:space="0" w:color="auto"/>
              <w:left w:val="nil"/>
              <w:bottom w:val="single" w:sz="4" w:space="0" w:color="auto"/>
              <w:right w:val="nil"/>
            </w:tcBorders>
            <w:shd w:val="clear" w:color="000000" w:fill="FFE984"/>
            <w:noWrap/>
            <w:vAlign w:val="center"/>
            <w:hideMark/>
          </w:tcPr>
          <w:p w14:paraId="1B3BCC31"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9.</w:t>
            </w:r>
            <w:proofErr w:type="gramStart"/>
            <w:r w:rsidRPr="007B25E7">
              <w:rPr>
                <w:rFonts w:eastAsia="Times New Roman" w:cs="Arial"/>
                <w:color w:val="000000"/>
                <w:sz w:val="14"/>
                <w:szCs w:val="14"/>
                <w:lang w:eastAsia="en-GB"/>
              </w:rPr>
              <w:t>0%</w:t>
            </w:r>
            <w:proofErr w:type="gramEnd"/>
          </w:p>
        </w:tc>
        <w:tc>
          <w:tcPr>
            <w:tcW w:w="0" w:type="auto"/>
            <w:vMerge/>
            <w:tcBorders>
              <w:top w:val="nil"/>
              <w:left w:val="nil"/>
              <w:bottom w:val="single" w:sz="8" w:space="0" w:color="000000"/>
              <w:right w:val="nil"/>
            </w:tcBorders>
            <w:vAlign w:val="center"/>
            <w:hideMark/>
          </w:tcPr>
          <w:p w14:paraId="601530A4"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4" w:space="0" w:color="auto"/>
              <w:right w:val="nil"/>
            </w:tcBorders>
            <w:shd w:val="clear" w:color="000000" w:fill="FFFFFF"/>
            <w:noWrap/>
            <w:vAlign w:val="center"/>
            <w:hideMark/>
          </w:tcPr>
          <w:p w14:paraId="27F7F04D"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4" w:space="0" w:color="auto"/>
              <w:right w:val="nil"/>
            </w:tcBorders>
            <w:shd w:val="clear" w:color="000000" w:fill="FFFFFF"/>
            <w:noWrap/>
            <w:vAlign w:val="center"/>
            <w:hideMark/>
          </w:tcPr>
          <w:p w14:paraId="6DCA82F3"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single-</w:t>
            </w:r>
            <w:proofErr w:type="spellStart"/>
            <w:r w:rsidRPr="007B25E7">
              <w:rPr>
                <w:rFonts w:eastAsia="Times New Roman" w:cs="Arial"/>
                <w:color w:val="000000"/>
                <w:sz w:val="14"/>
                <w:szCs w:val="14"/>
                <w:lang w:eastAsia="en-GB"/>
              </w:rPr>
              <w:t>sited</w:t>
            </w:r>
            <w:proofErr w:type="spellEnd"/>
          </w:p>
        </w:tc>
        <w:tc>
          <w:tcPr>
            <w:tcW w:w="0" w:type="auto"/>
            <w:tcBorders>
              <w:top w:val="nil"/>
              <w:left w:val="nil"/>
              <w:bottom w:val="single" w:sz="4" w:space="0" w:color="auto"/>
              <w:right w:val="nil"/>
            </w:tcBorders>
            <w:shd w:val="clear" w:color="000000" w:fill="FFFFFF"/>
            <w:noWrap/>
            <w:vAlign w:val="center"/>
            <w:hideMark/>
          </w:tcPr>
          <w:p w14:paraId="0D0EA156"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2019</w:t>
            </w:r>
          </w:p>
        </w:tc>
        <w:tc>
          <w:tcPr>
            <w:tcW w:w="0" w:type="auto"/>
            <w:tcBorders>
              <w:top w:val="nil"/>
              <w:left w:val="nil"/>
              <w:bottom w:val="single" w:sz="4" w:space="0" w:color="auto"/>
              <w:right w:val="nil"/>
            </w:tcBorders>
            <w:shd w:val="clear" w:color="000000" w:fill="FFFFFF"/>
            <w:noWrap/>
            <w:vAlign w:val="center"/>
            <w:hideMark/>
          </w:tcPr>
          <w:p w14:paraId="055019DE"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ESFRI Project</w:t>
            </w:r>
          </w:p>
        </w:tc>
      </w:tr>
      <w:tr w:rsidR="007B25E7" w:rsidRPr="007B25E7" w14:paraId="30627853" w14:textId="77777777" w:rsidTr="007B25E7">
        <w:trPr>
          <w:cantSplit/>
          <w:trHeight w:val="227"/>
        </w:trPr>
        <w:tc>
          <w:tcPr>
            <w:tcW w:w="0" w:type="auto"/>
            <w:vMerge/>
            <w:tcBorders>
              <w:top w:val="nil"/>
              <w:left w:val="nil"/>
              <w:bottom w:val="single" w:sz="8" w:space="0" w:color="000000"/>
              <w:right w:val="nil"/>
            </w:tcBorders>
            <w:vAlign w:val="center"/>
            <w:hideMark/>
          </w:tcPr>
          <w:p w14:paraId="4118CB61"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4" w:space="0" w:color="auto"/>
              <w:right w:val="nil"/>
            </w:tcBorders>
            <w:noWrap/>
            <w:vAlign w:val="center"/>
            <w:hideMark/>
          </w:tcPr>
          <w:p w14:paraId="6F3F0EE5" w14:textId="77777777" w:rsidR="007B25E7" w:rsidRPr="007B25E7" w:rsidRDefault="007B25E7" w:rsidP="007B25E7">
            <w:pPr>
              <w:spacing w:after="0" w:line="240" w:lineRule="auto"/>
              <w:jc w:val="center"/>
              <w:rPr>
                <w:rFonts w:eastAsia="Times New Roman" w:cs="Arial"/>
                <w:color w:val="000000"/>
                <w:sz w:val="14"/>
                <w:szCs w:val="14"/>
                <w:lang w:eastAsia="en-GB"/>
              </w:rPr>
            </w:pPr>
            <w:proofErr w:type="spellStart"/>
            <w:r w:rsidRPr="007B25E7">
              <w:rPr>
                <w:rFonts w:eastAsia="Times New Roman" w:cs="Arial"/>
                <w:color w:val="000000"/>
                <w:sz w:val="14"/>
                <w:szCs w:val="14"/>
                <w:lang w:eastAsia="en-GB"/>
              </w:rPr>
              <w:t>CzeCOS</w:t>
            </w:r>
            <w:proofErr w:type="spellEnd"/>
          </w:p>
        </w:tc>
        <w:tc>
          <w:tcPr>
            <w:tcW w:w="0" w:type="auto"/>
            <w:tcBorders>
              <w:top w:val="nil"/>
              <w:left w:val="nil"/>
              <w:bottom w:val="single" w:sz="4" w:space="0" w:color="auto"/>
              <w:right w:val="nil"/>
            </w:tcBorders>
            <w:shd w:val="clear" w:color="000000" w:fill="FFFFFF"/>
            <w:noWrap/>
            <w:vAlign w:val="center"/>
            <w:hideMark/>
          </w:tcPr>
          <w:p w14:paraId="612B4C0B"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LM2023048</w:t>
            </w:r>
          </w:p>
        </w:tc>
        <w:tc>
          <w:tcPr>
            <w:tcW w:w="0" w:type="auto"/>
            <w:tcBorders>
              <w:top w:val="nil"/>
              <w:left w:val="nil"/>
              <w:bottom w:val="single" w:sz="4" w:space="0" w:color="auto"/>
              <w:right w:val="nil"/>
            </w:tcBorders>
            <w:noWrap/>
            <w:vAlign w:val="center"/>
            <w:hideMark/>
          </w:tcPr>
          <w:p w14:paraId="55112EB7"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170.7</w:t>
            </w:r>
          </w:p>
        </w:tc>
        <w:tc>
          <w:tcPr>
            <w:tcW w:w="0" w:type="auto"/>
            <w:tcBorders>
              <w:top w:val="single" w:sz="4" w:space="0" w:color="auto"/>
              <w:left w:val="nil"/>
              <w:bottom w:val="single" w:sz="4" w:space="0" w:color="auto"/>
              <w:right w:val="nil"/>
            </w:tcBorders>
            <w:shd w:val="clear" w:color="000000" w:fill="FED17F"/>
            <w:noWrap/>
            <w:vAlign w:val="center"/>
            <w:hideMark/>
          </w:tcPr>
          <w:p w14:paraId="0F3A11D4"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26.</w:t>
            </w:r>
            <w:proofErr w:type="gramStart"/>
            <w:r w:rsidRPr="007B25E7">
              <w:rPr>
                <w:rFonts w:eastAsia="Times New Roman" w:cs="Arial"/>
                <w:color w:val="000000"/>
                <w:sz w:val="14"/>
                <w:szCs w:val="14"/>
                <w:lang w:eastAsia="en-GB"/>
              </w:rPr>
              <w:t>1%</w:t>
            </w:r>
            <w:proofErr w:type="gramEnd"/>
          </w:p>
        </w:tc>
        <w:tc>
          <w:tcPr>
            <w:tcW w:w="0" w:type="auto"/>
            <w:vMerge/>
            <w:tcBorders>
              <w:top w:val="nil"/>
              <w:left w:val="nil"/>
              <w:bottom w:val="single" w:sz="8" w:space="0" w:color="000000"/>
              <w:right w:val="nil"/>
            </w:tcBorders>
            <w:vAlign w:val="center"/>
            <w:hideMark/>
          </w:tcPr>
          <w:p w14:paraId="41CAA258"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4" w:space="0" w:color="auto"/>
              <w:right w:val="nil"/>
            </w:tcBorders>
            <w:shd w:val="clear" w:color="000000" w:fill="FFFFFF"/>
            <w:noWrap/>
            <w:vAlign w:val="center"/>
            <w:hideMark/>
          </w:tcPr>
          <w:p w14:paraId="15C2E9E1"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4" w:space="0" w:color="auto"/>
              <w:right w:val="nil"/>
            </w:tcBorders>
            <w:shd w:val="clear" w:color="000000" w:fill="FFFFFF"/>
            <w:noWrap/>
            <w:vAlign w:val="center"/>
            <w:hideMark/>
          </w:tcPr>
          <w:p w14:paraId="71932365" w14:textId="62EAC19A" w:rsidR="007B25E7" w:rsidRPr="007B25E7" w:rsidRDefault="00472253" w:rsidP="007B25E7">
            <w:pPr>
              <w:spacing w:after="0" w:line="240" w:lineRule="auto"/>
              <w:jc w:val="center"/>
              <w:rPr>
                <w:rFonts w:eastAsia="Times New Roman" w:cs="Arial"/>
                <w:color w:val="000000"/>
                <w:sz w:val="14"/>
                <w:szCs w:val="14"/>
                <w:lang w:eastAsia="en-GB"/>
              </w:rPr>
            </w:pPr>
            <w:proofErr w:type="spellStart"/>
            <w:r w:rsidRPr="007B25E7">
              <w:rPr>
                <w:rFonts w:eastAsia="Times New Roman" w:cs="Arial"/>
                <w:color w:val="000000"/>
                <w:sz w:val="14"/>
                <w:szCs w:val="14"/>
                <w:lang w:eastAsia="en-GB"/>
              </w:rPr>
              <w:t>distribu</w:t>
            </w:r>
            <w:r>
              <w:rPr>
                <w:rFonts w:eastAsia="Times New Roman" w:cs="Arial"/>
                <w:color w:val="000000"/>
                <w:sz w:val="14"/>
                <w:szCs w:val="14"/>
                <w:lang w:eastAsia="en-GB"/>
              </w:rPr>
              <w:t>ted</w:t>
            </w:r>
            <w:proofErr w:type="spellEnd"/>
          </w:p>
        </w:tc>
        <w:tc>
          <w:tcPr>
            <w:tcW w:w="0" w:type="auto"/>
            <w:tcBorders>
              <w:top w:val="nil"/>
              <w:left w:val="nil"/>
              <w:bottom w:val="single" w:sz="4" w:space="0" w:color="auto"/>
              <w:right w:val="nil"/>
            </w:tcBorders>
            <w:shd w:val="clear" w:color="000000" w:fill="FFFFFF"/>
            <w:noWrap/>
            <w:vAlign w:val="center"/>
            <w:hideMark/>
          </w:tcPr>
          <w:p w14:paraId="34C1BE8C"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2010</w:t>
            </w:r>
          </w:p>
        </w:tc>
        <w:tc>
          <w:tcPr>
            <w:tcW w:w="0" w:type="auto"/>
            <w:tcBorders>
              <w:top w:val="nil"/>
              <w:left w:val="nil"/>
              <w:bottom w:val="single" w:sz="4" w:space="0" w:color="auto"/>
              <w:right w:val="nil"/>
            </w:tcBorders>
            <w:shd w:val="clear" w:color="000000" w:fill="FFFFFF"/>
            <w:vAlign w:val="center"/>
            <w:hideMark/>
          </w:tcPr>
          <w:p w14:paraId="07B7C739" w14:textId="77777777" w:rsidR="007B25E7" w:rsidRPr="007B25E7" w:rsidRDefault="007B25E7" w:rsidP="007B25E7">
            <w:pPr>
              <w:spacing w:after="0" w:line="240" w:lineRule="auto"/>
              <w:jc w:val="center"/>
              <w:rPr>
                <w:rFonts w:eastAsia="Times New Roman" w:cs="Arial"/>
                <w:sz w:val="14"/>
                <w:szCs w:val="14"/>
                <w:lang w:eastAsia="en-GB"/>
              </w:rPr>
            </w:pPr>
            <w:r w:rsidRPr="007B25E7">
              <w:rPr>
                <w:rFonts w:eastAsia="Times New Roman" w:cs="Arial"/>
                <w:sz w:val="14"/>
                <w:szCs w:val="14"/>
                <w:lang w:eastAsia="en-GB"/>
              </w:rPr>
              <w:t xml:space="preserve">ESFRI </w:t>
            </w:r>
            <w:proofErr w:type="spellStart"/>
            <w:r w:rsidRPr="007B25E7">
              <w:rPr>
                <w:rFonts w:eastAsia="Times New Roman" w:cs="Arial"/>
                <w:sz w:val="14"/>
                <w:szCs w:val="14"/>
                <w:lang w:eastAsia="en-GB"/>
              </w:rPr>
              <w:t>Landmark</w:t>
            </w:r>
            <w:proofErr w:type="spellEnd"/>
            <w:r w:rsidRPr="007B25E7">
              <w:rPr>
                <w:rFonts w:eastAsia="Times New Roman" w:cs="Arial"/>
                <w:sz w:val="14"/>
                <w:szCs w:val="14"/>
                <w:lang w:eastAsia="en-GB"/>
              </w:rPr>
              <w:br/>
              <w:t>ESFRI Project</w:t>
            </w:r>
          </w:p>
        </w:tc>
      </w:tr>
      <w:tr w:rsidR="007B25E7" w:rsidRPr="007B25E7" w14:paraId="6E5AE86C" w14:textId="77777777" w:rsidTr="007B25E7">
        <w:trPr>
          <w:cantSplit/>
          <w:trHeight w:val="227"/>
        </w:trPr>
        <w:tc>
          <w:tcPr>
            <w:tcW w:w="0" w:type="auto"/>
            <w:vMerge/>
            <w:tcBorders>
              <w:top w:val="nil"/>
              <w:left w:val="nil"/>
              <w:bottom w:val="single" w:sz="8" w:space="0" w:color="000000"/>
              <w:right w:val="nil"/>
            </w:tcBorders>
            <w:vAlign w:val="center"/>
            <w:hideMark/>
          </w:tcPr>
          <w:p w14:paraId="4CAEDED8"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4" w:space="0" w:color="auto"/>
              <w:right w:val="nil"/>
            </w:tcBorders>
            <w:noWrap/>
            <w:vAlign w:val="center"/>
            <w:hideMark/>
          </w:tcPr>
          <w:p w14:paraId="6BA7E460" w14:textId="77777777" w:rsidR="007B25E7" w:rsidRPr="007B25E7" w:rsidRDefault="007B25E7" w:rsidP="007B25E7">
            <w:pPr>
              <w:spacing w:after="0" w:line="240" w:lineRule="auto"/>
              <w:jc w:val="center"/>
              <w:rPr>
                <w:rFonts w:eastAsia="Times New Roman" w:cs="Arial"/>
                <w:color w:val="000000"/>
                <w:sz w:val="14"/>
                <w:szCs w:val="14"/>
                <w:lang w:eastAsia="en-GB"/>
              </w:rPr>
            </w:pPr>
            <w:proofErr w:type="spellStart"/>
            <w:r w:rsidRPr="007B25E7">
              <w:rPr>
                <w:rFonts w:eastAsia="Times New Roman" w:cs="Arial"/>
                <w:color w:val="000000"/>
                <w:sz w:val="14"/>
                <w:szCs w:val="14"/>
                <w:lang w:eastAsia="en-GB"/>
              </w:rPr>
              <w:t>NanoEnviCz</w:t>
            </w:r>
            <w:proofErr w:type="spellEnd"/>
          </w:p>
        </w:tc>
        <w:tc>
          <w:tcPr>
            <w:tcW w:w="0" w:type="auto"/>
            <w:tcBorders>
              <w:top w:val="nil"/>
              <w:left w:val="nil"/>
              <w:bottom w:val="single" w:sz="4" w:space="0" w:color="auto"/>
              <w:right w:val="nil"/>
            </w:tcBorders>
            <w:shd w:val="clear" w:color="000000" w:fill="FFFFFF"/>
            <w:noWrap/>
            <w:vAlign w:val="center"/>
            <w:hideMark/>
          </w:tcPr>
          <w:p w14:paraId="22F123E6"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LM2023066</w:t>
            </w:r>
          </w:p>
        </w:tc>
        <w:tc>
          <w:tcPr>
            <w:tcW w:w="0" w:type="auto"/>
            <w:tcBorders>
              <w:top w:val="nil"/>
              <w:left w:val="nil"/>
              <w:bottom w:val="single" w:sz="4" w:space="0" w:color="auto"/>
              <w:right w:val="nil"/>
            </w:tcBorders>
            <w:noWrap/>
            <w:vAlign w:val="center"/>
            <w:hideMark/>
          </w:tcPr>
          <w:p w14:paraId="17FAED1F"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82.0</w:t>
            </w:r>
          </w:p>
        </w:tc>
        <w:tc>
          <w:tcPr>
            <w:tcW w:w="0" w:type="auto"/>
            <w:tcBorders>
              <w:top w:val="single" w:sz="4" w:space="0" w:color="auto"/>
              <w:left w:val="nil"/>
              <w:bottom w:val="single" w:sz="4" w:space="0" w:color="auto"/>
              <w:right w:val="nil"/>
            </w:tcBorders>
            <w:shd w:val="clear" w:color="000000" w:fill="FFE483"/>
            <w:noWrap/>
            <w:vAlign w:val="center"/>
            <w:hideMark/>
          </w:tcPr>
          <w:p w14:paraId="10678B71"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12.</w:t>
            </w:r>
            <w:proofErr w:type="gramStart"/>
            <w:r w:rsidRPr="007B25E7">
              <w:rPr>
                <w:rFonts w:eastAsia="Times New Roman" w:cs="Arial"/>
                <w:color w:val="000000"/>
                <w:sz w:val="14"/>
                <w:szCs w:val="14"/>
                <w:lang w:eastAsia="en-GB"/>
              </w:rPr>
              <w:t>6%</w:t>
            </w:r>
            <w:proofErr w:type="gramEnd"/>
          </w:p>
        </w:tc>
        <w:tc>
          <w:tcPr>
            <w:tcW w:w="0" w:type="auto"/>
            <w:vMerge/>
            <w:tcBorders>
              <w:top w:val="nil"/>
              <w:left w:val="nil"/>
              <w:bottom w:val="single" w:sz="8" w:space="0" w:color="000000"/>
              <w:right w:val="nil"/>
            </w:tcBorders>
            <w:vAlign w:val="center"/>
            <w:hideMark/>
          </w:tcPr>
          <w:p w14:paraId="6F5D24F8"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4" w:space="0" w:color="auto"/>
              <w:right w:val="nil"/>
            </w:tcBorders>
            <w:shd w:val="clear" w:color="000000" w:fill="FFFFFF"/>
            <w:noWrap/>
            <w:vAlign w:val="center"/>
            <w:hideMark/>
          </w:tcPr>
          <w:p w14:paraId="636043C4"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4" w:space="0" w:color="auto"/>
              <w:right w:val="nil"/>
            </w:tcBorders>
            <w:shd w:val="clear" w:color="000000" w:fill="FFFFFF"/>
            <w:noWrap/>
            <w:vAlign w:val="center"/>
            <w:hideMark/>
          </w:tcPr>
          <w:p w14:paraId="7F1491D6" w14:textId="4BAC73B6" w:rsidR="007B25E7" w:rsidRPr="007B25E7" w:rsidRDefault="00472253" w:rsidP="007B25E7">
            <w:pPr>
              <w:spacing w:after="0" w:line="240" w:lineRule="auto"/>
              <w:jc w:val="center"/>
              <w:rPr>
                <w:rFonts w:eastAsia="Times New Roman" w:cs="Arial"/>
                <w:color w:val="000000"/>
                <w:sz w:val="14"/>
                <w:szCs w:val="14"/>
                <w:lang w:eastAsia="en-GB"/>
              </w:rPr>
            </w:pPr>
            <w:proofErr w:type="spellStart"/>
            <w:r w:rsidRPr="007B25E7">
              <w:rPr>
                <w:rFonts w:eastAsia="Times New Roman" w:cs="Arial"/>
                <w:color w:val="000000"/>
                <w:sz w:val="14"/>
                <w:szCs w:val="14"/>
                <w:lang w:eastAsia="en-GB"/>
              </w:rPr>
              <w:t>distribu</w:t>
            </w:r>
            <w:r>
              <w:rPr>
                <w:rFonts w:eastAsia="Times New Roman" w:cs="Arial"/>
                <w:color w:val="000000"/>
                <w:sz w:val="14"/>
                <w:szCs w:val="14"/>
                <w:lang w:eastAsia="en-GB"/>
              </w:rPr>
              <w:t>ted</w:t>
            </w:r>
            <w:proofErr w:type="spellEnd"/>
          </w:p>
        </w:tc>
        <w:tc>
          <w:tcPr>
            <w:tcW w:w="0" w:type="auto"/>
            <w:tcBorders>
              <w:top w:val="nil"/>
              <w:left w:val="nil"/>
              <w:bottom w:val="single" w:sz="4" w:space="0" w:color="auto"/>
              <w:right w:val="nil"/>
            </w:tcBorders>
            <w:shd w:val="clear" w:color="000000" w:fill="FFFFFF"/>
            <w:noWrap/>
            <w:vAlign w:val="center"/>
            <w:hideMark/>
          </w:tcPr>
          <w:p w14:paraId="532BC490"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2015</w:t>
            </w:r>
          </w:p>
        </w:tc>
        <w:tc>
          <w:tcPr>
            <w:tcW w:w="0" w:type="auto"/>
            <w:tcBorders>
              <w:top w:val="nil"/>
              <w:left w:val="nil"/>
              <w:bottom w:val="single" w:sz="4" w:space="0" w:color="auto"/>
              <w:right w:val="nil"/>
            </w:tcBorders>
            <w:shd w:val="clear" w:color="000000" w:fill="FFFFFF"/>
            <w:noWrap/>
            <w:vAlign w:val="center"/>
            <w:hideMark/>
          </w:tcPr>
          <w:p w14:paraId="5120B209"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X</w:t>
            </w:r>
          </w:p>
        </w:tc>
      </w:tr>
      <w:tr w:rsidR="007B25E7" w:rsidRPr="007B25E7" w14:paraId="04FA0CBC" w14:textId="77777777" w:rsidTr="007B25E7">
        <w:trPr>
          <w:cantSplit/>
          <w:trHeight w:val="227"/>
        </w:trPr>
        <w:tc>
          <w:tcPr>
            <w:tcW w:w="0" w:type="auto"/>
            <w:vMerge/>
            <w:tcBorders>
              <w:top w:val="nil"/>
              <w:left w:val="nil"/>
              <w:bottom w:val="single" w:sz="8" w:space="0" w:color="000000"/>
              <w:right w:val="nil"/>
            </w:tcBorders>
            <w:vAlign w:val="center"/>
            <w:hideMark/>
          </w:tcPr>
          <w:p w14:paraId="30935951"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8" w:space="0" w:color="auto"/>
              <w:right w:val="nil"/>
            </w:tcBorders>
            <w:noWrap/>
            <w:vAlign w:val="center"/>
            <w:hideMark/>
          </w:tcPr>
          <w:p w14:paraId="1FD6496D"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RECETOX RI</w:t>
            </w:r>
          </w:p>
        </w:tc>
        <w:tc>
          <w:tcPr>
            <w:tcW w:w="0" w:type="auto"/>
            <w:tcBorders>
              <w:top w:val="nil"/>
              <w:left w:val="nil"/>
              <w:bottom w:val="single" w:sz="8" w:space="0" w:color="auto"/>
              <w:right w:val="nil"/>
            </w:tcBorders>
            <w:shd w:val="clear" w:color="000000" w:fill="FFFFFF"/>
            <w:noWrap/>
            <w:vAlign w:val="center"/>
            <w:hideMark/>
          </w:tcPr>
          <w:p w14:paraId="7ACB9BA2"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LM2023069</w:t>
            </w:r>
          </w:p>
        </w:tc>
        <w:tc>
          <w:tcPr>
            <w:tcW w:w="0" w:type="auto"/>
            <w:tcBorders>
              <w:top w:val="nil"/>
              <w:left w:val="nil"/>
              <w:bottom w:val="single" w:sz="8" w:space="0" w:color="auto"/>
              <w:right w:val="nil"/>
            </w:tcBorders>
            <w:noWrap/>
            <w:vAlign w:val="center"/>
            <w:hideMark/>
          </w:tcPr>
          <w:p w14:paraId="701E892A"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232.0</w:t>
            </w:r>
          </w:p>
        </w:tc>
        <w:tc>
          <w:tcPr>
            <w:tcW w:w="0" w:type="auto"/>
            <w:tcBorders>
              <w:top w:val="single" w:sz="4" w:space="0" w:color="auto"/>
              <w:left w:val="nil"/>
              <w:bottom w:val="single" w:sz="8" w:space="0" w:color="auto"/>
              <w:right w:val="nil"/>
            </w:tcBorders>
            <w:shd w:val="clear" w:color="000000" w:fill="FDC47D"/>
            <w:noWrap/>
            <w:vAlign w:val="center"/>
            <w:hideMark/>
          </w:tcPr>
          <w:p w14:paraId="5E80FF13"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35.</w:t>
            </w:r>
            <w:proofErr w:type="gramStart"/>
            <w:r w:rsidRPr="007B25E7">
              <w:rPr>
                <w:rFonts w:eastAsia="Times New Roman" w:cs="Arial"/>
                <w:color w:val="000000"/>
                <w:sz w:val="14"/>
                <w:szCs w:val="14"/>
                <w:lang w:eastAsia="en-GB"/>
              </w:rPr>
              <w:t>5%</w:t>
            </w:r>
            <w:proofErr w:type="gramEnd"/>
          </w:p>
        </w:tc>
        <w:tc>
          <w:tcPr>
            <w:tcW w:w="0" w:type="auto"/>
            <w:vMerge/>
            <w:tcBorders>
              <w:top w:val="nil"/>
              <w:left w:val="nil"/>
              <w:bottom w:val="single" w:sz="8" w:space="0" w:color="000000"/>
              <w:right w:val="nil"/>
            </w:tcBorders>
            <w:vAlign w:val="center"/>
            <w:hideMark/>
          </w:tcPr>
          <w:p w14:paraId="15C66E9F"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8" w:space="0" w:color="auto"/>
              <w:right w:val="nil"/>
            </w:tcBorders>
            <w:shd w:val="clear" w:color="000000" w:fill="FFFFFF"/>
            <w:noWrap/>
            <w:vAlign w:val="center"/>
            <w:hideMark/>
          </w:tcPr>
          <w:p w14:paraId="788E80C2"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implementace</w:t>
            </w:r>
          </w:p>
        </w:tc>
        <w:tc>
          <w:tcPr>
            <w:tcW w:w="0" w:type="auto"/>
            <w:tcBorders>
              <w:top w:val="nil"/>
              <w:left w:val="nil"/>
              <w:bottom w:val="single" w:sz="8" w:space="0" w:color="auto"/>
              <w:right w:val="nil"/>
            </w:tcBorders>
            <w:shd w:val="clear" w:color="000000" w:fill="FFFFFF"/>
            <w:noWrap/>
            <w:vAlign w:val="center"/>
            <w:hideMark/>
          </w:tcPr>
          <w:p w14:paraId="0DEE78C2"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single-</w:t>
            </w:r>
            <w:proofErr w:type="spellStart"/>
            <w:r w:rsidRPr="007B25E7">
              <w:rPr>
                <w:rFonts w:eastAsia="Times New Roman" w:cs="Arial"/>
                <w:color w:val="000000"/>
                <w:sz w:val="14"/>
                <w:szCs w:val="14"/>
                <w:lang w:eastAsia="en-GB"/>
              </w:rPr>
              <w:t>sited</w:t>
            </w:r>
            <w:proofErr w:type="spellEnd"/>
          </w:p>
        </w:tc>
        <w:tc>
          <w:tcPr>
            <w:tcW w:w="0" w:type="auto"/>
            <w:tcBorders>
              <w:top w:val="nil"/>
              <w:left w:val="nil"/>
              <w:bottom w:val="single" w:sz="8" w:space="0" w:color="auto"/>
              <w:right w:val="nil"/>
            </w:tcBorders>
            <w:shd w:val="clear" w:color="000000" w:fill="FFFFFF"/>
            <w:noWrap/>
            <w:vAlign w:val="center"/>
            <w:hideMark/>
          </w:tcPr>
          <w:p w14:paraId="109B5BB5"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2010</w:t>
            </w:r>
          </w:p>
        </w:tc>
        <w:tc>
          <w:tcPr>
            <w:tcW w:w="0" w:type="auto"/>
            <w:tcBorders>
              <w:top w:val="nil"/>
              <w:left w:val="nil"/>
              <w:bottom w:val="single" w:sz="8" w:space="0" w:color="auto"/>
              <w:right w:val="nil"/>
            </w:tcBorders>
            <w:shd w:val="clear" w:color="000000" w:fill="FFFFFF"/>
            <w:noWrap/>
            <w:vAlign w:val="center"/>
            <w:hideMark/>
          </w:tcPr>
          <w:p w14:paraId="3319EF31"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ESFRI Project</w:t>
            </w:r>
          </w:p>
        </w:tc>
      </w:tr>
      <w:tr w:rsidR="007B25E7" w:rsidRPr="007B25E7" w14:paraId="6BCD90AF" w14:textId="77777777" w:rsidTr="007B25E7">
        <w:trPr>
          <w:cantSplit/>
          <w:trHeight w:val="283"/>
        </w:trPr>
        <w:tc>
          <w:tcPr>
            <w:tcW w:w="0" w:type="auto"/>
            <w:vMerge w:val="restart"/>
            <w:tcBorders>
              <w:top w:val="nil"/>
              <w:left w:val="nil"/>
              <w:bottom w:val="single" w:sz="8" w:space="0" w:color="000000"/>
              <w:right w:val="nil"/>
            </w:tcBorders>
            <w:shd w:val="clear" w:color="000000" w:fill="FF9797"/>
            <w:textDirection w:val="btLr"/>
            <w:vAlign w:val="center"/>
            <w:hideMark/>
          </w:tcPr>
          <w:p w14:paraId="07C74B49" w14:textId="77777777" w:rsidR="007B25E7" w:rsidRPr="007B25E7" w:rsidRDefault="007B25E7" w:rsidP="007B25E7">
            <w:pPr>
              <w:spacing w:after="0" w:line="240" w:lineRule="auto"/>
              <w:jc w:val="center"/>
              <w:rPr>
                <w:rFonts w:eastAsia="Times New Roman" w:cs="Arial"/>
                <w:b/>
                <w:bCs/>
                <w:color w:val="000000"/>
                <w:sz w:val="14"/>
                <w:szCs w:val="14"/>
                <w:lang w:eastAsia="en-GB"/>
              </w:rPr>
            </w:pPr>
            <w:proofErr w:type="spellStart"/>
            <w:r w:rsidRPr="007B25E7">
              <w:rPr>
                <w:rFonts w:eastAsia="Times New Roman" w:cs="Arial"/>
                <w:b/>
                <w:bCs/>
                <w:color w:val="000000"/>
                <w:sz w:val="14"/>
                <w:szCs w:val="14"/>
                <w:lang w:eastAsia="en-GB"/>
              </w:rPr>
              <w:t>Biological</w:t>
            </w:r>
            <w:proofErr w:type="spellEnd"/>
            <w:r w:rsidRPr="007B25E7">
              <w:rPr>
                <w:rFonts w:eastAsia="Times New Roman" w:cs="Arial"/>
                <w:b/>
                <w:bCs/>
                <w:color w:val="000000"/>
                <w:sz w:val="14"/>
                <w:szCs w:val="14"/>
                <w:lang w:eastAsia="en-GB"/>
              </w:rPr>
              <w:t xml:space="preserve"> </w:t>
            </w:r>
            <w:r w:rsidRPr="007B25E7">
              <w:rPr>
                <w:rFonts w:eastAsia="Times New Roman" w:cs="Arial"/>
                <w:b/>
                <w:bCs/>
                <w:color w:val="000000"/>
                <w:sz w:val="14"/>
                <w:szCs w:val="14"/>
                <w:lang w:eastAsia="en-GB"/>
              </w:rPr>
              <w:br w:type="page"/>
              <w:t xml:space="preserve">and </w:t>
            </w:r>
            <w:proofErr w:type="spellStart"/>
            <w:r w:rsidRPr="007B25E7">
              <w:rPr>
                <w:rFonts w:eastAsia="Times New Roman" w:cs="Arial"/>
                <w:b/>
                <w:bCs/>
                <w:color w:val="000000"/>
                <w:sz w:val="14"/>
                <w:szCs w:val="14"/>
                <w:lang w:eastAsia="en-GB"/>
              </w:rPr>
              <w:t>medical</w:t>
            </w:r>
            <w:proofErr w:type="spellEnd"/>
            <w:r w:rsidRPr="007B25E7">
              <w:rPr>
                <w:rFonts w:eastAsia="Times New Roman" w:cs="Arial"/>
                <w:b/>
                <w:bCs/>
                <w:color w:val="000000"/>
                <w:sz w:val="14"/>
                <w:szCs w:val="14"/>
                <w:lang w:eastAsia="en-GB"/>
              </w:rPr>
              <w:t xml:space="preserve"> </w:t>
            </w:r>
            <w:proofErr w:type="spellStart"/>
            <w:r w:rsidRPr="007B25E7">
              <w:rPr>
                <w:rFonts w:eastAsia="Times New Roman" w:cs="Arial"/>
                <w:b/>
                <w:bCs/>
                <w:color w:val="000000"/>
                <w:sz w:val="14"/>
                <w:szCs w:val="14"/>
                <w:lang w:eastAsia="en-GB"/>
              </w:rPr>
              <w:t>sciences</w:t>
            </w:r>
            <w:proofErr w:type="spellEnd"/>
          </w:p>
        </w:tc>
        <w:tc>
          <w:tcPr>
            <w:tcW w:w="0" w:type="auto"/>
            <w:tcBorders>
              <w:top w:val="nil"/>
              <w:left w:val="nil"/>
              <w:bottom w:val="single" w:sz="4" w:space="0" w:color="auto"/>
              <w:right w:val="nil"/>
            </w:tcBorders>
            <w:noWrap/>
            <w:vAlign w:val="center"/>
            <w:hideMark/>
          </w:tcPr>
          <w:p w14:paraId="039FF1D6"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BBMRI.cz</w:t>
            </w:r>
          </w:p>
        </w:tc>
        <w:tc>
          <w:tcPr>
            <w:tcW w:w="0" w:type="auto"/>
            <w:tcBorders>
              <w:top w:val="nil"/>
              <w:left w:val="nil"/>
              <w:bottom w:val="single" w:sz="4" w:space="0" w:color="auto"/>
              <w:right w:val="nil"/>
            </w:tcBorders>
            <w:shd w:val="clear" w:color="000000" w:fill="FFFFFF"/>
            <w:noWrap/>
            <w:vAlign w:val="center"/>
            <w:hideMark/>
          </w:tcPr>
          <w:p w14:paraId="2A0D48B4"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LM2023033</w:t>
            </w:r>
          </w:p>
        </w:tc>
        <w:tc>
          <w:tcPr>
            <w:tcW w:w="0" w:type="auto"/>
            <w:tcBorders>
              <w:top w:val="nil"/>
              <w:left w:val="nil"/>
              <w:bottom w:val="single" w:sz="4" w:space="0" w:color="auto"/>
              <w:right w:val="nil"/>
            </w:tcBorders>
            <w:noWrap/>
            <w:vAlign w:val="center"/>
            <w:hideMark/>
          </w:tcPr>
          <w:p w14:paraId="5AAAF070"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179.0</w:t>
            </w:r>
          </w:p>
        </w:tc>
        <w:tc>
          <w:tcPr>
            <w:tcW w:w="0" w:type="auto"/>
            <w:tcBorders>
              <w:top w:val="single" w:sz="8" w:space="0" w:color="auto"/>
              <w:left w:val="nil"/>
              <w:bottom w:val="single" w:sz="4" w:space="0" w:color="auto"/>
              <w:right w:val="nil"/>
            </w:tcBorders>
            <w:shd w:val="clear" w:color="000000" w:fill="FFE984"/>
            <w:noWrap/>
            <w:vAlign w:val="center"/>
            <w:hideMark/>
          </w:tcPr>
          <w:p w14:paraId="6AD6EABA"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8.</w:t>
            </w:r>
            <w:proofErr w:type="gramStart"/>
            <w:r w:rsidRPr="007B25E7">
              <w:rPr>
                <w:rFonts w:eastAsia="Times New Roman" w:cs="Arial"/>
                <w:color w:val="000000"/>
                <w:sz w:val="14"/>
                <w:szCs w:val="14"/>
                <w:lang w:eastAsia="en-GB"/>
              </w:rPr>
              <w:t>7%</w:t>
            </w:r>
            <w:proofErr w:type="gramEnd"/>
          </w:p>
        </w:tc>
        <w:tc>
          <w:tcPr>
            <w:tcW w:w="0" w:type="auto"/>
            <w:vMerge w:val="restart"/>
            <w:tcBorders>
              <w:top w:val="nil"/>
              <w:left w:val="nil"/>
              <w:bottom w:val="single" w:sz="8" w:space="0" w:color="000000"/>
              <w:right w:val="nil"/>
            </w:tcBorders>
            <w:vAlign w:val="center"/>
            <w:hideMark/>
          </w:tcPr>
          <w:p w14:paraId="51F7CCF1"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2 068.2</w:t>
            </w:r>
            <w:r w:rsidRPr="007B25E7">
              <w:rPr>
                <w:rFonts w:eastAsia="Times New Roman" w:cs="Arial"/>
                <w:color w:val="000000"/>
                <w:sz w:val="14"/>
                <w:szCs w:val="14"/>
                <w:lang w:eastAsia="en-GB"/>
              </w:rPr>
              <w:br w:type="page"/>
              <w:t xml:space="preserve"> (28.</w:t>
            </w:r>
            <w:proofErr w:type="gramStart"/>
            <w:r w:rsidRPr="007B25E7">
              <w:rPr>
                <w:rFonts w:eastAsia="Times New Roman" w:cs="Arial"/>
                <w:color w:val="000000"/>
                <w:sz w:val="14"/>
                <w:szCs w:val="14"/>
                <w:lang w:eastAsia="en-GB"/>
              </w:rPr>
              <w:t>9%</w:t>
            </w:r>
            <w:proofErr w:type="gramEnd"/>
            <w:r w:rsidRPr="007B25E7">
              <w:rPr>
                <w:rFonts w:eastAsia="Times New Roman" w:cs="Arial"/>
                <w:color w:val="000000"/>
                <w:sz w:val="14"/>
                <w:szCs w:val="14"/>
                <w:lang w:eastAsia="en-GB"/>
              </w:rPr>
              <w:t>)</w:t>
            </w:r>
          </w:p>
        </w:tc>
        <w:tc>
          <w:tcPr>
            <w:tcW w:w="0" w:type="auto"/>
            <w:tcBorders>
              <w:top w:val="nil"/>
              <w:left w:val="nil"/>
              <w:bottom w:val="single" w:sz="4" w:space="0" w:color="auto"/>
              <w:right w:val="nil"/>
            </w:tcBorders>
            <w:shd w:val="clear" w:color="000000" w:fill="FFFFFF"/>
            <w:noWrap/>
            <w:vAlign w:val="center"/>
            <w:hideMark/>
          </w:tcPr>
          <w:p w14:paraId="2A7E1EA1" w14:textId="77777777" w:rsidR="007B25E7" w:rsidRPr="007B25E7" w:rsidRDefault="007B25E7" w:rsidP="007B25E7">
            <w:pPr>
              <w:spacing w:after="0" w:line="240" w:lineRule="auto"/>
              <w:jc w:val="center"/>
              <w:rPr>
                <w:rFonts w:eastAsia="Times New Roman" w:cs="Arial"/>
                <w:color w:val="000000"/>
                <w:sz w:val="14"/>
                <w:szCs w:val="14"/>
                <w:lang w:eastAsia="en-GB"/>
              </w:rPr>
            </w:pPr>
            <w:proofErr w:type="spellStart"/>
            <w:r w:rsidRPr="007B25E7">
              <w:rPr>
                <w:rFonts w:eastAsia="Times New Roman" w:cs="Arial"/>
                <w:color w:val="000000"/>
                <w:sz w:val="14"/>
                <w:szCs w:val="14"/>
                <w:lang w:eastAsia="en-GB"/>
              </w:rPr>
              <w:t>operational</w:t>
            </w:r>
            <w:proofErr w:type="spellEnd"/>
          </w:p>
        </w:tc>
        <w:tc>
          <w:tcPr>
            <w:tcW w:w="0" w:type="auto"/>
            <w:tcBorders>
              <w:top w:val="nil"/>
              <w:left w:val="nil"/>
              <w:bottom w:val="single" w:sz="4" w:space="0" w:color="auto"/>
              <w:right w:val="nil"/>
            </w:tcBorders>
            <w:shd w:val="clear" w:color="000000" w:fill="FFFFFF"/>
            <w:noWrap/>
            <w:vAlign w:val="center"/>
            <w:hideMark/>
          </w:tcPr>
          <w:p w14:paraId="4369E19A" w14:textId="73CC0C45" w:rsidR="007B25E7" w:rsidRPr="007B25E7" w:rsidRDefault="00472253" w:rsidP="007B25E7">
            <w:pPr>
              <w:spacing w:after="0" w:line="240" w:lineRule="auto"/>
              <w:jc w:val="center"/>
              <w:rPr>
                <w:rFonts w:eastAsia="Times New Roman" w:cs="Arial"/>
                <w:color w:val="000000"/>
                <w:sz w:val="14"/>
                <w:szCs w:val="14"/>
                <w:lang w:eastAsia="en-GB"/>
              </w:rPr>
            </w:pPr>
            <w:proofErr w:type="spellStart"/>
            <w:r w:rsidRPr="007B25E7">
              <w:rPr>
                <w:rFonts w:eastAsia="Times New Roman" w:cs="Arial"/>
                <w:color w:val="000000"/>
                <w:sz w:val="14"/>
                <w:szCs w:val="14"/>
                <w:lang w:eastAsia="en-GB"/>
              </w:rPr>
              <w:t>distribu</w:t>
            </w:r>
            <w:r>
              <w:rPr>
                <w:rFonts w:eastAsia="Times New Roman" w:cs="Arial"/>
                <w:color w:val="000000"/>
                <w:sz w:val="14"/>
                <w:szCs w:val="14"/>
                <w:lang w:eastAsia="en-GB"/>
              </w:rPr>
              <w:t>ted</w:t>
            </w:r>
            <w:proofErr w:type="spellEnd"/>
          </w:p>
        </w:tc>
        <w:tc>
          <w:tcPr>
            <w:tcW w:w="0" w:type="auto"/>
            <w:tcBorders>
              <w:top w:val="nil"/>
              <w:left w:val="nil"/>
              <w:bottom w:val="single" w:sz="4" w:space="0" w:color="auto"/>
              <w:right w:val="nil"/>
            </w:tcBorders>
            <w:shd w:val="clear" w:color="000000" w:fill="FFFFFF"/>
            <w:noWrap/>
            <w:vAlign w:val="center"/>
            <w:hideMark/>
          </w:tcPr>
          <w:p w14:paraId="5000A5FD"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2010</w:t>
            </w:r>
          </w:p>
        </w:tc>
        <w:tc>
          <w:tcPr>
            <w:tcW w:w="0" w:type="auto"/>
            <w:tcBorders>
              <w:top w:val="nil"/>
              <w:left w:val="nil"/>
              <w:bottom w:val="single" w:sz="4" w:space="0" w:color="auto"/>
              <w:right w:val="nil"/>
            </w:tcBorders>
            <w:shd w:val="clear" w:color="000000" w:fill="FFFFFF"/>
            <w:noWrap/>
            <w:vAlign w:val="center"/>
            <w:hideMark/>
          </w:tcPr>
          <w:p w14:paraId="43ECBAF8"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 xml:space="preserve">ESFRI </w:t>
            </w:r>
            <w:proofErr w:type="spellStart"/>
            <w:r w:rsidRPr="007B25E7">
              <w:rPr>
                <w:rFonts w:eastAsia="Times New Roman" w:cs="Arial"/>
                <w:color w:val="000000"/>
                <w:sz w:val="14"/>
                <w:szCs w:val="14"/>
                <w:lang w:eastAsia="en-GB"/>
              </w:rPr>
              <w:t>Landmark</w:t>
            </w:r>
            <w:proofErr w:type="spellEnd"/>
          </w:p>
        </w:tc>
      </w:tr>
      <w:tr w:rsidR="007B25E7" w:rsidRPr="007B25E7" w14:paraId="10ECA00C" w14:textId="77777777" w:rsidTr="007B25E7">
        <w:trPr>
          <w:cantSplit/>
          <w:trHeight w:val="283"/>
        </w:trPr>
        <w:tc>
          <w:tcPr>
            <w:tcW w:w="0" w:type="auto"/>
            <w:vMerge/>
            <w:tcBorders>
              <w:top w:val="nil"/>
              <w:left w:val="nil"/>
              <w:bottom w:val="single" w:sz="8" w:space="0" w:color="000000"/>
              <w:right w:val="nil"/>
            </w:tcBorders>
            <w:vAlign w:val="center"/>
            <w:hideMark/>
          </w:tcPr>
          <w:p w14:paraId="48348C8C"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4" w:space="0" w:color="auto"/>
              <w:right w:val="nil"/>
            </w:tcBorders>
            <w:noWrap/>
            <w:vAlign w:val="center"/>
            <w:hideMark/>
          </w:tcPr>
          <w:p w14:paraId="2300C42F"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CCP</w:t>
            </w:r>
          </w:p>
        </w:tc>
        <w:tc>
          <w:tcPr>
            <w:tcW w:w="0" w:type="auto"/>
            <w:tcBorders>
              <w:top w:val="nil"/>
              <w:left w:val="nil"/>
              <w:bottom w:val="single" w:sz="4" w:space="0" w:color="auto"/>
              <w:right w:val="nil"/>
            </w:tcBorders>
            <w:shd w:val="clear" w:color="000000" w:fill="FFFFFF"/>
            <w:noWrap/>
            <w:vAlign w:val="center"/>
            <w:hideMark/>
          </w:tcPr>
          <w:p w14:paraId="6F72F312"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LM2023036</w:t>
            </w:r>
          </w:p>
        </w:tc>
        <w:tc>
          <w:tcPr>
            <w:tcW w:w="0" w:type="auto"/>
            <w:tcBorders>
              <w:top w:val="nil"/>
              <w:left w:val="nil"/>
              <w:bottom w:val="single" w:sz="4" w:space="0" w:color="auto"/>
              <w:right w:val="nil"/>
            </w:tcBorders>
            <w:noWrap/>
            <w:vAlign w:val="center"/>
            <w:hideMark/>
          </w:tcPr>
          <w:p w14:paraId="27E3FBFE"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316.0</w:t>
            </w:r>
          </w:p>
        </w:tc>
        <w:tc>
          <w:tcPr>
            <w:tcW w:w="0" w:type="auto"/>
            <w:tcBorders>
              <w:top w:val="single" w:sz="4" w:space="0" w:color="auto"/>
              <w:left w:val="nil"/>
              <w:bottom w:val="single" w:sz="4" w:space="0" w:color="auto"/>
              <w:right w:val="nil"/>
            </w:tcBorders>
            <w:shd w:val="clear" w:color="000000" w:fill="FFE082"/>
            <w:noWrap/>
            <w:vAlign w:val="center"/>
            <w:hideMark/>
          </w:tcPr>
          <w:p w14:paraId="7046FBE3"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15.</w:t>
            </w:r>
            <w:proofErr w:type="gramStart"/>
            <w:r w:rsidRPr="007B25E7">
              <w:rPr>
                <w:rFonts w:eastAsia="Times New Roman" w:cs="Arial"/>
                <w:color w:val="000000"/>
                <w:sz w:val="14"/>
                <w:szCs w:val="14"/>
                <w:lang w:eastAsia="en-GB"/>
              </w:rPr>
              <w:t>3%</w:t>
            </w:r>
            <w:proofErr w:type="gramEnd"/>
          </w:p>
        </w:tc>
        <w:tc>
          <w:tcPr>
            <w:tcW w:w="0" w:type="auto"/>
            <w:vMerge/>
            <w:tcBorders>
              <w:top w:val="nil"/>
              <w:left w:val="nil"/>
              <w:bottom w:val="single" w:sz="8" w:space="0" w:color="000000"/>
              <w:right w:val="nil"/>
            </w:tcBorders>
            <w:vAlign w:val="center"/>
            <w:hideMark/>
          </w:tcPr>
          <w:p w14:paraId="6E3A31A4"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4" w:space="0" w:color="auto"/>
              <w:right w:val="nil"/>
            </w:tcBorders>
            <w:shd w:val="clear" w:color="000000" w:fill="FFFFFF"/>
            <w:noWrap/>
            <w:vAlign w:val="center"/>
            <w:hideMark/>
          </w:tcPr>
          <w:p w14:paraId="498F5C49"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4" w:space="0" w:color="auto"/>
              <w:right w:val="nil"/>
            </w:tcBorders>
            <w:shd w:val="clear" w:color="000000" w:fill="FFFFFF"/>
            <w:noWrap/>
            <w:vAlign w:val="center"/>
            <w:hideMark/>
          </w:tcPr>
          <w:p w14:paraId="1BD4322A"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single-</w:t>
            </w:r>
            <w:proofErr w:type="spellStart"/>
            <w:r w:rsidRPr="007B25E7">
              <w:rPr>
                <w:rFonts w:eastAsia="Times New Roman" w:cs="Arial"/>
                <w:color w:val="000000"/>
                <w:sz w:val="14"/>
                <w:szCs w:val="14"/>
                <w:lang w:eastAsia="en-GB"/>
              </w:rPr>
              <w:t>sited</w:t>
            </w:r>
            <w:proofErr w:type="spellEnd"/>
          </w:p>
        </w:tc>
        <w:tc>
          <w:tcPr>
            <w:tcW w:w="0" w:type="auto"/>
            <w:tcBorders>
              <w:top w:val="nil"/>
              <w:left w:val="nil"/>
              <w:bottom w:val="single" w:sz="4" w:space="0" w:color="auto"/>
              <w:right w:val="nil"/>
            </w:tcBorders>
            <w:shd w:val="clear" w:color="000000" w:fill="FFFFFF"/>
            <w:noWrap/>
            <w:vAlign w:val="center"/>
            <w:hideMark/>
          </w:tcPr>
          <w:p w14:paraId="36954056"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2010</w:t>
            </w:r>
          </w:p>
        </w:tc>
        <w:tc>
          <w:tcPr>
            <w:tcW w:w="0" w:type="auto"/>
            <w:tcBorders>
              <w:top w:val="nil"/>
              <w:left w:val="nil"/>
              <w:bottom w:val="single" w:sz="4" w:space="0" w:color="auto"/>
              <w:right w:val="nil"/>
            </w:tcBorders>
            <w:shd w:val="clear" w:color="000000" w:fill="FFFFFF"/>
            <w:noWrap/>
            <w:vAlign w:val="center"/>
            <w:hideMark/>
          </w:tcPr>
          <w:p w14:paraId="16D1FD3C"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 xml:space="preserve">ESFRI </w:t>
            </w:r>
            <w:proofErr w:type="spellStart"/>
            <w:r w:rsidRPr="007B25E7">
              <w:rPr>
                <w:rFonts w:eastAsia="Times New Roman" w:cs="Arial"/>
                <w:color w:val="000000"/>
                <w:sz w:val="14"/>
                <w:szCs w:val="14"/>
                <w:lang w:eastAsia="en-GB"/>
              </w:rPr>
              <w:t>Landmark</w:t>
            </w:r>
            <w:proofErr w:type="spellEnd"/>
          </w:p>
        </w:tc>
      </w:tr>
      <w:tr w:rsidR="007B25E7" w:rsidRPr="007B25E7" w14:paraId="183D6441" w14:textId="77777777" w:rsidTr="007B25E7">
        <w:trPr>
          <w:cantSplit/>
          <w:trHeight w:val="283"/>
        </w:trPr>
        <w:tc>
          <w:tcPr>
            <w:tcW w:w="0" w:type="auto"/>
            <w:vMerge/>
            <w:tcBorders>
              <w:top w:val="nil"/>
              <w:left w:val="nil"/>
              <w:bottom w:val="single" w:sz="8" w:space="0" w:color="000000"/>
              <w:right w:val="nil"/>
            </w:tcBorders>
            <w:vAlign w:val="center"/>
            <w:hideMark/>
          </w:tcPr>
          <w:p w14:paraId="60C49724"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4" w:space="0" w:color="auto"/>
              <w:right w:val="nil"/>
            </w:tcBorders>
            <w:noWrap/>
            <w:vAlign w:val="center"/>
            <w:hideMark/>
          </w:tcPr>
          <w:p w14:paraId="70E7356A"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CIISB</w:t>
            </w:r>
          </w:p>
        </w:tc>
        <w:tc>
          <w:tcPr>
            <w:tcW w:w="0" w:type="auto"/>
            <w:tcBorders>
              <w:top w:val="nil"/>
              <w:left w:val="nil"/>
              <w:bottom w:val="single" w:sz="4" w:space="0" w:color="auto"/>
              <w:right w:val="nil"/>
            </w:tcBorders>
            <w:shd w:val="clear" w:color="000000" w:fill="FFFFFF"/>
            <w:noWrap/>
            <w:vAlign w:val="center"/>
            <w:hideMark/>
          </w:tcPr>
          <w:p w14:paraId="70F90E94"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LM2023042</w:t>
            </w:r>
          </w:p>
        </w:tc>
        <w:tc>
          <w:tcPr>
            <w:tcW w:w="0" w:type="auto"/>
            <w:tcBorders>
              <w:top w:val="nil"/>
              <w:left w:val="nil"/>
              <w:bottom w:val="single" w:sz="4" w:space="0" w:color="auto"/>
              <w:right w:val="nil"/>
            </w:tcBorders>
            <w:noWrap/>
            <w:vAlign w:val="center"/>
            <w:hideMark/>
          </w:tcPr>
          <w:p w14:paraId="1DB13356"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231.3</w:t>
            </w:r>
          </w:p>
        </w:tc>
        <w:tc>
          <w:tcPr>
            <w:tcW w:w="0" w:type="auto"/>
            <w:tcBorders>
              <w:top w:val="single" w:sz="4" w:space="0" w:color="auto"/>
              <w:left w:val="nil"/>
              <w:bottom w:val="single" w:sz="4" w:space="0" w:color="auto"/>
              <w:right w:val="nil"/>
            </w:tcBorders>
            <w:shd w:val="clear" w:color="000000" w:fill="FFE683"/>
            <w:noWrap/>
            <w:vAlign w:val="center"/>
            <w:hideMark/>
          </w:tcPr>
          <w:p w14:paraId="320B2F8D"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11.</w:t>
            </w:r>
            <w:proofErr w:type="gramStart"/>
            <w:r w:rsidRPr="007B25E7">
              <w:rPr>
                <w:rFonts w:eastAsia="Times New Roman" w:cs="Arial"/>
                <w:color w:val="000000"/>
                <w:sz w:val="14"/>
                <w:szCs w:val="14"/>
                <w:lang w:eastAsia="en-GB"/>
              </w:rPr>
              <w:t>2%</w:t>
            </w:r>
            <w:proofErr w:type="gramEnd"/>
          </w:p>
        </w:tc>
        <w:tc>
          <w:tcPr>
            <w:tcW w:w="0" w:type="auto"/>
            <w:vMerge/>
            <w:tcBorders>
              <w:top w:val="nil"/>
              <w:left w:val="nil"/>
              <w:bottom w:val="single" w:sz="8" w:space="0" w:color="000000"/>
              <w:right w:val="nil"/>
            </w:tcBorders>
            <w:vAlign w:val="center"/>
            <w:hideMark/>
          </w:tcPr>
          <w:p w14:paraId="722C0EBC"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4" w:space="0" w:color="auto"/>
              <w:right w:val="nil"/>
            </w:tcBorders>
            <w:shd w:val="clear" w:color="000000" w:fill="FFFFFF"/>
            <w:noWrap/>
            <w:vAlign w:val="center"/>
            <w:hideMark/>
          </w:tcPr>
          <w:p w14:paraId="1F3E2C53"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4" w:space="0" w:color="auto"/>
              <w:right w:val="nil"/>
            </w:tcBorders>
            <w:shd w:val="clear" w:color="000000" w:fill="FFFFFF"/>
            <w:noWrap/>
            <w:vAlign w:val="center"/>
            <w:hideMark/>
          </w:tcPr>
          <w:p w14:paraId="2F372087" w14:textId="6D22D4AC" w:rsidR="007B25E7" w:rsidRPr="007B25E7" w:rsidRDefault="00472253" w:rsidP="007B25E7">
            <w:pPr>
              <w:spacing w:after="0" w:line="240" w:lineRule="auto"/>
              <w:jc w:val="center"/>
              <w:rPr>
                <w:rFonts w:eastAsia="Times New Roman" w:cs="Arial"/>
                <w:color w:val="000000"/>
                <w:sz w:val="14"/>
                <w:szCs w:val="14"/>
                <w:lang w:eastAsia="en-GB"/>
              </w:rPr>
            </w:pPr>
            <w:proofErr w:type="spellStart"/>
            <w:r w:rsidRPr="007B25E7">
              <w:rPr>
                <w:rFonts w:eastAsia="Times New Roman" w:cs="Arial"/>
                <w:color w:val="000000"/>
                <w:sz w:val="14"/>
                <w:szCs w:val="14"/>
                <w:lang w:eastAsia="en-GB"/>
              </w:rPr>
              <w:t>distribu</w:t>
            </w:r>
            <w:r>
              <w:rPr>
                <w:rFonts w:eastAsia="Times New Roman" w:cs="Arial"/>
                <w:color w:val="000000"/>
                <w:sz w:val="14"/>
                <w:szCs w:val="14"/>
                <w:lang w:eastAsia="en-GB"/>
              </w:rPr>
              <w:t>ted</w:t>
            </w:r>
            <w:proofErr w:type="spellEnd"/>
          </w:p>
        </w:tc>
        <w:tc>
          <w:tcPr>
            <w:tcW w:w="0" w:type="auto"/>
            <w:tcBorders>
              <w:top w:val="nil"/>
              <w:left w:val="nil"/>
              <w:bottom w:val="single" w:sz="4" w:space="0" w:color="auto"/>
              <w:right w:val="nil"/>
            </w:tcBorders>
            <w:shd w:val="clear" w:color="000000" w:fill="FFFFFF"/>
            <w:noWrap/>
            <w:vAlign w:val="center"/>
            <w:hideMark/>
          </w:tcPr>
          <w:p w14:paraId="70E7B39B"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2010</w:t>
            </w:r>
          </w:p>
        </w:tc>
        <w:tc>
          <w:tcPr>
            <w:tcW w:w="0" w:type="auto"/>
            <w:tcBorders>
              <w:top w:val="nil"/>
              <w:left w:val="nil"/>
              <w:bottom w:val="single" w:sz="4" w:space="0" w:color="auto"/>
              <w:right w:val="nil"/>
            </w:tcBorders>
            <w:shd w:val="clear" w:color="000000" w:fill="FFFFFF"/>
            <w:noWrap/>
            <w:vAlign w:val="center"/>
            <w:hideMark/>
          </w:tcPr>
          <w:p w14:paraId="03E235FA"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 xml:space="preserve">ESFRI </w:t>
            </w:r>
            <w:proofErr w:type="spellStart"/>
            <w:r w:rsidRPr="007B25E7">
              <w:rPr>
                <w:rFonts w:eastAsia="Times New Roman" w:cs="Arial"/>
                <w:color w:val="000000"/>
                <w:sz w:val="14"/>
                <w:szCs w:val="14"/>
                <w:lang w:eastAsia="en-GB"/>
              </w:rPr>
              <w:t>Landmark</w:t>
            </w:r>
            <w:proofErr w:type="spellEnd"/>
          </w:p>
        </w:tc>
      </w:tr>
      <w:tr w:rsidR="007B25E7" w:rsidRPr="007B25E7" w14:paraId="0219DD84" w14:textId="77777777" w:rsidTr="007B25E7">
        <w:trPr>
          <w:cantSplit/>
          <w:trHeight w:val="283"/>
        </w:trPr>
        <w:tc>
          <w:tcPr>
            <w:tcW w:w="0" w:type="auto"/>
            <w:vMerge/>
            <w:tcBorders>
              <w:top w:val="nil"/>
              <w:left w:val="nil"/>
              <w:bottom w:val="single" w:sz="8" w:space="0" w:color="000000"/>
              <w:right w:val="nil"/>
            </w:tcBorders>
            <w:vAlign w:val="center"/>
            <w:hideMark/>
          </w:tcPr>
          <w:p w14:paraId="063BE071"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4" w:space="0" w:color="auto"/>
              <w:right w:val="nil"/>
            </w:tcBorders>
            <w:noWrap/>
            <w:vAlign w:val="center"/>
            <w:hideMark/>
          </w:tcPr>
          <w:p w14:paraId="421E05D3"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CZECRIN</w:t>
            </w:r>
          </w:p>
        </w:tc>
        <w:tc>
          <w:tcPr>
            <w:tcW w:w="0" w:type="auto"/>
            <w:tcBorders>
              <w:top w:val="nil"/>
              <w:left w:val="nil"/>
              <w:bottom w:val="single" w:sz="4" w:space="0" w:color="auto"/>
              <w:right w:val="nil"/>
            </w:tcBorders>
            <w:shd w:val="clear" w:color="000000" w:fill="FFFFFF"/>
            <w:noWrap/>
            <w:vAlign w:val="center"/>
            <w:hideMark/>
          </w:tcPr>
          <w:p w14:paraId="14D24107"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LM2023049</w:t>
            </w:r>
          </w:p>
        </w:tc>
        <w:tc>
          <w:tcPr>
            <w:tcW w:w="0" w:type="auto"/>
            <w:tcBorders>
              <w:top w:val="nil"/>
              <w:left w:val="nil"/>
              <w:bottom w:val="single" w:sz="4" w:space="0" w:color="auto"/>
              <w:right w:val="nil"/>
            </w:tcBorders>
            <w:noWrap/>
            <w:vAlign w:val="center"/>
            <w:hideMark/>
          </w:tcPr>
          <w:p w14:paraId="6115670F"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288.4</w:t>
            </w:r>
          </w:p>
        </w:tc>
        <w:tc>
          <w:tcPr>
            <w:tcW w:w="0" w:type="auto"/>
            <w:tcBorders>
              <w:top w:val="single" w:sz="4" w:space="0" w:color="auto"/>
              <w:left w:val="nil"/>
              <w:bottom w:val="single" w:sz="4" w:space="0" w:color="auto"/>
              <w:right w:val="nil"/>
            </w:tcBorders>
            <w:shd w:val="clear" w:color="000000" w:fill="FFE283"/>
            <w:noWrap/>
            <w:vAlign w:val="center"/>
            <w:hideMark/>
          </w:tcPr>
          <w:p w14:paraId="0D1F8929"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13.</w:t>
            </w:r>
            <w:proofErr w:type="gramStart"/>
            <w:r w:rsidRPr="007B25E7">
              <w:rPr>
                <w:rFonts w:eastAsia="Times New Roman" w:cs="Arial"/>
                <w:color w:val="000000"/>
                <w:sz w:val="14"/>
                <w:szCs w:val="14"/>
                <w:lang w:eastAsia="en-GB"/>
              </w:rPr>
              <w:t>9%</w:t>
            </w:r>
            <w:proofErr w:type="gramEnd"/>
          </w:p>
        </w:tc>
        <w:tc>
          <w:tcPr>
            <w:tcW w:w="0" w:type="auto"/>
            <w:vMerge/>
            <w:tcBorders>
              <w:top w:val="nil"/>
              <w:left w:val="nil"/>
              <w:bottom w:val="single" w:sz="8" w:space="0" w:color="000000"/>
              <w:right w:val="nil"/>
            </w:tcBorders>
            <w:vAlign w:val="center"/>
            <w:hideMark/>
          </w:tcPr>
          <w:p w14:paraId="0DDDB427"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4" w:space="0" w:color="auto"/>
              <w:right w:val="nil"/>
            </w:tcBorders>
            <w:shd w:val="clear" w:color="000000" w:fill="FFFFFF"/>
            <w:noWrap/>
            <w:vAlign w:val="center"/>
            <w:hideMark/>
          </w:tcPr>
          <w:p w14:paraId="0D54EFDF"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4" w:space="0" w:color="auto"/>
              <w:right w:val="nil"/>
            </w:tcBorders>
            <w:shd w:val="clear" w:color="000000" w:fill="FFFFFF"/>
            <w:noWrap/>
            <w:vAlign w:val="center"/>
            <w:hideMark/>
          </w:tcPr>
          <w:p w14:paraId="0E82FE3B" w14:textId="48A0C02C" w:rsidR="007B25E7" w:rsidRPr="007B25E7" w:rsidRDefault="00472253" w:rsidP="007B25E7">
            <w:pPr>
              <w:spacing w:after="0" w:line="240" w:lineRule="auto"/>
              <w:jc w:val="center"/>
              <w:rPr>
                <w:rFonts w:eastAsia="Times New Roman" w:cs="Arial"/>
                <w:color w:val="000000"/>
                <w:sz w:val="14"/>
                <w:szCs w:val="14"/>
                <w:lang w:eastAsia="en-GB"/>
              </w:rPr>
            </w:pPr>
            <w:proofErr w:type="spellStart"/>
            <w:r w:rsidRPr="007B25E7">
              <w:rPr>
                <w:rFonts w:eastAsia="Times New Roman" w:cs="Arial"/>
                <w:color w:val="000000"/>
                <w:sz w:val="14"/>
                <w:szCs w:val="14"/>
                <w:lang w:eastAsia="en-GB"/>
              </w:rPr>
              <w:t>distribu</w:t>
            </w:r>
            <w:r>
              <w:rPr>
                <w:rFonts w:eastAsia="Times New Roman" w:cs="Arial"/>
                <w:color w:val="000000"/>
                <w:sz w:val="14"/>
                <w:szCs w:val="14"/>
                <w:lang w:eastAsia="en-GB"/>
              </w:rPr>
              <w:t>ted</w:t>
            </w:r>
            <w:proofErr w:type="spellEnd"/>
          </w:p>
        </w:tc>
        <w:tc>
          <w:tcPr>
            <w:tcW w:w="0" w:type="auto"/>
            <w:tcBorders>
              <w:top w:val="nil"/>
              <w:left w:val="nil"/>
              <w:bottom w:val="single" w:sz="4" w:space="0" w:color="auto"/>
              <w:right w:val="nil"/>
            </w:tcBorders>
            <w:shd w:val="clear" w:color="000000" w:fill="FFFFFF"/>
            <w:noWrap/>
            <w:vAlign w:val="center"/>
            <w:hideMark/>
          </w:tcPr>
          <w:p w14:paraId="525FC419"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2010</w:t>
            </w:r>
          </w:p>
        </w:tc>
        <w:tc>
          <w:tcPr>
            <w:tcW w:w="0" w:type="auto"/>
            <w:tcBorders>
              <w:top w:val="nil"/>
              <w:left w:val="nil"/>
              <w:bottom w:val="single" w:sz="4" w:space="0" w:color="auto"/>
              <w:right w:val="nil"/>
            </w:tcBorders>
            <w:shd w:val="clear" w:color="000000" w:fill="FFFFFF"/>
            <w:noWrap/>
            <w:vAlign w:val="center"/>
            <w:hideMark/>
          </w:tcPr>
          <w:p w14:paraId="3EF2C26E"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 xml:space="preserve">ESFRI </w:t>
            </w:r>
            <w:proofErr w:type="spellStart"/>
            <w:r w:rsidRPr="007B25E7">
              <w:rPr>
                <w:rFonts w:eastAsia="Times New Roman" w:cs="Arial"/>
                <w:color w:val="000000"/>
                <w:sz w:val="14"/>
                <w:szCs w:val="14"/>
                <w:lang w:eastAsia="en-GB"/>
              </w:rPr>
              <w:t>Landmark</w:t>
            </w:r>
            <w:proofErr w:type="spellEnd"/>
          </w:p>
        </w:tc>
      </w:tr>
      <w:tr w:rsidR="007B25E7" w:rsidRPr="007B25E7" w14:paraId="5EF9B7F9" w14:textId="77777777" w:rsidTr="007B25E7">
        <w:trPr>
          <w:cantSplit/>
          <w:trHeight w:val="283"/>
        </w:trPr>
        <w:tc>
          <w:tcPr>
            <w:tcW w:w="0" w:type="auto"/>
            <w:vMerge/>
            <w:tcBorders>
              <w:top w:val="nil"/>
              <w:left w:val="nil"/>
              <w:bottom w:val="single" w:sz="8" w:space="0" w:color="000000"/>
              <w:right w:val="nil"/>
            </w:tcBorders>
            <w:vAlign w:val="center"/>
            <w:hideMark/>
          </w:tcPr>
          <w:p w14:paraId="3553C57B"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4" w:space="0" w:color="auto"/>
              <w:right w:val="nil"/>
            </w:tcBorders>
            <w:noWrap/>
            <w:vAlign w:val="center"/>
            <w:hideMark/>
          </w:tcPr>
          <w:p w14:paraId="69CBBFD3"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Czech-</w:t>
            </w:r>
            <w:proofErr w:type="spellStart"/>
            <w:r w:rsidRPr="007B25E7">
              <w:rPr>
                <w:rFonts w:eastAsia="Times New Roman" w:cs="Arial"/>
                <w:color w:val="000000"/>
                <w:sz w:val="14"/>
                <w:szCs w:val="14"/>
                <w:lang w:eastAsia="en-GB"/>
              </w:rPr>
              <w:t>BioImaging</w:t>
            </w:r>
            <w:proofErr w:type="spellEnd"/>
          </w:p>
        </w:tc>
        <w:tc>
          <w:tcPr>
            <w:tcW w:w="0" w:type="auto"/>
            <w:tcBorders>
              <w:top w:val="nil"/>
              <w:left w:val="nil"/>
              <w:bottom w:val="single" w:sz="4" w:space="0" w:color="auto"/>
              <w:right w:val="nil"/>
            </w:tcBorders>
            <w:shd w:val="clear" w:color="000000" w:fill="FFFFFF"/>
            <w:noWrap/>
            <w:vAlign w:val="center"/>
            <w:hideMark/>
          </w:tcPr>
          <w:p w14:paraId="488ADEB7"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LM2023050</w:t>
            </w:r>
          </w:p>
        </w:tc>
        <w:tc>
          <w:tcPr>
            <w:tcW w:w="0" w:type="auto"/>
            <w:tcBorders>
              <w:top w:val="nil"/>
              <w:left w:val="nil"/>
              <w:bottom w:val="single" w:sz="4" w:space="0" w:color="auto"/>
              <w:right w:val="nil"/>
            </w:tcBorders>
            <w:noWrap/>
            <w:vAlign w:val="center"/>
            <w:hideMark/>
          </w:tcPr>
          <w:p w14:paraId="128EDCE3"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387.3</w:t>
            </w:r>
          </w:p>
        </w:tc>
        <w:tc>
          <w:tcPr>
            <w:tcW w:w="0" w:type="auto"/>
            <w:tcBorders>
              <w:top w:val="single" w:sz="4" w:space="0" w:color="auto"/>
              <w:left w:val="nil"/>
              <w:bottom w:val="single" w:sz="4" w:space="0" w:color="auto"/>
              <w:right w:val="nil"/>
            </w:tcBorders>
            <w:shd w:val="clear" w:color="000000" w:fill="FFDB81"/>
            <w:noWrap/>
            <w:vAlign w:val="center"/>
            <w:hideMark/>
          </w:tcPr>
          <w:p w14:paraId="0DBCB21B"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18.</w:t>
            </w:r>
            <w:proofErr w:type="gramStart"/>
            <w:r w:rsidRPr="007B25E7">
              <w:rPr>
                <w:rFonts w:eastAsia="Times New Roman" w:cs="Arial"/>
                <w:color w:val="000000"/>
                <w:sz w:val="14"/>
                <w:szCs w:val="14"/>
                <w:lang w:eastAsia="en-GB"/>
              </w:rPr>
              <w:t>7%</w:t>
            </w:r>
            <w:proofErr w:type="gramEnd"/>
          </w:p>
        </w:tc>
        <w:tc>
          <w:tcPr>
            <w:tcW w:w="0" w:type="auto"/>
            <w:vMerge/>
            <w:tcBorders>
              <w:top w:val="nil"/>
              <w:left w:val="nil"/>
              <w:bottom w:val="single" w:sz="8" w:space="0" w:color="000000"/>
              <w:right w:val="nil"/>
            </w:tcBorders>
            <w:vAlign w:val="center"/>
            <w:hideMark/>
          </w:tcPr>
          <w:p w14:paraId="1B096DC8"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4" w:space="0" w:color="auto"/>
              <w:right w:val="nil"/>
            </w:tcBorders>
            <w:shd w:val="clear" w:color="000000" w:fill="FFFFFF"/>
            <w:noWrap/>
            <w:vAlign w:val="center"/>
            <w:hideMark/>
          </w:tcPr>
          <w:p w14:paraId="53C55F6E"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4" w:space="0" w:color="auto"/>
              <w:right w:val="nil"/>
            </w:tcBorders>
            <w:shd w:val="clear" w:color="000000" w:fill="FFFFFF"/>
            <w:noWrap/>
            <w:vAlign w:val="center"/>
            <w:hideMark/>
          </w:tcPr>
          <w:p w14:paraId="55EAEDA1" w14:textId="48B1350C" w:rsidR="007B25E7" w:rsidRPr="007B25E7" w:rsidRDefault="00472253" w:rsidP="007B25E7">
            <w:pPr>
              <w:spacing w:after="0" w:line="240" w:lineRule="auto"/>
              <w:jc w:val="center"/>
              <w:rPr>
                <w:rFonts w:eastAsia="Times New Roman" w:cs="Arial"/>
                <w:color w:val="000000"/>
                <w:sz w:val="14"/>
                <w:szCs w:val="14"/>
                <w:lang w:eastAsia="en-GB"/>
              </w:rPr>
            </w:pPr>
            <w:proofErr w:type="spellStart"/>
            <w:r w:rsidRPr="007B25E7">
              <w:rPr>
                <w:rFonts w:eastAsia="Times New Roman" w:cs="Arial"/>
                <w:color w:val="000000"/>
                <w:sz w:val="14"/>
                <w:szCs w:val="14"/>
                <w:lang w:eastAsia="en-GB"/>
              </w:rPr>
              <w:t>distribu</w:t>
            </w:r>
            <w:r>
              <w:rPr>
                <w:rFonts w:eastAsia="Times New Roman" w:cs="Arial"/>
                <w:color w:val="000000"/>
                <w:sz w:val="14"/>
                <w:szCs w:val="14"/>
                <w:lang w:eastAsia="en-GB"/>
              </w:rPr>
              <w:t>ted</w:t>
            </w:r>
            <w:proofErr w:type="spellEnd"/>
          </w:p>
        </w:tc>
        <w:tc>
          <w:tcPr>
            <w:tcW w:w="0" w:type="auto"/>
            <w:tcBorders>
              <w:top w:val="nil"/>
              <w:left w:val="nil"/>
              <w:bottom w:val="single" w:sz="4" w:space="0" w:color="auto"/>
              <w:right w:val="nil"/>
            </w:tcBorders>
            <w:shd w:val="clear" w:color="000000" w:fill="FFFFFF"/>
            <w:noWrap/>
            <w:vAlign w:val="center"/>
            <w:hideMark/>
          </w:tcPr>
          <w:p w14:paraId="30AB1E31"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2010</w:t>
            </w:r>
          </w:p>
        </w:tc>
        <w:tc>
          <w:tcPr>
            <w:tcW w:w="0" w:type="auto"/>
            <w:tcBorders>
              <w:top w:val="nil"/>
              <w:left w:val="nil"/>
              <w:bottom w:val="single" w:sz="4" w:space="0" w:color="auto"/>
              <w:right w:val="nil"/>
            </w:tcBorders>
            <w:shd w:val="clear" w:color="000000" w:fill="FFFFFF"/>
            <w:noWrap/>
            <w:vAlign w:val="center"/>
            <w:hideMark/>
          </w:tcPr>
          <w:p w14:paraId="2FB21C70"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 xml:space="preserve">ESFRI </w:t>
            </w:r>
            <w:proofErr w:type="spellStart"/>
            <w:r w:rsidRPr="007B25E7">
              <w:rPr>
                <w:rFonts w:eastAsia="Times New Roman" w:cs="Arial"/>
                <w:color w:val="000000"/>
                <w:sz w:val="14"/>
                <w:szCs w:val="14"/>
                <w:lang w:eastAsia="en-GB"/>
              </w:rPr>
              <w:t>Landmark</w:t>
            </w:r>
            <w:proofErr w:type="spellEnd"/>
          </w:p>
        </w:tc>
      </w:tr>
      <w:tr w:rsidR="007B25E7" w:rsidRPr="007B25E7" w14:paraId="5A5E453C" w14:textId="77777777" w:rsidTr="007B25E7">
        <w:trPr>
          <w:cantSplit/>
          <w:trHeight w:val="283"/>
        </w:trPr>
        <w:tc>
          <w:tcPr>
            <w:tcW w:w="0" w:type="auto"/>
            <w:vMerge/>
            <w:tcBorders>
              <w:top w:val="nil"/>
              <w:left w:val="nil"/>
              <w:bottom w:val="single" w:sz="8" w:space="0" w:color="000000"/>
              <w:right w:val="nil"/>
            </w:tcBorders>
            <w:vAlign w:val="center"/>
            <w:hideMark/>
          </w:tcPr>
          <w:p w14:paraId="2D13A9A5"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4" w:space="0" w:color="auto"/>
              <w:right w:val="nil"/>
            </w:tcBorders>
            <w:noWrap/>
            <w:vAlign w:val="center"/>
            <w:hideMark/>
          </w:tcPr>
          <w:p w14:paraId="665FDEC7"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CZ-OPENSCREEN</w:t>
            </w:r>
          </w:p>
        </w:tc>
        <w:tc>
          <w:tcPr>
            <w:tcW w:w="0" w:type="auto"/>
            <w:tcBorders>
              <w:top w:val="nil"/>
              <w:left w:val="nil"/>
              <w:bottom w:val="single" w:sz="4" w:space="0" w:color="auto"/>
              <w:right w:val="nil"/>
            </w:tcBorders>
            <w:shd w:val="clear" w:color="000000" w:fill="FFFFFF"/>
            <w:noWrap/>
            <w:vAlign w:val="center"/>
            <w:hideMark/>
          </w:tcPr>
          <w:p w14:paraId="06F26F35"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LM2023052</w:t>
            </w:r>
          </w:p>
        </w:tc>
        <w:tc>
          <w:tcPr>
            <w:tcW w:w="0" w:type="auto"/>
            <w:tcBorders>
              <w:top w:val="nil"/>
              <w:left w:val="nil"/>
              <w:bottom w:val="single" w:sz="4" w:space="0" w:color="auto"/>
              <w:right w:val="nil"/>
            </w:tcBorders>
            <w:noWrap/>
            <w:vAlign w:val="center"/>
            <w:hideMark/>
          </w:tcPr>
          <w:p w14:paraId="1DA101D9"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239.2</w:t>
            </w:r>
          </w:p>
        </w:tc>
        <w:tc>
          <w:tcPr>
            <w:tcW w:w="0" w:type="auto"/>
            <w:tcBorders>
              <w:top w:val="single" w:sz="4" w:space="0" w:color="auto"/>
              <w:left w:val="nil"/>
              <w:bottom w:val="single" w:sz="4" w:space="0" w:color="auto"/>
              <w:right w:val="nil"/>
            </w:tcBorders>
            <w:shd w:val="clear" w:color="000000" w:fill="FFE583"/>
            <w:noWrap/>
            <w:vAlign w:val="center"/>
            <w:hideMark/>
          </w:tcPr>
          <w:p w14:paraId="44D0A125"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11.</w:t>
            </w:r>
            <w:proofErr w:type="gramStart"/>
            <w:r w:rsidRPr="007B25E7">
              <w:rPr>
                <w:rFonts w:eastAsia="Times New Roman" w:cs="Arial"/>
                <w:color w:val="000000"/>
                <w:sz w:val="14"/>
                <w:szCs w:val="14"/>
                <w:lang w:eastAsia="en-GB"/>
              </w:rPr>
              <w:t>6%</w:t>
            </w:r>
            <w:proofErr w:type="gramEnd"/>
          </w:p>
        </w:tc>
        <w:tc>
          <w:tcPr>
            <w:tcW w:w="0" w:type="auto"/>
            <w:vMerge/>
            <w:tcBorders>
              <w:top w:val="nil"/>
              <w:left w:val="nil"/>
              <w:bottom w:val="single" w:sz="8" w:space="0" w:color="000000"/>
              <w:right w:val="nil"/>
            </w:tcBorders>
            <w:vAlign w:val="center"/>
            <w:hideMark/>
          </w:tcPr>
          <w:p w14:paraId="12C2F4F1"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4" w:space="0" w:color="auto"/>
              <w:right w:val="nil"/>
            </w:tcBorders>
            <w:shd w:val="clear" w:color="000000" w:fill="FFFFFF"/>
            <w:noWrap/>
            <w:vAlign w:val="center"/>
            <w:hideMark/>
          </w:tcPr>
          <w:p w14:paraId="5C3B75A0"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4" w:space="0" w:color="auto"/>
              <w:right w:val="nil"/>
            </w:tcBorders>
            <w:shd w:val="clear" w:color="000000" w:fill="FFFFFF"/>
            <w:noWrap/>
            <w:vAlign w:val="center"/>
            <w:hideMark/>
          </w:tcPr>
          <w:p w14:paraId="701C5E2D" w14:textId="0EF519B4" w:rsidR="007B25E7" w:rsidRPr="007B25E7" w:rsidRDefault="00472253" w:rsidP="007B25E7">
            <w:pPr>
              <w:spacing w:after="0" w:line="240" w:lineRule="auto"/>
              <w:jc w:val="center"/>
              <w:rPr>
                <w:rFonts w:eastAsia="Times New Roman" w:cs="Arial"/>
                <w:color w:val="000000"/>
                <w:sz w:val="14"/>
                <w:szCs w:val="14"/>
                <w:lang w:eastAsia="en-GB"/>
              </w:rPr>
            </w:pPr>
            <w:proofErr w:type="spellStart"/>
            <w:r w:rsidRPr="007B25E7">
              <w:rPr>
                <w:rFonts w:eastAsia="Times New Roman" w:cs="Arial"/>
                <w:color w:val="000000"/>
                <w:sz w:val="14"/>
                <w:szCs w:val="14"/>
                <w:lang w:eastAsia="en-GB"/>
              </w:rPr>
              <w:t>distribu</w:t>
            </w:r>
            <w:r>
              <w:rPr>
                <w:rFonts w:eastAsia="Times New Roman" w:cs="Arial"/>
                <w:color w:val="000000"/>
                <w:sz w:val="14"/>
                <w:szCs w:val="14"/>
                <w:lang w:eastAsia="en-GB"/>
              </w:rPr>
              <w:t>ted</w:t>
            </w:r>
            <w:proofErr w:type="spellEnd"/>
          </w:p>
        </w:tc>
        <w:tc>
          <w:tcPr>
            <w:tcW w:w="0" w:type="auto"/>
            <w:tcBorders>
              <w:top w:val="nil"/>
              <w:left w:val="nil"/>
              <w:bottom w:val="single" w:sz="4" w:space="0" w:color="auto"/>
              <w:right w:val="nil"/>
            </w:tcBorders>
            <w:shd w:val="clear" w:color="000000" w:fill="FFFFFF"/>
            <w:noWrap/>
            <w:vAlign w:val="center"/>
            <w:hideMark/>
          </w:tcPr>
          <w:p w14:paraId="0B55E980"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2010</w:t>
            </w:r>
          </w:p>
        </w:tc>
        <w:tc>
          <w:tcPr>
            <w:tcW w:w="0" w:type="auto"/>
            <w:tcBorders>
              <w:top w:val="nil"/>
              <w:left w:val="nil"/>
              <w:bottom w:val="single" w:sz="4" w:space="0" w:color="auto"/>
              <w:right w:val="nil"/>
            </w:tcBorders>
            <w:shd w:val="clear" w:color="000000" w:fill="FFFFFF"/>
            <w:noWrap/>
            <w:vAlign w:val="center"/>
            <w:hideMark/>
          </w:tcPr>
          <w:p w14:paraId="79EB7E6E"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 xml:space="preserve">ESFRI </w:t>
            </w:r>
            <w:proofErr w:type="spellStart"/>
            <w:r w:rsidRPr="007B25E7">
              <w:rPr>
                <w:rFonts w:eastAsia="Times New Roman" w:cs="Arial"/>
                <w:color w:val="000000"/>
                <w:sz w:val="14"/>
                <w:szCs w:val="14"/>
                <w:lang w:eastAsia="en-GB"/>
              </w:rPr>
              <w:t>Landmark</w:t>
            </w:r>
            <w:proofErr w:type="spellEnd"/>
          </w:p>
        </w:tc>
      </w:tr>
      <w:tr w:rsidR="007B25E7" w:rsidRPr="007B25E7" w14:paraId="774AF306" w14:textId="77777777" w:rsidTr="007B25E7">
        <w:trPr>
          <w:cantSplit/>
          <w:trHeight w:val="283"/>
        </w:trPr>
        <w:tc>
          <w:tcPr>
            <w:tcW w:w="0" w:type="auto"/>
            <w:vMerge/>
            <w:tcBorders>
              <w:top w:val="nil"/>
              <w:left w:val="nil"/>
              <w:bottom w:val="single" w:sz="8" w:space="0" w:color="000000"/>
              <w:right w:val="nil"/>
            </w:tcBorders>
            <w:vAlign w:val="center"/>
            <w:hideMark/>
          </w:tcPr>
          <w:p w14:paraId="6D92F1A0"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4" w:space="0" w:color="auto"/>
              <w:right w:val="nil"/>
            </w:tcBorders>
            <w:noWrap/>
            <w:vAlign w:val="center"/>
            <w:hideMark/>
          </w:tcPr>
          <w:p w14:paraId="394C775E" w14:textId="77777777" w:rsidR="007B25E7" w:rsidRPr="007B25E7" w:rsidRDefault="007B25E7" w:rsidP="007B25E7">
            <w:pPr>
              <w:spacing w:after="0" w:line="240" w:lineRule="auto"/>
              <w:jc w:val="center"/>
              <w:rPr>
                <w:rFonts w:eastAsia="Times New Roman" w:cs="Arial"/>
                <w:color w:val="00000A"/>
                <w:sz w:val="14"/>
                <w:szCs w:val="14"/>
                <w:lang w:eastAsia="en-GB"/>
              </w:rPr>
            </w:pPr>
            <w:r w:rsidRPr="007B25E7">
              <w:rPr>
                <w:rFonts w:eastAsia="Times New Roman" w:cs="Arial"/>
                <w:color w:val="00000A"/>
                <w:sz w:val="14"/>
                <w:szCs w:val="14"/>
                <w:lang w:eastAsia="en-GB"/>
              </w:rPr>
              <w:t>EATRIS-CZ</w:t>
            </w:r>
          </w:p>
        </w:tc>
        <w:tc>
          <w:tcPr>
            <w:tcW w:w="0" w:type="auto"/>
            <w:tcBorders>
              <w:top w:val="nil"/>
              <w:left w:val="nil"/>
              <w:bottom w:val="single" w:sz="4" w:space="0" w:color="auto"/>
              <w:right w:val="nil"/>
            </w:tcBorders>
            <w:shd w:val="clear" w:color="000000" w:fill="FFFFFF"/>
            <w:noWrap/>
            <w:vAlign w:val="center"/>
            <w:hideMark/>
          </w:tcPr>
          <w:p w14:paraId="458C2EE2"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LM2023053</w:t>
            </w:r>
          </w:p>
        </w:tc>
        <w:tc>
          <w:tcPr>
            <w:tcW w:w="0" w:type="auto"/>
            <w:tcBorders>
              <w:top w:val="nil"/>
              <w:left w:val="nil"/>
              <w:bottom w:val="single" w:sz="4" w:space="0" w:color="auto"/>
              <w:right w:val="nil"/>
            </w:tcBorders>
            <w:noWrap/>
            <w:vAlign w:val="center"/>
            <w:hideMark/>
          </w:tcPr>
          <w:p w14:paraId="2DEF76DC"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83.1</w:t>
            </w:r>
          </w:p>
        </w:tc>
        <w:tc>
          <w:tcPr>
            <w:tcW w:w="0" w:type="auto"/>
            <w:tcBorders>
              <w:top w:val="single" w:sz="4" w:space="0" w:color="auto"/>
              <w:left w:val="nil"/>
              <w:bottom w:val="single" w:sz="4" w:space="0" w:color="auto"/>
              <w:right w:val="nil"/>
            </w:tcBorders>
            <w:shd w:val="clear" w:color="000000" w:fill="AAD27F"/>
            <w:noWrap/>
            <w:vAlign w:val="center"/>
            <w:hideMark/>
          </w:tcPr>
          <w:p w14:paraId="56AF98D5"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4.</w:t>
            </w:r>
            <w:proofErr w:type="gramStart"/>
            <w:r w:rsidRPr="007B25E7">
              <w:rPr>
                <w:rFonts w:eastAsia="Times New Roman" w:cs="Arial"/>
                <w:color w:val="000000"/>
                <w:sz w:val="14"/>
                <w:szCs w:val="14"/>
                <w:lang w:eastAsia="en-GB"/>
              </w:rPr>
              <w:t>0%</w:t>
            </w:r>
            <w:proofErr w:type="gramEnd"/>
          </w:p>
        </w:tc>
        <w:tc>
          <w:tcPr>
            <w:tcW w:w="0" w:type="auto"/>
            <w:vMerge/>
            <w:tcBorders>
              <w:top w:val="nil"/>
              <w:left w:val="nil"/>
              <w:bottom w:val="single" w:sz="8" w:space="0" w:color="000000"/>
              <w:right w:val="nil"/>
            </w:tcBorders>
            <w:vAlign w:val="center"/>
            <w:hideMark/>
          </w:tcPr>
          <w:p w14:paraId="29870516"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4" w:space="0" w:color="auto"/>
              <w:right w:val="nil"/>
            </w:tcBorders>
            <w:shd w:val="clear" w:color="000000" w:fill="FFFFFF"/>
            <w:noWrap/>
            <w:vAlign w:val="center"/>
            <w:hideMark/>
          </w:tcPr>
          <w:p w14:paraId="3BDAF170"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4" w:space="0" w:color="auto"/>
              <w:right w:val="nil"/>
            </w:tcBorders>
            <w:shd w:val="clear" w:color="000000" w:fill="FFFFFF"/>
            <w:noWrap/>
            <w:vAlign w:val="center"/>
            <w:hideMark/>
          </w:tcPr>
          <w:p w14:paraId="596D245C" w14:textId="33A0C35C" w:rsidR="007B25E7" w:rsidRPr="007B25E7" w:rsidRDefault="00472253" w:rsidP="007B25E7">
            <w:pPr>
              <w:spacing w:after="0" w:line="240" w:lineRule="auto"/>
              <w:jc w:val="center"/>
              <w:rPr>
                <w:rFonts w:eastAsia="Times New Roman" w:cs="Arial"/>
                <w:color w:val="000000"/>
                <w:sz w:val="14"/>
                <w:szCs w:val="14"/>
                <w:lang w:eastAsia="en-GB"/>
              </w:rPr>
            </w:pPr>
            <w:proofErr w:type="spellStart"/>
            <w:r w:rsidRPr="007B25E7">
              <w:rPr>
                <w:rFonts w:eastAsia="Times New Roman" w:cs="Arial"/>
                <w:color w:val="000000"/>
                <w:sz w:val="14"/>
                <w:szCs w:val="14"/>
                <w:lang w:eastAsia="en-GB"/>
              </w:rPr>
              <w:t>distribu</w:t>
            </w:r>
            <w:r>
              <w:rPr>
                <w:rFonts w:eastAsia="Times New Roman" w:cs="Arial"/>
                <w:color w:val="000000"/>
                <w:sz w:val="14"/>
                <w:szCs w:val="14"/>
                <w:lang w:eastAsia="en-GB"/>
              </w:rPr>
              <w:t>ted</w:t>
            </w:r>
            <w:proofErr w:type="spellEnd"/>
          </w:p>
        </w:tc>
        <w:tc>
          <w:tcPr>
            <w:tcW w:w="0" w:type="auto"/>
            <w:tcBorders>
              <w:top w:val="nil"/>
              <w:left w:val="nil"/>
              <w:bottom w:val="single" w:sz="4" w:space="0" w:color="auto"/>
              <w:right w:val="nil"/>
            </w:tcBorders>
            <w:shd w:val="clear" w:color="000000" w:fill="FFFFFF"/>
            <w:noWrap/>
            <w:vAlign w:val="center"/>
            <w:hideMark/>
          </w:tcPr>
          <w:p w14:paraId="4B18D2FC"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2010</w:t>
            </w:r>
          </w:p>
        </w:tc>
        <w:tc>
          <w:tcPr>
            <w:tcW w:w="0" w:type="auto"/>
            <w:tcBorders>
              <w:top w:val="nil"/>
              <w:left w:val="nil"/>
              <w:bottom w:val="single" w:sz="4" w:space="0" w:color="auto"/>
              <w:right w:val="nil"/>
            </w:tcBorders>
            <w:shd w:val="clear" w:color="000000" w:fill="FFFFFF"/>
            <w:noWrap/>
            <w:vAlign w:val="center"/>
            <w:hideMark/>
          </w:tcPr>
          <w:p w14:paraId="1262E72A"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 xml:space="preserve">ESFRI </w:t>
            </w:r>
            <w:proofErr w:type="spellStart"/>
            <w:r w:rsidRPr="007B25E7">
              <w:rPr>
                <w:rFonts w:eastAsia="Times New Roman" w:cs="Arial"/>
                <w:color w:val="000000"/>
                <w:sz w:val="14"/>
                <w:szCs w:val="14"/>
                <w:lang w:eastAsia="en-GB"/>
              </w:rPr>
              <w:t>Landmark</w:t>
            </w:r>
            <w:proofErr w:type="spellEnd"/>
          </w:p>
        </w:tc>
      </w:tr>
      <w:tr w:rsidR="007B25E7" w:rsidRPr="007B25E7" w14:paraId="4254D9EF" w14:textId="77777777" w:rsidTr="007B25E7">
        <w:trPr>
          <w:cantSplit/>
          <w:trHeight w:val="283"/>
        </w:trPr>
        <w:tc>
          <w:tcPr>
            <w:tcW w:w="0" w:type="auto"/>
            <w:vMerge/>
            <w:tcBorders>
              <w:top w:val="nil"/>
              <w:left w:val="nil"/>
              <w:bottom w:val="single" w:sz="8" w:space="0" w:color="000000"/>
              <w:right w:val="nil"/>
            </w:tcBorders>
            <w:vAlign w:val="center"/>
            <w:hideMark/>
          </w:tcPr>
          <w:p w14:paraId="115A12EF"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4" w:space="0" w:color="auto"/>
              <w:right w:val="nil"/>
            </w:tcBorders>
            <w:noWrap/>
            <w:vAlign w:val="center"/>
            <w:hideMark/>
          </w:tcPr>
          <w:p w14:paraId="47952813"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ELIXIR CZ</w:t>
            </w:r>
          </w:p>
        </w:tc>
        <w:tc>
          <w:tcPr>
            <w:tcW w:w="0" w:type="auto"/>
            <w:tcBorders>
              <w:top w:val="nil"/>
              <w:left w:val="nil"/>
              <w:bottom w:val="single" w:sz="4" w:space="0" w:color="auto"/>
              <w:right w:val="nil"/>
            </w:tcBorders>
            <w:shd w:val="clear" w:color="000000" w:fill="FFFFFF"/>
            <w:noWrap/>
            <w:vAlign w:val="center"/>
            <w:hideMark/>
          </w:tcPr>
          <w:p w14:paraId="402F4528"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LM2023055</w:t>
            </w:r>
          </w:p>
        </w:tc>
        <w:tc>
          <w:tcPr>
            <w:tcW w:w="0" w:type="auto"/>
            <w:tcBorders>
              <w:top w:val="nil"/>
              <w:left w:val="nil"/>
              <w:bottom w:val="single" w:sz="4" w:space="0" w:color="auto"/>
              <w:right w:val="nil"/>
            </w:tcBorders>
            <w:noWrap/>
            <w:vAlign w:val="center"/>
            <w:hideMark/>
          </w:tcPr>
          <w:p w14:paraId="707CEAB7"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226.2</w:t>
            </w:r>
          </w:p>
        </w:tc>
        <w:tc>
          <w:tcPr>
            <w:tcW w:w="0" w:type="auto"/>
            <w:tcBorders>
              <w:top w:val="single" w:sz="4" w:space="0" w:color="auto"/>
              <w:left w:val="nil"/>
              <w:bottom w:val="single" w:sz="4" w:space="0" w:color="auto"/>
              <w:right w:val="nil"/>
            </w:tcBorders>
            <w:shd w:val="clear" w:color="000000" w:fill="FFE683"/>
            <w:noWrap/>
            <w:vAlign w:val="center"/>
            <w:hideMark/>
          </w:tcPr>
          <w:p w14:paraId="034570DC"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10.</w:t>
            </w:r>
            <w:proofErr w:type="gramStart"/>
            <w:r w:rsidRPr="007B25E7">
              <w:rPr>
                <w:rFonts w:eastAsia="Times New Roman" w:cs="Arial"/>
                <w:color w:val="000000"/>
                <w:sz w:val="14"/>
                <w:szCs w:val="14"/>
                <w:lang w:eastAsia="en-GB"/>
              </w:rPr>
              <w:t>9%</w:t>
            </w:r>
            <w:proofErr w:type="gramEnd"/>
          </w:p>
        </w:tc>
        <w:tc>
          <w:tcPr>
            <w:tcW w:w="0" w:type="auto"/>
            <w:vMerge/>
            <w:tcBorders>
              <w:top w:val="nil"/>
              <w:left w:val="nil"/>
              <w:bottom w:val="single" w:sz="8" w:space="0" w:color="000000"/>
              <w:right w:val="nil"/>
            </w:tcBorders>
            <w:vAlign w:val="center"/>
            <w:hideMark/>
          </w:tcPr>
          <w:p w14:paraId="1A075D80"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4" w:space="0" w:color="auto"/>
              <w:right w:val="nil"/>
            </w:tcBorders>
            <w:shd w:val="clear" w:color="000000" w:fill="FFFFFF"/>
            <w:noWrap/>
            <w:vAlign w:val="center"/>
            <w:hideMark/>
          </w:tcPr>
          <w:p w14:paraId="279AA61C"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4" w:space="0" w:color="auto"/>
              <w:right w:val="nil"/>
            </w:tcBorders>
            <w:shd w:val="clear" w:color="000000" w:fill="FFFFFF"/>
            <w:noWrap/>
            <w:vAlign w:val="center"/>
            <w:hideMark/>
          </w:tcPr>
          <w:p w14:paraId="72E349E6" w14:textId="1A325B89" w:rsidR="007B25E7" w:rsidRPr="007B25E7" w:rsidRDefault="00472253" w:rsidP="007B25E7">
            <w:pPr>
              <w:spacing w:after="0" w:line="240" w:lineRule="auto"/>
              <w:jc w:val="center"/>
              <w:rPr>
                <w:rFonts w:eastAsia="Times New Roman" w:cs="Arial"/>
                <w:color w:val="000000"/>
                <w:sz w:val="14"/>
                <w:szCs w:val="14"/>
                <w:lang w:eastAsia="en-GB"/>
              </w:rPr>
            </w:pPr>
            <w:proofErr w:type="spellStart"/>
            <w:r w:rsidRPr="007B25E7">
              <w:rPr>
                <w:rFonts w:eastAsia="Times New Roman" w:cs="Arial"/>
                <w:color w:val="000000"/>
                <w:sz w:val="14"/>
                <w:szCs w:val="14"/>
                <w:lang w:eastAsia="en-GB"/>
              </w:rPr>
              <w:t>distribu</w:t>
            </w:r>
            <w:r>
              <w:rPr>
                <w:rFonts w:eastAsia="Times New Roman" w:cs="Arial"/>
                <w:color w:val="000000"/>
                <w:sz w:val="14"/>
                <w:szCs w:val="14"/>
                <w:lang w:eastAsia="en-GB"/>
              </w:rPr>
              <w:t>ted</w:t>
            </w:r>
            <w:proofErr w:type="spellEnd"/>
          </w:p>
        </w:tc>
        <w:tc>
          <w:tcPr>
            <w:tcW w:w="0" w:type="auto"/>
            <w:tcBorders>
              <w:top w:val="nil"/>
              <w:left w:val="nil"/>
              <w:bottom w:val="single" w:sz="4" w:space="0" w:color="auto"/>
              <w:right w:val="nil"/>
            </w:tcBorders>
            <w:shd w:val="clear" w:color="000000" w:fill="FFFFFF"/>
            <w:noWrap/>
            <w:vAlign w:val="center"/>
            <w:hideMark/>
          </w:tcPr>
          <w:p w14:paraId="1496F292"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2011</w:t>
            </w:r>
          </w:p>
        </w:tc>
        <w:tc>
          <w:tcPr>
            <w:tcW w:w="0" w:type="auto"/>
            <w:tcBorders>
              <w:top w:val="nil"/>
              <w:left w:val="nil"/>
              <w:bottom w:val="single" w:sz="4" w:space="0" w:color="auto"/>
              <w:right w:val="nil"/>
            </w:tcBorders>
            <w:shd w:val="clear" w:color="000000" w:fill="FFFFFF"/>
            <w:noWrap/>
            <w:vAlign w:val="center"/>
            <w:hideMark/>
          </w:tcPr>
          <w:p w14:paraId="7DE481CF"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 xml:space="preserve">ESFRI </w:t>
            </w:r>
            <w:proofErr w:type="spellStart"/>
            <w:r w:rsidRPr="007B25E7">
              <w:rPr>
                <w:rFonts w:eastAsia="Times New Roman" w:cs="Arial"/>
                <w:color w:val="000000"/>
                <w:sz w:val="14"/>
                <w:szCs w:val="14"/>
                <w:lang w:eastAsia="en-GB"/>
              </w:rPr>
              <w:t>Landmark</w:t>
            </w:r>
            <w:proofErr w:type="spellEnd"/>
          </w:p>
        </w:tc>
      </w:tr>
      <w:tr w:rsidR="007B25E7" w:rsidRPr="007B25E7" w14:paraId="5A9E4E66" w14:textId="77777777" w:rsidTr="007B25E7">
        <w:trPr>
          <w:cantSplit/>
          <w:trHeight w:val="283"/>
        </w:trPr>
        <w:tc>
          <w:tcPr>
            <w:tcW w:w="0" w:type="auto"/>
            <w:vMerge/>
            <w:tcBorders>
              <w:top w:val="nil"/>
              <w:left w:val="nil"/>
              <w:bottom w:val="single" w:sz="8" w:space="0" w:color="000000"/>
              <w:right w:val="nil"/>
            </w:tcBorders>
            <w:vAlign w:val="center"/>
            <w:hideMark/>
          </w:tcPr>
          <w:p w14:paraId="4C3989DA"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4" w:space="0" w:color="auto"/>
              <w:right w:val="nil"/>
            </w:tcBorders>
            <w:noWrap/>
            <w:vAlign w:val="center"/>
            <w:hideMark/>
          </w:tcPr>
          <w:p w14:paraId="566A5CD7" w14:textId="77777777" w:rsidR="007B25E7" w:rsidRPr="007B25E7" w:rsidRDefault="007B25E7" w:rsidP="007B25E7">
            <w:pPr>
              <w:spacing w:after="0" w:line="240" w:lineRule="auto"/>
              <w:jc w:val="center"/>
              <w:rPr>
                <w:rFonts w:eastAsia="Times New Roman" w:cs="Arial"/>
                <w:sz w:val="14"/>
                <w:szCs w:val="14"/>
                <w:lang w:eastAsia="en-GB"/>
              </w:rPr>
            </w:pPr>
            <w:r w:rsidRPr="007B25E7">
              <w:rPr>
                <w:rFonts w:eastAsia="Times New Roman" w:cs="Arial"/>
                <w:sz w:val="14"/>
                <w:szCs w:val="14"/>
                <w:lang w:eastAsia="en-GB"/>
              </w:rPr>
              <w:t>METROFOOD-CZ</w:t>
            </w:r>
          </w:p>
        </w:tc>
        <w:tc>
          <w:tcPr>
            <w:tcW w:w="0" w:type="auto"/>
            <w:tcBorders>
              <w:top w:val="nil"/>
              <w:left w:val="nil"/>
              <w:bottom w:val="single" w:sz="4" w:space="0" w:color="auto"/>
              <w:right w:val="nil"/>
            </w:tcBorders>
            <w:shd w:val="clear" w:color="000000" w:fill="FFFFFF"/>
            <w:noWrap/>
            <w:vAlign w:val="center"/>
            <w:hideMark/>
          </w:tcPr>
          <w:p w14:paraId="49788C7B"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LM2023064</w:t>
            </w:r>
          </w:p>
        </w:tc>
        <w:tc>
          <w:tcPr>
            <w:tcW w:w="0" w:type="auto"/>
            <w:tcBorders>
              <w:top w:val="nil"/>
              <w:left w:val="nil"/>
              <w:bottom w:val="single" w:sz="4" w:space="0" w:color="auto"/>
              <w:right w:val="nil"/>
            </w:tcBorders>
            <w:noWrap/>
            <w:vAlign w:val="center"/>
            <w:hideMark/>
          </w:tcPr>
          <w:p w14:paraId="30B2257F"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33.3</w:t>
            </w:r>
          </w:p>
        </w:tc>
        <w:tc>
          <w:tcPr>
            <w:tcW w:w="0" w:type="auto"/>
            <w:tcBorders>
              <w:top w:val="single" w:sz="4" w:space="0" w:color="auto"/>
              <w:left w:val="nil"/>
              <w:bottom w:val="single" w:sz="4" w:space="0" w:color="auto"/>
              <w:right w:val="nil"/>
            </w:tcBorders>
            <w:shd w:val="clear" w:color="000000" w:fill="68BF7B"/>
            <w:noWrap/>
            <w:vAlign w:val="center"/>
            <w:hideMark/>
          </w:tcPr>
          <w:p w14:paraId="3D5558AC"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1.</w:t>
            </w:r>
            <w:proofErr w:type="gramStart"/>
            <w:r w:rsidRPr="007B25E7">
              <w:rPr>
                <w:rFonts w:eastAsia="Times New Roman" w:cs="Arial"/>
                <w:color w:val="000000"/>
                <w:sz w:val="14"/>
                <w:szCs w:val="14"/>
                <w:lang w:eastAsia="en-GB"/>
              </w:rPr>
              <w:t>6%</w:t>
            </w:r>
            <w:proofErr w:type="gramEnd"/>
          </w:p>
        </w:tc>
        <w:tc>
          <w:tcPr>
            <w:tcW w:w="0" w:type="auto"/>
            <w:vMerge/>
            <w:tcBorders>
              <w:top w:val="nil"/>
              <w:left w:val="nil"/>
              <w:bottom w:val="single" w:sz="8" w:space="0" w:color="000000"/>
              <w:right w:val="nil"/>
            </w:tcBorders>
            <w:vAlign w:val="center"/>
            <w:hideMark/>
          </w:tcPr>
          <w:p w14:paraId="0E3788AB"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4" w:space="0" w:color="auto"/>
              <w:right w:val="nil"/>
            </w:tcBorders>
            <w:shd w:val="clear" w:color="000000" w:fill="FFFFFF"/>
            <w:noWrap/>
            <w:vAlign w:val="center"/>
            <w:hideMark/>
          </w:tcPr>
          <w:p w14:paraId="0382B4DB"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4" w:space="0" w:color="auto"/>
              <w:right w:val="nil"/>
            </w:tcBorders>
            <w:shd w:val="clear" w:color="000000" w:fill="FFFFFF"/>
            <w:noWrap/>
            <w:vAlign w:val="center"/>
            <w:hideMark/>
          </w:tcPr>
          <w:p w14:paraId="4860F9E5" w14:textId="0D3DAF8A" w:rsidR="007B25E7" w:rsidRPr="007B25E7" w:rsidRDefault="00472253" w:rsidP="007B25E7">
            <w:pPr>
              <w:spacing w:after="0" w:line="240" w:lineRule="auto"/>
              <w:jc w:val="center"/>
              <w:rPr>
                <w:rFonts w:eastAsia="Times New Roman" w:cs="Arial"/>
                <w:color w:val="000000"/>
                <w:sz w:val="14"/>
                <w:szCs w:val="14"/>
                <w:lang w:eastAsia="en-GB"/>
              </w:rPr>
            </w:pPr>
            <w:proofErr w:type="spellStart"/>
            <w:r w:rsidRPr="007B25E7">
              <w:rPr>
                <w:rFonts w:eastAsia="Times New Roman" w:cs="Arial"/>
                <w:color w:val="000000"/>
                <w:sz w:val="14"/>
                <w:szCs w:val="14"/>
                <w:lang w:eastAsia="en-GB"/>
              </w:rPr>
              <w:t>distribu</w:t>
            </w:r>
            <w:r>
              <w:rPr>
                <w:rFonts w:eastAsia="Times New Roman" w:cs="Arial"/>
                <w:color w:val="000000"/>
                <w:sz w:val="14"/>
                <w:szCs w:val="14"/>
                <w:lang w:eastAsia="en-GB"/>
              </w:rPr>
              <w:t>ted</w:t>
            </w:r>
            <w:proofErr w:type="spellEnd"/>
          </w:p>
        </w:tc>
        <w:tc>
          <w:tcPr>
            <w:tcW w:w="0" w:type="auto"/>
            <w:tcBorders>
              <w:top w:val="nil"/>
              <w:left w:val="nil"/>
              <w:bottom w:val="single" w:sz="4" w:space="0" w:color="auto"/>
              <w:right w:val="nil"/>
            </w:tcBorders>
            <w:shd w:val="clear" w:color="000000" w:fill="FFFFFF"/>
            <w:noWrap/>
            <w:vAlign w:val="center"/>
            <w:hideMark/>
          </w:tcPr>
          <w:p w14:paraId="4B5F92D8"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2019</w:t>
            </w:r>
          </w:p>
        </w:tc>
        <w:tc>
          <w:tcPr>
            <w:tcW w:w="0" w:type="auto"/>
            <w:tcBorders>
              <w:top w:val="nil"/>
              <w:left w:val="nil"/>
              <w:bottom w:val="single" w:sz="4" w:space="0" w:color="auto"/>
              <w:right w:val="nil"/>
            </w:tcBorders>
            <w:shd w:val="clear" w:color="000000" w:fill="FFFFFF"/>
            <w:noWrap/>
            <w:vAlign w:val="center"/>
            <w:hideMark/>
          </w:tcPr>
          <w:p w14:paraId="2C913B57"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ESFRI Project</w:t>
            </w:r>
          </w:p>
        </w:tc>
      </w:tr>
      <w:tr w:rsidR="007B25E7" w:rsidRPr="007B25E7" w14:paraId="1BDB6CB3" w14:textId="77777777" w:rsidTr="007B25E7">
        <w:trPr>
          <w:cantSplit/>
          <w:trHeight w:val="283"/>
        </w:trPr>
        <w:tc>
          <w:tcPr>
            <w:tcW w:w="0" w:type="auto"/>
            <w:vMerge/>
            <w:tcBorders>
              <w:top w:val="nil"/>
              <w:left w:val="nil"/>
              <w:bottom w:val="single" w:sz="8" w:space="0" w:color="000000"/>
              <w:right w:val="nil"/>
            </w:tcBorders>
            <w:vAlign w:val="center"/>
            <w:hideMark/>
          </w:tcPr>
          <w:p w14:paraId="06327813"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8" w:space="0" w:color="auto"/>
              <w:right w:val="nil"/>
            </w:tcBorders>
            <w:noWrap/>
            <w:vAlign w:val="center"/>
            <w:hideMark/>
          </w:tcPr>
          <w:p w14:paraId="59351C49"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NCMG</w:t>
            </w:r>
          </w:p>
        </w:tc>
        <w:tc>
          <w:tcPr>
            <w:tcW w:w="0" w:type="auto"/>
            <w:tcBorders>
              <w:top w:val="nil"/>
              <w:left w:val="nil"/>
              <w:bottom w:val="single" w:sz="8" w:space="0" w:color="auto"/>
              <w:right w:val="nil"/>
            </w:tcBorders>
            <w:shd w:val="clear" w:color="000000" w:fill="FFFFFF"/>
            <w:noWrap/>
            <w:vAlign w:val="center"/>
            <w:hideMark/>
          </w:tcPr>
          <w:p w14:paraId="658AFCE0"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LM2023067</w:t>
            </w:r>
          </w:p>
        </w:tc>
        <w:tc>
          <w:tcPr>
            <w:tcW w:w="0" w:type="auto"/>
            <w:tcBorders>
              <w:top w:val="nil"/>
              <w:left w:val="nil"/>
              <w:bottom w:val="single" w:sz="8" w:space="0" w:color="auto"/>
              <w:right w:val="nil"/>
            </w:tcBorders>
            <w:noWrap/>
            <w:vAlign w:val="center"/>
            <w:hideMark/>
          </w:tcPr>
          <w:p w14:paraId="20140DD8"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84.4</w:t>
            </w:r>
          </w:p>
        </w:tc>
        <w:tc>
          <w:tcPr>
            <w:tcW w:w="0" w:type="auto"/>
            <w:tcBorders>
              <w:top w:val="single" w:sz="4" w:space="0" w:color="auto"/>
              <w:left w:val="nil"/>
              <w:bottom w:val="single" w:sz="8" w:space="0" w:color="auto"/>
              <w:right w:val="nil"/>
            </w:tcBorders>
            <w:shd w:val="clear" w:color="000000" w:fill="ACD37F"/>
            <w:noWrap/>
            <w:vAlign w:val="center"/>
            <w:hideMark/>
          </w:tcPr>
          <w:p w14:paraId="3C63E399"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4.</w:t>
            </w:r>
            <w:proofErr w:type="gramStart"/>
            <w:r w:rsidRPr="007B25E7">
              <w:rPr>
                <w:rFonts w:eastAsia="Times New Roman" w:cs="Arial"/>
                <w:color w:val="000000"/>
                <w:sz w:val="14"/>
                <w:szCs w:val="14"/>
                <w:lang w:eastAsia="en-GB"/>
              </w:rPr>
              <w:t>1%</w:t>
            </w:r>
            <w:proofErr w:type="gramEnd"/>
          </w:p>
        </w:tc>
        <w:tc>
          <w:tcPr>
            <w:tcW w:w="0" w:type="auto"/>
            <w:vMerge/>
            <w:tcBorders>
              <w:top w:val="nil"/>
              <w:left w:val="nil"/>
              <w:bottom w:val="single" w:sz="8" w:space="0" w:color="000000"/>
              <w:right w:val="nil"/>
            </w:tcBorders>
            <w:vAlign w:val="center"/>
            <w:hideMark/>
          </w:tcPr>
          <w:p w14:paraId="5F1F2D09"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8" w:space="0" w:color="auto"/>
              <w:right w:val="nil"/>
            </w:tcBorders>
            <w:shd w:val="clear" w:color="000000" w:fill="FFFFFF"/>
            <w:noWrap/>
            <w:vAlign w:val="center"/>
            <w:hideMark/>
          </w:tcPr>
          <w:p w14:paraId="4A0FA4E9"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8" w:space="0" w:color="auto"/>
              <w:right w:val="nil"/>
            </w:tcBorders>
            <w:shd w:val="clear" w:color="000000" w:fill="FFFFFF"/>
            <w:noWrap/>
            <w:vAlign w:val="center"/>
            <w:hideMark/>
          </w:tcPr>
          <w:p w14:paraId="55365509" w14:textId="6AFB59F6" w:rsidR="007B25E7" w:rsidRPr="007B25E7" w:rsidRDefault="00472253" w:rsidP="007B25E7">
            <w:pPr>
              <w:spacing w:after="0" w:line="240" w:lineRule="auto"/>
              <w:jc w:val="center"/>
              <w:rPr>
                <w:rFonts w:eastAsia="Times New Roman" w:cs="Arial"/>
                <w:color w:val="000000"/>
                <w:sz w:val="14"/>
                <w:szCs w:val="14"/>
                <w:lang w:eastAsia="en-GB"/>
              </w:rPr>
            </w:pPr>
            <w:proofErr w:type="spellStart"/>
            <w:r w:rsidRPr="007B25E7">
              <w:rPr>
                <w:rFonts w:eastAsia="Times New Roman" w:cs="Arial"/>
                <w:color w:val="000000"/>
                <w:sz w:val="14"/>
                <w:szCs w:val="14"/>
                <w:lang w:eastAsia="en-GB"/>
              </w:rPr>
              <w:t>distribu</w:t>
            </w:r>
            <w:r>
              <w:rPr>
                <w:rFonts w:eastAsia="Times New Roman" w:cs="Arial"/>
                <w:color w:val="000000"/>
                <w:sz w:val="14"/>
                <w:szCs w:val="14"/>
                <w:lang w:eastAsia="en-GB"/>
              </w:rPr>
              <w:t>ted</w:t>
            </w:r>
            <w:proofErr w:type="spellEnd"/>
          </w:p>
        </w:tc>
        <w:tc>
          <w:tcPr>
            <w:tcW w:w="0" w:type="auto"/>
            <w:tcBorders>
              <w:top w:val="nil"/>
              <w:left w:val="nil"/>
              <w:bottom w:val="single" w:sz="8" w:space="0" w:color="auto"/>
              <w:right w:val="nil"/>
            </w:tcBorders>
            <w:shd w:val="clear" w:color="000000" w:fill="FFFFFF"/>
            <w:noWrap/>
            <w:vAlign w:val="center"/>
            <w:hideMark/>
          </w:tcPr>
          <w:p w14:paraId="206924AC"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2011</w:t>
            </w:r>
          </w:p>
        </w:tc>
        <w:tc>
          <w:tcPr>
            <w:tcW w:w="0" w:type="auto"/>
            <w:tcBorders>
              <w:top w:val="nil"/>
              <w:left w:val="nil"/>
              <w:bottom w:val="single" w:sz="8" w:space="0" w:color="auto"/>
              <w:right w:val="nil"/>
            </w:tcBorders>
            <w:shd w:val="clear" w:color="000000" w:fill="FFFFFF"/>
            <w:noWrap/>
            <w:vAlign w:val="center"/>
            <w:hideMark/>
          </w:tcPr>
          <w:p w14:paraId="7CB08B42"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X</w:t>
            </w:r>
          </w:p>
        </w:tc>
      </w:tr>
      <w:tr w:rsidR="007B25E7" w:rsidRPr="007B25E7" w14:paraId="343A3666" w14:textId="77777777" w:rsidTr="007B25E7">
        <w:trPr>
          <w:cantSplit/>
          <w:trHeight w:val="283"/>
        </w:trPr>
        <w:tc>
          <w:tcPr>
            <w:tcW w:w="0" w:type="auto"/>
            <w:vMerge w:val="restart"/>
            <w:tcBorders>
              <w:top w:val="nil"/>
              <w:left w:val="nil"/>
              <w:bottom w:val="single" w:sz="8" w:space="0" w:color="000000"/>
              <w:right w:val="nil"/>
            </w:tcBorders>
            <w:shd w:val="clear" w:color="000000" w:fill="F1B7FF"/>
            <w:textDirection w:val="btLr"/>
            <w:vAlign w:val="center"/>
            <w:hideMark/>
          </w:tcPr>
          <w:p w14:paraId="4BE5BD1C" w14:textId="77777777" w:rsidR="007B25E7" w:rsidRPr="007B25E7" w:rsidRDefault="007B25E7" w:rsidP="007B25E7">
            <w:pPr>
              <w:spacing w:after="0" w:line="240" w:lineRule="auto"/>
              <w:jc w:val="center"/>
              <w:rPr>
                <w:rFonts w:eastAsia="Times New Roman" w:cs="Arial"/>
                <w:b/>
                <w:bCs/>
                <w:color w:val="000000"/>
                <w:sz w:val="14"/>
                <w:szCs w:val="14"/>
                <w:lang w:eastAsia="en-GB"/>
              </w:rPr>
            </w:pPr>
            <w:proofErr w:type="spellStart"/>
            <w:r w:rsidRPr="007B25E7">
              <w:rPr>
                <w:rFonts w:eastAsia="Times New Roman" w:cs="Arial"/>
                <w:b/>
                <w:bCs/>
                <w:color w:val="000000"/>
                <w:sz w:val="14"/>
                <w:szCs w:val="14"/>
                <w:lang w:eastAsia="en-GB"/>
              </w:rPr>
              <w:t>Social</w:t>
            </w:r>
            <w:proofErr w:type="spellEnd"/>
            <w:r w:rsidRPr="007B25E7">
              <w:rPr>
                <w:rFonts w:eastAsia="Times New Roman" w:cs="Arial"/>
                <w:b/>
                <w:bCs/>
                <w:color w:val="000000"/>
                <w:sz w:val="14"/>
                <w:szCs w:val="14"/>
                <w:lang w:eastAsia="en-GB"/>
              </w:rPr>
              <w:t xml:space="preserve"> </w:t>
            </w:r>
            <w:proofErr w:type="spellStart"/>
            <w:r w:rsidRPr="007B25E7">
              <w:rPr>
                <w:rFonts w:eastAsia="Times New Roman" w:cs="Arial"/>
                <w:b/>
                <w:bCs/>
                <w:color w:val="000000"/>
                <w:sz w:val="14"/>
                <w:szCs w:val="14"/>
                <w:lang w:eastAsia="en-GB"/>
              </w:rPr>
              <w:t>sciences</w:t>
            </w:r>
            <w:proofErr w:type="spellEnd"/>
            <w:r w:rsidRPr="007B25E7">
              <w:rPr>
                <w:rFonts w:eastAsia="Times New Roman" w:cs="Arial"/>
                <w:b/>
                <w:bCs/>
                <w:color w:val="000000"/>
                <w:sz w:val="14"/>
                <w:szCs w:val="14"/>
                <w:lang w:eastAsia="en-GB"/>
              </w:rPr>
              <w:t xml:space="preserve"> </w:t>
            </w:r>
            <w:r w:rsidRPr="007B25E7">
              <w:rPr>
                <w:rFonts w:eastAsia="Times New Roman" w:cs="Arial"/>
                <w:b/>
                <w:bCs/>
                <w:color w:val="000000"/>
                <w:sz w:val="14"/>
                <w:szCs w:val="14"/>
                <w:lang w:eastAsia="en-GB"/>
              </w:rPr>
              <w:br/>
              <w:t xml:space="preserve">and </w:t>
            </w:r>
            <w:proofErr w:type="spellStart"/>
            <w:r w:rsidRPr="007B25E7">
              <w:rPr>
                <w:rFonts w:eastAsia="Times New Roman" w:cs="Arial"/>
                <w:b/>
                <w:bCs/>
                <w:color w:val="000000"/>
                <w:sz w:val="14"/>
                <w:szCs w:val="14"/>
                <w:lang w:eastAsia="en-GB"/>
              </w:rPr>
              <w:t>humanities</w:t>
            </w:r>
            <w:proofErr w:type="spellEnd"/>
          </w:p>
        </w:tc>
        <w:tc>
          <w:tcPr>
            <w:tcW w:w="0" w:type="auto"/>
            <w:tcBorders>
              <w:top w:val="nil"/>
              <w:left w:val="nil"/>
              <w:bottom w:val="single" w:sz="4" w:space="0" w:color="auto"/>
              <w:right w:val="nil"/>
            </w:tcBorders>
            <w:noWrap/>
            <w:vAlign w:val="center"/>
            <w:hideMark/>
          </w:tcPr>
          <w:p w14:paraId="4794A9D9" w14:textId="77777777" w:rsidR="007B25E7" w:rsidRPr="007B25E7" w:rsidRDefault="007B25E7" w:rsidP="007B25E7">
            <w:pPr>
              <w:spacing w:after="0" w:line="240" w:lineRule="auto"/>
              <w:jc w:val="center"/>
              <w:rPr>
                <w:rFonts w:eastAsia="Times New Roman" w:cs="Arial"/>
                <w:sz w:val="14"/>
                <w:szCs w:val="14"/>
                <w:lang w:eastAsia="en-GB"/>
              </w:rPr>
            </w:pPr>
            <w:r w:rsidRPr="007B25E7">
              <w:rPr>
                <w:rFonts w:eastAsia="Times New Roman" w:cs="Arial"/>
                <w:sz w:val="14"/>
                <w:szCs w:val="14"/>
                <w:lang w:eastAsia="en-GB"/>
              </w:rPr>
              <w:t>AIS CR</w:t>
            </w:r>
          </w:p>
        </w:tc>
        <w:tc>
          <w:tcPr>
            <w:tcW w:w="0" w:type="auto"/>
            <w:tcBorders>
              <w:top w:val="nil"/>
              <w:left w:val="nil"/>
              <w:bottom w:val="single" w:sz="4" w:space="0" w:color="auto"/>
              <w:right w:val="nil"/>
            </w:tcBorders>
            <w:shd w:val="clear" w:color="000000" w:fill="FFFFFF"/>
            <w:noWrap/>
            <w:vAlign w:val="center"/>
            <w:hideMark/>
          </w:tcPr>
          <w:p w14:paraId="2D44B908"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LM2023031</w:t>
            </w:r>
          </w:p>
        </w:tc>
        <w:tc>
          <w:tcPr>
            <w:tcW w:w="0" w:type="auto"/>
            <w:tcBorders>
              <w:top w:val="nil"/>
              <w:left w:val="nil"/>
              <w:bottom w:val="single" w:sz="4" w:space="0" w:color="auto"/>
              <w:right w:val="nil"/>
            </w:tcBorders>
            <w:noWrap/>
            <w:vAlign w:val="center"/>
            <w:hideMark/>
          </w:tcPr>
          <w:p w14:paraId="407B4185"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51.1</w:t>
            </w:r>
          </w:p>
        </w:tc>
        <w:tc>
          <w:tcPr>
            <w:tcW w:w="0" w:type="auto"/>
            <w:tcBorders>
              <w:top w:val="single" w:sz="8" w:space="0" w:color="auto"/>
              <w:left w:val="nil"/>
              <w:bottom w:val="single" w:sz="4" w:space="0" w:color="auto"/>
              <w:right w:val="nil"/>
            </w:tcBorders>
            <w:shd w:val="clear" w:color="000000" w:fill="FFE583"/>
            <w:noWrap/>
            <w:vAlign w:val="center"/>
            <w:hideMark/>
          </w:tcPr>
          <w:p w14:paraId="538D6E72"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11.</w:t>
            </w:r>
            <w:proofErr w:type="gramStart"/>
            <w:r w:rsidRPr="007B25E7">
              <w:rPr>
                <w:rFonts w:eastAsia="Times New Roman" w:cs="Arial"/>
                <w:color w:val="000000"/>
                <w:sz w:val="14"/>
                <w:szCs w:val="14"/>
                <w:lang w:eastAsia="en-GB"/>
              </w:rPr>
              <w:t>7%</w:t>
            </w:r>
            <w:proofErr w:type="gramEnd"/>
          </w:p>
        </w:tc>
        <w:tc>
          <w:tcPr>
            <w:tcW w:w="0" w:type="auto"/>
            <w:vMerge w:val="restart"/>
            <w:tcBorders>
              <w:top w:val="nil"/>
              <w:left w:val="nil"/>
              <w:bottom w:val="single" w:sz="8" w:space="0" w:color="000000"/>
              <w:right w:val="nil"/>
            </w:tcBorders>
            <w:vAlign w:val="center"/>
            <w:hideMark/>
          </w:tcPr>
          <w:p w14:paraId="73D2F12A"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437.6</w:t>
            </w:r>
            <w:r w:rsidRPr="007B25E7">
              <w:rPr>
                <w:rFonts w:eastAsia="Times New Roman" w:cs="Arial"/>
                <w:color w:val="000000"/>
                <w:sz w:val="14"/>
                <w:szCs w:val="14"/>
                <w:lang w:eastAsia="en-GB"/>
              </w:rPr>
              <w:br/>
              <w:t>(6.</w:t>
            </w:r>
            <w:proofErr w:type="gramStart"/>
            <w:r w:rsidRPr="007B25E7">
              <w:rPr>
                <w:rFonts w:eastAsia="Times New Roman" w:cs="Arial"/>
                <w:color w:val="000000"/>
                <w:sz w:val="14"/>
                <w:szCs w:val="14"/>
                <w:lang w:eastAsia="en-GB"/>
              </w:rPr>
              <w:t>1%</w:t>
            </w:r>
            <w:proofErr w:type="gramEnd"/>
            <w:r w:rsidRPr="007B25E7">
              <w:rPr>
                <w:rFonts w:eastAsia="Times New Roman" w:cs="Arial"/>
                <w:color w:val="000000"/>
                <w:sz w:val="14"/>
                <w:szCs w:val="14"/>
                <w:lang w:eastAsia="en-GB"/>
              </w:rPr>
              <w:t>)</w:t>
            </w:r>
          </w:p>
        </w:tc>
        <w:tc>
          <w:tcPr>
            <w:tcW w:w="0" w:type="auto"/>
            <w:tcBorders>
              <w:top w:val="nil"/>
              <w:left w:val="nil"/>
              <w:bottom w:val="single" w:sz="4" w:space="0" w:color="auto"/>
              <w:right w:val="nil"/>
            </w:tcBorders>
            <w:shd w:val="clear" w:color="000000" w:fill="FFFFFF"/>
            <w:noWrap/>
            <w:vAlign w:val="center"/>
            <w:hideMark/>
          </w:tcPr>
          <w:p w14:paraId="7E7ACBB8"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4" w:space="0" w:color="auto"/>
              <w:right w:val="nil"/>
            </w:tcBorders>
            <w:shd w:val="clear" w:color="000000" w:fill="FFFFFF"/>
            <w:noWrap/>
            <w:vAlign w:val="center"/>
            <w:hideMark/>
          </w:tcPr>
          <w:p w14:paraId="47E64E99" w14:textId="77777777" w:rsidR="007B25E7" w:rsidRPr="007B25E7" w:rsidRDefault="007B25E7" w:rsidP="007B25E7">
            <w:pPr>
              <w:spacing w:after="0" w:line="240" w:lineRule="auto"/>
              <w:jc w:val="center"/>
              <w:rPr>
                <w:rFonts w:eastAsia="Times New Roman" w:cs="Arial"/>
                <w:sz w:val="14"/>
                <w:szCs w:val="14"/>
                <w:lang w:eastAsia="en-GB"/>
              </w:rPr>
            </w:pPr>
            <w:proofErr w:type="spellStart"/>
            <w:r w:rsidRPr="007B25E7">
              <w:rPr>
                <w:rFonts w:eastAsia="Times New Roman" w:cs="Arial"/>
                <w:sz w:val="14"/>
                <w:szCs w:val="14"/>
                <w:lang w:eastAsia="en-GB"/>
              </w:rPr>
              <w:t>virtual</w:t>
            </w:r>
            <w:proofErr w:type="spellEnd"/>
          </w:p>
        </w:tc>
        <w:tc>
          <w:tcPr>
            <w:tcW w:w="0" w:type="auto"/>
            <w:tcBorders>
              <w:top w:val="nil"/>
              <w:left w:val="nil"/>
              <w:bottom w:val="single" w:sz="4" w:space="0" w:color="auto"/>
              <w:right w:val="nil"/>
            </w:tcBorders>
            <w:shd w:val="clear" w:color="000000" w:fill="FFFFFF"/>
            <w:noWrap/>
            <w:vAlign w:val="center"/>
            <w:hideMark/>
          </w:tcPr>
          <w:p w14:paraId="69622E0E" w14:textId="77777777" w:rsidR="007B25E7" w:rsidRPr="007B25E7" w:rsidRDefault="007B25E7" w:rsidP="007B25E7">
            <w:pPr>
              <w:spacing w:after="0" w:line="240" w:lineRule="auto"/>
              <w:jc w:val="center"/>
              <w:rPr>
                <w:rFonts w:eastAsia="Times New Roman" w:cs="Arial"/>
                <w:sz w:val="14"/>
                <w:szCs w:val="14"/>
                <w:lang w:eastAsia="en-GB"/>
              </w:rPr>
            </w:pPr>
            <w:r w:rsidRPr="007B25E7">
              <w:rPr>
                <w:rFonts w:eastAsia="Times New Roman" w:cs="Arial"/>
                <w:sz w:val="14"/>
                <w:szCs w:val="14"/>
                <w:lang w:eastAsia="en-GB"/>
              </w:rPr>
              <w:t>2015</w:t>
            </w:r>
          </w:p>
        </w:tc>
        <w:tc>
          <w:tcPr>
            <w:tcW w:w="0" w:type="auto"/>
            <w:tcBorders>
              <w:top w:val="nil"/>
              <w:left w:val="nil"/>
              <w:bottom w:val="single" w:sz="4" w:space="0" w:color="auto"/>
              <w:right w:val="nil"/>
            </w:tcBorders>
            <w:shd w:val="clear" w:color="000000" w:fill="FFFFFF"/>
            <w:noWrap/>
            <w:vAlign w:val="center"/>
            <w:hideMark/>
          </w:tcPr>
          <w:p w14:paraId="768DAD31" w14:textId="77777777" w:rsidR="007B25E7" w:rsidRPr="007B25E7" w:rsidRDefault="007B25E7" w:rsidP="007B25E7">
            <w:pPr>
              <w:spacing w:after="0" w:line="240" w:lineRule="auto"/>
              <w:jc w:val="center"/>
              <w:rPr>
                <w:rFonts w:eastAsia="Times New Roman" w:cs="Arial"/>
                <w:sz w:val="14"/>
                <w:szCs w:val="14"/>
                <w:lang w:eastAsia="en-GB"/>
              </w:rPr>
            </w:pPr>
            <w:r w:rsidRPr="007B25E7">
              <w:rPr>
                <w:rFonts w:eastAsia="Times New Roman" w:cs="Arial"/>
                <w:sz w:val="14"/>
                <w:szCs w:val="14"/>
                <w:lang w:eastAsia="en-GB"/>
              </w:rPr>
              <w:t>X</w:t>
            </w:r>
          </w:p>
        </w:tc>
      </w:tr>
      <w:tr w:rsidR="007B25E7" w:rsidRPr="007B25E7" w14:paraId="78AD237E" w14:textId="77777777" w:rsidTr="007B25E7">
        <w:trPr>
          <w:cantSplit/>
          <w:trHeight w:val="283"/>
        </w:trPr>
        <w:tc>
          <w:tcPr>
            <w:tcW w:w="0" w:type="auto"/>
            <w:vMerge/>
            <w:tcBorders>
              <w:top w:val="nil"/>
              <w:left w:val="nil"/>
              <w:bottom w:val="single" w:sz="8" w:space="0" w:color="000000"/>
              <w:right w:val="nil"/>
            </w:tcBorders>
            <w:vAlign w:val="center"/>
            <w:hideMark/>
          </w:tcPr>
          <w:p w14:paraId="3845BBCD"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4" w:space="0" w:color="auto"/>
              <w:right w:val="nil"/>
            </w:tcBorders>
            <w:noWrap/>
            <w:vAlign w:val="center"/>
            <w:hideMark/>
          </w:tcPr>
          <w:p w14:paraId="66426BA8" w14:textId="77777777" w:rsidR="007B25E7" w:rsidRPr="007B25E7" w:rsidRDefault="007B25E7" w:rsidP="007B25E7">
            <w:pPr>
              <w:spacing w:after="0" w:line="240" w:lineRule="auto"/>
              <w:jc w:val="center"/>
              <w:rPr>
                <w:rFonts w:eastAsia="Times New Roman" w:cs="Arial"/>
                <w:sz w:val="14"/>
                <w:szCs w:val="14"/>
                <w:lang w:eastAsia="en-GB"/>
              </w:rPr>
            </w:pPr>
            <w:r w:rsidRPr="007B25E7">
              <w:rPr>
                <w:rFonts w:eastAsia="Times New Roman" w:cs="Arial"/>
                <w:sz w:val="14"/>
                <w:szCs w:val="14"/>
                <w:lang w:eastAsia="en-GB"/>
              </w:rPr>
              <w:t>CLB</w:t>
            </w:r>
          </w:p>
        </w:tc>
        <w:tc>
          <w:tcPr>
            <w:tcW w:w="0" w:type="auto"/>
            <w:tcBorders>
              <w:top w:val="nil"/>
              <w:left w:val="nil"/>
              <w:bottom w:val="single" w:sz="4" w:space="0" w:color="auto"/>
              <w:right w:val="nil"/>
            </w:tcBorders>
            <w:shd w:val="clear" w:color="000000" w:fill="FFFFFF"/>
            <w:noWrap/>
            <w:vAlign w:val="center"/>
            <w:hideMark/>
          </w:tcPr>
          <w:p w14:paraId="1D28F11D"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LM2023043</w:t>
            </w:r>
          </w:p>
        </w:tc>
        <w:tc>
          <w:tcPr>
            <w:tcW w:w="0" w:type="auto"/>
            <w:tcBorders>
              <w:top w:val="nil"/>
              <w:left w:val="nil"/>
              <w:bottom w:val="single" w:sz="4" w:space="0" w:color="auto"/>
              <w:right w:val="nil"/>
            </w:tcBorders>
            <w:noWrap/>
            <w:vAlign w:val="center"/>
            <w:hideMark/>
          </w:tcPr>
          <w:p w14:paraId="46B69A49"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73.7</w:t>
            </w:r>
          </w:p>
        </w:tc>
        <w:tc>
          <w:tcPr>
            <w:tcW w:w="0" w:type="auto"/>
            <w:tcBorders>
              <w:top w:val="single" w:sz="4" w:space="0" w:color="auto"/>
              <w:left w:val="nil"/>
              <w:bottom w:val="single" w:sz="4" w:space="0" w:color="auto"/>
              <w:right w:val="nil"/>
            </w:tcBorders>
            <w:shd w:val="clear" w:color="000000" w:fill="FFDE82"/>
            <w:noWrap/>
            <w:vAlign w:val="center"/>
            <w:hideMark/>
          </w:tcPr>
          <w:p w14:paraId="6649B790"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16.</w:t>
            </w:r>
            <w:proofErr w:type="gramStart"/>
            <w:r w:rsidRPr="007B25E7">
              <w:rPr>
                <w:rFonts w:eastAsia="Times New Roman" w:cs="Arial"/>
                <w:color w:val="000000"/>
                <w:sz w:val="14"/>
                <w:szCs w:val="14"/>
                <w:lang w:eastAsia="en-GB"/>
              </w:rPr>
              <w:t>8%</w:t>
            </w:r>
            <w:proofErr w:type="gramEnd"/>
          </w:p>
        </w:tc>
        <w:tc>
          <w:tcPr>
            <w:tcW w:w="0" w:type="auto"/>
            <w:vMerge/>
            <w:tcBorders>
              <w:top w:val="nil"/>
              <w:left w:val="nil"/>
              <w:bottom w:val="single" w:sz="8" w:space="0" w:color="000000"/>
              <w:right w:val="nil"/>
            </w:tcBorders>
            <w:vAlign w:val="center"/>
            <w:hideMark/>
          </w:tcPr>
          <w:p w14:paraId="3513EF5F"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4" w:space="0" w:color="auto"/>
              <w:right w:val="nil"/>
            </w:tcBorders>
            <w:shd w:val="clear" w:color="000000" w:fill="FFFFFF"/>
            <w:noWrap/>
            <w:vAlign w:val="center"/>
            <w:hideMark/>
          </w:tcPr>
          <w:p w14:paraId="58D2E41B"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4" w:space="0" w:color="auto"/>
              <w:right w:val="nil"/>
            </w:tcBorders>
            <w:shd w:val="clear" w:color="000000" w:fill="FFFFFF"/>
            <w:noWrap/>
            <w:vAlign w:val="center"/>
            <w:hideMark/>
          </w:tcPr>
          <w:p w14:paraId="2D85BC6C" w14:textId="77777777" w:rsidR="007B25E7" w:rsidRPr="007B25E7" w:rsidRDefault="007B25E7" w:rsidP="007B25E7">
            <w:pPr>
              <w:spacing w:after="0" w:line="240" w:lineRule="auto"/>
              <w:jc w:val="center"/>
              <w:rPr>
                <w:rFonts w:eastAsia="Times New Roman" w:cs="Arial"/>
                <w:sz w:val="14"/>
                <w:szCs w:val="14"/>
                <w:lang w:eastAsia="en-GB"/>
              </w:rPr>
            </w:pPr>
            <w:proofErr w:type="spellStart"/>
            <w:r w:rsidRPr="007B25E7">
              <w:rPr>
                <w:rFonts w:eastAsia="Times New Roman" w:cs="Arial"/>
                <w:sz w:val="14"/>
                <w:szCs w:val="14"/>
                <w:lang w:eastAsia="en-GB"/>
              </w:rPr>
              <w:t>virtual</w:t>
            </w:r>
            <w:proofErr w:type="spellEnd"/>
          </w:p>
        </w:tc>
        <w:tc>
          <w:tcPr>
            <w:tcW w:w="0" w:type="auto"/>
            <w:tcBorders>
              <w:top w:val="nil"/>
              <w:left w:val="nil"/>
              <w:bottom w:val="single" w:sz="4" w:space="0" w:color="auto"/>
              <w:right w:val="nil"/>
            </w:tcBorders>
            <w:shd w:val="clear" w:color="000000" w:fill="FFFFFF"/>
            <w:noWrap/>
            <w:vAlign w:val="center"/>
            <w:hideMark/>
          </w:tcPr>
          <w:p w14:paraId="7E9A4230" w14:textId="77777777" w:rsidR="007B25E7" w:rsidRPr="007B25E7" w:rsidRDefault="007B25E7" w:rsidP="007B25E7">
            <w:pPr>
              <w:spacing w:after="0" w:line="240" w:lineRule="auto"/>
              <w:jc w:val="center"/>
              <w:rPr>
                <w:rFonts w:eastAsia="Times New Roman" w:cs="Arial"/>
                <w:sz w:val="14"/>
                <w:szCs w:val="14"/>
                <w:lang w:eastAsia="en-GB"/>
              </w:rPr>
            </w:pPr>
            <w:r w:rsidRPr="007B25E7">
              <w:rPr>
                <w:rFonts w:eastAsia="Times New Roman" w:cs="Arial"/>
                <w:sz w:val="14"/>
                <w:szCs w:val="14"/>
                <w:lang w:eastAsia="en-GB"/>
              </w:rPr>
              <w:t>2015</w:t>
            </w:r>
          </w:p>
        </w:tc>
        <w:tc>
          <w:tcPr>
            <w:tcW w:w="0" w:type="auto"/>
            <w:tcBorders>
              <w:top w:val="nil"/>
              <w:left w:val="nil"/>
              <w:bottom w:val="single" w:sz="4" w:space="0" w:color="auto"/>
              <w:right w:val="nil"/>
            </w:tcBorders>
            <w:shd w:val="clear" w:color="000000" w:fill="FFFFFF"/>
            <w:noWrap/>
            <w:vAlign w:val="center"/>
            <w:hideMark/>
          </w:tcPr>
          <w:p w14:paraId="7EEA2C29" w14:textId="77777777" w:rsidR="007B25E7" w:rsidRPr="007B25E7" w:rsidRDefault="007B25E7" w:rsidP="007B25E7">
            <w:pPr>
              <w:spacing w:after="0" w:line="240" w:lineRule="auto"/>
              <w:jc w:val="center"/>
              <w:rPr>
                <w:rFonts w:eastAsia="Times New Roman" w:cs="Arial"/>
                <w:sz w:val="14"/>
                <w:szCs w:val="14"/>
                <w:lang w:eastAsia="en-GB"/>
              </w:rPr>
            </w:pPr>
            <w:r w:rsidRPr="007B25E7">
              <w:rPr>
                <w:rFonts w:eastAsia="Times New Roman" w:cs="Arial"/>
                <w:sz w:val="14"/>
                <w:szCs w:val="14"/>
                <w:lang w:eastAsia="en-GB"/>
              </w:rPr>
              <w:t>X</w:t>
            </w:r>
          </w:p>
        </w:tc>
      </w:tr>
      <w:tr w:rsidR="007B25E7" w:rsidRPr="007B25E7" w14:paraId="5E9FD701" w14:textId="77777777" w:rsidTr="007B25E7">
        <w:trPr>
          <w:cantSplit/>
          <w:trHeight w:val="283"/>
        </w:trPr>
        <w:tc>
          <w:tcPr>
            <w:tcW w:w="0" w:type="auto"/>
            <w:vMerge/>
            <w:tcBorders>
              <w:top w:val="nil"/>
              <w:left w:val="nil"/>
              <w:bottom w:val="single" w:sz="8" w:space="0" w:color="000000"/>
              <w:right w:val="nil"/>
            </w:tcBorders>
            <w:vAlign w:val="center"/>
            <w:hideMark/>
          </w:tcPr>
          <w:p w14:paraId="253789B1"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4" w:space="0" w:color="auto"/>
              <w:right w:val="nil"/>
            </w:tcBorders>
            <w:noWrap/>
            <w:vAlign w:val="center"/>
            <w:hideMark/>
          </w:tcPr>
          <w:p w14:paraId="5EAA1AF3" w14:textId="77777777" w:rsidR="007B25E7" w:rsidRPr="007B25E7" w:rsidRDefault="007B25E7" w:rsidP="007B25E7">
            <w:pPr>
              <w:spacing w:after="0" w:line="240" w:lineRule="auto"/>
              <w:jc w:val="center"/>
              <w:rPr>
                <w:rFonts w:eastAsia="Times New Roman" w:cs="Arial"/>
                <w:sz w:val="14"/>
                <w:szCs w:val="14"/>
                <w:lang w:eastAsia="en-GB"/>
              </w:rPr>
            </w:pPr>
            <w:r w:rsidRPr="007B25E7">
              <w:rPr>
                <w:rFonts w:eastAsia="Times New Roman" w:cs="Arial"/>
                <w:sz w:val="14"/>
                <w:szCs w:val="14"/>
                <w:lang w:eastAsia="en-GB"/>
              </w:rPr>
              <w:t>CNC</w:t>
            </w:r>
          </w:p>
        </w:tc>
        <w:tc>
          <w:tcPr>
            <w:tcW w:w="0" w:type="auto"/>
            <w:tcBorders>
              <w:top w:val="nil"/>
              <w:left w:val="nil"/>
              <w:bottom w:val="single" w:sz="4" w:space="0" w:color="auto"/>
              <w:right w:val="nil"/>
            </w:tcBorders>
            <w:shd w:val="clear" w:color="000000" w:fill="FFFFFF"/>
            <w:noWrap/>
            <w:vAlign w:val="center"/>
            <w:hideMark/>
          </w:tcPr>
          <w:p w14:paraId="3ED8B957"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LM2023044</w:t>
            </w:r>
          </w:p>
        </w:tc>
        <w:tc>
          <w:tcPr>
            <w:tcW w:w="0" w:type="auto"/>
            <w:tcBorders>
              <w:top w:val="nil"/>
              <w:left w:val="nil"/>
              <w:bottom w:val="single" w:sz="4" w:space="0" w:color="auto"/>
              <w:right w:val="nil"/>
            </w:tcBorders>
            <w:noWrap/>
            <w:vAlign w:val="center"/>
            <w:hideMark/>
          </w:tcPr>
          <w:p w14:paraId="1B4B0903"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54.5</w:t>
            </w:r>
          </w:p>
        </w:tc>
        <w:tc>
          <w:tcPr>
            <w:tcW w:w="0" w:type="auto"/>
            <w:tcBorders>
              <w:top w:val="single" w:sz="4" w:space="0" w:color="auto"/>
              <w:left w:val="nil"/>
              <w:bottom w:val="single" w:sz="4" w:space="0" w:color="auto"/>
              <w:right w:val="nil"/>
            </w:tcBorders>
            <w:shd w:val="clear" w:color="000000" w:fill="FFE483"/>
            <w:noWrap/>
            <w:vAlign w:val="center"/>
            <w:hideMark/>
          </w:tcPr>
          <w:p w14:paraId="28A579BB"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12.</w:t>
            </w:r>
            <w:proofErr w:type="gramStart"/>
            <w:r w:rsidRPr="007B25E7">
              <w:rPr>
                <w:rFonts w:eastAsia="Times New Roman" w:cs="Arial"/>
                <w:color w:val="000000"/>
                <w:sz w:val="14"/>
                <w:szCs w:val="14"/>
                <w:lang w:eastAsia="en-GB"/>
              </w:rPr>
              <w:t>5%</w:t>
            </w:r>
            <w:proofErr w:type="gramEnd"/>
          </w:p>
        </w:tc>
        <w:tc>
          <w:tcPr>
            <w:tcW w:w="0" w:type="auto"/>
            <w:vMerge/>
            <w:tcBorders>
              <w:top w:val="nil"/>
              <w:left w:val="nil"/>
              <w:bottom w:val="single" w:sz="8" w:space="0" w:color="000000"/>
              <w:right w:val="nil"/>
            </w:tcBorders>
            <w:vAlign w:val="center"/>
            <w:hideMark/>
          </w:tcPr>
          <w:p w14:paraId="6F3BB2E7"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4" w:space="0" w:color="auto"/>
              <w:right w:val="nil"/>
            </w:tcBorders>
            <w:shd w:val="clear" w:color="000000" w:fill="FFFFFF"/>
            <w:noWrap/>
            <w:vAlign w:val="center"/>
            <w:hideMark/>
          </w:tcPr>
          <w:p w14:paraId="604B3C0E"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4" w:space="0" w:color="auto"/>
              <w:right w:val="nil"/>
            </w:tcBorders>
            <w:shd w:val="clear" w:color="000000" w:fill="FFFFFF"/>
            <w:noWrap/>
            <w:vAlign w:val="center"/>
            <w:hideMark/>
          </w:tcPr>
          <w:p w14:paraId="414BD3E8" w14:textId="77777777" w:rsidR="007B25E7" w:rsidRPr="007B25E7" w:rsidRDefault="007B25E7" w:rsidP="007B25E7">
            <w:pPr>
              <w:spacing w:after="0" w:line="240" w:lineRule="auto"/>
              <w:jc w:val="center"/>
              <w:rPr>
                <w:rFonts w:eastAsia="Times New Roman" w:cs="Arial"/>
                <w:sz w:val="14"/>
                <w:szCs w:val="14"/>
                <w:lang w:eastAsia="en-GB"/>
              </w:rPr>
            </w:pPr>
            <w:proofErr w:type="spellStart"/>
            <w:r w:rsidRPr="007B25E7">
              <w:rPr>
                <w:rFonts w:eastAsia="Times New Roman" w:cs="Arial"/>
                <w:sz w:val="14"/>
                <w:szCs w:val="14"/>
                <w:lang w:eastAsia="en-GB"/>
              </w:rPr>
              <w:t>virtual</w:t>
            </w:r>
            <w:proofErr w:type="spellEnd"/>
          </w:p>
        </w:tc>
        <w:tc>
          <w:tcPr>
            <w:tcW w:w="0" w:type="auto"/>
            <w:tcBorders>
              <w:top w:val="nil"/>
              <w:left w:val="nil"/>
              <w:bottom w:val="single" w:sz="4" w:space="0" w:color="auto"/>
              <w:right w:val="nil"/>
            </w:tcBorders>
            <w:shd w:val="clear" w:color="000000" w:fill="FFFFFF"/>
            <w:noWrap/>
            <w:vAlign w:val="center"/>
            <w:hideMark/>
          </w:tcPr>
          <w:p w14:paraId="150D3790" w14:textId="77777777" w:rsidR="007B25E7" w:rsidRPr="007B25E7" w:rsidRDefault="007B25E7" w:rsidP="007B25E7">
            <w:pPr>
              <w:spacing w:after="0" w:line="240" w:lineRule="auto"/>
              <w:jc w:val="center"/>
              <w:rPr>
                <w:rFonts w:eastAsia="Times New Roman" w:cs="Arial"/>
                <w:sz w:val="14"/>
                <w:szCs w:val="14"/>
                <w:lang w:eastAsia="en-GB"/>
              </w:rPr>
            </w:pPr>
            <w:r w:rsidRPr="007B25E7">
              <w:rPr>
                <w:rFonts w:eastAsia="Times New Roman" w:cs="Arial"/>
                <w:sz w:val="14"/>
                <w:szCs w:val="14"/>
                <w:lang w:eastAsia="en-GB"/>
              </w:rPr>
              <w:t>2010</w:t>
            </w:r>
          </w:p>
        </w:tc>
        <w:tc>
          <w:tcPr>
            <w:tcW w:w="0" w:type="auto"/>
            <w:tcBorders>
              <w:top w:val="nil"/>
              <w:left w:val="nil"/>
              <w:bottom w:val="single" w:sz="4" w:space="0" w:color="auto"/>
              <w:right w:val="nil"/>
            </w:tcBorders>
            <w:shd w:val="clear" w:color="000000" w:fill="FFFFFF"/>
            <w:noWrap/>
            <w:vAlign w:val="center"/>
            <w:hideMark/>
          </w:tcPr>
          <w:p w14:paraId="37193F58" w14:textId="77777777" w:rsidR="007B25E7" w:rsidRPr="007B25E7" w:rsidRDefault="007B25E7" w:rsidP="007B25E7">
            <w:pPr>
              <w:spacing w:after="0" w:line="240" w:lineRule="auto"/>
              <w:jc w:val="center"/>
              <w:rPr>
                <w:rFonts w:eastAsia="Times New Roman" w:cs="Arial"/>
                <w:sz w:val="14"/>
                <w:szCs w:val="14"/>
                <w:lang w:eastAsia="en-GB"/>
              </w:rPr>
            </w:pPr>
            <w:r w:rsidRPr="007B25E7">
              <w:rPr>
                <w:rFonts w:eastAsia="Times New Roman" w:cs="Arial"/>
                <w:sz w:val="14"/>
                <w:szCs w:val="14"/>
                <w:lang w:eastAsia="en-GB"/>
              </w:rPr>
              <w:t>X</w:t>
            </w:r>
          </w:p>
        </w:tc>
      </w:tr>
      <w:tr w:rsidR="007B25E7" w:rsidRPr="007B25E7" w14:paraId="21BC9B39" w14:textId="77777777" w:rsidTr="007B25E7">
        <w:trPr>
          <w:cantSplit/>
          <w:trHeight w:val="283"/>
        </w:trPr>
        <w:tc>
          <w:tcPr>
            <w:tcW w:w="0" w:type="auto"/>
            <w:vMerge/>
            <w:tcBorders>
              <w:top w:val="nil"/>
              <w:left w:val="nil"/>
              <w:bottom w:val="single" w:sz="8" w:space="0" w:color="000000"/>
              <w:right w:val="nil"/>
            </w:tcBorders>
            <w:vAlign w:val="center"/>
            <w:hideMark/>
          </w:tcPr>
          <w:p w14:paraId="35081882"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4" w:space="0" w:color="auto"/>
              <w:right w:val="nil"/>
            </w:tcBorders>
            <w:noWrap/>
            <w:vAlign w:val="center"/>
            <w:hideMark/>
          </w:tcPr>
          <w:p w14:paraId="12A0F039" w14:textId="77777777" w:rsidR="007B25E7" w:rsidRPr="007B25E7" w:rsidRDefault="007B25E7" w:rsidP="007B25E7">
            <w:pPr>
              <w:spacing w:after="0" w:line="240" w:lineRule="auto"/>
              <w:jc w:val="center"/>
              <w:rPr>
                <w:rFonts w:eastAsia="Times New Roman" w:cs="Arial"/>
                <w:sz w:val="14"/>
                <w:szCs w:val="14"/>
                <w:lang w:eastAsia="en-GB"/>
              </w:rPr>
            </w:pPr>
            <w:r w:rsidRPr="007B25E7">
              <w:rPr>
                <w:rFonts w:eastAsia="Times New Roman" w:cs="Arial"/>
                <w:sz w:val="14"/>
                <w:szCs w:val="14"/>
                <w:lang w:eastAsia="en-GB"/>
              </w:rPr>
              <w:t>CSDA/ESS-CZ</w:t>
            </w:r>
          </w:p>
        </w:tc>
        <w:tc>
          <w:tcPr>
            <w:tcW w:w="0" w:type="auto"/>
            <w:tcBorders>
              <w:top w:val="nil"/>
              <w:left w:val="nil"/>
              <w:bottom w:val="single" w:sz="4" w:space="0" w:color="auto"/>
              <w:right w:val="nil"/>
            </w:tcBorders>
            <w:shd w:val="clear" w:color="000000" w:fill="FFFFFF"/>
            <w:noWrap/>
            <w:vAlign w:val="center"/>
            <w:hideMark/>
          </w:tcPr>
          <w:p w14:paraId="432C68A3"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LM2023046</w:t>
            </w:r>
          </w:p>
        </w:tc>
        <w:tc>
          <w:tcPr>
            <w:tcW w:w="0" w:type="auto"/>
            <w:tcBorders>
              <w:top w:val="nil"/>
              <w:left w:val="nil"/>
              <w:bottom w:val="single" w:sz="4" w:space="0" w:color="auto"/>
              <w:right w:val="nil"/>
            </w:tcBorders>
            <w:noWrap/>
            <w:vAlign w:val="center"/>
            <w:hideMark/>
          </w:tcPr>
          <w:p w14:paraId="19B71C52"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25.0</w:t>
            </w:r>
          </w:p>
        </w:tc>
        <w:tc>
          <w:tcPr>
            <w:tcW w:w="0" w:type="auto"/>
            <w:tcBorders>
              <w:top w:val="single" w:sz="4" w:space="0" w:color="auto"/>
              <w:left w:val="nil"/>
              <w:bottom w:val="single" w:sz="4" w:space="0" w:color="auto"/>
              <w:right w:val="nil"/>
            </w:tcBorders>
            <w:shd w:val="clear" w:color="000000" w:fill="D9E081"/>
            <w:noWrap/>
            <w:vAlign w:val="center"/>
            <w:hideMark/>
          </w:tcPr>
          <w:p w14:paraId="20C626DF"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5.</w:t>
            </w:r>
            <w:proofErr w:type="gramStart"/>
            <w:r w:rsidRPr="007B25E7">
              <w:rPr>
                <w:rFonts w:eastAsia="Times New Roman" w:cs="Arial"/>
                <w:color w:val="000000"/>
                <w:sz w:val="14"/>
                <w:szCs w:val="14"/>
                <w:lang w:eastAsia="en-GB"/>
              </w:rPr>
              <w:t>7%</w:t>
            </w:r>
            <w:proofErr w:type="gramEnd"/>
          </w:p>
        </w:tc>
        <w:tc>
          <w:tcPr>
            <w:tcW w:w="0" w:type="auto"/>
            <w:vMerge/>
            <w:tcBorders>
              <w:top w:val="nil"/>
              <w:left w:val="nil"/>
              <w:bottom w:val="single" w:sz="8" w:space="0" w:color="000000"/>
              <w:right w:val="nil"/>
            </w:tcBorders>
            <w:vAlign w:val="center"/>
            <w:hideMark/>
          </w:tcPr>
          <w:p w14:paraId="6CCDEB83"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4" w:space="0" w:color="auto"/>
              <w:right w:val="nil"/>
            </w:tcBorders>
            <w:shd w:val="clear" w:color="000000" w:fill="FFFFFF"/>
            <w:noWrap/>
            <w:vAlign w:val="center"/>
            <w:hideMark/>
          </w:tcPr>
          <w:p w14:paraId="32D0EAC4"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4" w:space="0" w:color="auto"/>
              <w:right w:val="nil"/>
            </w:tcBorders>
            <w:shd w:val="clear" w:color="000000" w:fill="FFFFFF"/>
            <w:noWrap/>
            <w:vAlign w:val="center"/>
            <w:hideMark/>
          </w:tcPr>
          <w:p w14:paraId="13CB2385" w14:textId="77777777" w:rsidR="007B25E7" w:rsidRPr="007B25E7" w:rsidRDefault="007B25E7" w:rsidP="007B25E7">
            <w:pPr>
              <w:spacing w:after="0" w:line="240" w:lineRule="auto"/>
              <w:jc w:val="center"/>
              <w:rPr>
                <w:rFonts w:eastAsia="Times New Roman" w:cs="Arial"/>
                <w:sz w:val="14"/>
                <w:szCs w:val="14"/>
                <w:lang w:eastAsia="en-GB"/>
              </w:rPr>
            </w:pPr>
            <w:proofErr w:type="spellStart"/>
            <w:r w:rsidRPr="007B25E7">
              <w:rPr>
                <w:rFonts w:eastAsia="Times New Roman" w:cs="Arial"/>
                <w:sz w:val="14"/>
                <w:szCs w:val="14"/>
                <w:lang w:eastAsia="en-GB"/>
              </w:rPr>
              <w:t>virtual</w:t>
            </w:r>
            <w:proofErr w:type="spellEnd"/>
          </w:p>
        </w:tc>
        <w:tc>
          <w:tcPr>
            <w:tcW w:w="0" w:type="auto"/>
            <w:tcBorders>
              <w:top w:val="nil"/>
              <w:left w:val="nil"/>
              <w:bottom w:val="single" w:sz="4" w:space="0" w:color="auto"/>
              <w:right w:val="nil"/>
            </w:tcBorders>
            <w:shd w:val="clear" w:color="000000" w:fill="FFFFFF"/>
            <w:noWrap/>
            <w:vAlign w:val="center"/>
            <w:hideMark/>
          </w:tcPr>
          <w:p w14:paraId="731E4F46" w14:textId="77777777" w:rsidR="007B25E7" w:rsidRPr="007B25E7" w:rsidRDefault="007B25E7" w:rsidP="007B25E7">
            <w:pPr>
              <w:spacing w:after="0" w:line="240" w:lineRule="auto"/>
              <w:jc w:val="center"/>
              <w:rPr>
                <w:rFonts w:eastAsia="Times New Roman" w:cs="Arial"/>
                <w:sz w:val="14"/>
                <w:szCs w:val="14"/>
                <w:lang w:eastAsia="en-GB"/>
              </w:rPr>
            </w:pPr>
            <w:r w:rsidRPr="007B25E7">
              <w:rPr>
                <w:rFonts w:eastAsia="Times New Roman" w:cs="Arial"/>
                <w:sz w:val="14"/>
                <w:szCs w:val="14"/>
                <w:lang w:eastAsia="en-GB"/>
              </w:rPr>
              <w:t>2010</w:t>
            </w:r>
          </w:p>
        </w:tc>
        <w:tc>
          <w:tcPr>
            <w:tcW w:w="0" w:type="auto"/>
            <w:tcBorders>
              <w:top w:val="nil"/>
              <w:left w:val="nil"/>
              <w:bottom w:val="single" w:sz="4" w:space="0" w:color="auto"/>
              <w:right w:val="nil"/>
            </w:tcBorders>
            <w:shd w:val="clear" w:color="000000" w:fill="FFFFFF"/>
            <w:noWrap/>
            <w:vAlign w:val="center"/>
            <w:hideMark/>
          </w:tcPr>
          <w:p w14:paraId="6CD425D7" w14:textId="77777777" w:rsidR="007B25E7" w:rsidRPr="007B25E7" w:rsidRDefault="007B25E7" w:rsidP="007B25E7">
            <w:pPr>
              <w:spacing w:after="0" w:line="240" w:lineRule="auto"/>
              <w:jc w:val="center"/>
              <w:rPr>
                <w:rFonts w:eastAsia="Times New Roman" w:cs="Arial"/>
                <w:sz w:val="14"/>
                <w:szCs w:val="14"/>
                <w:lang w:eastAsia="en-GB"/>
              </w:rPr>
            </w:pPr>
            <w:r w:rsidRPr="007B25E7">
              <w:rPr>
                <w:rFonts w:eastAsia="Times New Roman" w:cs="Arial"/>
                <w:sz w:val="14"/>
                <w:szCs w:val="14"/>
                <w:lang w:eastAsia="en-GB"/>
              </w:rPr>
              <w:t xml:space="preserve">ESFRI </w:t>
            </w:r>
            <w:proofErr w:type="spellStart"/>
            <w:r w:rsidRPr="007B25E7">
              <w:rPr>
                <w:rFonts w:eastAsia="Times New Roman" w:cs="Arial"/>
                <w:sz w:val="14"/>
                <w:szCs w:val="14"/>
                <w:lang w:eastAsia="en-GB"/>
              </w:rPr>
              <w:t>Landmark</w:t>
            </w:r>
            <w:proofErr w:type="spellEnd"/>
          </w:p>
        </w:tc>
      </w:tr>
      <w:tr w:rsidR="007B25E7" w:rsidRPr="007B25E7" w14:paraId="0ECE2776" w14:textId="77777777" w:rsidTr="007B25E7">
        <w:trPr>
          <w:cantSplit/>
          <w:trHeight w:val="283"/>
        </w:trPr>
        <w:tc>
          <w:tcPr>
            <w:tcW w:w="0" w:type="auto"/>
            <w:vMerge/>
            <w:tcBorders>
              <w:top w:val="nil"/>
              <w:left w:val="nil"/>
              <w:bottom w:val="single" w:sz="8" w:space="0" w:color="000000"/>
              <w:right w:val="nil"/>
            </w:tcBorders>
            <w:vAlign w:val="center"/>
            <w:hideMark/>
          </w:tcPr>
          <w:p w14:paraId="5B9BA5C2"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4" w:space="0" w:color="auto"/>
              <w:right w:val="nil"/>
            </w:tcBorders>
            <w:noWrap/>
            <w:vAlign w:val="center"/>
            <w:hideMark/>
          </w:tcPr>
          <w:p w14:paraId="7D32EB53" w14:textId="77777777" w:rsidR="007B25E7" w:rsidRPr="007B25E7" w:rsidRDefault="007B25E7" w:rsidP="007B25E7">
            <w:pPr>
              <w:spacing w:after="0" w:line="240" w:lineRule="auto"/>
              <w:jc w:val="center"/>
              <w:rPr>
                <w:rFonts w:eastAsia="Times New Roman" w:cs="Arial"/>
                <w:sz w:val="14"/>
                <w:szCs w:val="14"/>
                <w:lang w:eastAsia="en-GB"/>
              </w:rPr>
            </w:pPr>
            <w:r w:rsidRPr="007B25E7">
              <w:rPr>
                <w:rFonts w:eastAsia="Times New Roman" w:cs="Arial"/>
                <w:sz w:val="14"/>
                <w:szCs w:val="14"/>
                <w:lang w:eastAsia="en-GB"/>
              </w:rPr>
              <w:t>LINDAT/CLARIAH-CZ</w:t>
            </w:r>
          </w:p>
        </w:tc>
        <w:tc>
          <w:tcPr>
            <w:tcW w:w="0" w:type="auto"/>
            <w:tcBorders>
              <w:top w:val="nil"/>
              <w:left w:val="nil"/>
              <w:bottom w:val="single" w:sz="4" w:space="0" w:color="auto"/>
              <w:right w:val="nil"/>
            </w:tcBorders>
            <w:shd w:val="clear" w:color="000000" w:fill="FFFFFF"/>
            <w:noWrap/>
            <w:vAlign w:val="center"/>
            <w:hideMark/>
          </w:tcPr>
          <w:p w14:paraId="257AC5EA"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LM2023062</w:t>
            </w:r>
          </w:p>
        </w:tc>
        <w:tc>
          <w:tcPr>
            <w:tcW w:w="0" w:type="auto"/>
            <w:tcBorders>
              <w:top w:val="nil"/>
              <w:left w:val="nil"/>
              <w:bottom w:val="single" w:sz="4" w:space="0" w:color="auto"/>
              <w:right w:val="nil"/>
            </w:tcBorders>
            <w:noWrap/>
            <w:vAlign w:val="center"/>
            <w:hideMark/>
          </w:tcPr>
          <w:p w14:paraId="72077819"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200.2</w:t>
            </w:r>
          </w:p>
        </w:tc>
        <w:tc>
          <w:tcPr>
            <w:tcW w:w="0" w:type="auto"/>
            <w:tcBorders>
              <w:top w:val="single" w:sz="4" w:space="0" w:color="auto"/>
              <w:left w:val="nil"/>
              <w:bottom w:val="single" w:sz="4" w:space="0" w:color="auto"/>
              <w:right w:val="nil"/>
            </w:tcBorders>
            <w:shd w:val="clear" w:color="000000" w:fill="FDB57A"/>
            <w:noWrap/>
            <w:vAlign w:val="center"/>
            <w:hideMark/>
          </w:tcPr>
          <w:p w14:paraId="23974BF9"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45.</w:t>
            </w:r>
            <w:proofErr w:type="gramStart"/>
            <w:r w:rsidRPr="007B25E7">
              <w:rPr>
                <w:rFonts w:eastAsia="Times New Roman" w:cs="Arial"/>
                <w:color w:val="000000"/>
                <w:sz w:val="14"/>
                <w:szCs w:val="14"/>
                <w:lang w:eastAsia="en-GB"/>
              </w:rPr>
              <w:t>7%</w:t>
            </w:r>
            <w:proofErr w:type="gramEnd"/>
          </w:p>
        </w:tc>
        <w:tc>
          <w:tcPr>
            <w:tcW w:w="0" w:type="auto"/>
            <w:vMerge/>
            <w:tcBorders>
              <w:top w:val="nil"/>
              <w:left w:val="nil"/>
              <w:bottom w:val="single" w:sz="8" w:space="0" w:color="000000"/>
              <w:right w:val="nil"/>
            </w:tcBorders>
            <w:vAlign w:val="center"/>
            <w:hideMark/>
          </w:tcPr>
          <w:p w14:paraId="7E4A50B7"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4" w:space="0" w:color="auto"/>
              <w:right w:val="nil"/>
            </w:tcBorders>
            <w:shd w:val="clear" w:color="000000" w:fill="FFFFFF"/>
            <w:noWrap/>
            <w:vAlign w:val="center"/>
            <w:hideMark/>
          </w:tcPr>
          <w:p w14:paraId="040784B4"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4" w:space="0" w:color="auto"/>
              <w:right w:val="nil"/>
            </w:tcBorders>
            <w:shd w:val="clear" w:color="000000" w:fill="FFFFFF"/>
            <w:noWrap/>
            <w:vAlign w:val="center"/>
            <w:hideMark/>
          </w:tcPr>
          <w:p w14:paraId="2F7AA98F" w14:textId="5A161D0B" w:rsidR="007B25E7" w:rsidRPr="007B25E7" w:rsidRDefault="00472253" w:rsidP="007B25E7">
            <w:pPr>
              <w:spacing w:after="0" w:line="240" w:lineRule="auto"/>
              <w:jc w:val="center"/>
              <w:rPr>
                <w:rFonts w:eastAsia="Times New Roman" w:cs="Arial"/>
                <w:sz w:val="14"/>
                <w:szCs w:val="14"/>
                <w:lang w:eastAsia="en-GB"/>
              </w:rPr>
            </w:pPr>
            <w:proofErr w:type="spellStart"/>
            <w:r w:rsidRPr="007B25E7">
              <w:rPr>
                <w:rFonts w:eastAsia="Times New Roman" w:cs="Arial"/>
                <w:color w:val="000000"/>
                <w:sz w:val="14"/>
                <w:szCs w:val="14"/>
                <w:lang w:eastAsia="en-GB"/>
              </w:rPr>
              <w:t>distribu</w:t>
            </w:r>
            <w:r>
              <w:rPr>
                <w:rFonts w:eastAsia="Times New Roman" w:cs="Arial"/>
                <w:color w:val="000000"/>
                <w:sz w:val="14"/>
                <w:szCs w:val="14"/>
                <w:lang w:eastAsia="en-GB"/>
              </w:rPr>
              <w:t>ted</w:t>
            </w:r>
            <w:proofErr w:type="spellEnd"/>
          </w:p>
        </w:tc>
        <w:tc>
          <w:tcPr>
            <w:tcW w:w="0" w:type="auto"/>
            <w:tcBorders>
              <w:top w:val="nil"/>
              <w:left w:val="nil"/>
              <w:bottom w:val="single" w:sz="4" w:space="0" w:color="auto"/>
              <w:right w:val="nil"/>
            </w:tcBorders>
            <w:shd w:val="clear" w:color="000000" w:fill="FFFFFF"/>
            <w:noWrap/>
            <w:vAlign w:val="center"/>
            <w:hideMark/>
          </w:tcPr>
          <w:p w14:paraId="0FC7A752" w14:textId="77777777" w:rsidR="007B25E7" w:rsidRPr="007B25E7" w:rsidRDefault="007B25E7" w:rsidP="007B25E7">
            <w:pPr>
              <w:spacing w:after="0" w:line="240" w:lineRule="auto"/>
              <w:jc w:val="center"/>
              <w:rPr>
                <w:rFonts w:eastAsia="Times New Roman" w:cs="Arial"/>
                <w:sz w:val="14"/>
                <w:szCs w:val="14"/>
                <w:lang w:eastAsia="en-GB"/>
              </w:rPr>
            </w:pPr>
            <w:r w:rsidRPr="007B25E7">
              <w:rPr>
                <w:rFonts w:eastAsia="Times New Roman" w:cs="Arial"/>
                <w:sz w:val="14"/>
                <w:szCs w:val="14"/>
                <w:lang w:eastAsia="en-GB"/>
              </w:rPr>
              <w:t>2010</w:t>
            </w:r>
          </w:p>
        </w:tc>
        <w:tc>
          <w:tcPr>
            <w:tcW w:w="0" w:type="auto"/>
            <w:tcBorders>
              <w:top w:val="nil"/>
              <w:left w:val="nil"/>
              <w:bottom w:val="single" w:sz="4" w:space="0" w:color="auto"/>
              <w:right w:val="nil"/>
            </w:tcBorders>
            <w:shd w:val="clear" w:color="000000" w:fill="FFFFFF"/>
            <w:vAlign w:val="center"/>
            <w:hideMark/>
          </w:tcPr>
          <w:p w14:paraId="796ABC7E" w14:textId="77777777" w:rsidR="007B25E7" w:rsidRPr="007B25E7" w:rsidRDefault="007B25E7" w:rsidP="007B25E7">
            <w:pPr>
              <w:spacing w:after="0" w:line="240" w:lineRule="auto"/>
              <w:jc w:val="center"/>
              <w:rPr>
                <w:rFonts w:eastAsia="Times New Roman" w:cs="Arial"/>
                <w:sz w:val="14"/>
                <w:szCs w:val="14"/>
                <w:lang w:eastAsia="en-GB"/>
              </w:rPr>
            </w:pPr>
            <w:r w:rsidRPr="007B25E7">
              <w:rPr>
                <w:rFonts w:eastAsia="Times New Roman" w:cs="Arial"/>
                <w:sz w:val="14"/>
                <w:szCs w:val="14"/>
                <w:lang w:eastAsia="en-GB"/>
              </w:rPr>
              <w:t xml:space="preserve">ESFRI </w:t>
            </w:r>
            <w:proofErr w:type="spellStart"/>
            <w:r w:rsidRPr="007B25E7">
              <w:rPr>
                <w:rFonts w:eastAsia="Times New Roman" w:cs="Arial"/>
                <w:sz w:val="14"/>
                <w:szCs w:val="14"/>
                <w:lang w:eastAsia="en-GB"/>
              </w:rPr>
              <w:t>Landmark</w:t>
            </w:r>
            <w:proofErr w:type="spellEnd"/>
            <w:r w:rsidRPr="007B25E7">
              <w:rPr>
                <w:rFonts w:eastAsia="Times New Roman" w:cs="Arial"/>
                <w:sz w:val="14"/>
                <w:szCs w:val="14"/>
                <w:lang w:eastAsia="en-GB"/>
              </w:rPr>
              <w:br/>
              <w:t>ESFRI Project</w:t>
            </w:r>
          </w:p>
        </w:tc>
      </w:tr>
      <w:tr w:rsidR="007B25E7" w:rsidRPr="007B25E7" w14:paraId="125903E2" w14:textId="77777777" w:rsidTr="007B25E7">
        <w:trPr>
          <w:cantSplit/>
          <w:trHeight w:val="283"/>
        </w:trPr>
        <w:tc>
          <w:tcPr>
            <w:tcW w:w="0" w:type="auto"/>
            <w:vMerge/>
            <w:tcBorders>
              <w:top w:val="nil"/>
              <w:left w:val="nil"/>
              <w:bottom w:val="single" w:sz="8" w:space="0" w:color="000000"/>
              <w:right w:val="nil"/>
            </w:tcBorders>
            <w:vAlign w:val="center"/>
            <w:hideMark/>
          </w:tcPr>
          <w:p w14:paraId="15CC8CBF" w14:textId="77777777"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8" w:space="0" w:color="auto"/>
              <w:right w:val="nil"/>
            </w:tcBorders>
            <w:noWrap/>
            <w:vAlign w:val="center"/>
            <w:hideMark/>
          </w:tcPr>
          <w:p w14:paraId="63403BAC" w14:textId="77777777" w:rsidR="007B25E7" w:rsidRPr="007B25E7" w:rsidRDefault="007B25E7" w:rsidP="007B25E7">
            <w:pPr>
              <w:spacing w:after="0" w:line="240" w:lineRule="auto"/>
              <w:jc w:val="center"/>
              <w:rPr>
                <w:rFonts w:eastAsia="Times New Roman" w:cs="Arial"/>
                <w:sz w:val="14"/>
                <w:szCs w:val="14"/>
                <w:lang w:eastAsia="en-GB"/>
              </w:rPr>
            </w:pPr>
            <w:r w:rsidRPr="007B25E7">
              <w:rPr>
                <w:rFonts w:eastAsia="Times New Roman" w:cs="Arial"/>
                <w:sz w:val="14"/>
                <w:szCs w:val="14"/>
                <w:lang w:eastAsia="en-GB"/>
              </w:rPr>
              <w:t>SHARE-CZ</w:t>
            </w:r>
          </w:p>
        </w:tc>
        <w:tc>
          <w:tcPr>
            <w:tcW w:w="0" w:type="auto"/>
            <w:tcBorders>
              <w:top w:val="nil"/>
              <w:left w:val="nil"/>
              <w:bottom w:val="single" w:sz="8" w:space="0" w:color="auto"/>
              <w:right w:val="nil"/>
            </w:tcBorders>
            <w:shd w:val="clear" w:color="000000" w:fill="FFFFFF"/>
            <w:noWrap/>
            <w:vAlign w:val="center"/>
            <w:hideMark/>
          </w:tcPr>
          <w:p w14:paraId="323E2FD8"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LM2023070</w:t>
            </w:r>
          </w:p>
        </w:tc>
        <w:tc>
          <w:tcPr>
            <w:tcW w:w="0" w:type="auto"/>
            <w:tcBorders>
              <w:top w:val="nil"/>
              <w:left w:val="nil"/>
              <w:bottom w:val="single" w:sz="8" w:space="0" w:color="auto"/>
              <w:right w:val="nil"/>
            </w:tcBorders>
            <w:noWrap/>
            <w:vAlign w:val="center"/>
            <w:hideMark/>
          </w:tcPr>
          <w:p w14:paraId="16BE3CB3"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33.1</w:t>
            </w:r>
          </w:p>
        </w:tc>
        <w:tc>
          <w:tcPr>
            <w:tcW w:w="0" w:type="auto"/>
            <w:tcBorders>
              <w:top w:val="single" w:sz="4" w:space="0" w:color="auto"/>
              <w:left w:val="nil"/>
              <w:bottom w:val="single" w:sz="8" w:space="0" w:color="auto"/>
              <w:right w:val="nil"/>
            </w:tcBorders>
            <w:shd w:val="clear" w:color="000000" w:fill="FFEB84"/>
            <w:noWrap/>
            <w:vAlign w:val="center"/>
            <w:hideMark/>
          </w:tcPr>
          <w:p w14:paraId="1B2B6098"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7.</w:t>
            </w:r>
            <w:proofErr w:type="gramStart"/>
            <w:r w:rsidRPr="007B25E7">
              <w:rPr>
                <w:rFonts w:eastAsia="Times New Roman" w:cs="Arial"/>
                <w:color w:val="000000"/>
                <w:sz w:val="14"/>
                <w:szCs w:val="14"/>
                <w:lang w:eastAsia="en-GB"/>
              </w:rPr>
              <w:t>6%</w:t>
            </w:r>
            <w:proofErr w:type="gramEnd"/>
          </w:p>
        </w:tc>
        <w:tc>
          <w:tcPr>
            <w:tcW w:w="0" w:type="auto"/>
            <w:vMerge/>
            <w:tcBorders>
              <w:top w:val="nil"/>
              <w:left w:val="nil"/>
              <w:bottom w:val="single" w:sz="8" w:space="0" w:color="000000"/>
              <w:right w:val="nil"/>
            </w:tcBorders>
            <w:vAlign w:val="center"/>
            <w:hideMark/>
          </w:tcPr>
          <w:p w14:paraId="6A255838" w14:textId="77777777" w:rsidR="007B25E7" w:rsidRPr="007B25E7" w:rsidRDefault="007B25E7" w:rsidP="007B25E7">
            <w:pPr>
              <w:spacing w:after="0" w:line="240" w:lineRule="auto"/>
              <w:jc w:val="center"/>
              <w:rPr>
                <w:rFonts w:eastAsia="Times New Roman" w:cs="Arial"/>
                <w:color w:val="000000"/>
                <w:sz w:val="14"/>
                <w:szCs w:val="14"/>
                <w:lang w:eastAsia="en-GB"/>
              </w:rPr>
            </w:pPr>
          </w:p>
        </w:tc>
        <w:tc>
          <w:tcPr>
            <w:tcW w:w="0" w:type="auto"/>
            <w:tcBorders>
              <w:top w:val="nil"/>
              <w:left w:val="nil"/>
              <w:bottom w:val="single" w:sz="8" w:space="0" w:color="auto"/>
              <w:right w:val="nil"/>
            </w:tcBorders>
            <w:shd w:val="clear" w:color="000000" w:fill="FFFFFF"/>
            <w:noWrap/>
            <w:vAlign w:val="center"/>
            <w:hideMark/>
          </w:tcPr>
          <w:p w14:paraId="35B6549B"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8" w:space="0" w:color="auto"/>
              <w:right w:val="nil"/>
            </w:tcBorders>
            <w:shd w:val="clear" w:color="000000" w:fill="FFFFFF"/>
            <w:noWrap/>
            <w:vAlign w:val="center"/>
            <w:hideMark/>
          </w:tcPr>
          <w:p w14:paraId="2ED8863E" w14:textId="4A4711F0" w:rsidR="007B25E7" w:rsidRPr="007B25E7" w:rsidRDefault="00472253" w:rsidP="007B25E7">
            <w:pPr>
              <w:spacing w:after="0" w:line="240" w:lineRule="auto"/>
              <w:jc w:val="center"/>
              <w:rPr>
                <w:rFonts w:eastAsia="Times New Roman" w:cs="Arial"/>
                <w:sz w:val="14"/>
                <w:szCs w:val="14"/>
                <w:lang w:eastAsia="en-GB"/>
              </w:rPr>
            </w:pPr>
            <w:proofErr w:type="spellStart"/>
            <w:r w:rsidRPr="007B25E7">
              <w:rPr>
                <w:rFonts w:eastAsia="Times New Roman" w:cs="Arial"/>
                <w:color w:val="000000"/>
                <w:sz w:val="14"/>
                <w:szCs w:val="14"/>
                <w:lang w:eastAsia="en-GB"/>
              </w:rPr>
              <w:t>distribu</w:t>
            </w:r>
            <w:r>
              <w:rPr>
                <w:rFonts w:eastAsia="Times New Roman" w:cs="Arial"/>
                <w:color w:val="000000"/>
                <w:sz w:val="14"/>
                <w:szCs w:val="14"/>
                <w:lang w:eastAsia="en-GB"/>
              </w:rPr>
              <w:t>ted</w:t>
            </w:r>
            <w:proofErr w:type="spellEnd"/>
          </w:p>
        </w:tc>
        <w:tc>
          <w:tcPr>
            <w:tcW w:w="0" w:type="auto"/>
            <w:tcBorders>
              <w:top w:val="nil"/>
              <w:left w:val="nil"/>
              <w:bottom w:val="single" w:sz="8" w:space="0" w:color="auto"/>
              <w:right w:val="nil"/>
            </w:tcBorders>
            <w:shd w:val="clear" w:color="000000" w:fill="FFFFFF"/>
            <w:noWrap/>
            <w:vAlign w:val="center"/>
            <w:hideMark/>
          </w:tcPr>
          <w:p w14:paraId="43A2BA63" w14:textId="77777777" w:rsidR="007B25E7" w:rsidRPr="007B25E7" w:rsidRDefault="007B25E7" w:rsidP="007B25E7">
            <w:pPr>
              <w:spacing w:after="0" w:line="240" w:lineRule="auto"/>
              <w:jc w:val="center"/>
              <w:rPr>
                <w:rFonts w:eastAsia="Times New Roman" w:cs="Arial"/>
                <w:sz w:val="14"/>
                <w:szCs w:val="14"/>
                <w:lang w:eastAsia="en-GB"/>
              </w:rPr>
            </w:pPr>
            <w:r w:rsidRPr="007B25E7">
              <w:rPr>
                <w:rFonts w:eastAsia="Times New Roman" w:cs="Arial"/>
                <w:sz w:val="14"/>
                <w:szCs w:val="14"/>
                <w:lang w:eastAsia="en-GB"/>
              </w:rPr>
              <w:t>2010</w:t>
            </w:r>
          </w:p>
        </w:tc>
        <w:tc>
          <w:tcPr>
            <w:tcW w:w="0" w:type="auto"/>
            <w:tcBorders>
              <w:top w:val="nil"/>
              <w:left w:val="nil"/>
              <w:bottom w:val="single" w:sz="8" w:space="0" w:color="auto"/>
              <w:right w:val="nil"/>
            </w:tcBorders>
            <w:shd w:val="clear" w:color="000000" w:fill="FFFFFF"/>
            <w:noWrap/>
            <w:vAlign w:val="center"/>
            <w:hideMark/>
          </w:tcPr>
          <w:p w14:paraId="54D534D7" w14:textId="77777777" w:rsidR="007B25E7" w:rsidRPr="007B25E7" w:rsidRDefault="007B25E7" w:rsidP="007B25E7">
            <w:pPr>
              <w:spacing w:after="0" w:line="240" w:lineRule="auto"/>
              <w:jc w:val="center"/>
              <w:rPr>
                <w:rFonts w:eastAsia="Times New Roman" w:cs="Arial"/>
                <w:sz w:val="14"/>
                <w:szCs w:val="14"/>
                <w:lang w:eastAsia="en-GB"/>
              </w:rPr>
            </w:pPr>
            <w:r w:rsidRPr="007B25E7">
              <w:rPr>
                <w:rFonts w:eastAsia="Times New Roman" w:cs="Arial"/>
                <w:sz w:val="14"/>
                <w:szCs w:val="14"/>
                <w:lang w:eastAsia="en-GB"/>
              </w:rPr>
              <w:t xml:space="preserve">ESFRI </w:t>
            </w:r>
            <w:proofErr w:type="spellStart"/>
            <w:r w:rsidRPr="007B25E7">
              <w:rPr>
                <w:rFonts w:eastAsia="Times New Roman" w:cs="Arial"/>
                <w:sz w:val="14"/>
                <w:szCs w:val="14"/>
                <w:lang w:eastAsia="en-GB"/>
              </w:rPr>
              <w:t>Landmark</w:t>
            </w:r>
            <w:proofErr w:type="spellEnd"/>
          </w:p>
        </w:tc>
      </w:tr>
      <w:tr w:rsidR="007B25E7" w:rsidRPr="007B25E7" w14:paraId="30D4B023" w14:textId="77777777" w:rsidTr="007B25E7">
        <w:trPr>
          <w:cantSplit/>
          <w:trHeight w:val="283"/>
        </w:trPr>
        <w:tc>
          <w:tcPr>
            <w:tcW w:w="0" w:type="auto"/>
            <w:tcBorders>
              <w:top w:val="nil"/>
              <w:left w:val="nil"/>
              <w:bottom w:val="single" w:sz="8" w:space="0" w:color="auto"/>
              <w:right w:val="nil"/>
            </w:tcBorders>
            <w:shd w:val="clear" w:color="000000" w:fill="D9D9D9"/>
            <w:vAlign w:val="center"/>
            <w:hideMark/>
          </w:tcPr>
          <w:p w14:paraId="7BF6BE87" w14:textId="099BB3F2" w:rsidR="007B25E7" w:rsidRPr="007B25E7" w:rsidRDefault="007B25E7" w:rsidP="007B25E7">
            <w:pPr>
              <w:spacing w:after="0" w:line="240" w:lineRule="auto"/>
              <w:jc w:val="center"/>
              <w:rPr>
                <w:rFonts w:eastAsia="Times New Roman" w:cs="Arial"/>
                <w:b/>
                <w:bCs/>
                <w:color w:val="000000"/>
                <w:sz w:val="14"/>
                <w:szCs w:val="14"/>
                <w:lang w:eastAsia="en-GB"/>
              </w:rPr>
            </w:pPr>
            <w:r w:rsidRPr="007B25E7">
              <w:rPr>
                <w:rFonts w:eastAsia="Times New Roman" w:cs="Arial"/>
                <w:b/>
                <w:bCs/>
                <w:color w:val="000000"/>
                <w:sz w:val="14"/>
                <w:szCs w:val="14"/>
                <w:lang w:eastAsia="en-GB"/>
              </w:rPr>
              <w:t>E-INFRA</w:t>
            </w:r>
          </w:p>
        </w:tc>
        <w:tc>
          <w:tcPr>
            <w:tcW w:w="0" w:type="auto"/>
            <w:tcBorders>
              <w:top w:val="nil"/>
              <w:left w:val="nil"/>
              <w:bottom w:val="single" w:sz="8" w:space="0" w:color="auto"/>
              <w:right w:val="nil"/>
            </w:tcBorders>
            <w:noWrap/>
            <w:vAlign w:val="center"/>
            <w:hideMark/>
          </w:tcPr>
          <w:p w14:paraId="43F8418C"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e-INFRA CZ</w:t>
            </w:r>
          </w:p>
        </w:tc>
        <w:tc>
          <w:tcPr>
            <w:tcW w:w="0" w:type="auto"/>
            <w:tcBorders>
              <w:top w:val="nil"/>
              <w:left w:val="nil"/>
              <w:bottom w:val="single" w:sz="8" w:space="0" w:color="auto"/>
              <w:right w:val="nil"/>
            </w:tcBorders>
            <w:shd w:val="clear" w:color="000000" w:fill="FFFFFF"/>
            <w:noWrap/>
            <w:vAlign w:val="center"/>
            <w:hideMark/>
          </w:tcPr>
          <w:p w14:paraId="25F75F1E"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LM2023054</w:t>
            </w:r>
          </w:p>
        </w:tc>
        <w:tc>
          <w:tcPr>
            <w:tcW w:w="0" w:type="auto"/>
            <w:tcBorders>
              <w:top w:val="nil"/>
              <w:left w:val="nil"/>
              <w:bottom w:val="single" w:sz="8" w:space="0" w:color="auto"/>
              <w:right w:val="nil"/>
            </w:tcBorders>
            <w:noWrap/>
            <w:vAlign w:val="center"/>
            <w:hideMark/>
          </w:tcPr>
          <w:p w14:paraId="1E08D1C6"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1 718.1</w:t>
            </w:r>
          </w:p>
        </w:tc>
        <w:tc>
          <w:tcPr>
            <w:tcW w:w="0" w:type="auto"/>
            <w:tcBorders>
              <w:top w:val="nil"/>
              <w:left w:val="nil"/>
              <w:bottom w:val="single" w:sz="8" w:space="0" w:color="auto"/>
              <w:right w:val="nil"/>
            </w:tcBorders>
            <w:shd w:val="clear" w:color="000000" w:fill="F8696B"/>
            <w:noWrap/>
            <w:vAlign w:val="center"/>
            <w:hideMark/>
          </w:tcPr>
          <w:p w14:paraId="53646488"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100.</w:t>
            </w:r>
            <w:proofErr w:type="gramStart"/>
            <w:r w:rsidRPr="007B25E7">
              <w:rPr>
                <w:rFonts w:eastAsia="Times New Roman" w:cs="Arial"/>
                <w:color w:val="000000"/>
                <w:sz w:val="14"/>
                <w:szCs w:val="14"/>
                <w:lang w:eastAsia="en-GB"/>
              </w:rPr>
              <w:t>0%</w:t>
            </w:r>
            <w:proofErr w:type="gramEnd"/>
          </w:p>
        </w:tc>
        <w:tc>
          <w:tcPr>
            <w:tcW w:w="0" w:type="auto"/>
            <w:tcBorders>
              <w:top w:val="nil"/>
              <w:left w:val="nil"/>
              <w:bottom w:val="single" w:sz="8" w:space="0" w:color="auto"/>
              <w:right w:val="nil"/>
            </w:tcBorders>
            <w:vAlign w:val="center"/>
            <w:hideMark/>
          </w:tcPr>
          <w:p w14:paraId="4D7199CF"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1 718.1</w:t>
            </w:r>
            <w:r w:rsidRPr="007B25E7">
              <w:rPr>
                <w:rFonts w:eastAsia="Times New Roman" w:cs="Arial"/>
                <w:color w:val="000000"/>
                <w:sz w:val="14"/>
                <w:szCs w:val="14"/>
                <w:lang w:eastAsia="en-GB"/>
              </w:rPr>
              <w:br/>
              <w:t>(24.</w:t>
            </w:r>
            <w:proofErr w:type="gramStart"/>
            <w:r w:rsidRPr="007B25E7">
              <w:rPr>
                <w:rFonts w:eastAsia="Times New Roman" w:cs="Arial"/>
                <w:color w:val="000000"/>
                <w:sz w:val="14"/>
                <w:szCs w:val="14"/>
                <w:lang w:eastAsia="en-GB"/>
              </w:rPr>
              <w:t>0%</w:t>
            </w:r>
            <w:proofErr w:type="gramEnd"/>
            <w:r w:rsidRPr="007B25E7">
              <w:rPr>
                <w:rFonts w:eastAsia="Times New Roman" w:cs="Arial"/>
                <w:color w:val="000000"/>
                <w:sz w:val="14"/>
                <w:szCs w:val="14"/>
                <w:lang w:eastAsia="en-GB"/>
              </w:rPr>
              <w:t>)</w:t>
            </w:r>
          </w:p>
        </w:tc>
        <w:tc>
          <w:tcPr>
            <w:tcW w:w="0" w:type="auto"/>
            <w:tcBorders>
              <w:top w:val="nil"/>
              <w:left w:val="nil"/>
              <w:bottom w:val="single" w:sz="8" w:space="0" w:color="auto"/>
              <w:right w:val="nil"/>
            </w:tcBorders>
            <w:shd w:val="clear" w:color="000000" w:fill="FFFFFF"/>
            <w:noWrap/>
            <w:vAlign w:val="center"/>
            <w:hideMark/>
          </w:tcPr>
          <w:p w14:paraId="1A268354"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provozní</w:t>
            </w:r>
          </w:p>
        </w:tc>
        <w:tc>
          <w:tcPr>
            <w:tcW w:w="0" w:type="auto"/>
            <w:tcBorders>
              <w:top w:val="nil"/>
              <w:left w:val="nil"/>
              <w:bottom w:val="single" w:sz="8" w:space="0" w:color="auto"/>
              <w:right w:val="nil"/>
            </w:tcBorders>
            <w:shd w:val="clear" w:color="000000" w:fill="FFFFFF"/>
            <w:noWrap/>
            <w:vAlign w:val="center"/>
            <w:hideMark/>
          </w:tcPr>
          <w:p w14:paraId="5288DAEC" w14:textId="32294FBA" w:rsidR="007B25E7" w:rsidRPr="007B25E7" w:rsidRDefault="00472253" w:rsidP="007B25E7">
            <w:pPr>
              <w:spacing w:after="0" w:line="240" w:lineRule="auto"/>
              <w:jc w:val="center"/>
              <w:rPr>
                <w:rFonts w:eastAsia="Times New Roman" w:cs="Arial"/>
                <w:color w:val="000000"/>
                <w:sz w:val="14"/>
                <w:szCs w:val="14"/>
                <w:lang w:eastAsia="en-GB"/>
              </w:rPr>
            </w:pPr>
            <w:proofErr w:type="spellStart"/>
            <w:r w:rsidRPr="007B25E7">
              <w:rPr>
                <w:rFonts w:eastAsia="Times New Roman" w:cs="Arial"/>
                <w:color w:val="000000"/>
                <w:sz w:val="14"/>
                <w:szCs w:val="14"/>
                <w:lang w:eastAsia="en-GB"/>
              </w:rPr>
              <w:t>distribu</w:t>
            </w:r>
            <w:r>
              <w:rPr>
                <w:rFonts w:eastAsia="Times New Roman" w:cs="Arial"/>
                <w:color w:val="000000"/>
                <w:sz w:val="14"/>
                <w:szCs w:val="14"/>
                <w:lang w:eastAsia="en-GB"/>
              </w:rPr>
              <w:t>ted</w:t>
            </w:r>
            <w:proofErr w:type="spellEnd"/>
          </w:p>
        </w:tc>
        <w:tc>
          <w:tcPr>
            <w:tcW w:w="0" w:type="auto"/>
            <w:tcBorders>
              <w:top w:val="nil"/>
              <w:left w:val="nil"/>
              <w:bottom w:val="single" w:sz="8" w:space="0" w:color="auto"/>
              <w:right w:val="nil"/>
            </w:tcBorders>
            <w:shd w:val="clear" w:color="000000" w:fill="FFFFFF"/>
            <w:noWrap/>
            <w:vAlign w:val="center"/>
            <w:hideMark/>
          </w:tcPr>
          <w:p w14:paraId="67436C6B"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2010</w:t>
            </w:r>
          </w:p>
        </w:tc>
        <w:tc>
          <w:tcPr>
            <w:tcW w:w="0" w:type="auto"/>
            <w:tcBorders>
              <w:top w:val="nil"/>
              <w:left w:val="nil"/>
              <w:bottom w:val="single" w:sz="8" w:space="0" w:color="auto"/>
              <w:right w:val="nil"/>
            </w:tcBorders>
            <w:shd w:val="clear" w:color="000000" w:fill="FFFFFF"/>
            <w:noWrap/>
            <w:vAlign w:val="center"/>
            <w:hideMark/>
          </w:tcPr>
          <w:p w14:paraId="20A33929" w14:textId="77777777" w:rsidR="007B25E7" w:rsidRPr="007B25E7" w:rsidRDefault="007B25E7" w:rsidP="007B25E7">
            <w:pPr>
              <w:spacing w:after="0" w:line="240" w:lineRule="auto"/>
              <w:jc w:val="center"/>
              <w:rPr>
                <w:rFonts w:eastAsia="Times New Roman" w:cs="Arial"/>
                <w:color w:val="000000"/>
                <w:sz w:val="14"/>
                <w:szCs w:val="14"/>
                <w:lang w:eastAsia="en-GB"/>
              </w:rPr>
            </w:pPr>
            <w:r w:rsidRPr="007B25E7">
              <w:rPr>
                <w:rFonts w:eastAsia="Times New Roman" w:cs="Arial"/>
                <w:color w:val="000000"/>
                <w:sz w:val="14"/>
                <w:szCs w:val="14"/>
                <w:lang w:eastAsia="en-GB"/>
              </w:rPr>
              <w:t xml:space="preserve">ESFRI </w:t>
            </w:r>
            <w:proofErr w:type="spellStart"/>
            <w:r w:rsidRPr="007B25E7">
              <w:rPr>
                <w:rFonts w:eastAsia="Times New Roman" w:cs="Arial"/>
                <w:color w:val="000000"/>
                <w:sz w:val="14"/>
                <w:szCs w:val="14"/>
                <w:lang w:eastAsia="en-GB"/>
              </w:rPr>
              <w:t>Landmark</w:t>
            </w:r>
            <w:proofErr w:type="spellEnd"/>
          </w:p>
        </w:tc>
      </w:tr>
      <w:tr w:rsidR="007B25E7" w:rsidRPr="007B25E7" w14:paraId="798F60A6" w14:textId="77777777" w:rsidTr="007B25E7">
        <w:trPr>
          <w:cantSplit/>
          <w:trHeight w:val="283"/>
        </w:trPr>
        <w:tc>
          <w:tcPr>
            <w:tcW w:w="0" w:type="auto"/>
            <w:gridSpan w:val="3"/>
            <w:tcBorders>
              <w:top w:val="single" w:sz="8" w:space="0" w:color="auto"/>
              <w:left w:val="nil"/>
              <w:bottom w:val="single" w:sz="8" w:space="0" w:color="auto"/>
              <w:right w:val="nil"/>
            </w:tcBorders>
            <w:noWrap/>
            <w:vAlign w:val="center"/>
            <w:hideMark/>
          </w:tcPr>
          <w:p w14:paraId="6A760B2D" w14:textId="77777777" w:rsidR="007B25E7" w:rsidRPr="007B25E7" w:rsidRDefault="007B25E7" w:rsidP="007B25E7">
            <w:pPr>
              <w:spacing w:after="0" w:line="240" w:lineRule="auto"/>
              <w:jc w:val="center"/>
              <w:rPr>
                <w:rFonts w:eastAsia="Times New Roman" w:cs="Arial"/>
                <w:b/>
                <w:bCs/>
                <w:color w:val="000000"/>
                <w:sz w:val="14"/>
                <w:szCs w:val="14"/>
                <w:lang w:eastAsia="en-GB"/>
              </w:rPr>
            </w:pPr>
            <w:r w:rsidRPr="007B25E7">
              <w:rPr>
                <w:rFonts w:eastAsia="Times New Roman" w:cs="Arial"/>
                <w:b/>
                <w:bCs/>
                <w:color w:val="000000"/>
                <w:sz w:val="14"/>
                <w:szCs w:val="14"/>
                <w:lang w:eastAsia="en-GB"/>
              </w:rPr>
              <w:t>Plánovaná podpora celkem</w:t>
            </w:r>
          </w:p>
        </w:tc>
        <w:tc>
          <w:tcPr>
            <w:tcW w:w="0" w:type="auto"/>
            <w:tcBorders>
              <w:top w:val="nil"/>
              <w:left w:val="nil"/>
              <w:bottom w:val="single" w:sz="8" w:space="0" w:color="auto"/>
              <w:right w:val="nil"/>
            </w:tcBorders>
            <w:noWrap/>
            <w:vAlign w:val="center"/>
            <w:hideMark/>
          </w:tcPr>
          <w:p w14:paraId="4D979CBB" w14:textId="77777777" w:rsidR="007B25E7" w:rsidRPr="007B25E7" w:rsidRDefault="007B25E7" w:rsidP="007B25E7">
            <w:pPr>
              <w:spacing w:after="0" w:line="240" w:lineRule="auto"/>
              <w:jc w:val="center"/>
              <w:rPr>
                <w:rFonts w:eastAsia="Times New Roman" w:cs="Arial"/>
                <w:b/>
                <w:bCs/>
                <w:color w:val="000000"/>
                <w:sz w:val="14"/>
                <w:szCs w:val="14"/>
                <w:lang w:eastAsia="en-GB"/>
              </w:rPr>
            </w:pPr>
            <w:r w:rsidRPr="007B25E7">
              <w:rPr>
                <w:rFonts w:eastAsia="Times New Roman" w:cs="Arial"/>
                <w:b/>
                <w:bCs/>
                <w:color w:val="000000"/>
                <w:sz w:val="14"/>
                <w:szCs w:val="14"/>
                <w:lang w:eastAsia="en-GB"/>
              </w:rPr>
              <w:t>7 155.6</w:t>
            </w:r>
          </w:p>
        </w:tc>
        <w:tc>
          <w:tcPr>
            <w:tcW w:w="0" w:type="auto"/>
            <w:tcBorders>
              <w:top w:val="nil"/>
              <w:left w:val="nil"/>
              <w:bottom w:val="single" w:sz="8" w:space="0" w:color="auto"/>
              <w:right w:val="nil"/>
            </w:tcBorders>
            <w:noWrap/>
            <w:vAlign w:val="center"/>
            <w:hideMark/>
          </w:tcPr>
          <w:p w14:paraId="4C64948A" w14:textId="1640397D"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8" w:space="0" w:color="auto"/>
              <w:right w:val="nil"/>
            </w:tcBorders>
            <w:noWrap/>
            <w:vAlign w:val="center"/>
            <w:hideMark/>
          </w:tcPr>
          <w:p w14:paraId="49A34D78" w14:textId="38EA2D8E"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8" w:space="0" w:color="auto"/>
              <w:right w:val="nil"/>
            </w:tcBorders>
            <w:noWrap/>
            <w:vAlign w:val="center"/>
            <w:hideMark/>
          </w:tcPr>
          <w:p w14:paraId="18DFDE8C" w14:textId="0AE27376"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8" w:space="0" w:color="auto"/>
              <w:right w:val="nil"/>
            </w:tcBorders>
            <w:noWrap/>
            <w:vAlign w:val="center"/>
            <w:hideMark/>
          </w:tcPr>
          <w:p w14:paraId="5F694E30" w14:textId="2C74254C"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8" w:space="0" w:color="auto"/>
              <w:right w:val="nil"/>
            </w:tcBorders>
            <w:noWrap/>
            <w:vAlign w:val="center"/>
            <w:hideMark/>
          </w:tcPr>
          <w:p w14:paraId="65E98384" w14:textId="7EC7AD9F" w:rsidR="007B25E7" w:rsidRPr="007B25E7" w:rsidRDefault="007B25E7" w:rsidP="007B25E7">
            <w:pPr>
              <w:spacing w:after="0" w:line="240" w:lineRule="auto"/>
              <w:jc w:val="center"/>
              <w:rPr>
                <w:rFonts w:eastAsia="Times New Roman" w:cs="Arial"/>
                <w:b/>
                <w:bCs/>
                <w:color w:val="000000"/>
                <w:sz w:val="14"/>
                <w:szCs w:val="14"/>
                <w:lang w:eastAsia="en-GB"/>
              </w:rPr>
            </w:pPr>
          </w:p>
        </w:tc>
        <w:tc>
          <w:tcPr>
            <w:tcW w:w="0" w:type="auto"/>
            <w:tcBorders>
              <w:top w:val="nil"/>
              <w:left w:val="nil"/>
              <w:bottom w:val="single" w:sz="8" w:space="0" w:color="auto"/>
              <w:right w:val="nil"/>
            </w:tcBorders>
            <w:noWrap/>
            <w:vAlign w:val="center"/>
            <w:hideMark/>
          </w:tcPr>
          <w:p w14:paraId="4A67575D" w14:textId="4D5CA4DF" w:rsidR="007B25E7" w:rsidRPr="007B25E7" w:rsidRDefault="007B25E7" w:rsidP="007B25E7">
            <w:pPr>
              <w:spacing w:after="0" w:line="240" w:lineRule="auto"/>
              <w:jc w:val="center"/>
              <w:rPr>
                <w:rFonts w:eastAsia="Times New Roman" w:cs="Arial"/>
                <w:b/>
                <w:bCs/>
                <w:color w:val="000000"/>
                <w:sz w:val="14"/>
                <w:szCs w:val="14"/>
                <w:lang w:eastAsia="en-GB"/>
              </w:rPr>
            </w:pPr>
          </w:p>
        </w:tc>
      </w:tr>
    </w:tbl>
    <w:p w14:paraId="643D5EEB" w14:textId="1C7B5319" w:rsidR="00CE605B" w:rsidRPr="00137E84" w:rsidRDefault="00CE605B" w:rsidP="00CE605B">
      <w:pPr>
        <w:pStyle w:val="Zdrojapoznmka"/>
      </w:pPr>
      <w:r w:rsidRPr="007C5A84">
        <w:t xml:space="preserve">Zdroj: IS </w:t>
      </w:r>
      <w:proofErr w:type="spellStart"/>
      <w:r w:rsidRPr="007C5A84">
        <w:t>VaVaI</w:t>
      </w:r>
      <w:proofErr w:type="spellEnd"/>
      <w:r>
        <w:t xml:space="preserve">, </w:t>
      </w:r>
      <w:r w:rsidRPr="00E81FED">
        <w:t>Cestovní mapa velkých výzkumných infrastruktur ČR pro léta 20</w:t>
      </w:r>
      <w:r w:rsidR="00A23488">
        <w:t>2</w:t>
      </w:r>
      <w:r w:rsidR="003C6FA4">
        <w:t>3</w:t>
      </w:r>
      <w:r w:rsidRPr="00E81FED">
        <w:t xml:space="preserve"> až 202</w:t>
      </w:r>
      <w:r w:rsidR="003C6FA4">
        <w:t>6</w:t>
      </w:r>
      <w:r w:rsidRPr="00E81FED">
        <w:t>, resp. její aktualizace z roku 20</w:t>
      </w:r>
      <w:r w:rsidR="003C6FA4">
        <w:t>23</w:t>
      </w:r>
      <w:r>
        <w:t xml:space="preserve"> | pozn. červeně jsou zvýrazněny VVI mající podíl na celkovém financování </w:t>
      </w:r>
      <w:r w:rsidRPr="007D6E67">
        <w:rPr>
          <w:rFonts w:cs="Arial"/>
        </w:rPr>
        <w:t>≥</w:t>
      </w:r>
      <w:r w:rsidRPr="007D6E67">
        <w:t xml:space="preserve"> 4,5 </w:t>
      </w:r>
      <w:r>
        <w:t>%</w:t>
      </w:r>
      <w:r w:rsidR="00137E84">
        <w:t xml:space="preserve"> |</w:t>
      </w:r>
      <w:r w:rsidR="00137E84">
        <w:rPr>
          <w:i w:val="0"/>
          <w:iCs/>
        </w:rPr>
        <w:t xml:space="preserve"> </w:t>
      </w:r>
      <w:r w:rsidR="00137E84">
        <w:t xml:space="preserve">Typ VVI: </w:t>
      </w:r>
      <w:r w:rsidR="00B60375">
        <w:t>single-</w:t>
      </w:r>
      <w:proofErr w:type="spellStart"/>
      <w:r w:rsidR="00B60375">
        <w:t>sited</w:t>
      </w:r>
      <w:proofErr w:type="spellEnd"/>
      <w:r w:rsidR="00B60375">
        <w:t xml:space="preserve"> – situovan</w:t>
      </w:r>
      <w:r w:rsidR="00E861A2">
        <w:t>á</w:t>
      </w:r>
      <w:r w:rsidR="00B60375">
        <w:t xml:space="preserve"> na jednom místě, </w:t>
      </w:r>
      <w:proofErr w:type="spellStart"/>
      <w:r w:rsidR="00137E84">
        <w:t>distribu</w:t>
      </w:r>
      <w:r w:rsidR="00472253">
        <w:t>ted</w:t>
      </w:r>
      <w:proofErr w:type="spellEnd"/>
      <w:r w:rsidR="00B60375">
        <w:t xml:space="preserve"> – tvoří ji síť pracovišť situovaných na různých místech, </w:t>
      </w:r>
      <w:proofErr w:type="spellStart"/>
      <w:r w:rsidR="00B60375">
        <w:t>virtu</w:t>
      </w:r>
      <w:r w:rsidR="00472253">
        <w:t>al</w:t>
      </w:r>
      <w:proofErr w:type="spellEnd"/>
      <w:r w:rsidR="00B60375">
        <w:t xml:space="preserve"> – </w:t>
      </w:r>
      <w:r w:rsidR="00EA27D3">
        <w:t>umožňuje virtuální, vzdálený přístup.</w:t>
      </w:r>
      <w:r w:rsidR="00B60375">
        <w:t xml:space="preserve"> </w:t>
      </w:r>
    </w:p>
    <w:p w14:paraId="0D326933" w14:textId="77777777" w:rsidR="008C205A" w:rsidRDefault="008C205A" w:rsidP="00CE605B">
      <w:pPr>
        <w:pStyle w:val="Zdrojapoznmka"/>
      </w:pPr>
    </w:p>
    <w:p w14:paraId="0067E10B" w14:textId="77777777" w:rsidR="008C205A" w:rsidRPr="00F27262" w:rsidRDefault="008C205A" w:rsidP="008C205A">
      <w:pPr>
        <w:pStyle w:val="Plohanadpis"/>
        <w:pageBreakBefore/>
      </w:pPr>
      <w:bookmarkStart w:id="69" w:name="_Toc87340803"/>
      <w:bookmarkStart w:id="70" w:name="_Toc215589328"/>
      <w:r w:rsidRPr="00F27262">
        <w:lastRenderedPageBreak/>
        <w:t xml:space="preserve">P. E.1 </w:t>
      </w:r>
      <w:bookmarkEnd w:id="69"/>
      <w:r w:rsidRPr="00F27262">
        <w:t>Výsledky výzkumu a vývoje</w:t>
      </w:r>
      <w:bookmarkEnd w:id="70"/>
    </w:p>
    <w:p w14:paraId="2C3117E6" w14:textId="77777777" w:rsidR="008C205A" w:rsidRPr="00424271" w:rsidRDefault="008C205A" w:rsidP="008C205A">
      <w:pPr>
        <w:pStyle w:val="Obrzek-nadpis"/>
      </w:pPr>
      <w:r w:rsidRPr="00424271">
        <w:t xml:space="preserve">A: Druhy výsledků </w:t>
      </w:r>
      <w:proofErr w:type="spellStart"/>
      <w:r>
        <w:t>VaV</w:t>
      </w:r>
      <w:proofErr w:type="spellEnd"/>
      <w:r w:rsidRPr="00424271">
        <w:t xml:space="preserve"> definované v ČR</w:t>
      </w:r>
    </w:p>
    <w:tbl>
      <w:tblPr>
        <w:tblW w:w="5005" w:type="pct"/>
        <w:tblInd w:w="-5" w:type="dxa"/>
        <w:tblCellMar>
          <w:left w:w="70" w:type="dxa"/>
          <w:right w:w="70" w:type="dxa"/>
        </w:tblCellMar>
        <w:tblLook w:val="04A0" w:firstRow="1" w:lastRow="0" w:firstColumn="1" w:lastColumn="0" w:noHBand="0" w:noVBand="1"/>
      </w:tblPr>
      <w:tblGrid>
        <w:gridCol w:w="469"/>
        <w:gridCol w:w="1233"/>
        <w:gridCol w:w="2255"/>
        <w:gridCol w:w="2296"/>
        <w:gridCol w:w="2071"/>
        <w:gridCol w:w="1464"/>
      </w:tblGrid>
      <w:tr w:rsidR="008C205A" w:rsidRPr="00424271" w14:paraId="0AD1BD81" w14:textId="77777777">
        <w:trPr>
          <w:trHeight w:val="283"/>
        </w:trPr>
        <w:tc>
          <w:tcPr>
            <w:tcW w:w="869" w:type="pct"/>
            <w:gridSpan w:val="2"/>
            <w:vMerge w:val="restart"/>
            <w:tcBorders>
              <w:top w:val="single" w:sz="8" w:space="0" w:color="auto"/>
              <w:left w:val="single" w:sz="8" w:space="0" w:color="000000"/>
              <w:bottom w:val="single" w:sz="8" w:space="0" w:color="000000"/>
              <w:right w:val="single" w:sz="8" w:space="0" w:color="000000"/>
            </w:tcBorders>
            <w:shd w:val="clear" w:color="auto" w:fill="FFC000"/>
            <w:vAlign w:val="center"/>
            <w:hideMark/>
          </w:tcPr>
          <w:p w14:paraId="726E8F2C" w14:textId="77777777" w:rsidR="008C205A" w:rsidRPr="00424271" w:rsidRDefault="008C205A" w:rsidP="00307AF7">
            <w:pPr>
              <w:spacing w:after="0" w:line="240" w:lineRule="auto"/>
              <w:jc w:val="center"/>
              <w:rPr>
                <w:rFonts w:eastAsia="Times New Roman" w:cs="Arial"/>
                <w:color w:val="000000"/>
                <w:sz w:val="18"/>
                <w:szCs w:val="18"/>
                <w:lang w:eastAsia="cs-CZ"/>
              </w:rPr>
            </w:pPr>
            <w:r w:rsidRPr="00424271">
              <w:rPr>
                <w:rFonts w:eastAsia="Times New Roman" w:cs="Arial"/>
                <w:color w:val="000000"/>
                <w:sz w:val="18"/>
                <w:szCs w:val="18"/>
                <w:lang w:eastAsia="cs-CZ"/>
              </w:rPr>
              <w:t>Výsledky publikační</w:t>
            </w:r>
          </w:p>
          <w:p w14:paraId="16777130" w14:textId="77777777" w:rsidR="008C205A" w:rsidRPr="00424271" w:rsidRDefault="008C205A" w:rsidP="00307AF7">
            <w:pPr>
              <w:spacing w:after="0" w:line="240" w:lineRule="auto"/>
              <w:jc w:val="center"/>
              <w:rPr>
                <w:rFonts w:eastAsia="Times New Roman" w:cs="Arial"/>
                <w:color w:val="000000"/>
                <w:sz w:val="18"/>
                <w:szCs w:val="18"/>
                <w:lang w:eastAsia="cs-CZ"/>
              </w:rPr>
            </w:pPr>
            <w:r w:rsidRPr="00424271">
              <w:rPr>
                <w:rFonts w:eastAsia="Times New Roman" w:cs="Arial"/>
                <w:color w:val="000000"/>
                <w:sz w:val="18"/>
                <w:szCs w:val="18"/>
                <w:lang w:eastAsia="cs-CZ"/>
              </w:rPr>
              <w:t>(J, B, C, D) </w:t>
            </w:r>
          </w:p>
        </w:tc>
        <w:tc>
          <w:tcPr>
            <w:tcW w:w="4125" w:type="pct"/>
            <w:gridSpan w:val="4"/>
            <w:tcBorders>
              <w:top w:val="single" w:sz="8" w:space="0" w:color="auto"/>
              <w:left w:val="nil"/>
              <w:bottom w:val="single" w:sz="8" w:space="0" w:color="auto"/>
              <w:right w:val="single" w:sz="8" w:space="0" w:color="000000"/>
            </w:tcBorders>
            <w:shd w:val="clear" w:color="auto" w:fill="366092"/>
            <w:noWrap/>
            <w:vAlign w:val="center"/>
            <w:hideMark/>
          </w:tcPr>
          <w:p w14:paraId="7F3E0EFB" w14:textId="77777777" w:rsidR="008C205A" w:rsidRPr="00424271" w:rsidRDefault="008C205A" w:rsidP="00307AF7">
            <w:pPr>
              <w:spacing w:after="0" w:line="240" w:lineRule="auto"/>
              <w:jc w:val="center"/>
              <w:rPr>
                <w:rFonts w:eastAsia="Times New Roman" w:cs="Arial"/>
                <w:color w:val="FFFFFF"/>
                <w:sz w:val="18"/>
                <w:szCs w:val="18"/>
                <w:lang w:eastAsia="cs-CZ"/>
              </w:rPr>
            </w:pPr>
            <w:r w:rsidRPr="00424271">
              <w:rPr>
                <w:rFonts w:eastAsia="Times New Roman" w:cs="Arial"/>
                <w:color w:val="FFFFFF"/>
                <w:sz w:val="18"/>
                <w:szCs w:val="18"/>
                <w:lang w:eastAsia="cs-CZ"/>
              </w:rPr>
              <w:t>Výsledky nepublikační</w:t>
            </w:r>
          </w:p>
        </w:tc>
      </w:tr>
      <w:tr w:rsidR="008C205A" w:rsidRPr="00424271" w14:paraId="2CB4B2C4" w14:textId="77777777">
        <w:trPr>
          <w:trHeight w:val="283"/>
        </w:trPr>
        <w:tc>
          <w:tcPr>
            <w:tcW w:w="869" w:type="pct"/>
            <w:gridSpan w:val="2"/>
            <w:vMerge/>
            <w:tcBorders>
              <w:top w:val="single" w:sz="8" w:space="0" w:color="auto"/>
              <w:left w:val="single" w:sz="8" w:space="0" w:color="000000"/>
              <w:bottom w:val="single" w:sz="8" w:space="0" w:color="000000"/>
              <w:right w:val="single" w:sz="8" w:space="0" w:color="000000"/>
            </w:tcBorders>
            <w:vAlign w:val="center"/>
            <w:hideMark/>
          </w:tcPr>
          <w:p w14:paraId="2B5FBD54" w14:textId="77777777" w:rsidR="008C205A" w:rsidRPr="00424271" w:rsidRDefault="008C205A" w:rsidP="00307AF7">
            <w:pPr>
              <w:spacing w:after="0" w:line="240" w:lineRule="auto"/>
              <w:rPr>
                <w:rFonts w:eastAsia="Times New Roman" w:cs="Arial"/>
                <w:color w:val="000000"/>
                <w:sz w:val="18"/>
                <w:szCs w:val="18"/>
                <w:lang w:eastAsia="cs-CZ"/>
              </w:rPr>
            </w:pPr>
          </w:p>
        </w:tc>
        <w:tc>
          <w:tcPr>
            <w:tcW w:w="3382" w:type="pct"/>
            <w:gridSpan w:val="3"/>
            <w:tcBorders>
              <w:top w:val="single" w:sz="8" w:space="0" w:color="auto"/>
              <w:left w:val="nil"/>
              <w:bottom w:val="single" w:sz="8" w:space="0" w:color="auto"/>
              <w:right w:val="single" w:sz="8" w:space="0" w:color="000000"/>
            </w:tcBorders>
            <w:shd w:val="clear" w:color="auto" w:fill="538DD5"/>
            <w:noWrap/>
            <w:vAlign w:val="center"/>
            <w:hideMark/>
          </w:tcPr>
          <w:p w14:paraId="12EF1397" w14:textId="77777777" w:rsidR="008C205A" w:rsidRPr="00424271" w:rsidRDefault="008C205A" w:rsidP="00307AF7">
            <w:pPr>
              <w:spacing w:after="0" w:line="240" w:lineRule="auto"/>
              <w:jc w:val="center"/>
              <w:rPr>
                <w:rFonts w:eastAsia="Times New Roman" w:cs="Arial"/>
                <w:color w:val="FFFFFF"/>
                <w:sz w:val="18"/>
                <w:szCs w:val="18"/>
                <w:lang w:eastAsia="cs-CZ"/>
              </w:rPr>
            </w:pPr>
            <w:r w:rsidRPr="00424271">
              <w:rPr>
                <w:rFonts w:eastAsia="Times New Roman" w:cs="Arial"/>
                <w:color w:val="FFFFFF"/>
                <w:sz w:val="18"/>
                <w:szCs w:val="18"/>
                <w:lang w:eastAsia="cs-CZ"/>
              </w:rPr>
              <w:t>Aplikované</w:t>
            </w:r>
          </w:p>
        </w:tc>
        <w:tc>
          <w:tcPr>
            <w:tcW w:w="743" w:type="pct"/>
            <w:vMerge w:val="restart"/>
            <w:tcBorders>
              <w:top w:val="nil"/>
              <w:left w:val="nil"/>
              <w:bottom w:val="single" w:sz="8" w:space="0" w:color="000000"/>
              <w:right w:val="single" w:sz="8" w:space="0" w:color="auto"/>
            </w:tcBorders>
            <w:shd w:val="clear" w:color="auto" w:fill="DCE6F1"/>
            <w:vAlign w:val="center"/>
            <w:hideMark/>
          </w:tcPr>
          <w:p w14:paraId="78CF33AF" w14:textId="77777777" w:rsidR="008C205A" w:rsidRPr="00424271" w:rsidRDefault="008C205A" w:rsidP="00307AF7">
            <w:pPr>
              <w:spacing w:after="0" w:line="240" w:lineRule="auto"/>
              <w:jc w:val="center"/>
              <w:rPr>
                <w:rFonts w:eastAsia="Times New Roman" w:cs="Arial"/>
                <w:color w:val="000000"/>
                <w:sz w:val="18"/>
                <w:szCs w:val="18"/>
                <w:lang w:eastAsia="cs-CZ"/>
              </w:rPr>
            </w:pPr>
            <w:r w:rsidRPr="00424271">
              <w:rPr>
                <w:rFonts w:eastAsia="Times New Roman" w:cs="Arial"/>
                <w:color w:val="000000"/>
                <w:sz w:val="18"/>
                <w:szCs w:val="18"/>
                <w:lang w:eastAsia="cs-CZ"/>
              </w:rPr>
              <w:t>Ostatní</w:t>
            </w:r>
          </w:p>
          <w:p w14:paraId="3FFECABE" w14:textId="77777777" w:rsidR="008C205A" w:rsidRPr="00424271" w:rsidRDefault="008C205A" w:rsidP="00307AF7">
            <w:pPr>
              <w:spacing w:after="0" w:line="240" w:lineRule="auto"/>
              <w:jc w:val="center"/>
              <w:rPr>
                <w:rFonts w:eastAsia="Times New Roman" w:cs="Arial"/>
                <w:color w:val="000000"/>
                <w:sz w:val="18"/>
                <w:szCs w:val="18"/>
                <w:lang w:eastAsia="cs-CZ"/>
              </w:rPr>
            </w:pPr>
            <w:r w:rsidRPr="00424271">
              <w:rPr>
                <w:rFonts w:eastAsia="Times New Roman" w:cs="Arial"/>
                <w:color w:val="000000"/>
                <w:sz w:val="18"/>
                <w:szCs w:val="18"/>
                <w:lang w:eastAsia="cs-CZ"/>
              </w:rPr>
              <w:t>(A, M, W, E, O) </w:t>
            </w:r>
          </w:p>
        </w:tc>
      </w:tr>
      <w:tr w:rsidR="008C205A" w:rsidRPr="00424271" w14:paraId="78FB1D5F" w14:textId="77777777">
        <w:trPr>
          <w:trHeight w:val="283"/>
        </w:trPr>
        <w:tc>
          <w:tcPr>
            <w:tcW w:w="869" w:type="pct"/>
            <w:gridSpan w:val="2"/>
            <w:vMerge/>
            <w:tcBorders>
              <w:top w:val="single" w:sz="8" w:space="0" w:color="auto"/>
              <w:left w:val="single" w:sz="8" w:space="0" w:color="000000"/>
              <w:bottom w:val="single" w:sz="8" w:space="0" w:color="000000"/>
              <w:right w:val="single" w:sz="8" w:space="0" w:color="000000"/>
            </w:tcBorders>
            <w:vAlign w:val="center"/>
            <w:hideMark/>
          </w:tcPr>
          <w:p w14:paraId="2B3AD794" w14:textId="77777777" w:rsidR="008C205A" w:rsidRPr="00424271" w:rsidRDefault="008C205A" w:rsidP="00307AF7">
            <w:pPr>
              <w:spacing w:after="0" w:line="240" w:lineRule="auto"/>
              <w:rPr>
                <w:rFonts w:eastAsia="Times New Roman" w:cs="Arial"/>
                <w:color w:val="000000"/>
                <w:sz w:val="18"/>
                <w:szCs w:val="18"/>
                <w:lang w:eastAsia="cs-CZ"/>
              </w:rPr>
            </w:pPr>
          </w:p>
        </w:tc>
        <w:tc>
          <w:tcPr>
            <w:tcW w:w="1152" w:type="pct"/>
            <w:vMerge w:val="restart"/>
            <w:tcBorders>
              <w:top w:val="nil"/>
              <w:left w:val="single" w:sz="8" w:space="0" w:color="auto"/>
              <w:bottom w:val="single" w:sz="8" w:space="0" w:color="000000"/>
              <w:right w:val="single" w:sz="8" w:space="0" w:color="auto"/>
            </w:tcBorders>
            <w:shd w:val="clear" w:color="auto" w:fill="D9D9D9" w:themeFill="background1" w:themeFillShade="D9"/>
            <w:vAlign w:val="center"/>
            <w:hideMark/>
          </w:tcPr>
          <w:p w14:paraId="0B6D2275" w14:textId="77777777" w:rsidR="008C205A" w:rsidRPr="00424271" w:rsidRDefault="008C205A" w:rsidP="00307AF7">
            <w:pPr>
              <w:spacing w:after="0" w:line="240" w:lineRule="auto"/>
              <w:jc w:val="center"/>
              <w:rPr>
                <w:rFonts w:eastAsia="Times New Roman" w:cs="Arial"/>
                <w:color w:val="000000"/>
                <w:sz w:val="18"/>
                <w:szCs w:val="18"/>
                <w:lang w:eastAsia="cs-CZ"/>
              </w:rPr>
            </w:pPr>
            <w:r w:rsidRPr="00424271">
              <w:rPr>
                <w:rFonts w:eastAsia="Times New Roman" w:cs="Arial"/>
                <w:color w:val="000000"/>
                <w:sz w:val="18"/>
                <w:szCs w:val="18"/>
                <w:lang w:eastAsia="cs-CZ"/>
              </w:rPr>
              <w:t>Patenty (P)</w:t>
            </w:r>
          </w:p>
        </w:tc>
        <w:tc>
          <w:tcPr>
            <w:tcW w:w="1173" w:type="pct"/>
            <w:vMerge w:val="restart"/>
            <w:tcBorders>
              <w:top w:val="nil"/>
              <w:left w:val="single" w:sz="8" w:space="0" w:color="auto"/>
              <w:bottom w:val="single" w:sz="8" w:space="0" w:color="000000"/>
              <w:right w:val="single" w:sz="8" w:space="0" w:color="auto"/>
            </w:tcBorders>
            <w:shd w:val="clear" w:color="auto" w:fill="D9D9D9" w:themeFill="background1" w:themeFillShade="D9"/>
            <w:vAlign w:val="center"/>
            <w:hideMark/>
          </w:tcPr>
          <w:p w14:paraId="74CFA63C" w14:textId="77777777" w:rsidR="008C205A" w:rsidRPr="00424271" w:rsidRDefault="008C205A" w:rsidP="00307AF7">
            <w:pPr>
              <w:spacing w:after="0" w:line="240" w:lineRule="auto"/>
              <w:jc w:val="center"/>
              <w:rPr>
                <w:rFonts w:eastAsia="Times New Roman" w:cs="Arial"/>
                <w:color w:val="000000"/>
                <w:sz w:val="18"/>
                <w:szCs w:val="18"/>
                <w:lang w:eastAsia="cs-CZ"/>
              </w:rPr>
            </w:pPr>
            <w:r w:rsidRPr="00424271">
              <w:rPr>
                <w:rFonts w:eastAsia="Times New Roman" w:cs="Arial"/>
                <w:color w:val="000000"/>
                <w:sz w:val="18"/>
                <w:szCs w:val="18"/>
                <w:lang w:eastAsia="cs-CZ"/>
              </w:rPr>
              <w:t>Užitné či průmyslové vzory (F)</w:t>
            </w:r>
          </w:p>
        </w:tc>
        <w:tc>
          <w:tcPr>
            <w:tcW w:w="1058" w:type="pct"/>
            <w:tcBorders>
              <w:top w:val="nil"/>
              <w:left w:val="nil"/>
              <w:bottom w:val="nil"/>
              <w:right w:val="single" w:sz="8" w:space="0" w:color="auto"/>
            </w:tcBorders>
            <w:vAlign w:val="center"/>
            <w:hideMark/>
          </w:tcPr>
          <w:p w14:paraId="5D2953CA" w14:textId="77777777" w:rsidR="008C205A" w:rsidRPr="00424271" w:rsidRDefault="008C205A" w:rsidP="00307AF7">
            <w:pPr>
              <w:spacing w:after="0" w:line="240" w:lineRule="auto"/>
              <w:jc w:val="center"/>
              <w:rPr>
                <w:rFonts w:eastAsia="Times New Roman" w:cs="Arial"/>
                <w:color w:val="000000"/>
                <w:sz w:val="18"/>
                <w:szCs w:val="18"/>
                <w:lang w:eastAsia="cs-CZ"/>
              </w:rPr>
            </w:pPr>
            <w:r w:rsidRPr="00424271">
              <w:rPr>
                <w:rFonts w:eastAsia="Times New Roman" w:cs="Arial"/>
                <w:color w:val="000000"/>
                <w:sz w:val="18"/>
                <w:szCs w:val="18"/>
                <w:lang w:eastAsia="cs-CZ"/>
              </w:rPr>
              <w:t>Další aplikované</w:t>
            </w:r>
          </w:p>
        </w:tc>
        <w:tc>
          <w:tcPr>
            <w:tcW w:w="743" w:type="pct"/>
            <w:vMerge/>
            <w:tcBorders>
              <w:top w:val="nil"/>
              <w:left w:val="nil"/>
              <w:bottom w:val="single" w:sz="8" w:space="0" w:color="000000"/>
              <w:right w:val="single" w:sz="8" w:space="0" w:color="auto"/>
            </w:tcBorders>
            <w:vAlign w:val="center"/>
            <w:hideMark/>
          </w:tcPr>
          <w:p w14:paraId="1580604D" w14:textId="77777777" w:rsidR="008C205A" w:rsidRPr="00424271" w:rsidRDefault="008C205A" w:rsidP="00307AF7">
            <w:pPr>
              <w:spacing w:after="0" w:line="240" w:lineRule="auto"/>
              <w:rPr>
                <w:rFonts w:eastAsia="Times New Roman" w:cs="Arial"/>
                <w:color w:val="000000"/>
                <w:sz w:val="18"/>
                <w:szCs w:val="18"/>
                <w:lang w:eastAsia="cs-CZ"/>
              </w:rPr>
            </w:pPr>
          </w:p>
        </w:tc>
      </w:tr>
      <w:tr w:rsidR="008C205A" w:rsidRPr="00424271" w14:paraId="024AABD8" w14:textId="77777777">
        <w:trPr>
          <w:trHeight w:val="283"/>
        </w:trPr>
        <w:tc>
          <w:tcPr>
            <w:tcW w:w="869" w:type="pct"/>
            <w:gridSpan w:val="2"/>
            <w:vMerge/>
            <w:tcBorders>
              <w:top w:val="single" w:sz="8" w:space="0" w:color="auto"/>
              <w:left w:val="single" w:sz="8" w:space="0" w:color="000000"/>
              <w:bottom w:val="single" w:sz="8" w:space="0" w:color="000000"/>
              <w:right w:val="single" w:sz="8" w:space="0" w:color="000000"/>
            </w:tcBorders>
            <w:vAlign w:val="center"/>
            <w:hideMark/>
          </w:tcPr>
          <w:p w14:paraId="54A2B694" w14:textId="77777777" w:rsidR="008C205A" w:rsidRPr="00424271" w:rsidRDefault="008C205A" w:rsidP="00307AF7">
            <w:pPr>
              <w:spacing w:after="0" w:line="240" w:lineRule="auto"/>
              <w:rPr>
                <w:rFonts w:eastAsia="Times New Roman" w:cs="Arial"/>
                <w:color w:val="000000"/>
                <w:sz w:val="18"/>
                <w:szCs w:val="18"/>
                <w:lang w:eastAsia="cs-CZ"/>
              </w:rPr>
            </w:pPr>
          </w:p>
        </w:tc>
        <w:tc>
          <w:tcPr>
            <w:tcW w:w="1152" w:type="pct"/>
            <w:vMerge/>
            <w:tcBorders>
              <w:top w:val="nil"/>
              <w:left w:val="single" w:sz="8" w:space="0" w:color="auto"/>
              <w:bottom w:val="single" w:sz="4" w:space="0" w:color="auto"/>
              <w:right w:val="single" w:sz="8" w:space="0" w:color="auto"/>
            </w:tcBorders>
            <w:shd w:val="clear" w:color="auto" w:fill="D9D9D9" w:themeFill="background1" w:themeFillShade="D9"/>
            <w:vAlign w:val="center"/>
            <w:hideMark/>
          </w:tcPr>
          <w:p w14:paraId="0143295B" w14:textId="77777777" w:rsidR="008C205A" w:rsidRPr="00424271" w:rsidRDefault="008C205A" w:rsidP="00307AF7">
            <w:pPr>
              <w:spacing w:after="0" w:line="240" w:lineRule="auto"/>
              <w:rPr>
                <w:rFonts w:eastAsia="Times New Roman" w:cs="Arial"/>
                <w:color w:val="000000"/>
                <w:sz w:val="18"/>
                <w:szCs w:val="18"/>
                <w:lang w:eastAsia="cs-CZ"/>
              </w:rPr>
            </w:pPr>
          </w:p>
        </w:tc>
        <w:tc>
          <w:tcPr>
            <w:tcW w:w="1173" w:type="pct"/>
            <w:vMerge/>
            <w:tcBorders>
              <w:top w:val="nil"/>
              <w:left w:val="single" w:sz="8" w:space="0" w:color="auto"/>
              <w:bottom w:val="single" w:sz="4" w:space="0" w:color="auto"/>
              <w:right w:val="single" w:sz="8" w:space="0" w:color="auto"/>
            </w:tcBorders>
            <w:shd w:val="clear" w:color="auto" w:fill="D9D9D9" w:themeFill="background1" w:themeFillShade="D9"/>
            <w:vAlign w:val="center"/>
            <w:hideMark/>
          </w:tcPr>
          <w:p w14:paraId="08963685" w14:textId="77777777" w:rsidR="008C205A" w:rsidRPr="00424271" w:rsidRDefault="008C205A" w:rsidP="00307AF7">
            <w:pPr>
              <w:spacing w:after="0" w:line="240" w:lineRule="auto"/>
              <w:rPr>
                <w:rFonts w:eastAsia="Times New Roman" w:cs="Arial"/>
                <w:color w:val="000000"/>
                <w:sz w:val="18"/>
                <w:szCs w:val="18"/>
                <w:lang w:eastAsia="cs-CZ"/>
              </w:rPr>
            </w:pPr>
          </w:p>
        </w:tc>
        <w:tc>
          <w:tcPr>
            <w:tcW w:w="1058" w:type="pct"/>
            <w:tcBorders>
              <w:top w:val="nil"/>
              <w:left w:val="nil"/>
              <w:bottom w:val="single" w:sz="8" w:space="0" w:color="auto"/>
              <w:right w:val="single" w:sz="8" w:space="0" w:color="auto"/>
            </w:tcBorders>
            <w:vAlign w:val="center"/>
            <w:hideMark/>
          </w:tcPr>
          <w:p w14:paraId="05B6311C" w14:textId="77777777" w:rsidR="008C205A" w:rsidRPr="00424271" w:rsidRDefault="008C205A" w:rsidP="00307AF7">
            <w:pPr>
              <w:spacing w:after="0" w:line="240" w:lineRule="auto"/>
              <w:jc w:val="center"/>
              <w:rPr>
                <w:rFonts w:eastAsia="Times New Roman" w:cs="Arial"/>
                <w:color w:val="000000"/>
                <w:sz w:val="18"/>
                <w:szCs w:val="18"/>
                <w:lang w:eastAsia="cs-CZ"/>
              </w:rPr>
            </w:pPr>
            <w:r w:rsidRPr="00424271">
              <w:rPr>
                <w:rFonts w:eastAsia="Times New Roman" w:cs="Arial"/>
                <w:color w:val="000000"/>
                <w:sz w:val="18"/>
                <w:szCs w:val="18"/>
                <w:lang w:eastAsia="cs-CZ"/>
              </w:rPr>
              <w:t>(Z, G, H, N, R, V, S, T, I)</w:t>
            </w:r>
          </w:p>
        </w:tc>
        <w:tc>
          <w:tcPr>
            <w:tcW w:w="743" w:type="pct"/>
            <w:vMerge/>
            <w:tcBorders>
              <w:top w:val="nil"/>
              <w:left w:val="nil"/>
              <w:bottom w:val="single" w:sz="8" w:space="0" w:color="000000"/>
              <w:right w:val="single" w:sz="8" w:space="0" w:color="auto"/>
            </w:tcBorders>
            <w:vAlign w:val="center"/>
            <w:hideMark/>
          </w:tcPr>
          <w:p w14:paraId="3986C545" w14:textId="77777777" w:rsidR="008C205A" w:rsidRPr="00424271" w:rsidRDefault="008C205A" w:rsidP="00307AF7">
            <w:pPr>
              <w:spacing w:after="0" w:line="240" w:lineRule="auto"/>
              <w:rPr>
                <w:rFonts w:eastAsia="Times New Roman" w:cs="Arial"/>
                <w:color w:val="000000"/>
                <w:sz w:val="18"/>
                <w:szCs w:val="18"/>
                <w:lang w:eastAsia="cs-CZ"/>
              </w:rPr>
            </w:pPr>
          </w:p>
        </w:tc>
      </w:tr>
      <w:tr w:rsidR="008C205A" w:rsidRPr="00424271" w14:paraId="00FCD7B5" w14:textId="77777777">
        <w:trPr>
          <w:trHeight w:val="283"/>
        </w:trPr>
        <w:tc>
          <w:tcPr>
            <w:tcW w:w="869" w:type="pct"/>
            <w:gridSpan w:val="2"/>
            <w:tcBorders>
              <w:top w:val="single" w:sz="8" w:space="0" w:color="000000"/>
              <w:left w:val="nil"/>
              <w:bottom w:val="nil"/>
              <w:right w:val="single" w:sz="4" w:space="0" w:color="auto"/>
            </w:tcBorders>
            <w:noWrap/>
            <w:vAlign w:val="center"/>
            <w:hideMark/>
          </w:tcPr>
          <w:p w14:paraId="05AF2915" w14:textId="77777777" w:rsidR="008C205A" w:rsidRPr="00424271" w:rsidRDefault="008C205A" w:rsidP="00307AF7">
            <w:pPr>
              <w:spacing w:after="0" w:line="240" w:lineRule="auto"/>
              <w:jc w:val="both"/>
              <w:rPr>
                <w:rFonts w:eastAsia="Times New Roman" w:cs="Arial"/>
                <w:i/>
                <w:iCs/>
                <w:color w:val="000000"/>
                <w:sz w:val="18"/>
                <w:szCs w:val="18"/>
                <w:lang w:eastAsia="cs-CZ"/>
              </w:rPr>
            </w:pPr>
            <w:r w:rsidRPr="00424271">
              <w:rPr>
                <w:rFonts w:eastAsia="Times New Roman" w:cs="Arial"/>
                <w:i/>
                <w:iCs/>
                <w:color w:val="000000"/>
                <w:sz w:val="18"/>
                <w:szCs w:val="18"/>
                <w:lang w:eastAsia="cs-CZ"/>
              </w:rPr>
              <w:t> </w:t>
            </w:r>
          </w:p>
        </w:tc>
        <w:tc>
          <w:tcPr>
            <w:tcW w:w="2324" w:type="pct"/>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BC7B32B" w14:textId="77777777" w:rsidR="008C205A" w:rsidRPr="00424271" w:rsidRDefault="008C205A" w:rsidP="00307AF7">
            <w:pPr>
              <w:spacing w:after="0" w:line="240" w:lineRule="auto"/>
              <w:jc w:val="center"/>
              <w:rPr>
                <w:rFonts w:eastAsia="Times New Roman" w:cs="Arial"/>
                <w:i/>
                <w:iCs/>
                <w:color w:val="000000"/>
                <w:sz w:val="18"/>
                <w:szCs w:val="18"/>
                <w:lang w:eastAsia="cs-CZ"/>
              </w:rPr>
            </w:pPr>
            <w:r w:rsidRPr="00424271">
              <w:rPr>
                <w:rFonts w:eastAsia="Times New Roman" w:cs="Arial"/>
                <w:i/>
                <w:iCs/>
                <w:color w:val="000000"/>
                <w:sz w:val="18"/>
                <w:szCs w:val="18"/>
                <w:lang w:eastAsia="cs-CZ"/>
              </w:rPr>
              <w:t>výsledky se zvláštní právní ochranou</w:t>
            </w:r>
          </w:p>
        </w:tc>
        <w:tc>
          <w:tcPr>
            <w:tcW w:w="1058" w:type="pct"/>
            <w:tcBorders>
              <w:left w:val="single" w:sz="4" w:space="0" w:color="auto"/>
            </w:tcBorders>
            <w:noWrap/>
            <w:vAlign w:val="center"/>
            <w:hideMark/>
          </w:tcPr>
          <w:p w14:paraId="27314D5C" w14:textId="77777777" w:rsidR="008C205A" w:rsidRPr="00424271" w:rsidRDefault="008C205A" w:rsidP="00307AF7">
            <w:pPr>
              <w:spacing w:after="0"/>
              <w:rPr>
                <w:rFonts w:cs="Times New Roman"/>
                <w:sz w:val="18"/>
                <w:szCs w:val="18"/>
              </w:rPr>
            </w:pPr>
          </w:p>
        </w:tc>
        <w:tc>
          <w:tcPr>
            <w:tcW w:w="743" w:type="pct"/>
            <w:noWrap/>
            <w:vAlign w:val="center"/>
            <w:hideMark/>
          </w:tcPr>
          <w:p w14:paraId="2971775C" w14:textId="77777777" w:rsidR="008C205A" w:rsidRPr="00424271" w:rsidRDefault="008C205A" w:rsidP="00307AF7">
            <w:pPr>
              <w:spacing w:after="0"/>
              <w:rPr>
                <w:rFonts w:cs="Times New Roman"/>
                <w:sz w:val="18"/>
                <w:szCs w:val="18"/>
              </w:rPr>
            </w:pPr>
          </w:p>
        </w:tc>
      </w:tr>
      <w:tr w:rsidR="008C205A" w:rsidRPr="009D1ECC" w14:paraId="5D658CBE" w14:textId="77777777">
        <w:trPr>
          <w:trHeight w:val="227"/>
        </w:trPr>
        <w:tc>
          <w:tcPr>
            <w:tcW w:w="239" w:type="pct"/>
            <w:tcBorders>
              <w:top w:val="single" w:sz="4" w:space="0" w:color="auto"/>
              <w:left w:val="single" w:sz="4" w:space="0" w:color="auto"/>
              <w:bottom w:val="single" w:sz="4" w:space="0" w:color="auto"/>
              <w:right w:val="single" w:sz="4" w:space="0" w:color="auto"/>
            </w:tcBorders>
            <w:noWrap/>
            <w:vAlign w:val="center"/>
            <w:hideMark/>
          </w:tcPr>
          <w:p w14:paraId="7EEBFD53"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A</w:t>
            </w:r>
          </w:p>
        </w:tc>
        <w:tc>
          <w:tcPr>
            <w:tcW w:w="4761" w:type="pct"/>
            <w:gridSpan w:val="5"/>
            <w:tcBorders>
              <w:top w:val="single" w:sz="4" w:space="0" w:color="auto"/>
              <w:left w:val="nil"/>
              <w:bottom w:val="single" w:sz="4" w:space="0" w:color="auto"/>
              <w:right w:val="single" w:sz="4" w:space="0" w:color="auto"/>
            </w:tcBorders>
            <w:noWrap/>
            <w:vAlign w:val="center"/>
            <w:hideMark/>
          </w:tcPr>
          <w:p w14:paraId="3E62550C"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Audiovizuální tvorba</w:t>
            </w:r>
          </w:p>
        </w:tc>
      </w:tr>
      <w:tr w:rsidR="008C205A" w:rsidRPr="009D1ECC" w14:paraId="41E0E69A" w14:textId="77777777">
        <w:trPr>
          <w:trHeight w:val="227"/>
        </w:trPr>
        <w:tc>
          <w:tcPr>
            <w:tcW w:w="239" w:type="pct"/>
            <w:tcBorders>
              <w:top w:val="nil"/>
              <w:left w:val="single" w:sz="4" w:space="0" w:color="auto"/>
              <w:bottom w:val="single" w:sz="4" w:space="0" w:color="auto"/>
              <w:right w:val="single" w:sz="4" w:space="0" w:color="auto"/>
            </w:tcBorders>
            <w:noWrap/>
            <w:vAlign w:val="center"/>
            <w:hideMark/>
          </w:tcPr>
          <w:p w14:paraId="1BD537A2"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B</w:t>
            </w:r>
          </w:p>
        </w:tc>
        <w:tc>
          <w:tcPr>
            <w:tcW w:w="4761" w:type="pct"/>
            <w:gridSpan w:val="5"/>
            <w:tcBorders>
              <w:top w:val="nil"/>
              <w:left w:val="nil"/>
              <w:bottom w:val="single" w:sz="4" w:space="0" w:color="auto"/>
              <w:right w:val="single" w:sz="4" w:space="0" w:color="auto"/>
            </w:tcBorders>
            <w:noWrap/>
            <w:vAlign w:val="center"/>
            <w:hideMark/>
          </w:tcPr>
          <w:p w14:paraId="5DC3F6D3"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Odborná kniha</w:t>
            </w:r>
          </w:p>
        </w:tc>
      </w:tr>
      <w:tr w:rsidR="008C205A" w:rsidRPr="009D1ECC" w14:paraId="3E1537A8" w14:textId="77777777">
        <w:trPr>
          <w:trHeight w:val="227"/>
        </w:trPr>
        <w:tc>
          <w:tcPr>
            <w:tcW w:w="239" w:type="pct"/>
            <w:tcBorders>
              <w:top w:val="nil"/>
              <w:left w:val="single" w:sz="4" w:space="0" w:color="auto"/>
              <w:bottom w:val="single" w:sz="4" w:space="0" w:color="auto"/>
              <w:right w:val="single" w:sz="4" w:space="0" w:color="auto"/>
            </w:tcBorders>
            <w:noWrap/>
            <w:vAlign w:val="center"/>
            <w:hideMark/>
          </w:tcPr>
          <w:p w14:paraId="6BFB75A3"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C</w:t>
            </w:r>
          </w:p>
        </w:tc>
        <w:tc>
          <w:tcPr>
            <w:tcW w:w="4761" w:type="pct"/>
            <w:gridSpan w:val="5"/>
            <w:tcBorders>
              <w:top w:val="nil"/>
              <w:left w:val="nil"/>
              <w:bottom w:val="single" w:sz="4" w:space="0" w:color="auto"/>
              <w:right w:val="single" w:sz="4" w:space="0" w:color="auto"/>
            </w:tcBorders>
            <w:noWrap/>
            <w:vAlign w:val="center"/>
            <w:hideMark/>
          </w:tcPr>
          <w:p w14:paraId="28DCEA4C"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Kapitola v odborné knize</w:t>
            </w:r>
          </w:p>
        </w:tc>
      </w:tr>
      <w:tr w:rsidR="008C205A" w:rsidRPr="009D1ECC" w14:paraId="7EF1BBC1" w14:textId="77777777">
        <w:trPr>
          <w:trHeight w:val="227"/>
        </w:trPr>
        <w:tc>
          <w:tcPr>
            <w:tcW w:w="239" w:type="pct"/>
            <w:tcBorders>
              <w:top w:val="nil"/>
              <w:left w:val="single" w:sz="4" w:space="0" w:color="auto"/>
              <w:bottom w:val="single" w:sz="4" w:space="0" w:color="auto"/>
              <w:right w:val="single" w:sz="4" w:space="0" w:color="auto"/>
            </w:tcBorders>
            <w:noWrap/>
            <w:vAlign w:val="center"/>
            <w:hideMark/>
          </w:tcPr>
          <w:p w14:paraId="4F04FDE6"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D</w:t>
            </w:r>
          </w:p>
        </w:tc>
        <w:tc>
          <w:tcPr>
            <w:tcW w:w="4761" w:type="pct"/>
            <w:gridSpan w:val="5"/>
            <w:tcBorders>
              <w:top w:val="nil"/>
              <w:left w:val="nil"/>
              <w:bottom w:val="single" w:sz="4" w:space="0" w:color="auto"/>
              <w:right w:val="single" w:sz="4" w:space="0" w:color="auto"/>
            </w:tcBorders>
            <w:noWrap/>
            <w:vAlign w:val="center"/>
            <w:hideMark/>
          </w:tcPr>
          <w:p w14:paraId="0D8D408B"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Článek ve sborníku</w:t>
            </w:r>
          </w:p>
        </w:tc>
      </w:tr>
      <w:tr w:rsidR="008C205A" w:rsidRPr="009D1ECC" w14:paraId="19C77A49" w14:textId="77777777">
        <w:trPr>
          <w:trHeight w:val="227"/>
        </w:trPr>
        <w:tc>
          <w:tcPr>
            <w:tcW w:w="239" w:type="pct"/>
            <w:tcBorders>
              <w:top w:val="nil"/>
              <w:left w:val="single" w:sz="4" w:space="0" w:color="auto"/>
              <w:bottom w:val="single" w:sz="4" w:space="0" w:color="auto"/>
              <w:right w:val="single" w:sz="4" w:space="0" w:color="auto"/>
            </w:tcBorders>
            <w:noWrap/>
            <w:vAlign w:val="center"/>
            <w:hideMark/>
          </w:tcPr>
          <w:p w14:paraId="1ABCE236"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E</w:t>
            </w:r>
          </w:p>
        </w:tc>
        <w:tc>
          <w:tcPr>
            <w:tcW w:w="4761" w:type="pct"/>
            <w:gridSpan w:val="5"/>
            <w:tcBorders>
              <w:top w:val="nil"/>
              <w:left w:val="nil"/>
              <w:bottom w:val="single" w:sz="4" w:space="0" w:color="auto"/>
              <w:right w:val="single" w:sz="4" w:space="0" w:color="auto"/>
            </w:tcBorders>
            <w:noWrap/>
            <w:vAlign w:val="center"/>
            <w:hideMark/>
          </w:tcPr>
          <w:p w14:paraId="5B3EF846"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Uspořádání (zorganizování) výstavy</w:t>
            </w:r>
          </w:p>
        </w:tc>
      </w:tr>
      <w:tr w:rsidR="008C205A" w:rsidRPr="009D1ECC" w14:paraId="7CB15DC0" w14:textId="77777777">
        <w:trPr>
          <w:trHeight w:val="227"/>
        </w:trPr>
        <w:tc>
          <w:tcPr>
            <w:tcW w:w="239" w:type="pct"/>
            <w:tcBorders>
              <w:top w:val="nil"/>
              <w:left w:val="single" w:sz="4" w:space="0" w:color="auto"/>
              <w:bottom w:val="single" w:sz="4" w:space="0" w:color="auto"/>
              <w:right w:val="single" w:sz="4" w:space="0" w:color="auto"/>
            </w:tcBorders>
            <w:noWrap/>
            <w:vAlign w:val="center"/>
            <w:hideMark/>
          </w:tcPr>
          <w:p w14:paraId="14AB08BB"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F</w:t>
            </w:r>
          </w:p>
        </w:tc>
        <w:tc>
          <w:tcPr>
            <w:tcW w:w="4761" w:type="pct"/>
            <w:gridSpan w:val="5"/>
            <w:tcBorders>
              <w:top w:val="nil"/>
              <w:left w:val="nil"/>
              <w:bottom w:val="single" w:sz="4" w:space="0" w:color="auto"/>
              <w:right w:val="single" w:sz="4" w:space="0" w:color="auto"/>
            </w:tcBorders>
            <w:noWrap/>
            <w:vAlign w:val="center"/>
            <w:hideMark/>
          </w:tcPr>
          <w:p w14:paraId="007AA8FB"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Užitný či průmyslový vzor</w:t>
            </w:r>
          </w:p>
        </w:tc>
      </w:tr>
      <w:tr w:rsidR="008C205A" w:rsidRPr="009D1ECC" w14:paraId="3432F8C6" w14:textId="77777777">
        <w:trPr>
          <w:trHeight w:val="227"/>
        </w:trPr>
        <w:tc>
          <w:tcPr>
            <w:tcW w:w="239" w:type="pct"/>
            <w:tcBorders>
              <w:top w:val="nil"/>
              <w:left w:val="single" w:sz="4" w:space="0" w:color="auto"/>
              <w:bottom w:val="single" w:sz="4" w:space="0" w:color="auto"/>
              <w:right w:val="single" w:sz="4" w:space="0" w:color="auto"/>
            </w:tcBorders>
            <w:noWrap/>
            <w:vAlign w:val="center"/>
            <w:hideMark/>
          </w:tcPr>
          <w:p w14:paraId="3B669446"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G</w:t>
            </w:r>
          </w:p>
        </w:tc>
        <w:tc>
          <w:tcPr>
            <w:tcW w:w="4761" w:type="pct"/>
            <w:gridSpan w:val="5"/>
            <w:tcBorders>
              <w:top w:val="nil"/>
              <w:left w:val="nil"/>
              <w:bottom w:val="single" w:sz="4" w:space="0" w:color="auto"/>
              <w:right w:val="single" w:sz="4" w:space="0" w:color="auto"/>
            </w:tcBorders>
            <w:noWrap/>
            <w:vAlign w:val="center"/>
            <w:hideMark/>
          </w:tcPr>
          <w:p w14:paraId="69531AAB"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Prototyp či funkční vzorek</w:t>
            </w:r>
          </w:p>
        </w:tc>
      </w:tr>
      <w:tr w:rsidR="008C205A" w:rsidRPr="009D1ECC" w14:paraId="5B3F9A14" w14:textId="77777777">
        <w:trPr>
          <w:trHeight w:val="227"/>
        </w:trPr>
        <w:tc>
          <w:tcPr>
            <w:tcW w:w="239" w:type="pct"/>
            <w:tcBorders>
              <w:top w:val="nil"/>
              <w:left w:val="single" w:sz="4" w:space="0" w:color="auto"/>
              <w:bottom w:val="single" w:sz="4" w:space="0" w:color="auto"/>
              <w:right w:val="single" w:sz="4" w:space="0" w:color="auto"/>
            </w:tcBorders>
            <w:noWrap/>
            <w:vAlign w:val="center"/>
            <w:hideMark/>
          </w:tcPr>
          <w:p w14:paraId="227E97ED"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H</w:t>
            </w:r>
          </w:p>
        </w:tc>
        <w:tc>
          <w:tcPr>
            <w:tcW w:w="4761" w:type="pct"/>
            <w:gridSpan w:val="5"/>
            <w:tcBorders>
              <w:top w:val="nil"/>
              <w:left w:val="nil"/>
              <w:bottom w:val="single" w:sz="4" w:space="0" w:color="auto"/>
              <w:right w:val="single" w:sz="4" w:space="0" w:color="auto"/>
            </w:tcBorders>
            <w:noWrap/>
            <w:vAlign w:val="center"/>
            <w:hideMark/>
          </w:tcPr>
          <w:p w14:paraId="6D972A53"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Výsledek promítnutý do předpisů a strategických materiálů</w:t>
            </w:r>
          </w:p>
        </w:tc>
      </w:tr>
      <w:tr w:rsidR="008C205A" w:rsidRPr="009D1ECC" w14:paraId="6874B792" w14:textId="77777777">
        <w:trPr>
          <w:trHeight w:val="227"/>
        </w:trPr>
        <w:tc>
          <w:tcPr>
            <w:tcW w:w="239" w:type="pct"/>
            <w:tcBorders>
              <w:top w:val="nil"/>
              <w:left w:val="single" w:sz="4" w:space="0" w:color="auto"/>
              <w:bottom w:val="single" w:sz="4" w:space="0" w:color="auto"/>
              <w:right w:val="single" w:sz="4" w:space="0" w:color="auto"/>
            </w:tcBorders>
            <w:noWrap/>
            <w:vAlign w:val="center"/>
          </w:tcPr>
          <w:p w14:paraId="3206C8B5"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I</w:t>
            </w:r>
          </w:p>
        </w:tc>
        <w:tc>
          <w:tcPr>
            <w:tcW w:w="4761" w:type="pct"/>
            <w:gridSpan w:val="5"/>
            <w:tcBorders>
              <w:top w:val="nil"/>
              <w:left w:val="nil"/>
              <w:bottom w:val="single" w:sz="4" w:space="0" w:color="auto"/>
              <w:right w:val="single" w:sz="4" w:space="0" w:color="auto"/>
            </w:tcBorders>
            <w:noWrap/>
            <w:vAlign w:val="center"/>
          </w:tcPr>
          <w:p w14:paraId="494EA09E"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Inovace (výrobku, služby, vnitřních procesů v podniku, organizační, marketingová)</w:t>
            </w:r>
            <w:r>
              <w:rPr>
                <w:rFonts w:eastAsia="Times New Roman" w:cs="Arial"/>
                <w:color w:val="000000"/>
                <w:sz w:val="18"/>
                <w:szCs w:val="18"/>
                <w:lang w:eastAsia="cs-CZ"/>
              </w:rPr>
              <w:t xml:space="preserve"> – používané do roku 2007</w:t>
            </w:r>
          </w:p>
        </w:tc>
      </w:tr>
      <w:tr w:rsidR="008C205A" w:rsidRPr="009D1ECC" w14:paraId="055F7400" w14:textId="77777777">
        <w:trPr>
          <w:trHeight w:val="227"/>
        </w:trPr>
        <w:tc>
          <w:tcPr>
            <w:tcW w:w="239" w:type="pct"/>
            <w:tcBorders>
              <w:top w:val="nil"/>
              <w:left w:val="single" w:sz="4" w:space="0" w:color="auto"/>
              <w:bottom w:val="single" w:sz="4" w:space="0" w:color="auto"/>
              <w:right w:val="single" w:sz="4" w:space="0" w:color="auto"/>
            </w:tcBorders>
            <w:noWrap/>
            <w:vAlign w:val="center"/>
            <w:hideMark/>
          </w:tcPr>
          <w:p w14:paraId="60B344A3"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J</w:t>
            </w:r>
          </w:p>
        </w:tc>
        <w:tc>
          <w:tcPr>
            <w:tcW w:w="4761" w:type="pct"/>
            <w:gridSpan w:val="5"/>
            <w:tcBorders>
              <w:top w:val="nil"/>
              <w:left w:val="nil"/>
              <w:bottom w:val="single" w:sz="4" w:space="0" w:color="auto"/>
              <w:right w:val="single" w:sz="4" w:space="0" w:color="auto"/>
            </w:tcBorders>
            <w:noWrap/>
            <w:vAlign w:val="center"/>
            <w:hideMark/>
          </w:tcPr>
          <w:p w14:paraId="585D10EF"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Recenzovaný odborný článek</w:t>
            </w:r>
          </w:p>
        </w:tc>
      </w:tr>
      <w:tr w:rsidR="008C205A" w:rsidRPr="009D1ECC" w14:paraId="75758EDF" w14:textId="77777777">
        <w:trPr>
          <w:trHeight w:val="227"/>
        </w:trPr>
        <w:tc>
          <w:tcPr>
            <w:tcW w:w="239" w:type="pct"/>
            <w:tcBorders>
              <w:top w:val="nil"/>
              <w:left w:val="single" w:sz="4" w:space="0" w:color="auto"/>
              <w:bottom w:val="single" w:sz="4" w:space="0" w:color="auto"/>
              <w:right w:val="single" w:sz="4" w:space="0" w:color="auto"/>
            </w:tcBorders>
            <w:noWrap/>
            <w:vAlign w:val="center"/>
            <w:hideMark/>
          </w:tcPr>
          <w:p w14:paraId="39F1C8F1"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M</w:t>
            </w:r>
          </w:p>
        </w:tc>
        <w:tc>
          <w:tcPr>
            <w:tcW w:w="4761" w:type="pct"/>
            <w:gridSpan w:val="5"/>
            <w:tcBorders>
              <w:top w:val="nil"/>
              <w:left w:val="nil"/>
              <w:bottom w:val="single" w:sz="4" w:space="0" w:color="auto"/>
              <w:right w:val="single" w:sz="4" w:space="0" w:color="auto"/>
            </w:tcBorders>
            <w:noWrap/>
            <w:vAlign w:val="center"/>
            <w:hideMark/>
          </w:tcPr>
          <w:p w14:paraId="0BB68E16"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Uspořádání (zorganizování) konference</w:t>
            </w:r>
          </w:p>
        </w:tc>
      </w:tr>
      <w:tr w:rsidR="008C205A" w:rsidRPr="009D1ECC" w14:paraId="2DF114D8" w14:textId="77777777">
        <w:trPr>
          <w:trHeight w:val="227"/>
        </w:trPr>
        <w:tc>
          <w:tcPr>
            <w:tcW w:w="239" w:type="pct"/>
            <w:tcBorders>
              <w:top w:val="nil"/>
              <w:left w:val="single" w:sz="4" w:space="0" w:color="auto"/>
              <w:bottom w:val="single" w:sz="4" w:space="0" w:color="auto"/>
              <w:right w:val="single" w:sz="4" w:space="0" w:color="auto"/>
            </w:tcBorders>
            <w:noWrap/>
            <w:vAlign w:val="center"/>
            <w:hideMark/>
          </w:tcPr>
          <w:p w14:paraId="39F6F9A6"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N</w:t>
            </w:r>
          </w:p>
        </w:tc>
        <w:tc>
          <w:tcPr>
            <w:tcW w:w="4761" w:type="pct"/>
            <w:gridSpan w:val="5"/>
            <w:tcBorders>
              <w:top w:val="nil"/>
              <w:left w:val="nil"/>
              <w:bottom w:val="single" w:sz="4" w:space="0" w:color="auto"/>
              <w:right w:val="single" w:sz="4" w:space="0" w:color="auto"/>
            </w:tcBorders>
            <w:noWrap/>
            <w:vAlign w:val="center"/>
            <w:hideMark/>
          </w:tcPr>
          <w:p w14:paraId="52D419DD"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Certifikovaná metodika, léčebný postup, památkový postup či odborná mapa</w:t>
            </w:r>
          </w:p>
        </w:tc>
      </w:tr>
      <w:tr w:rsidR="008C205A" w:rsidRPr="009D1ECC" w14:paraId="3337C21C" w14:textId="77777777">
        <w:trPr>
          <w:trHeight w:val="227"/>
        </w:trPr>
        <w:tc>
          <w:tcPr>
            <w:tcW w:w="239" w:type="pct"/>
            <w:tcBorders>
              <w:top w:val="nil"/>
              <w:left w:val="single" w:sz="4" w:space="0" w:color="auto"/>
              <w:bottom w:val="single" w:sz="4" w:space="0" w:color="auto"/>
              <w:right w:val="single" w:sz="4" w:space="0" w:color="auto"/>
            </w:tcBorders>
            <w:noWrap/>
            <w:vAlign w:val="center"/>
            <w:hideMark/>
          </w:tcPr>
          <w:p w14:paraId="14B968FB"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O</w:t>
            </w:r>
          </w:p>
        </w:tc>
        <w:tc>
          <w:tcPr>
            <w:tcW w:w="4761" w:type="pct"/>
            <w:gridSpan w:val="5"/>
            <w:tcBorders>
              <w:top w:val="nil"/>
              <w:left w:val="nil"/>
              <w:bottom w:val="single" w:sz="4" w:space="0" w:color="auto"/>
              <w:right w:val="single" w:sz="4" w:space="0" w:color="auto"/>
            </w:tcBorders>
            <w:noWrap/>
            <w:vAlign w:val="center"/>
            <w:hideMark/>
          </w:tcPr>
          <w:p w14:paraId="27FD15BD"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Ostatní výsledky nezařaditelné do žádného z výše uvedených druhů výsledku</w:t>
            </w:r>
          </w:p>
        </w:tc>
      </w:tr>
      <w:tr w:rsidR="008C205A" w:rsidRPr="009D1ECC" w14:paraId="5A00A05A" w14:textId="77777777">
        <w:trPr>
          <w:trHeight w:val="227"/>
        </w:trPr>
        <w:tc>
          <w:tcPr>
            <w:tcW w:w="239" w:type="pct"/>
            <w:tcBorders>
              <w:top w:val="nil"/>
              <w:left w:val="single" w:sz="4" w:space="0" w:color="auto"/>
              <w:bottom w:val="single" w:sz="4" w:space="0" w:color="auto"/>
              <w:right w:val="single" w:sz="4" w:space="0" w:color="auto"/>
            </w:tcBorders>
            <w:noWrap/>
            <w:vAlign w:val="center"/>
            <w:hideMark/>
          </w:tcPr>
          <w:p w14:paraId="7D1E8CD3"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P</w:t>
            </w:r>
          </w:p>
        </w:tc>
        <w:tc>
          <w:tcPr>
            <w:tcW w:w="4761" w:type="pct"/>
            <w:gridSpan w:val="5"/>
            <w:tcBorders>
              <w:top w:val="nil"/>
              <w:left w:val="nil"/>
              <w:bottom w:val="single" w:sz="4" w:space="0" w:color="auto"/>
              <w:right w:val="single" w:sz="4" w:space="0" w:color="auto"/>
            </w:tcBorders>
            <w:noWrap/>
            <w:vAlign w:val="center"/>
            <w:hideMark/>
          </w:tcPr>
          <w:p w14:paraId="180D86FF"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Patent</w:t>
            </w:r>
          </w:p>
        </w:tc>
      </w:tr>
      <w:tr w:rsidR="008C205A" w:rsidRPr="009D1ECC" w14:paraId="35B85279" w14:textId="77777777">
        <w:trPr>
          <w:trHeight w:val="227"/>
        </w:trPr>
        <w:tc>
          <w:tcPr>
            <w:tcW w:w="239" w:type="pct"/>
            <w:tcBorders>
              <w:top w:val="nil"/>
              <w:left w:val="single" w:sz="4" w:space="0" w:color="auto"/>
              <w:bottom w:val="single" w:sz="4" w:space="0" w:color="auto"/>
              <w:right w:val="single" w:sz="4" w:space="0" w:color="auto"/>
            </w:tcBorders>
            <w:noWrap/>
            <w:vAlign w:val="center"/>
            <w:hideMark/>
          </w:tcPr>
          <w:p w14:paraId="651493FB"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R</w:t>
            </w:r>
          </w:p>
        </w:tc>
        <w:tc>
          <w:tcPr>
            <w:tcW w:w="4761" w:type="pct"/>
            <w:gridSpan w:val="5"/>
            <w:tcBorders>
              <w:top w:val="nil"/>
              <w:left w:val="nil"/>
              <w:bottom w:val="single" w:sz="4" w:space="0" w:color="auto"/>
              <w:right w:val="single" w:sz="4" w:space="0" w:color="auto"/>
            </w:tcBorders>
            <w:noWrap/>
            <w:vAlign w:val="center"/>
            <w:hideMark/>
          </w:tcPr>
          <w:p w14:paraId="617DE49D"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Software</w:t>
            </w:r>
          </w:p>
        </w:tc>
      </w:tr>
      <w:tr w:rsidR="008C205A" w:rsidRPr="009D1ECC" w14:paraId="77750411" w14:textId="77777777">
        <w:trPr>
          <w:trHeight w:val="227"/>
        </w:trPr>
        <w:tc>
          <w:tcPr>
            <w:tcW w:w="239" w:type="pct"/>
            <w:tcBorders>
              <w:top w:val="nil"/>
              <w:left w:val="single" w:sz="4" w:space="0" w:color="auto"/>
              <w:bottom w:val="single" w:sz="4" w:space="0" w:color="auto"/>
              <w:right w:val="single" w:sz="4" w:space="0" w:color="auto"/>
            </w:tcBorders>
            <w:noWrap/>
            <w:vAlign w:val="center"/>
            <w:hideMark/>
          </w:tcPr>
          <w:p w14:paraId="7B40B3F6"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S</w:t>
            </w:r>
          </w:p>
        </w:tc>
        <w:tc>
          <w:tcPr>
            <w:tcW w:w="4761" w:type="pct"/>
            <w:gridSpan w:val="5"/>
            <w:tcBorders>
              <w:top w:val="nil"/>
              <w:left w:val="nil"/>
              <w:bottom w:val="single" w:sz="4" w:space="0" w:color="auto"/>
              <w:right w:val="single" w:sz="4" w:space="0" w:color="auto"/>
            </w:tcBorders>
            <w:noWrap/>
            <w:vAlign w:val="center"/>
            <w:hideMark/>
          </w:tcPr>
          <w:p w14:paraId="7C44D38F" w14:textId="77777777" w:rsidR="008C205A" w:rsidRPr="009D1ECC" w:rsidRDefault="008C205A" w:rsidP="00307AF7">
            <w:pPr>
              <w:spacing w:after="0" w:line="240" w:lineRule="auto"/>
              <w:rPr>
                <w:rFonts w:eastAsia="Times New Roman" w:cs="Arial"/>
                <w:color w:val="000000"/>
                <w:sz w:val="18"/>
                <w:szCs w:val="18"/>
                <w:lang w:eastAsia="cs-CZ"/>
              </w:rPr>
            </w:pPr>
            <w:r>
              <w:rPr>
                <w:rFonts w:eastAsia="Times New Roman" w:cs="Arial"/>
                <w:color w:val="000000"/>
                <w:sz w:val="18"/>
                <w:szCs w:val="18"/>
                <w:lang w:eastAsia="cs-CZ"/>
              </w:rPr>
              <w:t>Specializovaná veřejná databáze</w:t>
            </w:r>
          </w:p>
        </w:tc>
      </w:tr>
      <w:tr w:rsidR="008C205A" w:rsidRPr="009D1ECC" w14:paraId="6573F8E4" w14:textId="77777777">
        <w:trPr>
          <w:trHeight w:val="227"/>
        </w:trPr>
        <w:tc>
          <w:tcPr>
            <w:tcW w:w="239" w:type="pct"/>
            <w:tcBorders>
              <w:top w:val="nil"/>
              <w:left w:val="single" w:sz="4" w:space="0" w:color="auto"/>
              <w:bottom w:val="single" w:sz="4" w:space="0" w:color="auto"/>
              <w:right w:val="single" w:sz="4" w:space="0" w:color="auto"/>
            </w:tcBorders>
            <w:noWrap/>
            <w:vAlign w:val="center"/>
            <w:hideMark/>
          </w:tcPr>
          <w:p w14:paraId="5F29E866"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T</w:t>
            </w:r>
          </w:p>
        </w:tc>
        <w:tc>
          <w:tcPr>
            <w:tcW w:w="4761" w:type="pct"/>
            <w:gridSpan w:val="5"/>
            <w:tcBorders>
              <w:top w:val="nil"/>
              <w:left w:val="nil"/>
              <w:bottom w:val="single" w:sz="4" w:space="0" w:color="auto"/>
              <w:right w:val="single" w:sz="4" w:space="0" w:color="auto"/>
            </w:tcBorders>
            <w:noWrap/>
            <w:vAlign w:val="center"/>
            <w:hideMark/>
          </w:tcPr>
          <w:p w14:paraId="65C5845E"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Souhrnná kategorie pro další aplikované výsledky používaná do roku 2006</w:t>
            </w:r>
          </w:p>
        </w:tc>
      </w:tr>
      <w:tr w:rsidR="008C205A" w:rsidRPr="009D1ECC" w14:paraId="3940C01D" w14:textId="77777777">
        <w:trPr>
          <w:trHeight w:val="227"/>
        </w:trPr>
        <w:tc>
          <w:tcPr>
            <w:tcW w:w="239" w:type="pct"/>
            <w:tcBorders>
              <w:top w:val="nil"/>
              <w:left w:val="single" w:sz="4" w:space="0" w:color="auto"/>
              <w:bottom w:val="single" w:sz="4" w:space="0" w:color="auto"/>
              <w:right w:val="single" w:sz="4" w:space="0" w:color="auto"/>
            </w:tcBorders>
            <w:noWrap/>
            <w:vAlign w:val="center"/>
            <w:hideMark/>
          </w:tcPr>
          <w:p w14:paraId="2D202E80"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V</w:t>
            </w:r>
          </w:p>
        </w:tc>
        <w:tc>
          <w:tcPr>
            <w:tcW w:w="4761" w:type="pct"/>
            <w:gridSpan w:val="5"/>
            <w:tcBorders>
              <w:top w:val="nil"/>
              <w:left w:val="nil"/>
              <w:bottom w:val="single" w:sz="4" w:space="0" w:color="auto"/>
              <w:right w:val="single" w:sz="4" w:space="0" w:color="auto"/>
            </w:tcBorders>
            <w:noWrap/>
            <w:vAlign w:val="center"/>
            <w:hideMark/>
          </w:tcPr>
          <w:p w14:paraId="46A4BF03"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Výzkumná zpráva</w:t>
            </w:r>
          </w:p>
        </w:tc>
      </w:tr>
      <w:tr w:rsidR="008C205A" w:rsidRPr="009D1ECC" w14:paraId="6F70470B" w14:textId="77777777">
        <w:trPr>
          <w:trHeight w:val="227"/>
        </w:trPr>
        <w:tc>
          <w:tcPr>
            <w:tcW w:w="239" w:type="pct"/>
            <w:tcBorders>
              <w:top w:val="nil"/>
              <w:left w:val="single" w:sz="4" w:space="0" w:color="auto"/>
              <w:bottom w:val="single" w:sz="4" w:space="0" w:color="auto"/>
              <w:right w:val="single" w:sz="4" w:space="0" w:color="auto"/>
            </w:tcBorders>
            <w:noWrap/>
            <w:vAlign w:val="center"/>
            <w:hideMark/>
          </w:tcPr>
          <w:p w14:paraId="0416F334"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W</w:t>
            </w:r>
          </w:p>
        </w:tc>
        <w:tc>
          <w:tcPr>
            <w:tcW w:w="4761" w:type="pct"/>
            <w:gridSpan w:val="5"/>
            <w:tcBorders>
              <w:top w:val="nil"/>
              <w:left w:val="nil"/>
              <w:bottom w:val="single" w:sz="4" w:space="0" w:color="auto"/>
              <w:right w:val="single" w:sz="4" w:space="0" w:color="auto"/>
            </w:tcBorders>
            <w:noWrap/>
            <w:vAlign w:val="center"/>
            <w:hideMark/>
          </w:tcPr>
          <w:p w14:paraId="7F7CBD1F"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Uspořádání (zorganizování) workshopu</w:t>
            </w:r>
          </w:p>
        </w:tc>
      </w:tr>
      <w:tr w:rsidR="008C205A" w:rsidRPr="009D1ECC" w14:paraId="3A4097B9" w14:textId="77777777">
        <w:trPr>
          <w:trHeight w:val="227"/>
        </w:trPr>
        <w:tc>
          <w:tcPr>
            <w:tcW w:w="239" w:type="pct"/>
            <w:tcBorders>
              <w:top w:val="nil"/>
              <w:left w:val="single" w:sz="4" w:space="0" w:color="auto"/>
              <w:bottom w:val="single" w:sz="4" w:space="0" w:color="auto"/>
              <w:right w:val="single" w:sz="4" w:space="0" w:color="auto"/>
            </w:tcBorders>
            <w:noWrap/>
            <w:vAlign w:val="center"/>
            <w:hideMark/>
          </w:tcPr>
          <w:p w14:paraId="416269B5"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Z</w:t>
            </w:r>
          </w:p>
        </w:tc>
        <w:tc>
          <w:tcPr>
            <w:tcW w:w="4761" w:type="pct"/>
            <w:gridSpan w:val="5"/>
            <w:tcBorders>
              <w:top w:val="nil"/>
              <w:left w:val="nil"/>
              <w:bottom w:val="single" w:sz="4" w:space="0" w:color="auto"/>
              <w:right w:val="single" w:sz="4" w:space="0" w:color="auto"/>
            </w:tcBorders>
            <w:noWrap/>
            <w:vAlign w:val="center"/>
            <w:hideMark/>
          </w:tcPr>
          <w:p w14:paraId="777E1034" w14:textId="77777777" w:rsidR="008C205A" w:rsidRPr="009D1ECC" w:rsidRDefault="008C205A" w:rsidP="00307AF7">
            <w:pPr>
              <w:spacing w:after="0" w:line="240" w:lineRule="auto"/>
              <w:rPr>
                <w:rFonts w:eastAsia="Times New Roman" w:cs="Arial"/>
                <w:color w:val="000000"/>
                <w:sz w:val="18"/>
                <w:szCs w:val="18"/>
                <w:lang w:eastAsia="cs-CZ"/>
              </w:rPr>
            </w:pPr>
            <w:r w:rsidRPr="009D1ECC">
              <w:rPr>
                <w:rFonts w:eastAsia="Times New Roman" w:cs="Arial"/>
                <w:color w:val="000000"/>
                <w:sz w:val="18"/>
                <w:szCs w:val="18"/>
                <w:lang w:eastAsia="cs-CZ"/>
              </w:rPr>
              <w:t>poloprovoz, ověřená technologie, odrůda či plemeno</w:t>
            </w:r>
          </w:p>
        </w:tc>
      </w:tr>
      <w:bookmarkEnd w:id="67"/>
    </w:tbl>
    <w:p w14:paraId="4B9B9431" w14:textId="77777777" w:rsidR="00E33AC1" w:rsidRDefault="00E33AC1" w:rsidP="00424271">
      <w:pPr>
        <w:pStyle w:val="Obrzek-nadpis"/>
      </w:pPr>
    </w:p>
    <w:p w14:paraId="4F8D6FF5" w14:textId="77777777" w:rsidR="00FD1BF2" w:rsidRPr="00EF67B4" w:rsidRDefault="00FD1BF2" w:rsidP="00FD1BF2">
      <w:pPr>
        <w:pStyle w:val="Obrzek-nadpis"/>
      </w:pPr>
      <w:r w:rsidRPr="00EF67B4">
        <w:t>B: Vývoj počtu a struktura publikačních výsledků</w:t>
      </w:r>
    </w:p>
    <w:p w14:paraId="000CDCE1" w14:textId="77777777" w:rsidR="00FD1BF2" w:rsidRPr="00EF67B4" w:rsidRDefault="00FD1BF2" w:rsidP="00FD1BF2">
      <w:pPr>
        <w:spacing w:after="120" w:line="360" w:lineRule="auto"/>
        <w:jc w:val="center"/>
        <w:rPr>
          <w:rFonts w:eastAsia="Times New Roman" w:cs="Arial"/>
          <w:bCs/>
          <w:lang w:eastAsia="cs-CZ"/>
        </w:rPr>
      </w:pPr>
      <w:r w:rsidRPr="00EF67B4">
        <w:rPr>
          <w:rFonts w:eastAsia="Times New Roman" w:cs="Arial"/>
          <w:bCs/>
          <w:noProof/>
          <w:lang w:eastAsia="cs-CZ"/>
        </w:rPr>
        <w:drawing>
          <wp:inline distT="0" distB="0" distL="0" distR="0" wp14:anchorId="0ABD71A4" wp14:editId="20BD599F">
            <wp:extent cx="6120000" cy="2503963"/>
            <wp:effectExtent l="0" t="0" r="0" b="0"/>
            <wp:docPr id="206031439" name="Obrázek 1" descr="Obsah obrázku text, snímek obrazovky, Vykreslený graf, řada/pruh&#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031439" name="Obrázek 1" descr="Obsah obrázku text, snímek obrazovky, Vykreslený graf, řada/pruh&#10;&#10;Obsah generovaný pomocí AI může být nesprávný."/>
                    <pic:cNvPicPr/>
                  </pic:nvPicPr>
                  <pic:blipFill>
                    <a:blip r:embed="rId104"/>
                    <a:stretch>
                      <a:fillRect/>
                    </a:stretch>
                  </pic:blipFill>
                  <pic:spPr>
                    <a:xfrm>
                      <a:off x="0" y="0"/>
                      <a:ext cx="6120000" cy="2503963"/>
                    </a:xfrm>
                    <a:prstGeom prst="rect">
                      <a:avLst/>
                    </a:prstGeom>
                  </pic:spPr>
                </pic:pic>
              </a:graphicData>
            </a:graphic>
          </wp:inline>
        </w:drawing>
      </w:r>
    </w:p>
    <w:p w14:paraId="0882532C" w14:textId="77777777" w:rsidR="00FD1BF2" w:rsidRPr="00EF67B4" w:rsidRDefault="00FD1BF2" w:rsidP="00FD1BF2">
      <w:pPr>
        <w:pStyle w:val="Zdrojapoznmka"/>
        <w:rPr>
          <w:rFonts w:cs="Arial"/>
        </w:rPr>
      </w:pPr>
      <w:r w:rsidRPr="00EF67B4">
        <w:t xml:space="preserve">Zdroj: IS </w:t>
      </w:r>
      <w:proofErr w:type="spellStart"/>
      <w:r w:rsidRPr="00EF67B4">
        <w:t>VaVaI</w:t>
      </w:r>
      <w:proofErr w:type="spellEnd"/>
      <w:r w:rsidRPr="00EF67B4">
        <w:t>, export dat 31. 10. 2025</w:t>
      </w:r>
    </w:p>
    <w:p w14:paraId="04E42915" w14:textId="77777777" w:rsidR="00FD1BF2" w:rsidRPr="00EF67B4" w:rsidRDefault="00FD1BF2" w:rsidP="00FD1BF2">
      <w:pPr>
        <w:pStyle w:val="Obrzek-nadpis"/>
      </w:pPr>
      <w:r w:rsidRPr="00EF67B4">
        <w:lastRenderedPageBreak/>
        <w:t>C: Vývoj počtu a struktura nepublikačních aplikovaných výsledků</w:t>
      </w:r>
    </w:p>
    <w:p w14:paraId="4008D016" w14:textId="77777777" w:rsidR="00FD1BF2" w:rsidRPr="00EF67B4" w:rsidRDefault="00FD1BF2" w:rsidP="00FD1BF2">
      <w:pPr>
        <w:jc w:val="center"/>
        <w:rPr>
          <w:rFonts w:eastAsia="Times New Roman" w:cs="Arial"/>
          <w:lang w:eastAsia="cs-CZ"/>
        </w:rPr>
      </w:pPr>
      <w:r w:rsidRPr="00EF67B4">
        <w:rPr>
          <w:rFonts w:eastAsia="Times New Roman" w:cs="Arial"/>
          <w:noProof/>
          <w:lang w:eastAsia="cs-CZ"/>
        </w:rPr>
        <w:drawing>
          <wp:inline distT="0" distB="0" distL="0" distR="0" wp14:anchorId="503404D5" wp14:editId="76AA3ACA">
            <wp:extent cx="6120000" cy="2969187"/>
            <wp:effectExtent l="0" t="0" r="0" b="3175"/>
            <wp:docPr id="1307801623" name="Obrázek 1" descr="Obsah obrázku text, snímek obrazovky, Vykreslený graf, diagram&#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7801623" name="Obrázek 1" descr="Obsah obrázku text, snímek obrazovky, Vykreslený graf, diagram&#10;&#10;Obsah generovaný pomocí AI může být nesprávný."/>
                    <pic:cNvPicPr/>
                  </pic:nvPicPr>
                  <pic:blipFill>
                    <a:blip r:embed="rId105"/>
                    <a:stretch>
                      <a:fillRect/>
                    </a:stretch>
                  </pic:blipFill>
                  <pic:spPr>
                    <a:xfrm>
                      <a:off x="0" y="0"/>
                      <a:ext cx="6120000" cy="2969187"/>
                    </a:xfrm>
                    <a:prstGeom prst="rect">
                      <a:avLst/>
                    </a:prstGeom>
                  </pic:spPr>
                </pic:pic>
              </a:graphicData>
            </a:graphic>
          </wp:inline>
        </w:drawing>
      </w:r>
    </w:p>
    <w:p w14:paraId="2D23C472" w14:textId="77777777" w:rsidR="00FD1BF2" w:rsidRPr="00EF67B4" w:rsidRDefault="00FD1BF2" w:rsidP="00FD1BF2">
      <w:pPr>
        <w:pStyle w:val="Zdrojapoznmka"/>
        <w:rPr>
          <w:rFonts w:cs="Arial"/>
        </w:rPr>
      </w:pPr>
      <w:r w:rsidRPr="00EF67B4">
        <w:t xml:space="preserve">Zdroj: IS </w:t>
      </w:r>
      <w:proofErr w:type="spellStart"/>
      <w:r w:rsidRPr="00EF67B4">
        <w:t>VaVaI</w:t>
      </w:r>
      <w:proofErr w:type="spellEnd"/>
      <w:r w:rsidRPr="00EF67B4">
        <w:t>, export dat 31. 10. 2025</w:t>
      </w:r>
    </w:p>
    <w:p w14:paraId="688A00FF" w14:textId="77777777" w:rsidR="00FD1BF2" w:rsidRPr="00AF405A" w:rsidRDefault="00FD1BF2" w:rsidP="00FD1BF2">
      <w:pPr>
        <w:pStyle w:val="Obrzek-nadpis"/>
        <w:rPr>
          <w:rFonts w:cs="Arial"/>
        </w:rPr>
      </w:pPr>
      <w:r w:rsidRPr="00A846E5">
        <w:lastRenderedPageBreak/>
        <w:t xml:space="preserve">D: Vývoj počtu časopisů ve </w:t>
      </w:r>
      <w:proofErr w:type="spellStart"/>
      <w:r w:rsidRPr="00A846E5">
        <w:t>WoS</w:t>
      </w:r>
      <w:proofErr w:type="spellEnd"/>
      <w:r w:rsidRPr="00A846E5">
        <w:t xml:space="preserve"> s publikacemi od českých autorů</w:t>
      </w:r>
      <w:r w:rsidRPr="00AF405A">
        <w:t xml:space="preserve"> </w:t>
      </w:r>
    </w:p>
    <w:p w14:paraId="11552B9A" w14:textId="77777777" w:rsidR="00FD1BF2" w:rsidRPr="00AF405A" w:rsidRDefault="00FD1BF2" w:rsidP="00FD1BF2">
      <w:pPr>
        <w:jc w:val="center"/>
        <w:rPr>
          <w:rFonts w:eastAsia="Times New Roman" w:cs="Arial"/>
          <w:lang w:eastAsia="cs-CZ"/>
        </w:rPr>
      </w:pPr>
      <w:r w:rsidRPr="00AF405A">
        <w:rPr>
          <w:rFonts w:eastAsia="Times New Roman" w:cs="Arial"/>
          <w:noProof/>
          <w:lang w:eastAsia="cs-CZ"/>
        </w:rPr>
        <w:drawing>
          <wp:inline distT="0" distB="0" distL="0" distR="0" wp14:anchorId="182D4763" wp14:editId="1C1863E1">
            <wp:extent cx="6120000" cy="6732001"/>
            <wp:effectExtent l="0" t="0" r="0" b="0"/>
            <wp:docPr id="68750807" name="Obrázek 1" descr="Obsah obrázku text, snímek obrazovky, diagram, Paralelní&#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50807" name="Obrázek 1" descr="Obsah obrázku text, snímek obrazovky, diagram, Paralelní&#10;&#10;Obsah generovaný pomocí AI může být nesprávný."/>
                    <pic:cNvPicPr/>
                  </pic:nvPicPr>
                  <pic:blipFill>
                    <a:blip r:embed="rId106"/>
                    <a:stretch>
                      <a:fillRect/>
                    </a:stretch>
                  </pic:blipFill>
                  <pic:spPr>
                    <a:xfrm>
                      <a:off x="0" y="0"/>
                      <a:ext cx="6120000" cy="6732001"/>
                    </a:xfrm>
                    <a:prstGeom prst="rect">
                      <a:avLst/>
                    </a:prstGeom>
                  </pic:spPr>
                </pic:pic>
              </a:graphicData>
            </a:graphic>
          </wp:inline>
        </w:drawing>
      </w:r>
    </w:p>
    <w:p w14:paraId="0B767B2E" w14:textId="4BB2E3A1" w:rsidR="00FD1BF2" w:rsidRPr="00EF67B4" w:rsidRDefault="00FD1BF2" w:rsidP="00FD1BF2">
      <w:pPr>
        <w:pStyle w:val="Zdrojapoznmka"/>
      </w:pPr>
      <w:r w:rsidRPr="00AF405A">
        <w:t xml:space="preserve">Zdroj: </w:t>
      </w:r>
      <w:proofErr w:type="spellStart"/>
      <w:r w:rsidRPr="00AF405A">
        <w:t>WoS</w:t>
      </w:r>
      <w:proofErr w:type="spellEnd"/>
      <w:r w:rsidRPr="00AF405A">
        <w:t xml:space="preserve">, zařazeny jsou publikace typu </w:t>
      </w:r>
      <w:proofErr w:type="spellStart"/>
      <w:r w:rsidRPr="00AF405A">
        <w:t>article</w:t>
      </w:r>
      <w:proofErr w:type="spellEnd"/>
      <w:r w:rsidRPr="00AF405A">
        <w:t xml:space="preserve">, </w:t>
      </w:r>
      <w:proofErr w:type="spellStart"/>
      <w:r w:rsidRPr="00AF405A">
        <w:t>review</w:t>
      </w:r>
      <w:proofErr w:type="spellEnd"/>
      <w:r w:rsidRPr="00AF405A">
        <w:t xml:space="preserve"> a </w:t>
      </w:r>
      <w:proofErr w:type="spellStart"/>
      <w:r w:rsidRPr="00AF405A">
        <w:t>letter</w:t>
      </w:r>
      <w:proofErr w:type="spellEnd"/>
      <w:r w:rsidRPr="00AF405A">
        <w:t xml:space="preserve"> za roky 2015 a 2024 v periodikách </w:t>
      </w:r>
      <w:proofErr w:type="spellStart"/>
      <w:r w:rsidRPr="00AF405A">
        <w:t>WoS</w:t>
      </w:r>
      <w:proofErr w:type="spellEnd"/>
      <w:r w:rsidRPr="00AF405A">
        <w:t xml:space="preserve"> </w:t>
      </w:r>
      <w:proofErr w:type="spellStart"/>
      <w:r w:rsidRPr="00AF405A">
        <w:t>Core</w:t>
      </w:r>
      <w:proofErr w:type="spellEnd"/>
      <w:r w:rsidRPr="00AF405A">
        <w:t xml:space="preserve"> </w:t>
      </w:r>
      <w:proofErr w:type="spellStart"/>
      <w:r w:rsidRPr="00AF405A">
        <w:t>Collection</w:t>
      </w:r>
      <w:proofErr w:type="spellEnd"/>
      <w:r w:rsidRPr="00AF405A">
        <w:t>, oborové členění dle OECD (</w:t>
      </w:r>
      <w:proofErr w:type="spellStart"/>
      <w:r w:rsidRPr="00AF405A">
        <w:t>Frascati</w:t>
      </w:r>
      <w:proofErr w:type="spellEnd"/>
      <w:r w:rsidRPr="00AF405A">
        <w:t xml:space="preserve"> </w:t>
      </w:r>
      <w:proofErr w:type="spellStart"/>
      <w:r w:rsidRPr="00AF405A">
        <w:t>Manual</w:t>
      </w:r>
      <w:proofErr w:type="spellEnd"/>
      <w:r w:rsidRPr="00AF405A">
        <w:t>) | Započtena jsou periodika, u nichž má alespoň jeden z autorů v adrese uvedeno „Czech“ (není zohledněno spoluautorství). ZAHR reprezentuje počet zahraničních časopisů s alespoň 1</w:t>
      </w:r>
      <w:r>
        <w:t> </w:t>
      </w:r>
      <w:r w:rsidRPr="00AF405A">
        <w:t>publikací od českého autora, CZE reprezentuje celkový počet časopisů evidovaných v ČR.</w:t>
      </w:r>
    </w:p>
    <w:p w14:paraId="5B604B15" w14:textId="77777777" w:rsidR="00FD1BF2" w:rsidRPr="004C04FC" w:rsidRDefault="00FD1BF2" w:rsidP="00FD1BF2">
      <w:pPr>
        <w:spacing w:after="120" w:line="360" w:lineRule="auto"/>
        <w:jc w:val="both"/>
        <w:rPr>
          <w:rFonts w:eastAsia="Times New Roman" w:cs="Arial"/>
          <w:highlight w:val="yellow"/>
          <w:lang w:eastAsia="cs-CZ"/>
        </w:rPr>
        <w:sectPr w:rsidR="00FD1BF2" w:rsidRPr="004C04FC" w:rsidSect="00FD1BF2">
          <w:headerReference w:type="even" r:id="rId107"/>
          <w:headerReference w:type="default" r:id="rId108"/>
          <w:headerReference w:type="first" r:id="rId109"/>
          <w:footerReference w:type="first" r:id="rId110"/>
          <w:pgSz w:w="11906" w:h="16838"/>
          <w:pgMar w:top="1134" w:right="1134" w:bottom="1134" w:left="1134" w:header="708" w:footer="708" w:gutter="0"/>
          <w:cols w:space="708"/>
          <w:docGrid w:linePitch="360"/>
        </w:sectPr>
      </w:pPr>
    </w:p>
    <w:p w14:paraId="24B603CE" w14:textId="77777777" w:rsidR="00FD1BF2" w:rsidRPr="00684D52" w:rsidRDefault="00FD1BF2" w:rsidP="00FD1BF2">
      <w:pPr>
        <w:pStyle w:val="Obrzek-nadpis"/>
        <w:spacing w:before="0" w:after="0"/>
      </w:pPr>
      <w:r w:rsidRPr="00684D52">
        <w:lastRenderedPageBreak/>
        <w:t xml:space="preserve">E: Vývoj podílu článků ve </w:t>
      </w:r>
      <w:proofErr w:type="spellStart"/>
      <w:r w:rsidRPr="00684D52">
        <w:t>WoS</w:t>
      </w:r>
      <w:proofErr w:type="spellEnd"/>
      <w:r w:rsidRPr="00684D52">
        <w:t xml:space="preserve"> publikovaných v časopisech Q1 a Q2 (2020–2024)</w:t>
      </w:r>
    </w:p>
    <w:p w14:paraId="75BCBC44" w14:textId="77777777" w:rsidR="00FD1BF2" w:rsidRPr="00684D52" w:rsidRDefault="00FD1BF2" w:rsidP="00FD1BF2">
      <w:pPr>
        <w:jc w:val="center"/>
      </w:pPr>
      <w:r w:rsidRPr="00684D52">
        <w:rPr>
          <w:noProof/>
        </w:rPr>
        <w:drawing>
          <wp:inline distT="0" distB="0" distL="0" distR="0" wp14:anchorId="16812D56" wp14:editId="74B4FB67">
            <wp:extent cx="9000000" cy="5414708"/>
            <wp:effectExtent l="0" t="0" r="0" b="0"/>
            <wp:docPr id="945798666" name="Obrázek 1" descr="Obsah obrázku text, diagram, snímek obrazovky, Plán&#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5798666" name="Obrázek 1" descr="Obsah obrázku text, diagram, snímek obrazovky, Plán&#10;&#10;Obsah generovaný pomocí AI může být nesprávný."/>
                    <pic:cNvPicPr/>
                  </pic:nvPicPr>
                  <pic:blipFill>
                    <a:blip r:embed="rId111"/>
                    <a:stretch>
                      <a:fillRect/>
                    </a:stretch>
                  </pic:blipFill>
                  <pic:spPr>
                    <a:xfrm>
                      <a:off x="0" y="0"/>
                      <a:ext cx="9000000" cy="5414708"/>
                    </a:xfrm>
                    <a:prstGeom prst="rect">
                      <a:avLst/>
                    </a:prstGeom>
                  </pic:spPr>
                </pic:pic>
              </a:graphicData>
            </a:graphic>
          </wp:inline>
        </w:drawing>
      </w:r>
    </w:p>
    <w:p w14:paraId="648F7303" w14:textId="77777777" w:rsidR="00FD1BF2" w:rsidRPr="00684D52" w:rsidRDefault="00FD1BF2" w:rsidP="00FD1BF2">
      <w:pPr>
        <w:pStyle w:val="Zdrojapoznmka"/>
        <w:spacing w:before="0" w:after="0" w:line="240" w:lineRule="auto"/>
      </w:pPr>
      <w:r w:rsidRPr="00684D52">
        <w:t xml:space="preserve">Zdroj: zařazeny jsou publikace typu </w:t>
      </w:r>
      <w:proofErr w:type="spellStart"/>
      <w:r w:rsidRPr="00684D52">
        <w:t>article</w:t>
      </w:r>
      <w:proofErr w:type="spellEnd"/>
      <w:r w:rsidRPr="00684D52">
        <w:t>, </w:t>
      </w:r>
      <w:proofErr w:type="spellStart"/>
      <w:r w:rsidRPr="00684D52">
        <w:t>review</w:t>
      </w:r>
      <w:proofErr w:type="spellEnd"/>
      <w:r w:rsidRPr="00684D52">
        <w:t xml:space="preserve"> a </w:t>
      </w:r>
      <w:proofErr w:type="spellStart"/>
      <w:r w:rsidRPr="00684D52">
        <w:t>letter</w:t>
      </w:r>
      <w:proofErr w:type="spellEnd"/>
      <w:r w:rsidRPr="00684D52">
        <w:t xml:space="preserve"> za období 2020–2024 v periodikách </w:t>
      </w:r>
      <w:proofErr w:type="spellStart"/>
      <w:r w:rsidRPr="00684D52">
        <w:t>WoS</w:t>
      </w:r>
      <w:proofErr w:type="spellEnd"/>
      <w:r w:rsidRPr="00684D52">
        <w:t xml:space="preserve"> </w:t>
      </w:r>
      <w:proofErr w:type="spellStart"/>
      <w:r w:rsidRPr="00684D52">
        <w:t>Core</w:t>
      </w:r>
      <w:proofErr w:type="spellEnd"/>
      <w:r w:rsidRPr="00684D52">
        <w:t xml:space="preserve"> </w:t>
      </w:r>
      <w:proofErr w:type="spellStart"/>
      <w:r w:rsidRPr="00684D52">
        <w:t>Collection</w:t>
      </w:r>
      <w:proofErr w:type="spellEnd"/>
      <w:r w:rsidRPr="00684D52">
        <w:t>, oborové členění dle OECD (</w:t>
      </w:r>
      <w:proofErr w:type="spellStart"/>
      <w:r w:rsidRPr="00684D52">
        <w:t>Frascati</w:t>
      </w:r>
      <w:proofErr w:type="spellEnd"/>
      <w:r w:rsidRPr="00684D52">
        <w:t xml:space="preserve"> </w:t>
      </w:r>
      <w:proofErr w:type="spellStart"/>
      <w:r w:rsidRPr="00684D52">
        <w:t>Manual</w:t>
      </w:r>
      <w:proofErr w:type="spellEnd"/>
      <w:r w:rsidRPr="00684D52">
        <w:t>) | V závorkách je uveden celkový počet článků v daném oboru či podoboru publikovaných v časopisech s IF a zařazených do Q1 a Q2.</w:t>
      </w:r>
    </w:p>
    <w:p w14:paraId="6E3C3319" w14:textId="77777777" w:rsidR="00FD1BF2" w:rsidRPr="004C04FC" w:rsidRDefault="00FD1BF2" w:rsidP="00FD1BF2">
      <w:pPr>
        <w:pStyle w:val="Zdrojapoznmka"/>
        <w:spacing w:before="0" w:after="0" w:line="240" w:lineRule="auto"/>
        <w:rPr>
          <w:highlight w:val="yellow"/>
        </w:rPr>
        <w:sectPr w:rsidR="00FD1BF2" w:rsidRPr="004C04FC" w:rsidSect="00FD1BF2">
          <w:footnotePr>
            <w:numRestart w:val="eachSect"/>
          </w:footnotePr>
          <w:pgSz w:w="16838" w:h="11906" w:orient="landscape"/>
          <w:pgMar w:top="720" w:right="720" w:bottom="720" w:left="720" w:header="708" w:footer="708" w:gutter="0"/>
          <w:cols w:space="708"/>
          <w:docGrid w:linePitch="360"/>
        </w:sectPr>
      </w:pPr>
    </w:p>
    <w:p w14:paraId="52AC69B1" w14:textId="77777777" w:rsidR="00FD1BF2" w:rsidRPr="00684D52" w:rsidRDefault="00FD1BF2" w:rsidP="00FD1BF2">
      <w:pPr>
        <w:pStyle w:val="Obrzek-nadpis"/>
        <w:rPr>
          <w:rFonts w:cs="Arial"/>
        </w:rPr>
      </w:pPr>
      <w:r w:rsidRPr="00684D52">
        <w:lastRenderedPageBreak/>
        <w:t xml:space="preserve">F: Vývoj počtu časopisů ve </w:t>
      </w:r>
      <w:proofErr w:type="spellStart"/>
      <w:r w:rsidRPr="00684D52">
        <w:t>WoS</w:t>
      </w:r>
      <w:proofErr w:type="spellEnd"/>
      <w:r w:rsidRPr="00684D52">
        <w:t xml:space="preserve"> s publikacemi od českých autorů</w:t>
      </w:r>
    </w:p>
    <w:p w14:paraId="3B5F80CB" w14:textId="77777777" w:rsidR="00FD1BF2" w:rsidRPr="00684D52" w:rsidRDefault="00FD1BF2" w:rsidP="00FD1BF2">
      <w:pPr>
        <w:pStyle w:val="Zdrojapoznmka"/>
        <w:jc w:val="center"/>
        <w:rPr>
          <w:rFonts w:cs="Arial"/>
        </w:rPr>
      </w:pPr>
      <w:r w:rsidRPr="00684D52">
        <w:rPr>
          <w:rFonts w:cs="Arial"/>
          <w:noProof/>
        </w:rPr>
        <w:drawing>
          <wp:inline distT="0" distB="0" distL="0" distR="0" wp14:anchorId="0707AC7C" wp14:editId="4C70C98B">
            <wp:extent cx="6120000" cy="2412562"/>
            <wp:effectExtent l="0" t="0" r="0" b="6985"/>
            <wp:docPr id="735244693" name="Obrázek 1" descr="Obsah obrázku text, snímek obrazovky, řada/pruh, Písmo&#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5244693" name="Obrázek 1" descr="Obsah obrázku text, snímek obrazovky, řada/pruh, Písmo&#10;&#10;Obsah generovaný pomocí AI může být nesprávný."/>
                    <pic:cNvPicPr/>
                  </pic:nvPicPr>
                  <pic:blipFill>
                    <a:blip r:embed="rId112"/>
                    <a:stretch>
                      <a:fillRect/>
                    </a:stretch>
                  </pic:blipFill>
                  <pic:spPr>
                    <a:xfrm>
                      <a:off x="0" y="0"/>
                      <a:ext cx="6120000" cy="2412562"/>
                    </a:xfrm>
                    <a:prstGeom prst="rect">
                      <a:avLst/>
                    </a:prstGeom>
                  </pic:spPr>
                </pic:pic>
              </a:graphicData>
            </a:graphic>
          </wp:inline>
        </w:drawing>
      </w:r>
    </w:p>
    <w:p w14:paraId="1CA70685" w14:textId="48021A31" w:rsidR="00DE6820" w:rsidRDefault="00FD1BF2" w:rsidP="00DE6820">
      <w:pPr>
        <w:pStyle w:val="Zdrojapoznmka"/>
      </w:pPr>
      <w:r w:rsidRPr="00684D52">
        <w:t xml:space="preserve">Zdroj: </w:t>
      </w:r>
      <w:proofErr w:type="spellStart"/>
      <w:r w:rsidRPr="00684D52">
        <w:t>WoS</w:t>
      </w:r>
      <w:proofErr w:type="spellEnd"/>
      <w:r w:rsidRPr="00684D52">
        <w:t xml:space="preserve">, zařazeny jsou publikace typu </w:t>
      </w:r>
      <w:proofErr w:type="spellStart"/>
      <w:r w:rsidRPr="00684D52">
        <w:t>article</w:t>
      </w:r>
      <w:proofErr w:type="spellEnd"/>
      <w:r w:rsidRPr="00684D52">
        <w:t xml:space="preserve">, </w:t>
      </w:r>
      <w:proofErr w:type="spellStart"/>
      <w:r w:rsidRPr="00684D52">
        <w:t>review</w:t>
      </w:r>
      <w:proofErr w:type="spellEnd"/>
      <w:r w:rsidRPr="00684D52">
        <w:t xml:space="preserve"> a </w:t>
      </w:r>
      <w:proofErr w:type="spellStart"/>
      <w:r w:rsidRPr="00684D52">
        <w:t>letter</w:t>
      </w:r>
      <w:proofErr w:type="spellEnd"/>
      <w:r w:rsidRPr="00684D52">
        <w:t xml:space="preserve"> za období 2020–2024 v periodikách </w:t>
      </w:r>
      <w:proofErr w:type="spellStart"/>
      <w:r w:rsidRPr="00684D52">
        <w:t>WoS</w:t>
      </w:r>
      <w:proofErr w:type="spellEnd"/>
      <w:r w:rsidRPr="00684D52">
        <w:t xml:space="preserve"> </w:t>
      </w:r>
      <w:proofErr w:type="spellStart"/>
      <w:r w:rsidRPr="00684D52">
        <w:t>Core</w:t>
      </w:r>
      <w:proofErr w:type="spellEnd"/>
      <w:r w:rsidRPr="00684D52">
        <w:t xml:space="preserve"> </w:t>
      </w:r>
      <w:proofErr w:type="spellStart"/>
      <w:r w:rsidRPr="00684D52">
        <w:t>Collection</w:t>
      </w:r>
      <w:proofErr w:type="spellEnd"/>
      <w:r w:rsidRPr="00684D52">
        <w:t>, oborové členění dle OECD (</w:t>
      </w:r>
      <w:proofErr w:type="spellStart"/>
      <w:r w:rsidRPr="00684D52">
        <w:t>Frascati</w:t>
      </w:r>
      <w:proofErr w:type="spellEnd"/>
      <w:r w:rsidRPr="00684D52">
        <w:t xml:space="preserve"> </w:t>
      </w:r>
      <w:proofErr w:type="spellStart"/>
      <w:r w:rsidRPr="00684D52">
        <w:t>Manual</w:t>
      </w:r>
      <w:proofErr w:type="spellEnd"/>
      <w:r w:rsidRPr="00684D52">
        <w:t>)</w:t>
      </w:r>
    </w:p>
    <w:p w14:paraId="3EE0AC92" w14:textId="77777777" w:rsidR="00FA1586" w:rsidRDefault="00FA1586" w:rsidP="0096003C">
      <w:pPr>
        <w:pStyle w:val="Zdrojapoznmka"/>
      </w:pPr>
    </w:p>
    <w:p w14:paraId="096D3681" w14:textId="094BE018" w:rsidR="00FA1586" w:rsidRDefault="00FA1586" w:rsidP="0096003C">
      <w:pPr>
        <w:pStyle w:val="Zdrojapoznmka"/>
        <w:sectPr w:rsidR="00FA1586" w:rsidSect="00B659E0">
          <w:pgSz w:w="11906" w:h="16838"/>
          <w:pgMar w:top="1134" w:right="1418" w:bottom="1134" w:left="1134" w:header="708" w:footer="708" w:gutter="0"/>
          <w:cols w:space="708"/>
          <w:docGrid w:linePitch="360"/>
        </w:sectPr>
      </w:pPr>
    </w:p>
    <w:p w14:paraId="361370A5" w14:textId="77777777" w:rsidR="00FD1BF2" w:rsidRPr="00684D52" w:rsidRDefault="00FD1BF2" w:rsidP="00FD1BF2">
      <w:pPr>
        <w:pStyle w:val="Obrzek-nadpis"/>
        <w:spacing w:before="0" w:after="0"/>
      </w:pPr>
      <w:r w:rsidRPr="00684D52">
        <w:lastRenderedPageBreak/>
        <w:t xml:space="preserve">G: Vývoj citovanosti publikací českých autorů ve </w:t>
      </w:r>
      <w:proofErr w:type="spellStart"/>
      <w:r w:rsidRPr="00684D52">
        <w:t>WoS</w:t>
      </w:r>
      <w:proofErr w:type="spellEnd"/>
      <w:r w:rsidRPr="00684D52">
        <w:t xml:space="preserve"> na úrovni oborových skupin ve srovnání s autory ze zemí EU</w:t>
      </w:r>
    </w:p>
    <w:p w14:paraId="22D52D01" w14:textId="77777777" w:rsidR="00FD1BF2" w:rsidRPr="00684D52" w:rsidRDefault="00FD1BF2" w:rsidP="00FD1BF2">
      <w:pPr>
        <w:pStyle w:val="Zdrojapoznmka"/>
        <w:jc w:val="center"/>
      </w:pPr>
      <w:r w:rsidRPr="00684D52">
        <w:rPr>
          <w:noProof/>
        </w:rPr>
        <w:drawing>
          <wp:inline distT="0" distB="0" distL="0" distR="0" wp14:anchorId="748490DD" wp14:editId="1CB65CCF">
            <wp:extent cx="9000000" cy="5205967"/>
            <wp:effectExtent l="0" t="0" r="0" b="0"/>
            <wp:docPr id="1429187261" name="Obrázek 1" descr="Obsah obrázku text, diagram, řada/pruh, číslo&#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9187261" name="Obrázek 1" descr="Obsah obrázku text, diagram, řada/pruh, číslo&#10;&#10;Obsah generovaný pomocí AI může být nesprávný."/>
                    <pic:cNvPicPr/>
                  </pic:nvPicPr>
                  <pic:blipFill>
                    <a:blip r:embed="rId113"/>
                    <a:stretch>
                      <a:fillRect/>
                    </a:stretch>
                  </pic:blipFill>
                  <pic:spPr>
                    <a:xfrm>
                      <a:off x="0" y="0"/>
                      <a:ext cx="9000000" cy="5205967"/>
                    </a:xfrm>
                    <a:prstGeom prst="rect">
                      <a:avLst/>
                    </a:prstGeom>
                  </pic:spPr>
                </pic:pic>
              </a:graphicData>
            </a:graphic>
          </wp:inline>
        </w:drawing>
      </w:r>
    </w:p>
    <w:p w14:paraId="672C48A4" w14:textId="77777777" w:rsidR="00FD1BF2" w:rsidRPr="00684D52" w:rsidRDefault="00FD1BF2" w:rsidP="00FD1BF2">
      <w:pPr>
        <w:pStyle w:val="Zdrojapoznmka"/>
        <w:spacing w:before="240"/>
      </w:pPr>
      <w:r w:rsidRPr="00684D52">
        <w:t xml:space="preserve">Zdroj: </w:t>
      </w:r>
      <w:proofErr w:type="spellStart"/>
      <w:r w:rsidRPr="00684D52">
        <w:t>WoS</w:t>
      </w:r>
      <w:proofErr w:type="spellEnd"/>
      <w:r w:rsidRPr="00684D52">
        <w:t xml:space="preserve">, zařazeny jsou publikace typu </w:t>
      </w:r>
      <w:proofErr w:type="spellStart"/>
      <w:r w:rsidRPr="00684D52">
        <w:t>article</w:t>
      </w:r>
      <w:proofErr w:type="spellEnd"/>
      <w:r w:rsidRPr="00684D52">
        <w:t xml:space="preserve">, </w:t>
      </w:r>
      <w:proofErr w:type="spellStart"/>
      <w:r w:rsidRPr="00684D52">
        <w:t>review</w:t>
      </w:r>
      <w:proofErr w:type="spellEnd"/>
      <w:r w:rsidRPr="00684D52">
        <w:t xml:space="preserve"> a </w:t>
      </w:r>
      <w:proofErr w:type="spellStart"/>
      <w:r w:rsidRPr="00684D52">
        <w:t>letter</w:t>
      </w:r>
      <w:proofErr w:type="spellEnd"/>
      <w:r w:rsidRPr="00684D52">
        <w:t xml:space="preserve"> za období 2014–2023 v periodikách </w:t>
      </w:r>
      <w:proofErr w:type="spellStart"/>
      <w:r w:rsidRPr="00684D52">
        <w:t>WoS</w:t>
      </w:r>
      <w:proofErr w:type="spellEnd"/>
      <w:r w:rsidRPr="00684D52">
        <w:t xml:space="preserve"> </w:t>
      </w:r>
      <w:proofErr w:type="spellStart"/>
      <w:r w:rsidRPr="00684D52">
        <w:t>Core</w:t>
      </w:r>
      <w:proofErr w:type="spellEnd"/>
      <w:r w:rsidRPr="00684D52">
        <w:t xml:space="preserve"> </w:t>
      </w:r>
      <w:proofErr w:type="spellStart"/>
      <w:r w:rsidRPr="00684D52">
        <w:t>Collection</w:t>
      </w:r>
      <w:proofErr w:type="spellEnd"/>
      <w:r w:rsidRPr="00684D52">
        <w:t>, oborové členění dle OECD (</w:t>
      </w:r>
      <w:proofErr w:type="spellStart"/>
      <w:r w:rsidRPr="00684D52">
        <w:t>Frascati</w:t>
      </w:r>
      <w:proofErr w:type="spellEnd"/>
      <w:r w:rsidRPr="00684D52">
        <w:t xml:space="preserve"> </w:t>
      </w:r>
      <w:proofErr w:type="spellStart"/>
      <w:r w:rsidRPr="00684D52">
        <w:t>Manual</w:t>
      </w:r>
      <w:proofErr w:type="spellEnd"/>
      <w:r w:rsidRPr="00684D52">
        <w:t>) | Započteny jsou publikace, u nichž má alespoň 1 z autorů v adrese uvedenu danou zemi (není zohledněno spoluautorství). NCI jsou stanovena k datu 31. 10. 2025; hodnota y = 1 odpovídá přibližně světovému průměru; značka trojúhelníku reflektuje státy mající procento dokumentů v Top 10 % nejcitovanějších publikací v daném oboru vyšší než 15 %.</w:t>
      </w:r>
    </w:p>
    <w:p w14:paraId="28EBAE25" w14:textId="77777777" w:rsidR="00FD1BF2" w:rsidRPr="004C04FC" w:rsidRDefault="00FD1BF2" w:rsidP="00FD1BF2">
      <w:pPr>
        <w:pStyle w:val="Zdrojapoznmka"/>
        <w:rPr>
          <w:highlight w:val="yellow"/>
        </w:rPr>
        <w:sectPr w:rsidR="00FD1BF2" w:rsidRPr="004C04FC" w:rsidSect="00FD1BF2">
          <w:footnotePr>
            <w:numRestart w:val="eachSect"/>
          </w:footnotePr>
          <w:pgSz w:w="16838" w:h="11906" w:orient="landscape"/>
          <w:pgMar w:top="720" w:right="720" w:bottom="720" w:left="720" w:header="708" w:footer="708" w:gutter="0"/>
          <w:cols w:space="708"/>
          <w:docGrid w:linePitch="360"/>
        </w:sectPr>
      </w:pPr>
    </w:p>
    <w:p w14:paraId="0AA14520" w14:textId="77777777" w:rsidR="00FD1BF2" w:rsidRPr="00684D52" w:rsidRDefault="00FD1BF2" w:rsidP="00FD1BF2">
      <w:pPr>
        <w:pStyle w:val="Obrzek-nadpis"/>
        <w:spacing w:before="0" w:after="0"/>
      </w:pPr>
      <w:r w:rsidRPr="00684D52">
        <w:lastRenderedPageBreak/>
        <w:t>H: Mezinárodní srovnání kvality publikací v oborových skupinách v ČR dle citačního ohlasu periodik</w:t>
      </w:r>
    </w:p>
    <w:p w14:paraId="67E5975E" w14:textId="77777777" w:rsidR="00FD1BF2" w:rsidRPr="00684D52" w:rsidRDefault="00FD1BF2" w:rsidP="00FD1BF2">
      <w:pPr>
        <w:pStyle w:val="Obrzek-nadpis"/>
        <w:spacing w:before="0" w:after="0"/>
        <w:jc w:val="center"/>
      </w:pPr>
      <w:r>
        <w:rPr>
          <w:noProof/>
        </w:rPr>
        <w:drawing>
          <wp:inline distT="0" distB="0" distL="0" distR="0" wp14:anchorId="48FC0DC0" wp14:editId="08A84D21">
            <wp:extent cx="5939790" cy="2491105"/>
            <wp:effectExtent l="0" t="0" r="0" b="4445"/>
            <wp:docPr id="152278671" name="Graf 1">
              <a:extLst xmlns:a="http://schemas.openxmlformats.org/drawingml/2006/main">
                <a:ext uri="{FF2B5EF4-FFF2-40B4-BE49-F238E27FC236}">
                  <a16:creationId xmlns:a16="http://schemas.microsoft.com/office/drawing/2014/main" id="{48BB167C-25EF-426B-B29F-8C1598598D5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4"/>
              </a:graphicData>
            </a:graphic>
          </wp:inline>
        </w:drawing>
      </w:r>
    </w:p>
    <w:p w14:paraId="6DECDA92" w14:textId="77777777" w:rsidR="00FD1BF2" w:rsidRPr="00684D52" w:rsidRDefault="00FD1BF2" w:rsidP="00FD1BF2">
      <w:pPr>
        <w:pStyle w:val="Obrzek-nadpis"/>
        <w:spacing w:before="0" w:after="0"/>
        <w:jc w:val="center"/>
      </w:pPr>
      <w:r>
        <w:rPr>
          <w:noProof/>
        </w:rPr>
        <w:drawing>
          <wp:inline distT="0" distB="0" distL="0" distR="0" wp14:anchorId="3BA39E51" wp14:editId="0EFD4D2A">
            <wp:extent cx="5939790" cy="2491740"/>
            <wp:effectExtent l="0" t="0" r="0" b="3810"/>
            <wp:docPr id="1445456597" name="Graf 1">
              <a:extLst xmlns:a="http://schemas.openxmlformats.org/drawingml/2006/main">
                <a:ext uri="{FF2B5EF4-FFF2-40B4-BE49-F238E27FC236}">
                  <a16:creationId xmlns:a16="http://schemas.microsoft.com/office/drawing/2014/main" id="{48BB167C-25EF-426B-B29F-8C1598598D5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5"/>
              </a:graphicData>
            </a:graphic>
          </wp:inline>
        </w:drawing>
      </w:r>
    </w:p>
    <w:p w14:paraId="328A02AF" w14:textId="77777777" w:rsidR="00FD1BF2" w:rsidRPr="00684D52" w:rsidRDefault="00FD1BF2" w:rsidP="00FD1BF2">
      <w:pPr>
        <w:pStyle w:val="Obrzek-nadpis"/>
        <w:spacing w:before="0" w:after="0"/>
        <w:jc w:val="center"/>
      </w:pPr>
      <w:r>
        <w:rPr>
          <w:noProof/>
        </w:rPr>
        <w:drawing>
          <wp:inline distT="0" distB="0" distL="0" distR="0" wp14:anchorId="2685FF87" wp14:editId="7DA8AB84">
            <wp:extent cx="5557226" cy="2857744"/>
            <wp:effectExtent l="0" t="0" r="0" b="0"/>
            <wp:docPr id="622952811" name="Graf 1">
              <a:extLst xmlns:a="http://schemas.openxmlformats.org/drawingml/2006/main">
                <a:ext uri="{FF2B5EF4-FFF2-40B4-BE49-F238E27FC236}">
                  <a16:creationId xmlns:a16="http://schemas.microsoft.com/office/drawing/2014/main" id="{48BB167C-25EF-426B-B29F-8C1598598D5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6"/>
              </a:graphicData>
            </a:graphic>
          </wp:inline>
        </w:drawing>
      </w:r>
    </w:p>
    <w:p w14:paraId="7395BFEC" w14:textId="77777777" w:rsidR="00FD1BF2" w:rsidRPr="00684D52" w:rsidRDefault="00FD1BF2" w:rsidP="00FD1BF2">
      <w:pPr>
        <w:pStyle w:val="Obrzek-nadpis"/>
        <w:spacing w:before="0" w:after="0"/>
        <w:jc w:val="center"/>
      </w:pPr>
      <w:r>
        <w:rPr>
          <w:noProof/>
        </w:rPr>
        <w:lastRenderedPageBreak/>
        <w:drawing>
          <wp:inline distT="0" distB="0" distL="0" distR="0" wp14:anchorId="4AC8E01D" wp14:editId="174A8770">
            <wp:extent cx="5939790" cy="2491105"/>
            <wp:effectExtent l="0" t="0" r="0" b="4445"/>
            <wp:docPr id="874990792" name="Graf 1">
              <a:extLst xmlns:a="http://schemas.openxmlformats.org/drawingml/2006/main">
                <a:ext uri="{FF2B5EF4-FFF2-40B4-BE49-F238E27FC236}">
                  <a16:creationId xmlns:a16="http://schemas.microsoft.com/office/drawing/2014/main" id="{48BB167C-25EF-426B-B29F-8C1598598D5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7"/>
              </a:graphicData>
            </a:graphic>
          </wp:inline>
        </w:drawing>
      </w:r>
    </w:p>
    <w:p w14:paraId="52F0C475" w14:textId="77777777" w:rsidR="00FD1BF2" w:rsidRPr="00684D52" w:rsidRDefault="00FD1BF2" w:rsidP="00FD1BF2">
      <w:pPr>
        <w:pStyle w:val="Obrzek-nadpis"/>
        <w:spacing w:before="0" w:after="0"/>
        <w:jc w:val="center"/>
      </w:pPr>
      <w:r w:rsidRPr="00684D52">
        <w:rPr>
          <w:noProof/>
        </w:rPr>
        <w:drawing>
          <wp:anchor distT="0" distB="0" distL="114300" distR="114300" simplePos="0" relativeHeight="251706880" behindDoc="0" locked="0" layoutInCell="1" allowOverlap="1" wp14:anchorId="213A916E" wp14:editId="6E2E0A0B">
            <wp:simplePos x="0" y="0"/>
            <wp:positionH relativeFrom="column">
              <wp:posOffset>623211</wp:posOffset>
            </wp:positionH>
            <wp:positionV relativeFrom="paragraph">
              <wp:posOffset>5085025</wp:posOffset>
            </wp:positionV>
            <wp:extent cx="4641887" cy="144000"/>
            <wp:effectExtent l="0" t="0" r="0" b="8890"/>
            <wp:wrapNone/>
            <wp:docPr id="762" name="Obrázek 762"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 name="Obrázek 762" descr="Obsah obrázku text&#10;&#10;Popis byl vytvořen automaticky"/>
                    <pic:cNvPicPr>
                      <a:picLocks noChangeAspect="1" noChangeArrowheads="1"/>
                    </pic:cNvPicPr>
                  </pic:nvPicPr>
                  <pic:blipFill rotWithShape="1">
                    <a:blip r:embed="rId118">
                      <a:extLst>
                        <a:ext uri="{28A0092B-C50C-407E-A947-70E740481C1C}">
                          <a14:useLocalDpi xmlns:a14="http://schemas.microsoft.com/office/drawing/2010/main" val="0"/>
                        </a:ext>
                      </a:extLst>
                    </a:blip>
                    <a:srcRect t="2145" b="93324"/>
                    <a:stretch/>
                  </pic:blipFill>
                  <pic:spPr bwMode="auto">
                    <a:xfrm>
                      <a:off x="0" y="0"/>
                      <a:ext cx="4641887" cy="1440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inline distT="0" distB="0" distL="0" distR="0" wp14:anchorId="509759DF" wp14:editId="595F9B33">
            <wp:extent cx="5939790" cy="2491105"/>
            <wp:effectExtent l="0" t="0" r="0" b="4445"/>
            <wp:docPr id="677556898" name="Graf 1">
              <a:extLst xmlns:a="http://schemas.openxmlformats.org/drawingml/2006/main">
                <a:ext uri="{FF2B5EF4-FFF2-40B4-BE49-F238E27FC236}">
                  <a16:creationId xmlns:a16="http://schemas.microsoft.com/office/drawing/2014/main" id="{48BB167C-25EF-426B-B29F-8C1598598D5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9"/>
              </a:graphicData>
            </a:graphic>
          </wp:inline>
        </w:drawing>
      </w:r>
      <w:r>
        <w:rPr>
          <w:noProof/>
        </w:rPr>
        <w:drawing>
          <wp:inline distT="0" distB="0" distL="0" distR="0" wp14:anchorId="43D1CF8A" wp14:editId="6313BD11">
            <wp:extent cx="5939790" cy="2687540"/>
            <wp:effectExtent l="0" t="0" r="0" b="0"/>
            <wp:docPr id="1470258529" name="Graf 1">
              <a:extLst xmlns:a="http://schemas.openxmlformats.org/drawingml/2006/main">
                <a:ext uri="{FF2B5EF4-FFF2-40B4-BE49-F238E27FC236}">
                  <a16:creationId xmlns:a16="http://schemas.microsoft.com/office/drawing/2014/main" id="{48BB167C-25EF-426B-B29F-8C1598598D5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0"/>
              </a:graphicData>
            </a:graphic>
          </wp:inline>
        </w:drawing>
      </w:r>
    </w:p>
    <w:p w14:paraId="79ADA2ED" w14:textId="77777777" w:rsidR="00FD1BF2" w:rsidRPr="00684D52" w:rsidRDefault="00FD1BF2" w:rsidP="00FD1BF2">
      <w:pPr>
        <w:pStyle w:val="Zdrojapoznmka"/>
      </w:pPr>
      <w:r w:rsidRPr="00684D52">
        <w:t xml:space="preserve">Zdroj: </w:t>
      </w:r>
      <w:proofErr w:type="spellStart"/>
      <w:r w:rsidRPr="00684D52">
        <w:t>WoS</w:t>
      </w:r>
      <w:proofErr w:type="spellEnd"/>
      <w:r w:rsidRPr="00684D52">
        <w:t xml:space="preserve">, zařazeny jsou publikace typu </w:t>
      </w:r>
      <w:proofErr w:type="spellStart"/>
      <w:r w:rsidRPr="00684D52">
        <w:t>article</w:t>
      </w:r>
      <w:proofErr w:type="spellEnd"/>
      <w:r w:rsidRPr="00684D52">
        <w:t>, </w:t>
      </w:r>
      <w:proofErr w:type="spellStart"/>
      <w:r w:rsidRPr="00684D52">
        <w:t>review</w:t>
      </w:r>
      <w:proofErr w:type="spellEnd"/>
      <w:r w:rsidRPr="00684D52">
        <w:t xml:space="preserve"> a </w:t>
      </w:r>
      <w:proofErr w:type="spellStart"/>
      <w:r w:rsidRPr="00684D52">
        <w:t>letter</w:t>
      </w:r>
      <w:proofErr w:type="spellEnd"/>
      <w:r w:rsidRPr="00684D52">
        <w:t xml:space="preserve"> za období 2020–2024 v periodikách </w:t>
      </w:r>
      <w:proofErr w:type="spellStart"/>
      <w:r w:rsidRPr="00684D52">
        <w:t>WoS</w:t>
      </w:r>
      <w:proofErr w:type="spellEnd"/>
      <w:r w:rsidRPr="00684D52">
        <w:t xml:space="preserve"> </w:t>
      </w:r>
      <w:proofErr w:type="spellStart"/>
      <w:r w:rsidRPr="00684D52">
        <w:t>Core</w:t>
      </w:r>
      <w:proofErr w:type="spellEnd"/>
      <w:r w:rsidRPr="00684D52">
        <w:t xml:space="preserve"> </w:t>
      </w:r>
      <w:proofErr w:type="spellStart"/>
      <w:r w:rsidRPr="00684D52">
        <w:t>Collection</w:t>
      </w:r>
      <w:proofErr w:type="spellEnd"/>
      <w:r w:rsidRPr="00684D52">
        <w:t xml:space="preserve"> | Jedná se o publikace, u kterých má alespoň jeden z autorů v adrese uvedeno „Czech“. Počty tedy nezohledňují spoluautorství. V případě, že </w:t>
      </w:r>
      <w:proofErr w:type="spellStart"/>
      <w:r w:rsidRPr="00684D52">
        <w:t>WoS</w:t>
      </w:r>
      <w:proofErr w:type="spellEnd"/>
      <w:r w:rsidRPr="00684D52">
        <w:t xml:space="preserve"> řadí časopis do více oborů, je výsledek započítán v každém z oborů. Pro mezinárodní srovnání byly použity údaje z jiných středně velkých zemí, ve kterých mateřským jazykem není angličtina (kromě Nového Zélandu). Počty článků jsou uvedeny v závorce v tisících. Srovnání nezohledňuje různou úroveň podpory </w:t>
      </w:r>
      <w:proofErr w:type="spellStart"/>
      <w:r w:rsidRPr="00684D52">
        <w:t>VaV</w:t>
      </w:r>
      <w:proofErr w:type="spellEnd"/>
      <w:r w:rsidRPr="00684D52">
        <w:t xml:space="preserve"> v jednotlivých oblastech a nevyjadřuje tedy produktivitu </w:t>
      </w:r>
      <w:proofErr w:type="spellStart"/>
      <w:r w:rsidRPr="00684D52">
        <w:t>VaV</w:t>
      </w:r>
      <w:proofErr w:type="spellEnd"/>
      <w:r w:rsidRPr="00684D52">
        <w:t xml:space="preserve">; nezohledňuje také význam impaktovaných časopisů, které jsou vydávány v ČR. Procento publikací v TOP 10 % nejcitovanějších publikací je normalizováno metrikou publikovanou </w:t>
      </w:r>
      <w:proofErr w:type="spellStart"/>
      <w:r w:rsidRPr="00684D52">
        <w:t>WoS</w:t>
      </w:r>
      <w:proofErr w:type="spellEnd"/>
      <w:r w:rsidRPr="00684D52">
        <w:t xml:space="preserve"> odrážející výkonnost z pohledu citovanosti daného oboru, v daném roce a pro daný typ dokumentu.</w:t>
      </w:r>
    </w:p>
    <w:p w14:paraId="155069EB" w14:textId="77777777" w:rsidR="00FD1BF2" w:rsidRPr="004C04FC" w:rsidRDefault="00FD1BF2" w:rsidP="00FD1BF2">
      <w:pPr>
        <w:pStyle w:val="Zdrojapoznmka"/>
        <w:rPr>
          <w:highlight w:val="yellow"/>
        </w:rPr>
        <w:sectPr w:rsidR="00FD1BF2" w:rsidRPr="004C04FC" w:rsidSect="00FD1BF2">
          <w:footnotePr>
            <w:numRestart w:val="eachSect"/>
          </w:footnotePr>
          <w:pgSz w:w="11906" w:h="16838"/>
          <w:pgMar w:top="1134" w:right="1418" w:bottom="1134" w:left="1134" w:header="708" w:footer="708" w:gutter="0"/>
          <w:cols w:space="708"/>
          <w:docGrid w:linePitch="360"/>
        </w:sectPr>
      </w:pPr>
    </w:p>
    <w:p w14:paraId="68C5C790" w14:textId="77777777" w:rsidR="00FD1BF2" w:rsidRPr="00095E50" w:rsidRDefault="00FD1BF2" w:rsidP="00FD1BF2">
      <w:pPr>
        <w:pStyle w:val="Obrzek-nadpis"/>
        <w:spacing w:before="0" w:after="0"/>
      </w:pPr>
      <w:r w:rsidRPr="00095E50">
        <w:lastRenderedPageBreak/>
        <w:t>I: Publikace domácích autorů vytvořené ve spolupráci se zahraničními partnery – srovnání ČR s vybranými státy (2020–2024)</w:t>
      </w:r>
    </w:p>
    <w:p w14:paraId="043E1222" w14:textId="0200E8F4" w:rsidR="00FD1BF2" w:rsidRPr="00095E50" w:rsidRDefault="00FD1BF2" w:rsidP="00FD1BF2">
      <w:pPr>
        <w:pStyle w:val="Obrzek-nadpis"/>
        <w:spacing w:before="0" w:after="0"/>
      </w:pPr>
    </w:p>
    <w:p w14:paraId="5C4A420B" w14:textId="77777777" w:rsidR="00FD1BF2" w:rsidRPr="00095E50" w:rsidRDefault="00FD1BF2" w:rsidP="00FD1BF2">
      <w:pPr>
        <w:pStyle w:val="Obrzek-nadpis"/>
        <w:spacing w:before="0" w:after="0"/>
        <w:jc w:val="center"/>
      </w:pPr>
      <w:r w:rsidRPr="00095E50">
        <w:rPr>
          <w:noProof/>
        </w:rPr>
        <w:drawing>
          <wp:inline distT="0" distB="0" distL="0" distR="0" wp14:anchorId="221E4132" wp14:editId="675380A8">
            <wp:extent cx="7608931" cy="5419725"/>
            <wp:effectExtent l="0" t="0" r="0" b="0"/>
            <wp:docPr id="827955586" name="Obrázek 1" descr="Obsah obrázku kruh, snímek obrazovky, ilustrace&#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7955586" name="Obrázek 1" descr="Obsah obrázku kruh, snímek obrazovky, ilustrace&#10;&#10;Obsah generovaný pomocí AI může být nesprávný."/>
                    <pic:cNvPicPr/>
                  </pic:nvPicPr>
                  <pic:blipFill>
                    <a:blip r:embed="rId121"/>
                    <a:stretch>
                      <a:fillRect/>
                    </a:stretch>
                  </pic:blipFill>
                  <pic:spPr>
                    <a:xfrm>
                      <a:off x="0" y="0"/>
                      <a:ext cx="7617699" cy="5425971"/>
                    </a:xfrm>
                    <a:prstGeom prst="rect">
                      <a:avLst/>
                    </a:prstGeom>
                  </pic:spPr>
                </pic:pic>
              </a:graphicData>
            </a:graphic>
          </wp:inline>
        </w:drawing>
      </w:r>
    </w:p>
    <w:p w14:paraId="27D499D5" w14:textId="77777777" w:rsidR="00FD1BF2" w:rsidRDefault="00FD1BF2" w:rsidP="00FD1BF2">
      <w:pPr>
        <w:pStyle w:val="Zdrojapoznmka"/>
        <w:rPr>
          <w:b/>
          <w:i w:val="0"/>
        </w:rPr>
      </w:pPr>
      <w:r w:rsidRPr="00095E50">
        <w:t xml:space="preserve">Zdroj: </w:t>
      </w:r>
      <w:proofErr w:type="spellStart"/>
      <w:r w:rsidRPr="00095E50">
        <w:t>WoS</w:t>
      </w:r>
      <w:proofErr w:type="spellEnd"/>
      <w:r w:rsidRPr="00095E50">
        <w:t xml:space="preserve">, zařazeny jsou publikace typu </w:t>
      </w:r>
      <w:proofErr w:type="spellStart"/>
      <w:r w:rsidRPr="00095E50">
        <w:t>article</w:t>
      </w:r>
      <w:proofErr w:type="spellEnd"/>
      <w:r w:rsidRPr="00095E50">
        <w:t>, </w:t>
      </w:r>
      <w:proofErr w:type="spellStart"/>
      <w:r w:rsidRPr="00095E50">
        <w:t>review</w:t>
      </w:r>
      <w:proofErr w:type="spellEnd"/>
      <w:r w:rsidRPr="00095E50">
        <w:t xml:space="preserve"> a </w:t>
      </w:r>
      <w:proofErr w:type="spellStart"/>
      <w:r w:rsidRPr="00095E50">
        <w:t>letter</w:t>
      </w:r>
      <w:proofErr w:type="spellEnd"/>
      <w:r w:rsidRPr="00095E50">
        <w:t xml:space="preserve"> za období 2020–2024 v periodikách </w:t>
      </w:r>
      <w:proofErr w:type="spellStart"/>
      <w:r w:rsidRPr="00095E50">
        <w:t>WoS</w:t>
      </w:r>
      <w:proofErr w:type="spellEnd"/>
      <w:r w:rsidRPr="00095E50">
        <w:t xml:space="preserve"> </w:t>
      </w:r>
      <w:proofErr w:type="spellStart"/>
      <w:r w:rsidRPr="00095E50">
        <w:t>Core</w:t>
      </w:r>
      <w:proofErr w:type="spellEnd"/>
      <w:r w:rsidRPr="00095E50">
        <w:t xml:space="preserve"> </w:t>
      </w:r>
      <w:proofErr w:type="spellStart"/>
      <w:r w:rsidRPr="00095E50">
        <w:t>Collection</w:t>
      </w:r>
      <w:proofErr w:type="spellEnd"/>
      <w:r w:rsidRPr="00095E50">
        <w:t>, oborové členění dle OECD (</w:t>
      </w:r>
      <w:proofErr w:type="spellStart"/>
      <w:r w:rsidRPr="00095E50">
        <w:t>Frascati</w:t>
      </w:r>
      <w:proofErr w:type="spellEnd"/>
      <w:r w:rsidRPr="00095E50">
        <w:t xml:space="preserve"> </w:t>
      </w:r>
      <w:proofErr w:type="spellStart"/>
      <w:r w:rsidRPr="00095E50">
        <w:t>Manual</w:t>
      </w:r>
      <w:proofErr w:type="spellEnd"/>
      <w:r w:rsidRPr="00095E50">
        <w:t>) | V bublinách jsou uvedeny počty publikací vytvořených v letech 2020–2024, u kterých je v autorském kolektivu tvůrce z domácí země spolu s tvůrcem ze spolupracující země.</w:t>
      </w:r>
    </w:p>
    <w:p w14:paraId="0D911EAF" w14:textId="5F100EE2" w:rsidR="00FD1BF2" w:rsidRDefault="00FD1BF2" w:rsidP="00FA1586">
      <w:pPr>
        <w:pStyle w:val="Zdrojapoznmka"/>
        <w:sectPr w:rsidR="00FD1BF2" w:rsidSect="00B659E0">
          <w:headerReference w:type="even" r:id="rId122"/>
          <w:headerReference w:type="default" r:id="rId123"/>
          <w:headerReference w:type="first" r:id="rId124"/>
          <w:pgSz w:w="16838" w:h="11906" w:orient="landscape"/>
          <w:pgMar w:top="720" w:right="720" w:bottom="720" w:left="720" w:header="708" w:footer="708" w:gutter="0"/>
          <w:cols w:space="708"/>
          <w:docGrid w:linePitch="360"/>
        </w:sectPr>
      </w:pPr>
    </w:p>
    <w:p w14:paraId="4354E5A0" w14:textId="49838732" w:rsidR="00D64E25" w:rsidRDefault="00D64E25" w:rsidP="00D64E25">
      <w:pPr>
        <w:pStyle w:val="Plohanadpis"/>
        <w:pageBreakBefore/>
      </w:pPr>
      <w:bookmarkStart w:id="71" w:name="_Toc215589329"/>
      <w:r w:rsidRPr="00F27262">
        <w:lastRenderedPageBreak/>
        <w:t>P. E.</w:t>
      </w:r>
      <w:r w:rsidR="0087090D">
        <w:t>4</w:t>
      </w:r>
      <w:r w:rsidRPr="00F27262">
        <w:t xml:space="preserve"> </w:t>
      </w:r>
      <w:r>
        <w:t>Transfer technologií a znalostí</w:t>
      </w:r>
      <w:bookmarkEnd w:id="71"/>
    </w:p>
    <w:p w14:paraId="18216A53" w14:textId="0D7AA2E6" w:rsidR="00B83532" w:rsidRPr="00B83532" w:rsidRDefault="00B83532" w:rsidP="00B83532">
      <w:pPr>
        <w:rPr>
          <w:lang w:eastAsia="cs-CZ"/>
        </w:rPr>
      </w:pPr>
      <w:r w:rsidRPr="00B83532">
        <w:rPr>
          <w:highlight w:val="yellow"/>
          <w:lang w:eastAsia="cs-CZ"/>
        </w:rPr>
        <w:t>Bude aktualizováno.</w:t>
      </w:r>
    </w:p>
    <w:p w14:paraId="0D3B0917" w14:textId="6F3BC34F" w:rsidR="004B47EE" w:rsidRDefault="004B47EE" w:rsidP="004B47EE">
      <w:pPr>
        <w:pStyle w:val="Obrzek-nadpis"/>
        <w:spacing w:before="0" w:after="0"/>
      </w:pPr>
      <w:r>
        <w:t>A:</w:t>
      </w:r>
      <w:r w:rsidRPr="00FB308B">
        <w:t xml:space="preserve"> </w:t>
      </w:r>
      <w:r>
        <w:t>Počet poskytovatelů patentových licencí a výše přijatých licenčních poplatků (v mil. Kč)</w:t>
      </w:r>
    </w:p>
    <w:p w14:paraId="2CD86224" w14:textId="225E3684" w:rsidR="004B47EE" w:rsidRDefault="00615101" w:rsidP="004B47EE">
      <w:pPr>
        <w:pStyle w:val="Obrzek-nadpis"/>
        <w:spacing w:before="0" w:after="0"/>
        <w:jc w:val="center"/>
      </w:pPr>
      <w:r>
        <w:rPr>
          <w:noProof/>
        </w:rPr>
        <w:drawing>
          <wp:inline distT="0" distB="0" distL="0" distR="0" wp14:anchorId="135E1828" wp14:editId="2234B3C9">
            <wp:extent cx="4886960" cy="2820035"/>
            <wp:effectExtent l="0" t="0" r="8890" b="0"/>
            <wp:docPr id="1345743770" name="Obrázek 1345743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4886960" cy="2820035"/>
                    </a:xfrm>
                    <a:prstGeom prst="rect">
                      <a:avLst/>
                    </a:prstGeom>
                    <a:noFill/>
                  </pic:spPr>
                </pic:pic>
              </a:graphicData>
            </a:graphic>
          </wp:inline>
        </w:drawing>
      </w:r>
    </w:p>
    <w:p w14:paraId="0439CE0E" w14:textId="77777777" w:rsidR="004B47EE" w:rsidRDefault="004B47EE" w:rsidP="00582907">
      <w:pPr>
        <w:pStyle w:val="Obrzek-nadpis"/>
        <w:keepNext w:val="0"/>
        <w:spacing w:before="0" w:after="480"/>
        <w:rPr>
          <w:b w:val="0"/>
          <w:i/>
          <w:sz w:val="18"/>
        </w:rPr>
      </w:pPr>
      <w:r w:rsidRPr="00780F6F">
        <w:rPr>
          <w:b w:val="0"/>
          <w:i/>
          <w:sz w:val="18"/>
        </w:rPr>
        <w:t xml:space="preserve">Zdroj: </w:t>
      </w:r>
      <w:r>
        <w:rPr>
          <w:b w:val="0"/>
          <w:i/>
          <w:sz w:val="18"/>
        </w:rPr>
        <w:t>ČSÚ</w:t>
      </w:r>
    </w:p>
    <w:p w14:paraId="25AA83D0" w14:textId="44803D0F" w:rsidR="00796B45" w:rsidRDefault="00F335B8" w:rsidP="003B3096">
      <w:pPr>
        <w:pStyle w:val="Obrzek-nadpis"/>
        <w:spacing w:before="0" w:after="0"/>
      </w:pPr>
      <w:r>
        <w:t>B</w:t>
      </w:r>
      <w:r w:rsidR="00F62E46">
        <w:t>:</w:t>
      </w:r>
      <w:r w:rsidR="00C32CF2">
        <w:t xml:space="preserve"> </w:t>
      </w:r>
      <w:r w:rsidR="00C32CF2" w:rsidRPr="00C32CF2">
        <w:t>Míra podnikání žen v členských státech EU</w:t>
      </w:r>
    </w:p>
    <w:p w14:paraId="0E6CF4D2" w14:textId="591D5C8B" w:rsidR="00C32CF2" w:rsidRDefault="00E71F81" w:rsidP="003B3096">
      <w:pPr>
        <w:pStyle w:val="Obrzek-nadpis"/>
        <w:spacing w:before="0" w:after="0"/>
      </w:pPr>
      <w:r>
        <w:rPr>
          <w:noProof/>
        </w:rPr>
        <w:drawing>
          <wp:inline distT="0" distB="0" distL="0" distR="0" wp14:anchorId="56742785" wp14:editId="4A9AD3E7">
            <wp:extent cx="6143625" cy="3639185"/>
            <wp:effectExtent l="0" t="0" r="0" b="0"/>
            <wp:docPr id="1430741816" name="Graf 1">
              <a:extLst xmlns:a="http://schemas.openxmlformats.org/drawingml/2006/main">
                <a:ext uri="{FF2B5EF4-FFF2-40B4-BE49-F238E27FC236}">
                  <a16:creationId xmlns:a16="http://schemas.microsoft.com/office/drawing/2014/main" id="{605B9DE6-BEE2-2124-8C80-B657A340D09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6"/>
              </a:graphicData>
            </a:graphic>
          </wp:inline>
        </w:drawing>
      </w:r>
    </w:p>
    <w:p w14:paraId="7E3719EA" w14:textId="31E69AEF" w:rsidR="00457361" w:rsidRDefault="00C32CF2" w:rsidP="005449AF">
      <w:pPr>
        <w:pStyle w:val="Obrzek-nadpis"/>
        <w:keepNext w:val="0"/>
        <w:spacing w:after="0"/>
        <w:rPr>
          <w:b w:val="0"/>
          <w:i/>
          <w:sz w:val="18"/>
        </w:rPr>
      </w:pPr>
      <w:r w:rsidRPr="00780F6F">
        <w:rPr>
          <w:b w:val="0"/>
          <w:i/>
          <w:sz w:val="18"/>
        </w:rPr>
        <w:t xml:space="preserve">Zdroj: </w:t>
      </w:r>
      <w:proofErr w:type="spellStart"/>
      <w:r w:rsidRPr="00780F6F">
        <w:rPr>
          <w:b w:val="0"/>
          <w:i/>
          <w:sz w:val="18"/>
        </w:rPr>
        <w:t>Eurostat</w:t>
      </w:r>
      <w:proofErr w:type="spellEnd"/>
      <w:r w:rsidR="00457361">
        <w:rPr>
          <w:b w:val="0"/>
          <w:i/>
          <w:sz w:val="18"/>
        </w:rPr>
        <w:t xml:space="preserve"> (</w:t>
      </w:r>
      <w:r w:rsidR="00964D89">
        <w:rPr>
          <w:b w:val="0"/>
          <w:i/>
          <w:sz w:val="18"/>
        </w:rPr>
        <w:t xml:space="preserve">online data </w:t>
      </w:r>
      <w:proofErr w:type="spellStart"/>
      <w:r w:rsidR="00964D89">
        <w:rPr>
          <w:b w:val="0"/>
          <w:i/>
          <w:sz w:val="18"/>
        </w:rPr>
        <w:t>code</w:t>
      </w:r>
      <w:proofErr w:type="spellEnd"/>
      <w:r w:rsidR="00964D89">
        <w:rPr>
          <w:b w:val="0"/>
          <w:i/>
          <w:sz w:val="18"/>
        </w:rPr>
        <w:t xml:space="preserve">: </w:t>
      </w:r>
      <w:r w:rsidR="00457361" w:rsidRPr="00457361">
        <w:rPr>
          <w:b w:val="0"/>
          <w:i/>
          <w:sz w:val="18"/>
        </w:rPr>
        <w:t>lfsa_esgan2__custom_15086713</w:t>
      </w:r>
      <w:r w:rsidR="00457361">
        <w:rPr>
          <w:b w:val="0"/>
          <w:i/>
          <w:sz w:val="18"/>
        </w:rPr>
        <w:t>)</w:t>
      </w:r>
    </w:p>
    <w:sectPr w:rsidR="00457361" w:rsidSect="00B659E0">
      <w:pgSz w:w="11906" w:h="16838"/>
      <w:pgMar w:top="1134" w:right="1418"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AB8994" w14:textId="77777777" w:rsidR="00791551" w:rsidRDefault="00791551" w:rsidP="000822A0">
      <w:pPr>
        <w:spacing w:after="0" w:line="240" w:lineRule="auto"/>
      </w:pPr>
      <w:r>
        <w:separator/>
      </w:r>
    </w:p>
    <w:p w14:paraId="61C9C1E3" w14:textId="77777777" w:rsidR="00791551" w:rsidRDefault="00791551"/>
  </w:endnote>
  <w:endnote w:type="continuationSeparator" w:id="0">
    <w:p w14:paraId="2EA47B36" w14:textId="77777777" w:rsidR="00791551" w:rsidRDefault="00791551" w:rsidP="000822A0">
      <w:pPr>
        <w:spacing w:after="0" w:line="240" w:lineRule="auto"/>
      </w:pPr>
      <w:r>
        <w:continuationSeparator/>
      </w:r>
    </w:p>
    <w:p w14:paraId="771785A1" w14:textId="77777777" w:rsidR="00791551" w:rsidRDefault="00791551"/>
  </w:endnote>
  <w:endnote w:type="continuationNotice" w:id="1">
    <w:p w14:paraId="12AAD4E2" w14:textId="77777777" w:rsidR="00791551" w:rsidRDefault="00791551">
      <w:pPr>
        <w:spacing w:after="0" w:line="240" w:lineRule="auto"/>
      </w:pPr>
    </w:p>
    <w:p w14:paraId="3EB59D4C" w14:textId="77777777" w:rsidR="00791551" w:rsidRDefault="0079155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altName w:val="Tahoma"/>
    <w:panose1 w:val="020B0604030504040204"/>
    <w:charset w:val="EE"/>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StradaPro-Semibd">
    <w:altName w:val="Arial"/>
    <w:panose1 w:val="00000000000000000000"/>
    <w:charset w:val="00"/>
    <w:family w:val="swiss"/>
    <w:notTrueType/>
    <w:pitch w:val="default"/>
    <w:sig w:usb0="00000003" w:usb1="00000000" w:usb2="00000000" w:usb3="00000000" w:csb0="00000001" w:csb1="00000000"/>
  </w:font>
  <w:font w:name="HelveticaNeueLT Pro 65 Md">
    <w:altName w:val="Arial"/>
    <w:panose1 w:val="00000000000000000000"/>
    <w:charset w:val="00"/>
    <w:family w:val="swiss"/>
    <w:notTrueType/>
    <w:pitch w:val="default"/>
    <w:sig w:usb0="00000001" w:usb1="00000000" w:usb2="00000000" w:usb3="00000000" w:csb0="00000003" w:csb1="00000000"/>
  </w:font>
  <w:font w:name="HelveticaNeueLT Pro 55 Roman">
    <w:altName w:val="Arial"/>
    <w:panose1 w:val="00000000000000000000"/>
    <w:charset w:val="EE"/>
    <w:family w:val="swiss"/>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2905BC" w14:textId="77777777" w:rsidR="00693C1A" w:rsidRDefault="00693C1A">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95626650"/>
      <w:docPartObj>
        <w:docPartGallery w:val="Page Numbers (Bottom of Page)"/>
        <w:docPartUnique/>
      </w:docPartObj>
    </w:sdtPr>
    <w:sdtContent>
      <w:sdt>
        <w:sdtPr>
          <w:id w:val="-1669238322"/>
          <w:docPartObj>
            <w:docPartGallery w:val="Page Numbers (Top of Page)"/>
            <w:docPartUnique/>
          </w:docPartObj>
        </w:sdtPr>
        <w:sdtContent>
          <w:p w14:paraId="5EF6F57B" w14:textId="637EB0B4" w:rsidR="00992CDB" w:rsidRDefault="00992CDB">
            <w:pPr>
              <w:pStyle w:val="Zpat"/>
            </w:pPr>
            <w:r>
              <w:t>Stránka </w:t>
            </w:r>
            <w:r>
              <w:rPr>
                <w:b/>
                <w:bCs/>
                <w:sz w:val="24"/>
                <w:szCs w:val="24"/>
              </w:rPr>
              <w:fldChar w:fldCharType="begin"/>
            </w:r>
            <w:r>
              <w:rPr>
                <w:b/>
                <w:bCs/>
              </w:rPr>
              <w:instrText>PAGE</w:instrText>
            </w:r>
            <w:r>
              <w:rPr>
                <w:b/>
                <w:bCs/>
                <w:sz w:val="24"/>
                <w:szCs w:val="24"/>
              </w:rPr>
              <w:fldChar w:fldCharType="separate"/>
            </w:r>
            <w:r>
              <w:rPr>
                <w:b/>
                <w:bCs/>
                <w:noProof/>
              </w:rPr>
              <w:t>2</w:t>
            </w:r>
            <w:r>
              <w:rPr>
                <w:b/>
                <w:bCs/>
                <w:sz w:val="24"/>
                <w:szCs w:val="24"/>
              </w:rPr>
              <w:fldChar w:fldCharType="end"/>
            </w:r>
            <w:r>
              <w:t xml:space="preserve"> z </w:t>
            </w:r>
            <w:r>
              <w:rPr>
                <w:b/>
                <w:bCs/>
                <w:sz w:val="24"/>
                <w:szCs w:val="24"/>
              </w:rPr>
              <w:fldChar w:fldCharType="begin"/>
            </w:r>
            <w:r>
              <w:rPr>
                <w:b/>
                <w:bCs/>
              </w:rPr>
              <w:instrText>NUMPAGES</w:instrText>
            </w:r>
            <w:r>
              <w:rPr>
                <w:b/>
                <w:bCs/>
                <w:sz w:val="24"/>
                <w:szCs w:val="24"/>
              </w:rPr>
              <w:fldChar w:fldCharType="separate"/>
            </w:r>
            <w:r>
              <w:rPr>
                <w:b/>
                <w:bCs/>
                <w:noProof/>
              </w:rPr>
              <w:t>153</w:t>
            </w:r>
            <w:r>
              <w:rPr>
                <w:b/>
                <w:bCs/>
                <w:sz w:val="24"/>
                <w:szCs w:val="24"/>
              </w:rPr>
              <w:fldChar w:fldCharType="end"/>
            </w:r>
          </w:p>
        </w:sdtContent>
      </w:sdt>
    </w:sdtContent>
  </w:sdt>
  <w:p w14:paraId="433447E0" w14:textId="77777777" w:rsidR="00992CDB" w:rsidRDefault="00992CDB">
    <w:pPr>
      <w:pStyle w:val="Zp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8FF03F" w14:textId="77777777" w:rsidR="00693C1A" w:rsidRDefault="00693C1A">
    <w:pPr>
      <w:pStyle w:val="Zpat"/>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65DC86" w14:textId="77777777" w:rsidR="00992CDB" w:rsidRDefault="00992CDB">
    <w:pPr>
      <w:pStyle w:val="Zpat"/>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77678394"/>
      <w:docPartObj>
        <w:docPartGallery w:val="Page Numbers (Bottom of Page)"/>
        <w:docPartUnique/>
      </w:docPartObj>
    </w:sdtPr>
    <w:sdtContent>
      <w:p w14:paraId="6AEBF6CB" w14:textId="1A847C2F" w:rsidR="00992CDB" w:rsidRDefault="00992CDB">
        <w:pPr>
          <w:pStyle w:val="Zpat"/>
        </w:pPr>
        <w:r>
          <w:fldChar w:fldCharType="begin"/>
        </w:r>
        <w:r>
          <w:instrText>PAGE   \* MERGEFORMAT</w:instrText>
        </w:r>
        <w:r>
          <w:fldChar w:fldCharType="separate"/>
        </w:r>
        <w:r w:rsidR="008E54CC">
          <w:rPr>
            <w:noProof/>
          </w:rPr>
          <w:t>18</w:t>
        </w:r>
        <w:r>
          <w:fldChar w:fldCharType="end"/>
        </w:r>
      </w:p>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74D396" w14:textId="77777777" w:rsidR="00992CDB" w:rsidRDefault="00992CDB">
    <w:pPr>
      <w:pStyle w:val="Zpat"/>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18236A" w14:textId="77777777" w:rsidR="00992CDB" w:rsidRDefault="00992CDB">
    <w:pPr>
      <w:pStyle w:val="Zpat"/>
      <w:jc w:val="right"/>
    </w:pPr>
    <w:r>
      <w:t>148</w:t>
    </w:r>
  </w:p>
  <w:p w14:paraId="53138541" w14:textId="77777777" w:rsidR="00992CDB" w:rsidRDefault="00992CDB">
    <w:pPr>
      <w:pStyle w:val="Zpat"/>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8199054"/>
      <w:docPartObj>
        <w:docPartGallery w:val="Page Numbers (Bottom of Page)"/>
        <w:docPartUnique/>
      </w:docPartObj>
    </w:sdtPr>
    <w:sdtContent>
      <w:p w14:paraId="261832D1" w14:textId="77777777" w:rsidR="00FD1BF2" w:rsidRDefault="00FD1BF2" w:rsidP="004C04FC">
        <w:pPr>
          <w:pStyle w:val="Zpat"/>
        </w:pPr>
        <w:r>
          <w:fldChar w:fldCharType="begin"/>
        </w:r>
        <w:r>
          <w:instrText>PAGE   \* MERGEFORMAT</w:instrText>
        </w:r>
        <w:r>
          <w:fldChar w:fldCharType="separate"/>
        </w:r>
        <w:r>
          <w:t>2</w:t>
        </w:r>
        <w:r>
          <w:fldChar w:fldCharType="end"/>
        </w:r>
      </w:p>
    </w:sdtContent>
  </w:sdt>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122529627"/>
      <w:docPartObj>
        <w:docPartGallery w:val="Page Numbers (Bottom of Page)"/>
        <w:docPartUnique/>
      </w:docPartObj>
    </w:sdtPr>
    <w:sdtContent>
      <w:p w14:paraId="47058725" w14:textId="77777777" w:rsidR="001325FE" w:rsidRDefault="001325FE">
        <w:pPr>
          <w:pStyle w:val="Zpat"/>
        </w:pPr>
        <w:r>
          <w:fldChar w:fldCharType="begin"/>
        </w:r>
        <w:r>
          <w:instrText>PAGE   \* MERGEFORMAT</w:instrText>
        </w:r>
        <w:r>
          <w:fldChar w:fldCharType="separate"/>
        </w:r>
        <w:r>
          <w:t>2</w:t>
        </w:r>
        <w:r>
          <w:fldChar w:fldCharType="end"/>
        </w:r>
      </w:p>
    </w:sdtContent>
  </w:sdt>
  <w:p w14:paraId="3A1E60FF" w14:textId="77777777" w:rsidR="001325FE" w:rsidRDefault="001325FE">
    <w:pPr>
      <w:pStyle w:val="Zpat"/>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922C70" w14:textId="77777777" w:rsidR="00992CDB" w:rsidRDefault="00992CDB">
    <w:pPr>
      <w:pStyle w:val="Zpat"/>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A0A1F8" w14:textId="77777777" w:rsidR="00992CDB" w:rsidRDefault="00992CDB">
    <w:pPr>
      <w:pStyle w:val="Zpat"/>
      <w:jc w:val="right"/>
    </w:pPr>
    <w:r>
      <w:t>148</w:t>
    </w:r>
  </w:p>
  <w:p w14:paraId="0B72ACFF" w14:textId="77777777" w:rsidR="00992CDB" w:rsidRDefault="00992CDB">
    <w:pPr>
      <w:pStyle w:val="Zpat"/>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48CAFC" w14:textId="77777777" w:rsidR="00FD1BF2" w:rsidRDefault="00FD1BF2">
    <w:pPr>
      <w:pStyle w:val="Zpat"/>
      <w:jc w:val="right"/>
    </w:pPr>
    <w:r>
      <w:t>148</w:t>
    </w:r>
  </w:p>
  <w:p w14:paraId="14A00529" w14:textId="77777777" w:rsidR="00FD1BF2" w:rsidRDefault="00FD1BF2">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3ED610" w14:textId="77777777" w:rsidR="00791551" w:rsidRDefault="00791551" w:rsidP="00BC2608">
      <w:pPr>
        <w:spacing w:after="0" w:line="240" w:lineRule="auto"/>
      </w:pPr>
      <w:r>
        <w:separator/>
      </w:r>
    </w:p>
  </w:footnote>
  <w:footnote w:type="continuationSeparator" w:id="0">
    <w:p w14:paraId="24950CED" w14:textId="77777777" w:rsidR="00791551" w:rsidRDefault="00791551" w:rsidP="00BC2608">
      <w:pPr>
        <w:spacing w:after="0" w:line="240" w:lineRule="auto"/>
      </w:pPr>
      <w:r>
        <w:continuationSeparator/>
      </w:r>
    </w:p>
  </w:footnote>
  <w:footnote w:type="continuationNotice" w:id="1">
    <w:p w14:paraId="5BCA1387" w14:textId="77777777" w:rsidR="00791551" w:rsidRDefault="00791551">
      <w:pPr>
        <w:spacing w:after="0" w:line="240" w:lineRule="auto"/>
      </w:pPr>
    </w:p>
    <w:p w14:paraId="725C11AF" w14:textId="77777777" w:rsidR="00791551" w:rsidRDefault="00791551"/>
  </w:footnote>
  <w:footnote w:id="2">
    <w:p w14:paraId="7559C473" w14:textId="77777777" w:rsidR="00721335" w:rsidRDefault="00721335" w:rsidP="00721335">
      <w:pPr>
        <w:pStyle w:val="Textpoznpodarou"/>
        <w:spacing w:line="276" w:lineRule="auto"/>
      </w:pPr>
      <w:r>
        <w:rPr>
          <w:rStyle w:val="Znakapoznpodarou"/>
        </w:rPr>
        <w:footnoteRef/>
      </w:r>
      <w:r>
        <w:t xml:space="preserve"> V červnu 2024 Český statistický úřad (ČSÚ) zveřejnil revidované národní účty České republiky od roku 1990 do současnosti. Tato </w:t>
      </w:r>
      <w:hyperlink r:id="rId1" w:history="1">
        <w:r w:rsidRPr="002F768D">
          <w:rPr>
            <w:rStyle w:val="Hypertextovodkaz"/>
          </w:rPr>
          <w:t>mimořádná revize</w:t>
        </w:r>
      </w:hyperlink>
      <w:r>
        <w:t xml:space="preserve"> ovlivnila celý systém národních účtů, včetně hlavních makroekonomických agregátů jako je HDP. </w:t>
      </w:r>
    </w:p>
  </w:footnote>
  <w:footnote w:id="3">
    <w:p w14:paraId="0FD26771" w14:textId="77777777" w:rsidR="00721335" w:rsidRDefault="00721335" w:rsidP="00721335">
      <w:pPr>
        <w:pStyle w:val="Textpoznpodarou"/>
        <w:spacing w:line="276" w:lineRule="auto"/>
      </w:pPr>
      <w:r>
        <w:rPr>
          <w:rStyle w:val="Znakapoznpodarou"/>
        </w:rPr>
        <w:footnoteRef/>
      </w:r>
      <w:r>
        <w:t xml:space="preserve"> Data pro rok 2024 zatím nejsou kompletně dostupná, některé země EU mají k dispozici pouze odhady.</w:t>
      </w:r>
    </w:p>
  </w:footnote>
  <w:footnote w:id="4">
    <w:p w14:paraId="6F7B16EC" w14:textId="492309BC" w:rsidR="00123455" w:rsidRDefault="00123455" w:rsidP="00123455">
      <w:pPr>
        <w:pStyle w:val="Textpoznpodarou"/>
        <w:spacing w:line="276" w:lineRule="auto"/>
      </w:pPr>
      <w:r>
        <w:rPr>
          <w:rStyle w:val="Znakapoznpodarou"/>
        </w:rPr>
        <w:footnoteRef/>
      </w:r>
      <w:r>
        <w:t xml:space="preserve"> Indikátor </w:t>
      </w:r>
      <w:r w:rsidRPr="00FF0D39">
        <w:t>FTE (Full-</w:t>
      </w:r>
      <w:r>
        <w:t>T</w:t>
      </w:r>
      <w:r w:rsidRPr="00FF0D39">
        <w:t xml:space="preserve">ime </w:t>
      </w:r>
      <w:r>
        <w:t>E</w:t>
      </w:r>
      <w:r w:rsidRPr="00FF0D39">
        <w:t xml:space="preserve">quivalent) označuje jednotku, kterou </w:t>
      </w:r>
      <w:r>
        <w:t>je vyjádřena</w:t>
      </w:r>
      <w:r w:rsidRPr="00FF0D39">
        <w:t xml:space="preserve"> míra zapojení či kapacita zatížení pracovníka přepočtenou na </w:t>
      </w:r>
      <w:r>
        <w:t>plnou pracovní dobu věnovanou výzkumným a vývojovým činnostem (tj. 100% kapacitu).</w:t>
      </w:r>
    </w:p>
  </w:footnote>
  <w:footnote w:id="5">
    <w:p w14:paraId="52F1A94E" w14:textId="77777777" w:rsidR="00AB24D3" w:rsidRDefault="00AB24D3" w:rsidP="00AB24D3">
      <w:pPr>
        <w:pStyle w:val="Textpoznpodarou"/>
        <w:spacing w:line="240" w:lineRule="auto"/>
      </w:pPr>
      <w:r>
        <w:rPr>
          <w:rStyle w:val="Znakapoznpodarou"/>
        </w:rPr>
        <w:footnoteRef/>
      </w:r>
      <w:r>
        <w:t xml:space="preserve"> Tj. na grantové a programové projekty</w:t>
      </w:r>
    </w:p>
  </w:footnote>
  <w:footnote w:id="6">
    <w:p w14:paraId="1416D922" w14:textId="77777777" w:rsidR="00AB24D3" w:rsidRDefault="00AB24D3" w:rsidP="00AB24D3">
      <w:pPr>
        <w:pStyle w:val="Textpoznpodarou"/>
        <w:spacing w:line="240" w:lineRule="auto"/>
      </w:pPr>
      <w:r>
        <w:rPr>
          <w:rStyle w:val="Znakapoznpodarou"/>
        </w:rPr>
        <w:footnoteRef/>
      </w:r>
      <w:r>
        <w:t xml:space="preserve"> G</w:t>
      </w:r>
      <w:r w:rsidRPr="00EA42D3">
        <w:t>rantový nebo programový projekt</w:t>
      </w:r>
    </w:p>
  </w:footnote>
  <w:footnote w:id="7">
    <w:p w14:paraId="74FCC435" w14:textId="7DAAF790" w:rsidR="00EA71AC" w:rsidRDefault="00EA71AC" w:rsidP="00EA71AC">
      <w:pPr>
        <w:pStyle w:val="Textpoznpodarou"/>
        <w:spacing w:line="240" w:lineRule="auto"/>
      </w:pPr>
      <w:r>
        <w:rPr>
          <w:rStyle w:val="Znakapoznpodarou"/>
        </w:rPr>
        <w:footnoteRef/>
      </w:r>
      <w:r>
        <w:t xml:space="preserve"> </w:t>
      </w:r>
      <w:r w:rsidRPr="00AE19C2">
        <w:rPr>
          <w:b/>
          <w:bCs/>
        </w:rPr>
        <w:t>S</w:t>
      </w:r>
      <w:r>
        <w:rPr>
          <w:b/>
          <w:bCs/>
        </w:rPr>
        <w:t xml:space="preserve">CIENCE, RESEARCH AND INNOVATION PERFORMANCE OF THE </w:t>
      </w:r>
      <w:r w:rsidRPr="00AE19C2">
        <w:rPr>
          <w:b/>
          <w:bCs/>
        </w:rPr>
        <w:t>EU</w:t>
      </w:r>
      <w:r>
        <w:rPr>
          <w:b/>
          <w:bCs/>
        </w:rPr>
        <w:t xml:space="preserve"> 2024</w:t>
      </w:r>
      <w:r w:rsidRPr="00AE19C2">
        <w:rPr>
          <w:b/>
          <w:bCs/>
        </w:rPr>
        <w:t xml:space="preserve"> </w:t>
      </w:r>
      <w:r w:rsidRPr="004511EE">
        <w:t>[online]. Publications Office of</w:t>
      </w:r>
      <w:r>
        <w:t> </w:t>
      </w:r>
      <w:r w:rsidRPr="004511EE">
        <w:t>the</w:t>
      </w:r>
      <w:r>
        <w:t> </w:t>
      </w:r>
      <w:r w:rsidRPr="004511EE">
        <w:t>European Union</w:t>
      </w:r>
      <w:r>
        <w:t>.</w:t>
      </w:r>
      <w:r w:rsidRPr="004511EE">
        <w:t xml:space="preserve"> 202</w:t>
      </w:r>
      <w:r>
        <w:t>4</w:t>
      </w:r>
      <w:r w:rsidRPr="004511EE">
        <w:t>-07-</w:t>
      </w:r>
      <w:r>
        <w:t>05</w:t>
      </w:r>
      <w:r w:rsidRPr="004511EE">
        <w:t xml:space="preserve"> [cit. 2025-</w:t>
      </w:r>
      <w:r>
        <w:t>10</w:t>
      </w:r>
      <w:r w:rsidRPr="004511EE">
        <w:t>-</w:t>
      </w:r>
      <w:r>
        <w:t>13</w:t>
      </w:r>
      <w:r w:rsidRPr="004511EE">
        <w:t>]. Dostupné z: </w:t>
      </w:r>
      <w:hyperlink r:id="rId2" w:history="1">
        <w:r w:rsidRPr="008169CA">
          <w:rPr>
            <w:rStyle w:val="Hypertextovodkaz"/>
          </w:rPr>
          <w:t>https://op.europa.eu/en/web/eu-law-and-publications/publication-detail/-/publication/b7148f59-3ce5-11ef-ab8f-01aa75ed71a1</w:t>
        </w:r>
      </w:hyperlink>
    </w:p>
  </w:footnote>
  <w:footnote w:id="8">
    <w:p w14:paraId="200014F9" w14:textId="77777777" w:rsidR="00EA71AC" w:rsidRDefault="00EA71AC" w:rsidP="00EA71AC">
      <w:pPr>
        <w:pStyle w:val="Textpoznpodarou"/>
        <w:spacing w:line="240" w:lineRule="auto"/>
      </w:pPr>
      <w:r w:rsidRPr="00CC589A">
        <w:rPr>
          <w:rStyle w:val="Znakapoznpodarou"/>
        </w:rPr>
        <w:footnoteRef/>
      </w:r>
      <w:r w:rsidRPr="00CC589A">
        <w:t xml:space="preserve"> </w:t>
      </w:r>
      <w:r>
        <w:t>Nejedná se o kompletní a detailní výčet hlavních zjištění. Kompletní seznam je obsažen v předchozí publikaci Analýza stavu výzkumu, vývoje a inovací v České republice a jejich srovnání se zahraničím v roce 2023.</w:t>
      </w:r>
    </w:p>
  </w:footnote>
  <w:footnote w:id="9">
    <w:p w14:paraId="3E3167B4" w14:textId="77777777" w:rsidR="00EA71AC" w:rsidRDefault="00EA71AC" w:rsidP="00EA71AC">
      <w:pPr>
        <w:pStyle w:val="Textpoznpodarou"/>
        <w:spacing w:line="240" w:lineRule="auto"/>
      </w:pPr>
      <w:r>
        <w:rPr>
          <w:rStyle w:val="Znakapoznpodarou"/>
        </w:rPr>
        <w:footnoteRef/>
      </w:r>
      <w:r>
        <w:t xml:space="preserve"> </w:t>
      </w:r>
      <w:r>
        <w:rPr>
          <w:b/>
          <w:bCs/>
        </w:rPr>
        <w:t>EU INDUSTRIAL R&amp;D INVESTMENT SCOREBOARD 2024</w:t>
      </w:r>
      <w:r w:rsidRPr="00AE19C2">
        <w:rPr>
          <w:b/>
          <w:bCs/>
        </w:rPr>
        <w:t xml:space="preserve"> </w:t>
      </w:r>
      <w:r w:rsidRPr="004511EE">
        <w:t>[online]. Publications Office of the European Union</w:t>
      </w:r>
      <w:r>
        <w:t>.</w:t>
      </w:r>
      <w:r w:rsidRPr="004511EE">
        <w:t xml:space="preserve"> 202</w:t>
      </w:r>
      <w:r>
        <w:t>4</w:t>
      </w:r>
      <w:r w:rsidRPr="004511EE">
        <w:t>-</w:t>
      </w:r>
      <w:r>
        <w:t>12</w:t>
      </w:r>
      <w:r w:rsidRPr="004511EE">
        <w:t>-</w:t>
      </w:r>
      <w:r>
        <w:t>18</w:t>
      </w:r>
      <w:r w:rsidRPr="004511EE">
        <w:t xml:space="preserve"> [cit. 2025-</w:t>
      </w:r>
      <w:r>
        <w:t>10</w:t>
      </w:r>
      <w:r w:rsidRPr="004511EE">
        <w:t>-</w:t>
      </w:r>
      <w:r>
        <w:t>17</w:t>
      </w:r>
      <w:r w:rsidRPr="004511EE">
        <w:t>]. Dostupné z: </w:t>
      </w:r>
      <w:hyperlink r:id="rId3" w:history="1">
        <w:r w:rsidRPr="008169CA">
          <w:rPr>
            <w:rStyle w:val="Hypertextovodkaz"/>
          </w:rPr>
          <w:t>https://publications.jrc.ec.europa.eu/repository/handle/JRC140129</w:t>
        </w:r>
      </w:hyperlink>
    </w:p>
  </w:footnote>
  <w:footnote w:id="10">
    <w:p w14:paraId="1C69E33C" w14:textId="6161BCEE" w:rsidR="00840EE9" w:rsidRPr="00840EE9" w:rsidRDefault="00992CDB" w:rsidP="00840EE9">
      <w:pPr>
        <w:pStyle w:val="Textpoznpodarou"/>
        <w:spacing w:line="240" w:lineRule="auto"/>
        <w:rPr>
          <w:rFonts w:cs="Arial"/>
          <w:b/>
          <w:bCs/>
          <w:szCs w:val="18"/>
        </w:rPr>
      </w:pPr>
      <w:r w:rsidRPr="00840EE9">
        <w:rPr>
          <w:rStyle w:val="Znakapoznpodarou"/>
          <w:szCs w:val="18"/>
        </w:rPr>
        <w:footnoteRef/>
      </w:r>
      <w:r w:rsidR="00840EE9">
        <w:rPr>
          <w:szCs w:val="18"/>
        </w:rPr>
        <w:t xml:space="preserve"> </w:t>
      </w:r>
      <w:r w:rsidR="00840EE9" w:rsidRPr="00840EE9">
        <w:rPr>
          <w:rFonts w:cs="Arial"/>
          <w:b/>
          <w:bCs/>
          <w:szCs w:val="18"/>
        </w:rPr>
        <w:t>EVROPSKÁ KOMISE, GENERÁLNÍ ŘEDITELSTVÍ PRO VÝZKUM A INOVACE</w:t>
      </w:r>
      <w:r w:rsidR="00840EE9" w:rsidRPr="00840EE9">
        <w:rPr>
          <w:rFonts w:cs="Arial"/>
          <w:szCs w:val="18"/>
        </w:rPr>
        <w:t>. </w:t>
      </w:r>
      <w:r w:rsidR="00840EE9" w:rsidRPr="00840EE9">
        <w:rPr>
          <w:rFonts w:cs="Arial"/>
          <w:i/>
          <w:iCs/>
          <w:szCs w:val="18"/>
        </w:rPr>
        <w:t xml:space="preserve">European Innovation Scoreboard 2024 </w:t>
      </w:r>
      <w:r w:rsidR="00840EE9" w:rsidRPr="00840EE9">
        <w:rPr>
          <w:rFonts w:cs="Arial"/>
          <w:szCs w:val="18"/>
        </w:rPr>
        <w:t>[online]. Brusel: Úřad pro publikace Evropské unie, 2024 [cit. 2025-04-26]</w:t>
      </w:r>
      <w:r w:rsidR="00702169">
        <w:rPr>
          <w:rFonts w:cs="Arial"/>
          <w:szCs w:val="18"/>
        </w:rPr>
        <w:t>.</w:t>
      </w:r>
      <w:r w:rsidR="00840EE9" w:rsidRPr="00840EE9">
        <w:rPr>
          <w:rFonts w:cs="Arial"/>
          <w:szCs w:val="18"/>
        </w:rPr>
        <w:t xml:space="preserve"> Dostupné z: </w:t>
      </w:r>
      <w:hyperlink r:id="rId4" w:history="1">
        <w:r w:rsidR="00840EE9" w:rsidRPr="00061326">
          <w:rPr>
            <w:rStyle w:val="Hypertextovodkaz"/>
            <w:rFonts w:cs="Arial"/>
            <w:szCs w:val="18"/>
            <w:u w:val="single"/>
          </w:rPr>
          <w:t>https://data.europa.eu/doi/10.2777/779689</w:t>
        </w:r>
      </w:hyperlink>
    </w:p>
    <w:p w14:paraId="7F3456E3" w14:textId="253F2C19" w:rsidR="00992CDB" w:rsidRPr="00751EDC" w:rsidRDefault="00992CDB" w:rsidP="00A05DA8">
      <w:pPr>
        <w:pStyle w:val="Textpoznpodarou"/>
        <w:spacing w:line="240" w:lineRule="auto"/>
        <w:rPr>
          <w:u w:val="single"/>
        </w:rPr>
      </w:pPr>
    </w:p>
  </w:footnote>
  <w:footnote w:id="11">
    <w:p w14:paraId="08A71790" w14:textId="3B514ABE" w:rsidR="00992CDB" w:rsidRPr="006E5BDE" w:rsidRDefault="00992CDB" w:rsidP="006E5BDE">
      <w:pPr>
        <w:pStyle w:val="Textpoznpodarou"/>
        <w:spacing w:line="240" w:lineRule="auto"/>
        <w:jc w:val="left"/>
        <w:rPr>
          <w:rFonts w:cs="Arial"/>
          <w:b/>
          <w:bCs/>
          <w:szCs w:val="18"/>
        </w:rPr>
      </w:pPr>
      <w:r w:rsidRPr="00702169">
        <w:rPr>
          <w:rStyle w:val="Znakapoznpodarou"/>
          <w:szCs w:val="18"/>
        </w:rPr>
        <w:footnoteRef/>
      </w:r>
      <w:r w:rsidR="00702169">
        <w:rPr>
          <w:szCs w:val="18"/>
        </w:rPr>
        <w:t xml:space="preserve"> </w:t>
      </w:r>
      <w:r w:rsidR="00702169" w:rsidRPr="00702169">
        <w:rPr>
          <w:rFonts w:cs="Arial"/>
          <w:b/>
          <w:bCs/>
          <w:szCs w:val="18"/>
        </w:rPr>
        <w:t>EVROPSKÁ KOMISE, GENERÁLNÍ ŘEDITELSTVÍ PRO VÝZKUM A INOVACE</w:t>
      </w:r>
      <w:r w:rsidR="00702169" w:rsidRPr="00702169">
        <w:rPr>
          <w:rFonts w:cs="Arial"/>
          <w:szCs w:val="18"/>
        </w:rPr>
        <w:t>. Hollanders, H. a Es-Sadki,</w:t>
      </w:r>
      <w:r w:rsidR="00702169">
        <w:rPr>
          <w:rFonts w:cs="Arial"/>
          <w:szCs w:val="18"/>
        </w:rPr>
        <w:t> </w:t>
      </w:r>
      <w:r w:rsidR="00702169" w:rsidRPr="00702169">
        <w:rPr>
          <w:rFonts w:cs="Arial"/>
          <w:szCs w:val="18"/>
        </w:rPr>
        <w:t>N., </w:t>
      </w:r>
      <w:r w:rsidR="00702169" w:rsidRPr="00702169">
        <w:rPr>
          <w:rFonts w:cs="Arial"/>
          <w:i/>
          <w:iCs/>
          <w:szCs w:val="18"/>
        </w:rPr>
        <w:t>Regional Innovation Scoreboard 2023</w:t>
      </w:r>
      <w:r w:rsidR="00702169" w:rsidRPr="00702169">
        <w:rPr>
          <w:rFonts w:cs="Arial"/>
          <w:szCs w:val="18"/>
        </w:rPr>
        <w:t xml:space="preserve"> [online]. Brusel: Úřad pro publikace Evropské unie, 2023 [cit. 2025-04-26]. Dostupné z: </w:t>
      </w:r>
      <w:hyperlink r:id="rId5" w:history="1">
        <w:r w:rsidR="00702169" w:rsidRPr="00061326">
          <w:rPr>
            <w:rStyle w:val="Hypertextovodkaz"/>
            <w:rFonts w:cs="Arial"/>
            <w:szCs w:val="18"/>
            <w:u w:val="single"/>
          </w:rPr>
          <w:t>https://data.europa.eu/doi/10.2777/70412</w:t>
        </w:r>
      </w:hyperlink>
    </w:p>
  </w:footnote>
  <w:footnote w:id="12">
    <w:p w14:paraId="62DE06E7" w14:textId="77777777" w:rsidR="00EA71AC" w:rsidRPr="001343E0" w:rsidRDefault="00EA71AC" w:rsidP="004E355B">
      <w:pPr>
        <w:pStyle w:val="Textpoznpodarou"/>
        <w:spacing w:line="240" w:lineRule="auto"/>
        <w:jc w:val="left"/>
        <w:rPr>
          <w:highlight w:val="yellow"/>
        </w:rPr>
      </w:pPr>
      <w:r w:rsidRPr="00970D30">
        <w:rPr>
          <w:rStyle w:val="Znakapoznpodarou"/>
        </w:rPr>
        <w:footnoteRef/>
      </w:r>
      <w:r w:rsidRPr="00970D30">
        <w:t xml:space="preserve"> </w:t>
      </w:r>
      <w:r w:rsidRPr="00970D30">
        <w:rPr>
          <w:b/>
          <w:bCs/>
        </w:rPr>
        <w:t xml:space="preserve">EU </w:t>
      </w:r>
      <w:r>
        <w:rPr>
          <w:b/>
          <w:bCs/>
        </w:rPr>
        <w:t>ECO-INNOVATION INDEX</w:t>
      </w:r>
      <w:r w:rsidRPr="002672EC">
        <w:t xml:space="preserve"> [online]. Publications Office of the European Union. 202</w:t>
      </w:r>
      <w:r>
        <w:t>4</w:t>
      </w:r>
      <w:r w:rsidRPr="002672EC">
        <w:t>-</w:t>
      </w:r>
      <w:r>
        <w:t>10</w:t>
      </w:r>
      <w:r w:rsidRPr="002672EC">
        <w:t>-</w:t>
      </w:r>
      <w:r>
        <w:t>28</w:t>
      </w:r>
      <w:r w:rsidRPr="002672EC">
        <w:t xml:space="preserve"> [cit. 2025-10-04]. Dostupné z</w:t>
      </w:r>
      <w:r>
        <w:t xml:space="preserve">: </w:t>
      </w:r>
      <w:hyperlink r:id="rId6" w:history="1">
        <w:r w:rsidRPr="0030265D">
          <w:rPr>
            <w:rStyle w:val="Hypertextovodkaz"/>
          </w:rPr>
          <w:t>https://op.europa.eu/en/publication-detail/-/publication/afe9989d-95ac-11ef-a130-01aa75ed71a1/language-en</w:t>
        </w:r>
      </w:hyperlink>
    </w:p>
  </w:footnote>
  <w:footnote w:id="13">
    <w:p w14:paraId="29892FCD" w14:textId="244A3ACF" w:rsidR="00992CDB" w:rsidRPr="00E72EA5" w:rsidRDefault="00992CDB" w:rsidP="00E72EA5">
      <w:pPr>
        <w:spacing w:after="0"/>
        <w:rPr>
          <w:rFonts w:cs="Arial"/>
          <w:b/>
          <w:bCs/>
          <w:sz w:val="18"/>
          <w:szCs w:val="18"/>
        </w:rPr>
      </w:pPr>
      <w:r w:rsidRPr="006E5BDE">
        <w:rPr>
          <w:rStyle w:val="Znakapoznpodarou"/>
          <w:sz w:val="18"/>
          <w:szCs w:val="18"/>
        </w:rPr>
        <w:footnoteRef/>
      </w:r>
      <w:r w:rsidRPr="006E5BDE">
        <w:rPr>
          <w:sz w:val="18"/>
          <w:szCs w:val="18"/>
        </w:rPr>
        <w:t xml:space="preserve"> </w:t>
      </w:r>
      <w:r w:rsidR="006E5BDE" w:rsidRPr="006E5BDE">
        <w:rPr>
          <w:rFonts w:cs="Arial"/>
          <w:b/>
          <w:bCs/>
          <w:sz w:val="18"/>
          <w:szCs w:val="18"/>
        </w:rPr>
        <w:t>WIPO</w:t>
      </w:r>
      <w:r w:rsidR="006E5BDE" w:rsidRPr="006E5BDE">
        <w:rPr>
          <w:rFonts w:cs="Arial"/>
          <w:sz w:val="18"/>
          <w:szCs w:val="18"/>
        </w:rPr>
        <w:t xml:space="preserve">. </w:t>
      </w:r>
      <w:r w:rsidR="006E5BDE" w:rsidRPr="006E5BDE">
        <w:rPr>
          <w:rFonts w:cs="Arial"/>
          <w:i/>
          <w:iCs/>
          <w:sz w:val="18"/>
          <w:szCs w:val="18"/>
        </w:rPr>
        <w:t>Global Innovation Index</w:t>
      </w:r>
      <w:r w:rsidR="006E5BDE" w:rsidRPr="006E5BDE">
        <w:rPr>
          <w:rFonts w:cs="Arial"/>
          <w:sz w:val="18"/>
          <w:szCs w:val="18"/>
        </w:rPr>
        <w:t xml:space="preserve"> [online]. wipo.int, 2024 [cit. 2025-04-26]. Dostupné z:</w:t>
      </w:r>
      <w:r w:rsidR="006E5BDE">
        <w:rPr>
          <w:rFonts w:cs="Arial"/>
          <w:b/>
          <w:bCs/>
          <w:sz w:val="18"/>
          <w:szCs w:val="18"/>
        </w:rPr>
        <w:t xml:space="preserve"> </w:t>
      </w:r>
      <w:hyperlink r:id="rId7" w:history="1">
        <w:r w:rsidR="006E5BDE" w:rsidRPr="00061326">
          <w:rPr>
            <w:rStyle w:val="Hypertextovodkaz"/>
            <w:rFonts w:cs="Arial"/>
            <w:sz w:val="18"/>
            <w:szCs w:val="18"/>
            <w:u w:val="single"/>
          </w:rPr>
          <w:t>https://www.wipo.int/en/web/global-innovation-index</w:t>
        </w:r>
      </w:hyperlink>
    </w:p>
  </w:footnote>
  <w:footnote w:id="14">
    <w:p w14:paraId="0C44C464" w14:textId="66073EA0" w:rsidR="003D1A08" w:rsidRPr="003D1A08" w:rsidRDefault="00DE3A4B" w:rsidP="003D1A08">
      <w:pPr>
        <w:pStyle w:val="Textpoznpodarou"/>
        <w:spacing w:line="240" w:lineRule="auto"/>
      </w:pPr>
      <w:r>
        <w:rPr>
          <w:rStyle w:val="Znakapoznpodarou"/>
        </w:rPr>
        <w:footnoteRef/>
      </w:r>
      <w:r>
        <w:t xml:space="preserve"> </w:t>
      </w:r>
      <w:r w:rsidR="003D1A08" w:rsidRPr="002B5E5D">
        <w:rPr>
          <w:rFonts w:cs="Arial"/>
          <w:color w:val="000000"/>
          <w:szCs w:val="18"/>
        </w:rPr>
        <w:t xml:space="preserve">Bello, M., Ravanos, P. and Smallenbroek, O., </w:t>
      </w:r>
      <w:r w:rsidR="003D1A08" w:rsidRPr="002B5E5D">
        <w:rPr>
          <w:rFonts w:cs="Arial"/>
          <w:i/>
          <w:iCs/>
          <w:color w:val="000000"/>
          <w:szCs w:val="18"/>
        </w:rPr>
        <w:t>Tracking country innovation performance: The Innovation Output Indicator 2023</w:t>
      </w:r>
      <w:r w:rsidR="003D1A08">
        <w:rPr>
          <w:rFonts w:cs="Arial"/>
          <w:i/>
          <w:iCs/>
          <w:color w:val="000000"/>
          <w:szCs w:val="18"/>
        </w:rPr>
        <w:t xml:space="preserve"> </w:t>
      </w:r>
      <w:r w:rsidR="003D1A08" w:rsidRPr="00E00729">
        <w:rPr>
          <w:rFonts w:cs="Arial"/>
          <w:szCs w:val="18"/>
        </w:rPr>
        <w:t>[online].</w:t>
      </w:r>
      <w:r w:rsidR="003D1A08">
        <w:rPr>
          <w:rFonts w:cs="Arial"/>
          <w:color w:val="000000"/>
          <w:szCs w:val="18"/>
        </w:rPr>
        <w:t xml:space="preserve"> Luxembourg:</w:t>
      </w:r>
      <w:r w:rsidR="003D1A08" w:rsidRPr="002B5E5D">
        <w:rPr>
          <w:rFonts w:cs="Arial"/>
          <w:color w:val="000000"/>
          <w:szCs w:val="18"/>
        </w:rPr>
        <w:t xml:space="preserve"> Publications Office of the European Union, 2024</w:t>
      </w:r>
      <w:r w:rsidR="003D1A08">
        <w:rPr>
          <w:rFonts w:cs="Arial"/>
          <w:szCs w:val="18"/>
        </w:rPr>
        <w:t xml:space="preserve"> </w:t>
      </w:r>
      <w:r w:rsidR="003D1A08" w:rsidRPr="00E00729">
        <w:rPr>
          <w:rFonts w:cs="Arial"/>
          <w:szCs w:val="18"/>
        </w:rPr>
        <w:t>[cit. 2025-04-26]</w:t>
      </w:r>
      <w:r w:rsidR="003D1A08">
        <w:rPr>
          <w:rFonts w:cs="Arial"/>
          <w:szCs w:val="18"/>
        </w:rPr>
        <w:t xml:space="preserve">. Dostupné z: </w:t>
      </w:r>
      <w:hyperlink r:id="rId8" w:history="1">
        <w:r w:rsidR="003D1A08" w:rsidRPr="00061326">
          <w:rPr>
            <w:rStyle w:val="Hypertextovodkaz"/>
            <w:rFonts w:cs="Arial"/>
            <w:szCs w:val="18"/>
            <w:u w:val="single"/>
          </w:rPr>
          <w:t>https://publications.jrc.ec.europa.eu/repository/handle/JRC137117</w:t>
        </w:r>
      </w:hyperlink>
      <w:r w:rsidR="003D1A08">
        <w:rPr>
          <w:rFonts w:cs="Arial"/>
          <w:color w:val="000000"/>
          <w:szCs w:val="18"/>
        </w:rPr>
        <w:t xml:space="preserve"> </w:t>
      </w:r>
    </w:p>
  </w:footnote>
  <w:footnote w:id="15">
    <w:p w14:paraId="23DE5B7C" w14:textId="02CB6FE9" w:rsidR="00E23936" w:rsidRDefault="00E23936" w:rsidP="00E23936">
      <w:pPr>
        <w:pStyle w:val="Textpoznpodarou"/>
      </w:pPr>
      <w:r>
        <w:rPr>
          <w:rStyle w:val="Znakapoznpodarou"/>
          <w:rFonts w:eastAsiaTheme="majorEastAsia"/>
        </w:rPr>
        <w:footnoteRef/>
      </w:r>
      <w:r>
        <w:t xml:space="preserve"> Světová síť národních/regionálních ministerstev a agentur, které financují a podporují mezinárodní výzkum, vývoj a inovace, a působí ve více než 45 zemích.</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2219F1" w14:textId="77777777" w:rsidR="00693C1A" w:rsidRDefault="00693C1A">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28D3B0" w14:textId="06B00430" w:rsidR="00992CDB" w:rsidRPr="0083134A" w:rsidRDefault="00992CDB" w:rsidP="001911CA">
    <w:pPr>
      <w:pStyle w:val="Zhlav"/>
      <w:rPr>
        <w:rFonts w:ascii="Cambria" w:eastAsia="Times New Roman" w:hAnsi="Cambria" w:cs="Arial"/>
        <w:i/>
        <w:color w:val="1F497D"/>
        <w:sz w:val="18"/>
        <w:szCs w:val="18"/>
        <w:lang w:eastAsia="cs-CZ"/>
      </w:rPr>
    </w:pPr>
    <w:r w:rsidRPr="0083134A">
      <w:rPr>
        <w:rFonts w:ascii="Cambria" w:eastAsia="Times New Roman" w:hAnsi="Cambria" w:cs="Arial"/>
        <w:i/>
        <w:color w:val="1F497D"/>
        <w:sz w:val="18"/>
        <w:szCs w:val="18"/>
        <w:lang w:eastAsia="cs-CZ"/>
      </w:rPr>
      <w:t>Analýz</w:t>
    </w:r>
    <w:r>
      <w:rPr>
        <w:rFonts w:ascii="Cambria" w:eastAsia="Times New Roman" w:hAnsi="Cambria" w:cs="Arial"/>
        <w:i/>
        <w:color w:val="1F497D"/>
        <w:sz w:val="18"/>
        <w:szCs w:val="18"/>
        <w:lang w:eastAsia="cs-CZ"/>
      </w:rPr>
      <w:t>a </w:t>
    </w:r>
    <w:r w:rsidRPr="0083134A">
      <w:rPr>
        <w:rFonts w:ascii="Cambria" w:eastAsia="Times New Roman" w:hAnsi="Cambria" w:cs="Arial"/>
        <w:i/>
        <w:color w:val="1F497D"/>
        <w:sz w:val="18"/>
        <w:szCs w:val="18"/>
        <w:lang w:eastAsia="cs-CZ"/>
      </w:rPr>
      <w:t xml:space="preserve">stavu výzkumu, vývoje </w:t>
    </w:r>
    <w:r>
      <w:rPr>
        <w:rFonts w:ascii="Cambria" w:eastAsia="Times New Roman" w:hAnsi="Cambria" w:cs="Arial"/>
        <w:i/>
        <w:color w:val="1F497D"/>
        <w:sz w:val="18"/>
        <w:szCs w:val="18"/>
        <w:lang w:eastAsia="cs-CZ"/>
      </w:rPr>
      <w:t>a </w:t>
    </w:r>
    <w:r w:rsidRPr="0083134A">
      <w:rPr>
        <w:rFonts w:ascii="Cambria" w:eastAsia="Times New Roman" w:hAnsi="Cambria" w:cs="Arial"/>
        <w:i/>
        <w:color w:val="1F497D"/>
        <w:sz w:val="18"/>
        <w:szCs w:val="18"/>
        <w:lang w:eastAsia="cs-CZ"/>
      </w:rPr>
      <w:t xml:space="preserve">inovací </w:t>
    </w:r>
    <w:r>
      <w:rPr>
        <w:rFonts w:ascii="Cambria" w:eastAsia="Times New Roman" w:hAnsi="Cambria" w:cs="Arial"/>
        <w:i/>
        <w:color w:val="1F497D"/>
        <w:sz w:val="18"/>
        <w:szCs w:val="18"/>
        <w:lang w:eastAsia="cs-CZ"/>
      </w:rPr>
      <w:t>v </w:t>
    </w:r>
    <w:r w:rsidRPr="0083134A">
      <w:rPr>
        <w:rFonts w:ascii="Cambria" w:eastAsia="Times New Roman" w:hAnsi="Cambria" w:cs="Arial"/>
        <w:i/>
        <w:color w:val="1F497D"/>
        <w:sz w:val="18"/>
        <w:szCs w:val="18"/>
        <w:lang w:eastAsia="cs-CZ"/>
      </w:rPr>
      <w:t xml:space="preserve">České republice </w:t>
    </w:r>
    <w:r>
      <w:rPr>
        <w:rFonts w:ascii="Cambria" w:eastAsia="Times New Roman" w:hAnsi="Cambria" w:cs="Arial"/>
        <w:i/>
        <w:color w:val="1F497D"/>
        <w:sz w:val="18"/>
        <w:szCs w:val="18"/>
        <w:lang w:eastAsia="cs-CZ"/>
      </w:rPr>
      <w:t>a </w:t>
    </w:r>
    <w:r w:rsidRPr="0083134A">
      <w:rPr>
        <w:rFonts w:ascii="Cambria" w:eastAsia="Times New Roman" w:hAnsi="Cambria" w:cs="Arial"/>
        <w:i/>
        <w:color w:val="1F497D"/>
        <w:sz w:val="18"/>
        <w:szCs w:val="18"/>
        <w:lang w:eastAsia="cs-CZ"/>
      </w:rPr>
      <w:t xml:space="preserve">jejich srovnání se zahraničím </w:t>
    </w:r>
    <w:r>
      <w:rPr>
        <w:rFonts w:ascii="Cambria" w:eastAsia="Times New Roman" w:hAnsi="Cambria" w:cs="Arial"/>
        <w:i/>
        <w:color w:val="1F497D"/>
        <w:sz w:val="18"/>
        <w:szCs w:val="18"/>
        <w:lang w:eastAsia="cs-CZ"/>
      </w:rPr>
      <w:t>v </w:t>
    </w:r>
    <w:r w:rsidRPr="0083134A">
      <w:rPr>
        <w:rFonts w:ascii="Cambria" w:eastAsia="Times New Roman" w:hAnsi="Cambria" w:cs="Arial"/>
        <w:i/>
        <w:color w:val="1F497D"/>
        <w:sz w:val="18"/>
        <w:szCs w:val="18"/>
        <w:lang w:eastAsia="cs-CZ"/>
      </w:rPr>
      <w:t>roce 201</w:t>
    </w:r>
    <w:r>
      <w:rPr>
        <w:rFonts w:ascii="Cambria" w:eastAsia="Times New Roman" w:hAnsi="Cambria" w:cs="Arial"/>
        <w:i/>
        <w:color w:val="1F497D"/>
        <w:sz w:val="18"/>
        <w:szCs w:val="18"/>
        <w:lang w:eastAsia="cs-CZ"/>
      </w:rPr>
      <w:t>7</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EEF466" w14:textId="71F91411" w:rsidR="00992CDB" w:rsidRPr="00937521" w:rsidRDefault="00992CDB" w:rsidP="0045579F">
    <w:pPr>
      <w:pStyle w:val="Zhlav"/>
      <w:rPr>
        <w:color w:val="FFFFFF" w:themeColor="background1"/>
      </w:rPr>
    </w:pPr>
    <w:r w:rsidRPr="00937521">
      <w:rPr>
        <w:color w:val="FFFFFF" w:themeColor="background1"/>
      </w:rPr>
      <w:t>II</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85015D" w14:textId="16D89E9E" w:rsidR="0019603C" w:rsidRDefault="0019603C">
    <w:pPr>
      <w:pStyle w:val="Zhlav"/>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770261" w14:textId="0F49E0E1" w:rsidR="00992CDB" w:rsidRPr="002D2850" w:rsidRDefault="00992CDB" w:rsidP="002D2850">
    <w:pPr>
      <w:pStyle w:val="Zhlav"/>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BE3325" w14:textId="299D692D" w:rsidR="0019603C" w:rsidRDefault="0019603C">
    <w:pPr>
      <w:pStyle w:val="Zhlav"/>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D8C7C8" w14:textId="09269AD0" w:rsidR="0019603C" w:rsidRDefault="0019603C">
    <w:pPr>
      <w:pStyle w:val="Zhlav"/>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32BEB1" w14:textId="290DD456" w:rsidR="0019603C" w:rsidRDefault="0019603C">
    <w:pPr>
      <w:pStyle w:val="Zhlav"/>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27A217" w14:textId="2044C42C" w:rsidR="0019603C" w:rsidRDefault="0019603C">
    <w:pPr>
      <w:pStyle w:val="Zhlav"/>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A7BCEC" w14:textId="619242EA" w:rsidR="0019603C" w:rsidRDefault="0019603C">
    <w:pPr>
      <w:pStyle w:val="Zhlav"/>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897904" w14:textId="563E64DD" w:rsidR="00992CDB" w:rsidRPr="0083134A" w:rsidRDefault="00992CDB" w:rsidP="001911CA">
    <w:pPr>
      <w:pStyle w:val="Zhlav"/>
      <w:rPr>
        <w:rFonts w:ascii="Cambria" w:eastAsia="Times New Roman" w:hAnsi="Cambria" w:cs="Arial"/>
        <w:i/>
        <w:color w:val="1F497D"/>
        <w:sz w:val="18"/>
        <w:szCs w:val="18"/>
        <w:lang w:eastAsia="cs-CZ"/>
      </w:rPr>
    </w:pPr>
    <w:r>
      <w:rPr>
        <w:rFonts w:ascii="Cambria" w:eastAsia="Times New Roman" w:hAnsi="Cambria" w:cs="Arial"/>
        <w:i/>
        <w:color w:val="1F497D"/>
        <w:sz w:val="18"/>
        <w:szCs w:val="18"/>
        <w:lang w:eastAsia="cs-CZ"/>
      </w:rPr>
      <w:fldChar w:fldCharType="begin"/>
    </w:r>
    <w:r>
      <w:rPr>
        <w:rFonts w:ascii="Cambria" w:eastAsia="Times New Roman" w:hAnsi="Cambria" w:cs="Arial"/>
        <w:i/>
        <w:color w:val="1F497D"/>
        <w:sz w:val="18"/>
        <w:szCs w:val="18"/>
        <w:lang w:eastAsia="cs-CZ"/>
      </w:rPr>
      <w:instrText xml:space="preserve"> TITLE  \* Caps  \* MERGEFORMAT </w:instrText>
    </w:r>
    <w:r>
      <w:rPr>
        <w:rFonts w:ascii="Cambria" w:eastAsia="Times New Roman" w:hAnsi="Cambria" w:cs="Arial"/>
        <w:i/>
        <w:color w:val="1F497D"/>
        <w:sz w:val="18"/>
        <w:szCs w:val="18"/>
        <w:lang w:eastAsia="cs-CZ"/>
      </w:rPr>
      <w:fldChar w:fldCharType="end"/>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FF2D39" w14:textId="1297B89E" w:rsidR="0019603C" w:rsidRDefault="0019603C">
    <w:pPr>
      <w:pStyle w:val="Zhlav"/>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62D29D" w14:textId="15095326" w:rsidR="0019603C" w:rsidRDefault="0019603C">
    <w:pPr>
      <w:pStyle w:val="Zhlav"/>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788E57" w14:textId="21C7992C" w:rsidR="0019603C" w:rsidRDefault="0019603C">
    <w:pPr>
      <w:pStyle w:val="Zhlav"/>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42E348" w14:textId="6D9C0218" w:rsidR="00992CDB" w:rsidRDefault="00992CDB" w:rsidP="007D64A4">
    <w:pPr>
      <w:pStyle w:val="Zhlav"/>
    </w:pPr>
    <w:r>
      <w:t>B1/340</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6C1D4C" w14:textId="5719FE99" w:rsidR="0019603C" w:rsidRDefault="0019603C">
    <w:pPr>
      <w:pStyle w:val="Zhlav"/>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5A3EB6" w14:textId="1B491BE3" w:rsidR="0019603C" w:rsidRDefault="0019603C">
    <w:pPr>
      <w:pStyle w:val="Zhlav"/>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A9DF3E" w14:textId="014BE197" w:rsidR="00992CDB" w:rsidRDefault="00992CDB" w:rsidP="007D64A4">
    <w:pPr>
      <w:pStyle w:val="Zhlav"/>
    </w:pPr>
    <w:r>
      <w:t>B1/340</w: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8355B3" w14:textId="757A73C7" w:rsidR="0019603C" w:rsidRDefault="0019603C">
    <w:pPr>
      <w:pStyle w:val="Zhlav"/>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14168D" w14:textId="75B89F1D" w:rsidR="0019603C" w:rsidRDefault="0019603C">
    <w:pPr>
      <w:pStyle w:val="Zhlav"/>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A13554" w14:textId="5EBF8C69" w:rsidR="00992CDB" w:rsidRPr="002442BB" w:rsidRDefault="00992CDB">
    <w:pPr>
      <w:pStyle w:val="Zhlav"/>
      <w:rPr>
        <w:rFonts w:ascii="Cambria" w:eastAsia="Times New Roman" w:hAnsi="Cambria" w:cs="Arial"/>
        <w:i/>
        <w:color w:val="1F497D"/>
        <w:sz w:val="18"/>
        <w:szCs w:val="18"/>
        <w:lang w:eastAsia="cs-CZ"/>
      </w:rPr>
    </w:pPr>
    <w:r w:rsidRPr="0083134A">
      <w:rPr>
        <w:rFonts w:ascii="Cambria" w:eastAsia="Times New Roman" w:hAnsi="Cambria" w:cs="Arial"/>
        <w:i/>
        <w:color w:val="1F497D"/>
        <w:sz w:val="18"/>
        <w:szCs w:val="18"/>
        <w:lang w:eastAsia="cs-CZ"/>
      </w:rPr>
      <w:t>Analýz</w:t>
    </w:r>
    <w:r>
      <w:rPr>
        <w:rFonts w:ascii="Cambria" w:eastAsia="Times New Roman" w:hAnsi="Cambria" w:cs="Arial"/>
        <w:i/>
        <w:color w:val="1F497D"/>
        <w:sz w:val="18"/>
        <w:szCs w:val="18"/>
        <w:lang w:eastAsia="cs-CZ"/>
      </w:rPr>
      <w:t>a </w:t>
    </w:r>
    <w:r w:rsidRPr="0083134A">
      <w:rPr>
        <w:rFonts w:ascii="Cambria" w:eastAsia="Times New Roman" w:hAnsi="Cambria" w:cs="Arial"/>
        <w:i/>
        <w:color w:val="1F497D"/>
        <w:sz w:val="18"/>
        <w:szCs w:val="18"/>
        <w:lang w:eastAsia="cs-CZ"/>
      </w:rPr>
      <w:t xml:space="preserve">stavu výzkumu, vývoje </w:t>
    </w:r>
    <w:r>
      <w:rPr>
        <w:rFonts w:ascii="Cambria" w:eastAsia="Times New Roman" w:hAnsi="Cambria" w:cs="Arial"/>
        <w:i/>
        <w:color w:val="1F497D"/>
        <w:sz w:val="18"/>
        <w:szCs w:val="18"/>
        <w:lang w:eastAsia="cs-CZ"/>
      </w:rPr>
      <w:t>a </w:t>
    </w:r>
    <w:r w:rsidRPr="0083134A">
      <w:rPr>
        <w:rFonts w:ascii="Cambria" w:eastAsia="Times New Roman" w:hAnsi="Cambria" w:cs="Arial"/>
        <w:i/>
        <w:color w:val="1F497D"/>
        <w:sz w:val="18"/>
        <w:szCs w:val="18"/>
        <w:lang w:eastAsia="cs-CZ"/>
      </w:rPr>
      <w:t xml:space="preserve">inovací </w:t>
    </w:r>
    <w:r>
      <w:rPr>
        <w:rFonts w:ascii="Cambria" w:eastAsia="Times New Roman" w:hAnsi="Cambria" w:cs="Arial"/>
        <w:i/>
        <w:color w:val="1F497D"/>
        <w:sz w:val="18"/>
        <w:szCs w:val="18"/>
        <w:lang w:eastAsia="cs-CZ"/>
      </w:rPr>
      <w:t>v </w:t>
    </w:r>
    <w:r w:rsidRPr="0083134A">
      <w:rPr>
        <w:rFonts w:ascii="Cambria" w:eastAsia="Times New Roman" w:hAnsi="Cambria" w:cs="Arial"/>
        <w:i/>
        <w:color w:val="1F497D"/>
        <w:sz w:val="18"/>
        <w:szCs w:val="18"/>
        <w:lang w:eastAsia="cs-CZ"/>
      </w:rPr>
      <w:t xml:space="preserve">České republice </w:t>
    </w:r>
    <w:r>
      <w:rPr>
        <w:rFonts w:ascii="Cambria" w:eastAsia="Times New Roman" w:hAnsi="Cambria" w:cs="Arial"/>
        <w:i/>
        <w:color w:val="1F497D"/>
        <w:sz w:val="18"/>
        <w:szCs w:val="18"/>
        <w:lang w:eastAsia="cs-CZ"/>
      </w:rPr>
      <w:t>a </w:t>
    </w:r>
    <w:r w:rsidRPr="0083134A">
      <w:rPr>
        <w:rFonts w:ascii="Cambria" w:eastAsia="Times New Roman" w:hAnsi="Cambria" w:cs="Arial"/>
        <w:i/>
        <w:color w:val="1F497D"/>
        <w:sz w:val="18"/>
        <w:szCs w:val="18"/>
        <w:lang w:eastAsia="cs-CZ"/>
      </w:rPr>
      <w:t xml:space="preserve">jejich srovnání se zahraničím </w:t>
    </w:r>
    <w:r>
      <w:rPr>
        <w:rFonts w:ascii="Cambria" w:eastAsia="Times New Roman" w:hAnsi="Cambria" w:cs="Arial"/>
        <w:i/>
        <w:color w:val="1F497D"/>
        <w:sz w:val="18"/>
        <w:szCs w:val="18"/>
        <w:lang w:eastAsia="cs-CZ"/>
      </w:rPr>
      <w:t>v </w:t>
    </w:r>
    <w:r w:rsidRPr="0083134A">
      <w:rPr>
        <w:rFonts w:ascii="Cambria" w:eastAsia="Times New Roman" w:hAnsi="Cambria" w:cs="Arial"/>
        <w:i/>
        <w:color w:val="1F497D"/>
        <w:sz w:val="18"/>
        <w:szCs w:val="18"/>
        <w:lang w:eastAsia="cs-CZ"/>
      </w:rPr>
      <w:t>roce 201</w:t>
    </w:r>
    <w:r>
      <w:rPr>
        <w:rFonts w:ascii="Cambria" w:eastAsia="Times New Roman" w:hAnsi="Cambria" w:cs="Arial"/>
        <w:i/>
        <w:color w:val="1F497D"/>
        <w:sz w:val="18"/>
        <w:szCs w:val="18"/>
        <w:lang w:eastAsia="cs-CZ"/>
      </w:rPr>
      <w:t>6</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5F89B2" w14:textId="77777777" w:rsidR="00FD1BF2" w:rsidRDefault="00FD1BF2">
    <w:pPr>
      <w:pStyle w:val="Zhlav"/>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71401F" w14:textId="77777777" w:rsidR="00FD1BF2" w:rsidRDefault="00FD1BF2">
    <w:pPr>
      <w:pStyle w:val="Zhlav"/>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202FD3" w14:textId="77777777" w:rsidR="00FD1BF2" w:rsidRDefault="00FD1BF2">
    <w:pPr>
      <w:pStyle w:val="Zhlav"/>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28BCE3" w14:textId="5C7F9A34" w:rsidR="0019603C" w:rsidRDefault="0019603C">
    <w:pPr>
      <w:pStyle w:val="Zhlav"/>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C1F2A6" w14:textId="264BA5F1" w:rsidR="0019603C" w:rsidRDefault="0019603C">
    <w:pPr>
      <w:pStyle w:val="Zhlav"/>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ACF920" w14:textId="46BD0542" w:rsidR="0019603C" w:rsidRDefault="0019603C">
    <w:pPr>
      <w:pStyle w:val="Zhlav"/>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45DD9C" w14:textId="43D0EC81" w:rsidR="0019603C" w:rsidRDefault="0019603C">
    <w:pPr>
      <w:pStyle w:val="Zhlav"/>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82289F" w14:textId="410DDE6A" w:rsidR="0019603C" w:rsidRDefault="0019603C">
    <w:pPr>
      <w:pStyle w:val="Zhlav"/>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D9F70A" w14:textId="3F29DB5A" w:rsidR="00992CDB" w:rsidRDefault="00992CDB" w:rsidP="007D64A4">
    <w:pPr>
      <w:pStyle w:val="Zhlav"/>
    </w:pPr>
    <w:r>
      <w:t>B1/340</w:t>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324821" w14:textId="2B38E223" w:rsidR="0019603C" w:rsidRDefault="0019603C">
    <w:pPr>
      <w:pStyle w:val="Zhlav"/>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42FC61" w14:textId="40480FDD" w:rsidR="0019603C" w:rsidRDefault="0019603C">
    <w:pPr>
      <w:pStyle w:val="Zhlav"/>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47AA82" w14:textId="4C1A6246" w:rsidR="00992CDB" w:rsidRPr="002442BB" w:rsidRDefault="00992CDB">
    <w:pPr>
      <w:pStyle w:val="Zhlav"/>
      <w:rPr>
        <w:rFonts w:ascii="Cambria" w:eastAsia="Times New Roman" w:hAnsi="Cambria" w:cs="Arial"/>
        <w:i/>
        <w:color w:val="1F497D"/>
        <w:sz w:val="18"/>
        <w:szCs w:val="18"/>
        <w:lang w:eastAsia="cs-CZ"/>
      </w:rPr>
    </w:pPr>
    <w:r w:rsidRPr="0083134A">
      <w:rPr>
        <w:rFonts w:ascii="Cambria" w:eastAsia="Times New Roman" w:hAnsi="Cambria" w:cs="Arial"/>
        <w:i/>
        <w:color w:val="1F497D"/>
        <w:sz w:val="18"/>
        <w:szCs w:val="18"/>
        <w:lang w:eastAsia="cs-CZ"/>
      </w:rPr>
      <w:t>Analýz</w:t>
    </w:r>
    <w:r>
      <w:rPr>
        <w:rFonts w:ascii="Cambria" w:eastAsia="Times New Roman" w:hAnsi="Cambria" w:cs="Arial"/>
        <w:i/>
        <w:color w:val="1F497D"/>
        <w:sz w:val="18"/>
        <w:szCs w:val="18"/>
        <w:lang w:eastAsia="cs-CZ"/>
      </w:rPr>
      <w:t>a </w:t>
    </w:r>
    <w:r w:rsidRPr="0083134A">
      <w:rPr>
        <w:rFonts w:ascii="Cambria" w:eastAsia="Times New Roman" w:hAnsi="Cambria" w:cs="Arial"/>
        <w:i/>
        <w:color w:val="1F497D"/>
        <w:sz w:val="18"/>
        <w:szCs w:val="18"/>
        <w:lang w:eastAsia="cs-CZ"/>
      </w:rPr>
      <w:t xml:space="preserve">stavu výzkumu, vývoje </w:t>
    </w:r>
    <w:r>
      <w:rPr>
        <w:rFonts w:ascii="Cambria" w:eastAsia="Times New Roman" w:hAnsi="Cambria" w:cs="Arial"/>
        <w:i/>
        <w:color w:val="1F497D"/>
        <w:sz w:val="18"/>
        <w:szCs w:val="18"/>
        <w:lang w:eastAsia="cs-CZ"/>
      </w:rPr>
      <w:t>a </w:t>
    </w:r>
    <w:r w:rsidRPr="0083134A">
      <w:rPr>
        <w:rFonts w:ascii="Cambria" w:eastAsia="Times New Roman" w:hAnsi="Cambria" w:cs="Arial"/>
        <w:i/>
        <w:color w:val="1F497D"/>
        <w:sz w:val="18"/>
        <w:szCs w:val="18"/>
        <w:lang w:eastAsia="cs-CZ"/>
      </w:rPr>
      <w:t xml:space="preserve">inovací </w:t>
    </w:r>
    <w:r>
      <w:rPr>
        <w:rFonts w:ascii="Cambria" w:eastAsia="Times New Roman" w:hAnsi="Cambria" w:cs="Arial"/>
        <w:i/>
        <w:color w:val="1F497D"/>
        <w:sz w:val="18"/>
        <w:szCs w:val="18"/>
        <w:lang w:eastAsia="cs-CZ"/>
      </w:rPr>
      <w:t>v </w:t>
    </w:r>
    <w:r w:rsidRPr="0083134A">
      <w:rPr>
        <w:rFonts w:ascii="Cambria" w:eastAsia="Times New Roman" w:hAnsi="Cambria" w:cs="Arial"/>
        <w:i/>
        <w:color w:val="1F497D"/>
        <w:sz w:val="18"/>
        <w:szCs w:val="18"/>
        <w:lang w:eastAsia="cs-CZ"/>
      </w:rPr>
      <w:t xml:space="preserve">České republice </w:t>
    </w:r>
    <w:r>
      <w:rPr>
        <w:rFonts w:ascii="Cambria" w:eastAsia="Times New Roman" w:hAnsi="Cambria" w:cs="Arial"/>
        <w:i/>
        <w:color w:val="1F497D"/>
        <w:sz w:val="18"/>
        <w:szCs w:val="18"/>
        <w:lang w:eastAsia="cs-CZ"/>
      </w:rPr>
      <w:t>a </w:t>
    </w:r>
    <w:r w:rsidRPr="0083134A">
      <w:rPr>
        <w:rFonts w:ascii="Cambria" w:eastAsia="Times New Roman" w:hAnsi="Cambria" w:cs="Arial"/>
        <w:i/>
        <w:color w:val="1F497D"/>
        <w:sz w:val="18"/>
        <w:szCs w:val="18"/>
        <w:lang w:eastAsia="cs-CZ"/>
      </w:rPr>
      <w:t xml:space="preserve">jejich srovnání se zahraničím </w:t>
    </w:r>
    <w:r>
      <w:rPr>
        <w:rFonts w:ascii="Cambria" w:eastAsia="Times New Roman" w:hAnsi="Cambria" w:cs="Arial"/>
        <w:i/>
        <w:color w:val="1F497D"/>
        <w:sz w:val="18"/>
        <w:szCs w:val="18"/>
        <w:lang w:eastAsia="cs-CZ"/>
      </w:rPr>
      <w:t>v </w:t>
    </w:r>
    <w:r w:rsidRPr="0083134A">
      <w:rPr>
        <w:rFonts w:ascii="Cambria" w:eastAsia="Times New Roman" w:hAnsi="Cambria" w:cs="Arial"/>
        <w:i/>
        <w:color w:val="1F497D"/>
        <w:sz w:val="18"/>
        <w:szCs w:val="18"/>
        <w:lang w:eastAsia="cs-CZ"/>
      </w:rPr>
      <w:t>roce 201</w:t>
    </w:r>
    <w:r>
      <w:rPr>
        <w:rFonts w:ascii="Cambria" w:eastAsia="Times New Roman" w:hAnsi="Cambria" w:cs="Arial"/>
        <w:i/>
        <w:color w:val="1F497D"/>
        <w:sz w:val="18"/>
        <w:szCs w:val="18"/>
        <w:lang w:eastAsia="cs-CZ"/>
      </w:rPr>
      <w:t>6</w:t>
    </w: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BC6A14" w14:textId="77777777" w:rsidR="00FD1BF2" w:rsidRDefault="00FD1BF2">
    <w:pPr>
      <w:pStyle w:val="Zhlav"/>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2AB3A6" w14:textId="77777777" w:rsidR="00FD1BF2" w:rsidRDefault="00FD1BF2">
    <w:pPr>
      <w:pStyle w:val="Zhlav"/>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435E64" w14:textId="77777777" w:rsidR="00FD1BF2" w:rsidRPr="002442BB" w:rsidRDefault="00FD1BF2">
    <w:pPr>
      <w:pStyle w:val="Zhlav"/>
      <w:rPr>
        <w:rFonts w:ascii="Cambria" w:eastAsia="Times New Roman" w:hAnsi="Cambria" w:cs="Arial"/>
        <w:i/>
        <w:color w:val="1F497D"/>
        <w:sz w:val="18"/>
        <w:szCs w:val="18"/>
        <w:lang w:eastAsia="cs-CZ"/>
      </w:rPr>
    </w:pPr>
    <w:r w:rsidRPr="0083134A">
      <w:rPr>
        <w:rFonts w:ascii="Cambria" w:eastAsia="Times New Roman" w:hAnsi="Cambria" w:cs="Arial"/>
        <w:i/>
        <w:color w:val="1F497D"/>
        <w:sz w:val="18"/>
        <w:szCs w:val="18"/>
        <w:lang w:eastAsia="cs-CZ"/>
      </w:rPr>
      <w:t>Analýz</w:t>
    </w:r>
    <w:r>
      <w:rPr>
        <w:rFonts w:ascii="Cambria" w:eastAsia="Times New Roman" w:hAnsi="Cambria" w:cs="Arial"/>
        <w:i/>
        <w:color w:val="1F497D"/>
        <w:sz w:val="18"/>
        <w:szCs w:val="18"/>
        <w:lang w:eastAsia="cs-CZ"/>
      </w:rPr>
      <w:t>a </w:t>
    </w:r>
    <w:r w:rsidRPr="0083134A">
      <w:rPr>
        <w:rFonts w:ascii="Cambria" w:eastAsia="Times New Roman" w:hAnsi="Cambria" w:cs="Arial"/>
        <w:i/>
        <w:color w:val="1F497D"/>
        <w:sz w:val="18"/>
        <w:szCs w:val="18"/>
        <w:lang w:eastAsia="cs-CZ"/>
      </w:rPr>
      <w:t xml:space="preserve">stavu výzkumu, vývoje </w:t>
    </w:r>
    <w:r>
      <w:rPr>
        <w:rFonts w:ascii="Cambria" w:eastAsia="Times New Roman" w:hAnsi="Cambria" w:cs="Arial"/>
        <w:i/>
        <w:color w:val="1F497D"/>
        <w:sz w:val="18"/>
        <w:szCs w:val="18"/>
        <w:lang w:eastAsia="cs-CZ"/>
      </w:rPr>
      <w:t>a </w:t>
    </w:r>
    <w:r w:rsidRPr="0083134A">
      <w:rPr>
        <w:rFonts w:ascii="Cambria" w:eastAsia="Times New Roman" w:hAnsi="Cambria" w:cs="Arial"/>
        <w:i/>
        <w:color w:val="1F497D"/>
        <w:sz w:val="18"/>
        <w:szCs w:val="18"/>
        <w:lang w:eastAsia="cs-CZ"/>
      </w:rPr>
      <w:t xml:space="preserve">inovací </w:t>
    </w:r>
    <w:r>
      <w:rPr>
        <w:rFonts w:ascii="Cambria" w:eastAsia="Times New Roman" w:hAnsi="Cambria" w:cs="Arial"/>
        <w:i/>
        <w:color w:val="1F497D"/>
        <w:sz w:val="18"/>
        <w:szCs w:val="18"/>
        <w:lang w:eastAsia="cs-CZ"/>
      </w:rPr>
      <w:t>v </w:t>
    </w:r>
    <w:r w:rsidRPr="0083134A">
      <w:rPr>
        <w:rFonts w:ascii="Cambria" w:eastAsia="Times New Roman" w:hAnsi="Cambria" w:cs="Arial"/>
        <w:i/>
        <w:color w:val="1F497D"/>
        <w:sz w:val="18"/>
        <w:szCs w:val="18"/>
        <w:lang w:eastAsia="cs-CZ"/>
      </w:rPr>
      <w:t xml:space="preserve">České republice </w:t>
    </w:r>
    <w:r>
      <w:rPr>
        <w:rFonts w:ascii="Cambria" w:eastAsia="Times New Roman" w:hAnsi="Cambria" w:cs="Arial"/>
        <w:i/>
        <w:color w:val="1F497D"/>
        <w:sz w:val="18"/>
        <w:szCs w:val="18"/>
        <w:lang w:eastAsia="cs-CZ"/>
      </w:rPr>
      <w:t>a </w:t>
    </w:r>
    <w:r w:rsidRPr="0083134A">
      <w:rPr>
        <w:rFonts w:ascii="Cambria" w:eastAsia="Times New Roman" w:hAnsi="Cambria" w:cs="Arial"/>
        <w:i/>
        <w:color w:val="1F497D"/>
        <w:sz w:val="18"/>
        <w:szCs w:val="18"/>
        <w:lang w:eastAsia="cs-CZ"/>
      </w:rPr>
      <w:t xml:space="preserve">jejich srovnání se zahraničím </w:t>
    </w:r>
    <w:r>
      <w:rPr>
        <w:rFonts w:ascii="Cambria" w:eastAsia="Times New Roman" w:hAnsi="Cambria" w:cs="Arial"/>
        <w:i/>
        <w:color w:val="1F497D"/>
        <w:sz w:val="18"/>
        <w:szCs w:val="18"/>
        <w:lang w:eastAsia="cs-CZ"/>
      </w:rPr>
      <w:t>v </w:t>
    </w:r>
    <w:r w:rsidRPr="0083134A">
      <w:rPr>
        <w:rFonts w:ascii="Cambria" w:eastAsia="Times New Roman" w:hAnsi="Cambria" w:cs="Arial"/>
        <w:i/>
        <w:color w:val="1F497D"/>
        <w:sz w:val="18"/>
        <w:szCs w:val="18"/>
        <w:lang w:eastAsia="cs-CZ"/>
      </w:rPr>
      <w:t>roce 201</w:t>
    </w:r>
    <w:r>
      <w:rPr>
        <w:rFonts w:ascii="Cambria" w:eastAsia="Times New Roman" w:hAnsi="Cambria" w:cs="Arial"/>
        <w:i/>
        <w:color w:val="1F497D"/>
        <w:sz w:val="18"/>
        <w:szCs w:val="18"/>
        <w:lang w:eastAsia="cs-CZ"/>
      </w:rPr>
      <w:t>6</w:t>
    </w: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FA3D4" w14:textId="286F90FE" w:rsidR="0019603C" w:rsidRDefault="0019603C">
    <w:pPr>
      <w:pStyle w:val="Zhlav"/>
    </w:pP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12B524" w14:textId="3267C226" w:rsidR="00DE6820" w:rsidRPr="0083134A" w:rsidRDefault="00DE6820" w:rsidP="001911CA">
    <w:pPr>
      <w:pStyle w:val="Zhlav"/>
      <w:rPr>
        <w:rFonts w:ascii="Cambria" w:eastAsia="Times New Roman" w:hAnsi="Cambria" w:cs="Arial"/>
        <w:i/>
        <w:color w:val="1F497D"/>
        <w:sz w:val="18"/>
        <w:szCs w:val="18"/>
        <w:lang w:eastAsia="cs-CZ"/>
      </w:rPr>
    </w:pPr>
    <w:r>
      <w:rPr>
        <w:rFonts w:ascii="Cambria" w:eastAsia="Times New Roman" w:hAnsi="Cambria" w:cs="Arial"/>
        <w:i/>
        <w:color w:val="1F497D"/>
        <w:sz w:val="18"/>
        <w:szCs w:val="18"/>
        <w:lang w:eastAsia="cs-CZ"/>
      </w:rPr>
      <w:fldChar w:fldCharType="begin"/>
    </w:r>
    <w:r>
      <w:rPr>
        <w:rFonts w:ascii="Cambria" w:eastAsia="Times New Roman" w:hAnsi="Cambria" w:cs="Arial"/>
        <w:i/>
        <w:color w:val="1F497D"/>
        <w:sz w:val="18"/>
        <w:szCs w:val="18"/>
        <w:lang w:eastAsia="cs-CZ"/>
      </w:rPr>
      <w:instrText xml:space="preserve"> TITLE  \* Caps  \* MERGEFORMAT </w:instrText>
    </w:r>
    <w:r>
      <w:rPr>
        <w:rFonts w:ascii="Cambria" w:eastAsia="Times New Roman" w:hAnsi="Cambria" w:cs="Arial"/>
        <w:i/>
        <w:color w:val="1F497D"/>
        <w:sz w:val="18"/>
        <w:szCs w:val="18"/>
        <w:lang w:eastAsia="cs-CZ"/>
      </w:rPr>
      <w:fldChar w:fldCharType="end"/>
    </w: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1E761A" w14:textId="27955F23" w:rsidR="0019603C" w:rsidRDefault="0019603C">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F95A9B"/>
    <w:multiLevelType w:val="hybridMultilevel"/>
    <w:tmpl w:val="B0AAE986"/>
    <w:lvl w:ilvl="0" w:tplc="5BC85CBA">
      <w:start w:val="2"/>
      <w:numFmt w:val="decimal"/>
      <w:lvlText w:val="%1."/>
      <w:lvlJc w:val="left"/>
      <w:pPr>
        <w:ind w:left="720" w:hanging="360"/>
      </w:pPr>
      <w:rPr>
        <w:rFonts w:hint="default"/>
      </w:rPr>
    </w:lvl>
    <w:lvl w:ilvl="1" w:tplc="04050019">
      <w:start w:val="1"/>
      <w:numFmt w:val="lowerLetter"/>
      <w:lvlText w:val="%2."/>
      <w:lvlJc w:val="left"/>
      <w:pPr>
        <w:ind w:left="1440" w:hanging="360"/>
      </w:pPr>
    </w:lvl>
    <w:lvl w:ilvl="2" w:tplc="8E526E46">
      <w:start w:val="1"/>
      <w:numFmt w:val="bullet"/>
      <w:pStyle w:val="komentzaobrzkem-odrky"/>
      <w:lvlText w:val=""/>
      <w:lvlJc w:val="left"/>
      <w:pPr>
        <w:ind w:left="2160" w:hanging="180"/>
      </w:pPr>
      <w:rPr>
        <w:rFonts w:ascii="Symbol" w:hAnsi="Symbol" w:hint="default"/>
      </w:r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03643748"/>
    <w:multiLevelType w:val="hybridMultilevel"/>
    <w:tmpl w:val="FD9CE4D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5CD3D58"/>
    <w:multiLevelType w:val="hybridMultilevel"/>
    <w:tmpl w:val="3C560C12"/>
    <w:lvl w:ilvl="0" w:tplc="733C5DD6">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0633772B"/>
    <w:multiLevelType w:val="hybridMultilevel"/>
    <w:tmpl w:val="DDD60F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8055714"/>
    <w:multiLevelType w:val="hybridMultilevel"/>
    <w:tmpl w:val="E42CF4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8EA1EBF"/>
    <w:multiLevelType w:val="hybridMultilevel"/>
    <w:tmpl w:val="59D244DE"/>
    <w:lvl w:ilvl="0" w:tplc="04050001">
      <w:start w:val="1"/>
      <w:numFmt w:val="bullet"/>
      <w:lvlText w:val=""/>
      <w:lvlJc w:val="left"/>
      <w:pPr>
        <w:ind w:left="710" w:hanging="360"/>
      </w:pPr>
      <w:rPr>
        <w:rFonts w:ascii="Symbol" w:hAnsi="Symbol" w:hint="default"/>
      </w:rPr>
    </w:lvl>
    <w:lvl w:ilvl="1" w:tplc="04050003" w:tentative="1">
      <w:start w:val="1"/>
      <w:numFmt w:val="bullet"/>
      <w:lvlText w:val="o"/>
      <w:lvlJc w:val="left"/>
      <w:pPr>
        <w:ind w:left="1430" w:hanging="360"/>
      </w:pPr>
      <w:rPr>
        <w:rFonts w:ascii="Courier New" w:hAnsi="Courier New" w:cs="Courier New" w:hint="default"/>
      </w:rPr>
    </w:lvl>
    <w:lvl w:ilvl="2" w:tplc="04050005" w:tentative="1">
      <w:start w:val="1"/>
      <w:numFmt w:val="bullet"/>
      <w:lvlText w:val=""/>
      <w:lvlJc w:val="left"/>
      <w:pPr>
        <w:ind w:left="2150" w:hanging="360"/>
      </w:pPr>
      <w:rPr>
        <w:rFonts w:ascii="Wingdings" w:hAnsi="Wingdings" w:hint="default"/>
      </w:rPr>
    </w:lvl>
    <w:lvl w:ilvl="3" w:tplc="04050001" w:tentative="1">
      <w:start w:val="1"/>
      <w:numFmt w:val="bullet"/>
      <w:lvlText w:val=""/>
      <w:lvlJc w:val="left"/>
      <w:pPr>
        <w:ind w:left="2870" w:hanging="360"/>
      </w:pPr>
      <w:rPr>
        <w:rFonts w:ascii="Symbol" w:hAnsi="Symbol" w:hint="default"/>
      </w:rPr>
    </w:lvl>
    <w:lvl w:ilvl="4" w:tplc="04050003" w:tentative="1">
      <w:start w:val="1"/>
      <w:numFmt w:val="bullet"/>
      <w:lvlText w:val="o"/>
      <w:lvlJc w:val="left"/>
      <w:pPr>
        <w:ind w:left="3590" w:hanging="360"/>
      </w:pPr>
      <w:rPr>
        <w:rFonts w:ascii="Courier New" w:hAnsi="Courier New" w:cs="Courier New" w:hint="default"/>
      </w:rPr>
    </w:lvl>
    <w:lvl w:ilvl="5" w:tplc="04050005" w:tentative="1">
      <w:start w:val="1"/>
      <w:numFmt w:val="bullet"/>
      <w:lvlText w:val=""/>
      <w:lvlJc w:val="left"/>
      <w:pPr>
        <w:ind w:left="4310" w:hanging="360"/>
      </w:pPr>
      <w:rPr>
        <w:rFonts w:ascii="Wingdings" w:hAnsi="Wingdings" w:hint="default"/>
      </w:rPr>
    </w:lvl>
    <w:lvl w:ilvl="6" w:tplc="04050001" w:tentative="1">
      <w:start w:val="1"/>
      <w:numFmt w:val="bullet"/>
      <w:lvlText w:val=""/>
      <w:lvlJc w:val="left"/>
      <w:pPr>
        <w:ind w:left="5030" w:hanging="360"/>
      </w:pPr>
      <w:rPr>
        <w:rFonts w:ascii="Symbol" w:hAnsi="Symbol" w:hint="default"/>
      </w:rPr>
    </w:lvl>
    <w:lvl w:ilvl="7" w:tplc="04050003" w:tentative="1">
      <w:start w:val="1"/>
      <w:numFmt w:val="bullet"/>
      <w:lvlText w:val="o"/>
      <w:lvlJc w:val="left"/>
      <w:pPr>
        <w:ind w:left="5750" w:hanging="360"/>
      </w:pPr>
      <w:rPr>
        <w:rFonts w:ascii="Courier New" w:hAnsi="Courier New" w:cs="Courier New" w:hint="default"/>
      </w:rPr>
    </w:lvl>
    <w:lvl w:ilvl="8" w:tplc="04050005" w:tentative="1">
      <w:start w:val="1"/>
      <w:numFmt w:val="bullet"/>
      <w:lvlText w:val=""/>
      <w:lvlJc w:val="left"/>
      <w:pPr>
        <w:ind w:left="6470" w:hanging="360"/>
      </w:pPr>
      <w:rPr>
        <w:rFonts w:ascii="Wingdings" w:hAnsi="Wingdings" w:hint="default"/>
      </w:rPr>
    </w:lvl>
  </w:abstractNum>
  <w:abstractNum w:abstractNumId="6" w15:restartNumberingAfterBreak="0">
    <w:nsid w:val="0C7D4F01"/>
    <w:multiLevelType w:val="hybridMultilevel"/>
    <w:tmpl w:val="1BB414EE"/>
    <w:lvl w:ilvl="0" w:tplc="04050001">
      <w:start w:val="1"/>
      <w:numFmt w:val="bullet"/>
      <w:lvlText w:val=""/>
      <w:lvlJc w:val="left"/>
      <w:pPr>
        <w:ind w:left="502" w:hanging="360"/>
      </w:pPr>
      <w:rPr>
        <w:rFonts w:ascii="Symbol" w:hAnsi="Symbol" w:hint="default"/>
      </w:rPr>
    </w:lvl>
    <w:lvl w:ilvl="1" w:tplc="04050003" w:tentative="1">
      <w:start w:val="1"/>
      <w:numFmt w:val="bullet"/>
      <w:lvlText w:val="o"/>
      <w:lvlJc w:val="left"/>
      <w:pPr>
        <w:ind w:left="1222" w:hanging="360"/>
      </w:pPr>
      <w:rPr>
        <w:rFonts w:ascii="Courier New" w:hAnsi="Courier New" w:cs="Courier New" w:hint="default"/>
      </w:rPr>
    </w:lvl>
    <w:lvl w:ilvl="2" w:tplc="04050005" w:tentative="1">
      <w:start w:val="1"/>
      <w:numFmt w:val="bullet"/>
      <w:lvlText w:val=""/>
      <w:lvlJc w:val="left"/>
      <w:pPr>
        <w:ind w:left="1942" w:hanging="360"/>
      </w:pPr>
      <w:rPr>
        <w:rFonts w:ascii="Wingdings" w:hAnsi="Wingdings" w:hint="default"/>
      </w:rPr>
    </w:lvl>
    <w:lvl w:ilvl="3" w:tplc="04050001" w:tentative="1">
      <w:start w:val="1"/>
      <w:numFmt w:val="bullet"/>
      <w:lvlText w:val=""/>
      <w:lvlJc w:val="left"/>
      <w:pPr>
        <w:ind w:left="2662" w:hanging="360"/>
      </w:pPr>
      <w:rPr>
        <w:rFonts w:ascii="Symbol" w:hAnsi="Symbol" w:hint="default"/>
      </w:rPr>
    </w:lvl>
    <w:lvl w:ilvl="4" w:tplc="04050003" w:tentative="1">
      <w:start w:val="1"/>
      <w:numFmt w:val="bullet"/>
      <w:lvlText w:val="o"/>
      <w:lvlJc w:val="left"/>
      <w:pPr>
        <w:ind w:left="3382" w:hanging="360"/>
      </w:pPr>
      <w:rPr>
        <w:rFonts w:ascii="Courier New" w:hAnsi="Courier New" w:cs="Courier New" w:hint="default"/>
      </w:rPr>
    </w:lvl>
    <w:lvl w:ilvl="5" w:tplc="04050005" w:tentative="1">
      <w:start w:val="1"/>
      <w:numFmt w:val="bullet"/>
      <w:lvlText w:val=""/>
      <w:lvlJc w:val="left"/>
      <w:pPr>
        <w:ind w:left="4102" w:hanging="360"/>
      </w:pPr>
      <w:rPr>
        <w:rFonts w:ascii="Wingdings" w:hAnsi="Wingdings" w:hint="default"/>
      </w:rPr>
    </w:lvl>
    <w:lvl w:ilvl="6" w:tplc="04050001" w:tentative="1">
      <w:start w:val="1"/>
      <w:numFmt w:val="bullet"/>
      <w:lvlText w:val=""/>
      <w:lvlJc w:val="left"/>
      <w:pPr>
        <w:ind w:left="4822" w:hanging="360"/>
      </w:pPr>
      <w:rPr>
        <w:rFonts w:ascii="Symbol" w:hAnsi="Symbol" w:hint="default"/>
      </w:rPr>
    </w:lvl>
    <w:lvl w:ilvl="7" w:tplc="04050003" w:tentative="1">
      <w:start w:val="1"/>
      <w:numFmt w:val="bullet"/>
      <w:lvlText w:val="o"/>
      <w:lvlJc w:val="left"/>
      <w:pPr>
        <w:ind w:left="5542" w:hanging="360"/>
      </w:pPr>
      <w:rPr>
        <w:rFonts w:ascii="Courier New" w:hAnsi="Courier New" w:cs="Courier New" w:hint="default"/>
      </w:rPr>
    </w:lvl>
    <w:lvl w:ilvl="8" w:tplc="04050005" w:tentative="1">
      <w:start w:val="1"/>
      <w:numFmt w:val="bullet"/>
      <w:lvlText w:val=""/>
      <w:lvlJc w:val="left"/>
      <w:pPr>
        <w:ind w:left="6262" w:hanging="360"/>
      </w:pPr>
      <w:rPr>
        <w:rFonts w:ascii="Wingdings" w:hAnsi="Wingdings" w:hint="default"/>
      </w:rPr>
    </w:lvl>
  </w:abstractNum>
  <w:abstractNum w:abstractNumId="7" w15:restartNumberingAfterBreak="0">
    <w:nsid w:val="0CDC09F7"/>
    <w:multiLevelType w:val="hybridMultilevel"/>
    <w:tmpl w:val="D1928B2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0F902CB9"/>
    <w:multiLevelType w:val="multilevel"/>
    <w:tmpl w:val="83B67D44"/>
    <w:lvl w:ilvl="0">
      <w:start w:val="1"/>
      <w:numFmt w:val="upperLetter"/>
      <w:pStyle w:val="Nadpis1"/>
      <w:lvlText w:val="%1."/>
      <w:lvlJc w:val="left"/>
      <w:pPr>
        <w:ind w:left="432" w:hanging="432"/>
      </w:pPr>
    </w:lvl>
    <w:lvl w:ilvl="1">
      <w:start w:val="1"/>
      <w:numFmt w:val="decimal"/>
      <w:pStyle w:val="Nadpis2"/>
      <w:lvlText w:val="%1.%2"/>
      <w:lvlJc w:val="left"/>
      <w:pPr>
        <w:ind w:left="860" w:hanging="576"/>
      </w:pPr>
    </w:lvl>
    <w:lvl w:ilvl="2">
      <w:start w:val="1"/>
      <w:numFmt w:val="decimal"/>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9" w15:restartNumberingAfterBreak="0">
    <w:nsid w:val="16946C40"/>
    <w:multiLevelType w:val="hybridMultilevel"/>
    <w:tmpl w:val="67D61DAC"/>
    <w:lvl w:ilvl="0" w:tplc="E97820C4">
      <w:start w:val="1"/>
      <w:numFmt w:val="bullet"/>
      <w:lvlText w:val="→"/>
      <w:lvlJc w:val="left"/>
      <w:pPr>
        <w:ind w:left="720" w:hanging="360"/>
      </w:pPr>
      <w:rPr>
        <w:rFonts w:ascii="Arial" w:hAnsi="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17D2783E"/>
    <w:multiLevelType w:val="hybridMultilevel"/>
    <w:tmpl w:val="84E826E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1DA2782E"/>
    <w:multiLevelType w:val="hybridMultilevel"/>
    <w:tmpl w:val="C0AE51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20E763E8"/>
    <w:multiLevelType w:val="hybridMultilevel"/>
    <w:tmpl w:val="92263A58"/>
    <w:lvl w:ilvl="0" w:tplc="04050005">
      <w:start w:val="1"/>
      <w:numFmt w:val="bullet"/>
      <w:lvlText w:val=""/>
      <w:lvlJc w:val="left"/>
      <w:pPr>
        <w:ind w:left="862" w:hanging="360"/>
      </w:pPr>
      <w:rPr>
        <w:rFonts w:ascii="Wingdings" w:hAnsi="Wingdings" w:hint="default"/>
      </w:rPr>
    </w:lvl>
    <w:lvl w:ilvl="1" w:tplc="FFFFFFFF">
      <w:start w:val="1"/>
      <w:numFmt w:val="bullet"/>
      <w:lvlText w:val="o"/>
      <w:lvlJc w:val="left"/>
      <w:pPr>
        <w:ind w:left="1582" w:hanging="360"/>
      </w:pPr>
      <w:rPr>
        <w:rFonts w:ascii="Courier New" w:hAnsi="Courier New" w:cs="Courier New" w:hint="default"/>
      </w:rPr>
    </w:lvl>
    <w:lvl w:ilvl="2" w:tplc="FFFFFFFF" w:tentative="1">
      <w:start w:val="1"/>
      <w:numFmt w:val="bullet"/>
      <w:lvlText w:val=""/>
      <w:lvlJc w:val="left"/>
      <w:pPr>
        <w:ind w:left="2302" w:hanging="360"/>
      </w:pPr>
      <w:rPr>
        <w:rFonts w:ascii="Wingdings" w:hAnsi="Wingdings" w:hint="default"/>
      </w:rPr>
    </w:lvl>
    <w:lvl w:ilvl="3" w:tplc="FFFFFFFF" w:tentative="1">
      <w:start w:val="1"/>
      <w:numFmt w:val="bullet"/>
      <w:lvlText w:val=""/>
      <w:lvlJc w:val="left"/>
      <w:pPr>
        <w:ind w:left="3022" w:hanging="360"/>
      </w:pPr>
      <w:rPr>
        <w:rFonts w:ascii="Symbol" w:hAnsi="Symbol" w:hint="default"/>
      </w:rPr>
    </w:lvl>
    <w:lvl w:ilvl="4" w:tplc="FFFFFFFF" w:tentative="1">
      <w:start w:val="1"/>
      <w:numFmt w:val="bullet"/>
      <w:lvlText w:val="o"/>
      <w:lvlJc w:val="left"/>
      <w:pPr>
        <w:ind w:left="3742" w:hanging="360"/>
      </w:pPr>
      <w:rPr>
        <w:rFonts w:ascii="Courier New" w:hAnsi="Courier New" w:cs="Courier New" w:hint="default"/>
      </w:rPr>
    </w:lvl>
    <w:lvl w:ilvl="5" w:tplc="FFFFFFFF" w:tentative="1">
      <w:start w:val="1"/>
      <w:numFmt w:val="bullet"/>
      <w:lvlText w:val=""/>
      <w:lvlJc w:val="left"/>
      <w:pPr>
        <w:ind w:left="4462" w:hanging="360"/>
      </w:pPr>
      <w:rPr>
        <w:rFonts w:ascii="Wingdings" w:hAnsi="Wingdings" w:hint="default"/>
      </w:rPr>
    </w:lvl>
    <w:lvl w:ilvl="6" w:tplc="FFFFFFFF" w:tentative="1">
      <w:start w:val="1"/>
      <w:numFmt w:val="bullet"/>
      <w:lvlText w:val=""/>
      <w:lvlJc w:val="left"/>
      <w:pPr>
        <w:ind w:left="5182" w:hanging="360"/>
      </w:pPr>
      <w:rPr>
        <w:rFonts w:ascii="Symbol" w:hAnsi="Symbol" w:hint="default"/>
      </w:rPr>
    </w:lvl>
    <w:lvl w:ilvl="7" w:tplc="FFFFFFFF" w:tentative="1">
      <w:start w:val="1"/>
      <w:numFmt w:val="bullet"/>
      <w:lvlText w:val="o"/>
      <w:lvlJc w:val="left"/>
      <w:pPr>
        <w:ind w:left="5902" w:hanging="360"/>
      </w:pPr>
      <w:rPr>
        <w:rFonts w:ascii="Courier New" w:hAnsi="Courier New" w:cs="Courier New" w:hint="default"/>
      </w:rPr>
    </w:lvl>
    <w:lvl w:ilvl="8" w:tplc="FFFFFFFF" w:tentative="1">
      <w:start w:val="1"/>
      <w:numFmt w:val="bullet"/>
      <w:lvlText w:val=""/>
      <w:lvlJc w:val="left"/>
      <w:pPr>
        <w:ind w:left="6622" w:hanging="360"/>
      </w:pPr>
      <w:rPr>
        <w:rFonts w:ascii="Wingdings" w:hAnsi="Wingdings" w:hint="default"/>
      </w:rPr>
    </w:lvl>
  </w:abstractNum>
  <w:abstractNum w:abstractNumId="13" w15:restartNumberingAfterBreak="0">
    <w:nsid w:val="23B624A1"/>
    <w:multiLevelType w:val="hybridMultilevel"/>
    <w:tmpl w:val="DD38466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28590E53"/>
    <w:multiLevelType w:val="hybridMultilevel"/>
    <w:tmpl w:val="5874F4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28F33892"/>
    <w:multiLevelType w:val="hybridMultilevel"/>
    <w:tmpl w:val="EBE65540"/>
    <w:lvl w:ilvl="0" w:tplc="0405000F">
      <w:start w:val="1"/>
      <w:numFmt w:val="decimal"/>
      <w:lvlText w:val="%1."/>
      <w:lvlJc w:val="left"/>
      <w:pPr>
        <w:ind w:left="6598" w:hanging="360"/>
      </w:pPr>
    </w:lvl>
    <w:lvl w:ilvl="1" w:tplc="04050019" w:tentative="1">
      <w:start w:val="1"/>
      <w:numFmt w:val="lowerLetter"/>
      <w:lvlText w:val="%2."/>
      <w:lvlJc w:val="left"/>
      <w:pPr>
        <w:ind w:left="2007" w:hanging="360"/>
      </w:pPr>
    </w:lvl>
    <w:lvl w:ilvl="2" w:tplc="0405001B" w:tentative="1">
      <w:start w:val="1"/>
      <w:numFmt w:val="lowerRoman"/>
      <w:lvlText w:val="%3."/>
      <w:lvlJc w:val="right"/>
      <w:pPr>
        <w:ind w:left="2727" w:hanging="180"/>
      </w:pPr>
    </w:lvl>
    <w:lvl w:ilvl="3" w:tplc="0405000F" w:tentative="1">
      <w:start w:val="1"/>
      <w:numFmt w:val="decimal"/>
      <w:lvlText w:val="%4."/>
      <w:lvlJc w:val="left"/>
      <w:pPr>
        <w:ind w:left="3447" w:hanging="360"/>
      </w:pPr>
    </w:lvl>
    <w:lvl w:ilvl="4" w:tplc="04050019" w:tentative="1">
      <w:start w:val="1"/>
      <w:numFmt w:val="lowerLetter"/>
      <w:lvlText w:val="%5."/>
      <w:lvlJc w:val="left"/>
      <w:pPr>
        <w:ind w:left="4167" w:hanging="360"/>
      </w:pPr>
    </w:lvl>
    <w:lvl w:ilvl="5" w:tplc="0405001B" w:tentative="1">
      <w:start w:val="1"/>
      <w:numFmt w:val="lowerRoman"/>
      <w:lvlText w:val="%6."/>
      <w:lvlJc w:val="right"/>
      <w:pPr>
        <w:ind w:left="4887" w:hanging="180"/>
      </w:pPr>
    </w:lvl>
    <w:lvl w:ilvl="6" w:tplc="0405000F" w:tentative="1">
      <w:start w:val="1"/>
      <w:numFmt w:val="decimal"/>
      <w:lvlText w:val="%7."/>
      <w:lvlJc w:val="left"/>
      <w:pPr>
        <w:ind w:left="5607" w:hanging="360"/>
      </w:pPr>
    </w:lvl>
    <w:lvl w:ilvl="7" w:tplc="04050019" w:tentative="1">
      <w:start w:val="1"/>
      <w:numFmt w:val="lowerLetter"/>
      <w:lvlText w:val="%8."/>
      <w:lvlJc w:val="left"/>
      <w:pPr>
        <w:ind w:left="6327" w:hanging="360"/>
      </w:pPr>
    </w:lvl>
    <w:lvl w:ilvl="8" w:tplc="0405001B" w:tentative="1">
      <w:start w:val="1"/>
      <w:numFmt w:val="lowerRoman"/>
      <w:lvlText w:val="%9."/>
      <w:lvlJc w:val="right"/>
      <w:pPr>
        <w:ind w:left="7047" w:hanging="180"/>
      </w:pPr>
    </w:lvl>
  </w:abstractNum>
  <w:abstractNum w:abstractNumId="16" w15:restartNumberingAfterBreak="0">
    <w:nsid w:val="2EBA4275"/>
    <w:multiLevelType w:val="hybridMultilevel"/>
    <w:tmpl w:val="A7C24BB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32367C34"/>
    <w:multiLevelType w:val="hybridMultilevel"/>
    <w:tmpl w:val="7070DE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3B7664D5"/>
    <w:multiLevelType w:val="hybridMultilevel"/>
    <w:tmpl w:val="3536A880"/>
    <w:lvl w:ilvl="0" w:tplc="E97820C4">
      <w:start w:val="1"/>
      <w:numFmt w:val="bullet"/>
      <w:lvlText w:val="→"/>
      <w:lvlJc w:val="left"/>
      <w:pPr>
        <w:ind w:left="1800" w:hanging="360"/>
      </w:pPr>
      <w:rPr>
        <w:rFonts w:ascii="Arial" w:hAnsi="Arial" w:hint="default"/>
      </w:rPr>
    </w:lvl>
    <w:lvl w:ilvl="1" w:tplc="04050003" w:tentative="1">
      <w:start w:val="1"/>
      <w:numFmt w:val="bullet"/>
      <w:lvlText w:val="o"/>
      <w:lvlJc w:val="left"/>
      <w:pPr>
        <w:ind w:left="2520" w:hanging="360"/>
      </w:pPr>
      <w:rPr>
        <w:rFonts w:ascii="Courier New" w:hAnsi="Courier New" w:cs="Courier New" w:hint="default"/>
      </w:rPr>
    </w:lvl>
    <w:lvl w:ilvl="2" w:tplc="04050005" w:tentative="1">
      <w:start w:val="1"/>
      <w:numFmt w:val="bullet"/>
      <w:lvlText w:val=""/>
      <w:lvlJc w:val="left"/>
      <w:pPr>
        <w:ind w:left="3240" w:hanging="360"/>
      </w:pPr>
      <w:rPr>
        <w:rFonts w:ascii="Wingdings" w:hAnsi="Wingdings" w:hint="default"/>
      </w:rPr>
    </w:lvl>
    <w:lvl w:ilvl="3" w:tplc="04050001" w:tentative="1">
      <w:start w:val="1"/>
      <w:numFmt w:val="bullet"/>
      <w:lvlText w:val=""/>
      <w:lvlJc w:val="left"/>
      <w:pPr>
        <w:ind w:left="3960" w:hanging="360"/>
      </w:pPr>
      <w:rPr>
        <w:rFonts w:ascii="Symbol" w:hAnsi="Symbol" w:hint="default"/>
      </w:rPr>
    </w:lvl>
    <w:lvl w:ilvl="4" w:tplc="04050003" w:tentative="1">
      <w:start w:val="1"/>
      <w:numFmt w:val="bullet"/>
      <w:lvlText w:val="o"/>
      <w:lvlJc w:val="left"/>
      <w:pPr>
        <w:ind w:left="4680" w:hanging="360"/>
      </w:pPr>
      <w:rPr>
        <w:rFonts w:ascii="Courier New" w:hAnsi="Courier New" w:cs="Courier New" w:hint="default"/>
      </w:rPr>
    </w:lvl>
    <w:lvl w:ilvl="5" w:tplc="04050005" w:tentative="1">
      <w:start w:val="1"/>
      <w:numFmt w:val="bullet"/>
      <w:lvlText w:val=""/>
      <w:lvlJc w:val="left"/>
      <w:pPr>
        <w:ind w:left="5400" w:hanging="360"/>
      </w:pPr>
      <w:rPr>
        <w:rFonts w:ascii="Wingdings" w:hAnsi="Wingdings" w:hint="default"/>
      </w:rPr>
    </w:lvl>
    <w:lvl w:ilvl="6" w:tplc="04050001" w:tentative="1">
      <w:start w:val="1"/>
      <w:numFmt w:val="bullet"/>
      <w:lvlText w:val=""/>
      <w:lvlJc w:val="left"/>
      <w:pPr>
        <w:ind w:left="6120" w:hanging="360"/>
      </w:pPr>
      <w:rPr>
        <w:rFonts w:ascii="Symbol" w:hAnsi="Symbol" w:hint="default"/>
      </w:rPr>
    </w:lvl>
    <w:lvl w:ilvl="7" w:tplc="04050003" w:tentative="1">
      <w:start w:val="1"/>
      <w:numFmt w:val="bullet"/>
      <w:lvlText w:val="o"/>
      <w:lvlJc w:val="left"/>
      <w:pPr>
        <w:ind w:left="6840" w:hanging="360"/>
      </w:pPr>
      <w:rPr>
        <w:rFonts w:ascii="Courier New" w:hAnsi="Courier New" w:cs="Courier New" w:hint="default"/>
      </w:rPr>
    </w:lvl>
    <w:lvl w:ilvl="8" w:tplc="04050005" w:tentative="1">
      <w:start w:val="1"/>
      <w:numFmt w:val="bullet"/>
      <w:lvlText w:val=""/>
      <w:lvlJc w:val="left"/>
      <w:pPr>
        <w:ind w:left="7560" w:hanging="360"/>
      </w:pPr>
      <w:rPr>
        <w:rFonts w:ascii="Wingdings" w:hAnsi="Wingdings" w:hint="default"/>
      </w:rPr>
    </w:lvl>
  </w:abstractNum>
  <w:abstractNum w:abstractNumId="19" w15:restartNumberingAfterBreak="0">
    <w:nsid w:val="3C33228D"/>
    <w:multiLevelType w:val="multilevel"/>
    <w:tmpl w:val="65E6B81C"/>
    <w:lvl w:ilvl="0">
      <w:start w:val="1"/>
      <w:numFmt w:val="decimal"/>
      <w:lvlText w:val="%1."/>
      <w:lvlJc w:val="left"/>
      <w:pPr>
        <w:ind w:left="360" w:hanging="360"/>
      </w:pPr>
    </w:lvl>
    <w:lvl w:ilvl="1">
      <w:start w:val="1"/>
      <w:numFmt w:val="decimal"/>
      <w:pStyle w:val="Podnadpis"/>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3EDA74DA"/>
    <w:multiLevelType w:val="hybridMultilevel"/>
    <w:tmpl w:val="B6F8FFBC"/>
    <w:lvl w:ilvl="0" w:tplc="E97820C4">
      <w:start w:val="1"/>
      <w:numFmt w:val="bullet"/>
      <w:lvlText w:val="→"/>
      <w:lvlJc w:val="left"/>
      <w:pPr>
        <w:ind w:left="862" w:hanging="360"/>
      </w:pPr>
      <w:rPr>
        <w:rFonts w:ascii="Arial" w:hAnsi="Arial" w:hint="default"/>
      </w:rPr>
    </w:lvl>
    <w:lvl w:ilvl="1" w:tplc="FFFFFFFF">
      <w:start w:val="1"/>
      <w:numFmt w:val="bullet"/>
      <w:lvlText w:val="o"/>
      <w:lvlJc w:val="left"/>
      <w:pPr>
        <w:ind w:left="1582" w:hanging="360"/>
      </w:pPr>
      <w:rPr>
        <w:rFonts w:ascii="Courier New" w:hAnsi="Courier New" w:cs="Courier New" w:hint="default"/>
      </w:rPr>
    </w:lvl>
    <w:lvl w:ilvl="2" w:tplc="FFFFFFFF" w:tentative="1">
      <w:start w:val="1"/>
      <w:numFmt w:val="bullet"/>
      <w:lvlText w:val=""/>
      <w:lvlJc w:val="left"/>
      <w:pPr>
        <w:ind w:left="2302" w:hanging="360"/>
      </w:pPr>
      <w:rPr>
        <w:rFonts w:ascii="Wingdings" w:hAnsi="Wingdings" w:hint="default"/>
      </w:rPr>
    </w:lvl>
    <w:lvl w:ilvl="3" w:tplc="FFFFFFFF" w:tentative="1">
      <w:start w:val="1"/>
      <w:numFmt w:val="bullet"/>
      <w:lvlText w:val=""/>
      <w:lvlJc w:val="left"/>
      <w:pPr>
        <w:ind w:left="3022" w:hanging="360"/>
      </w:pPr>
      <w:rPr>
        <w:rFonts w:ascii="Symbol" w:hAnsi="Symbol" w:hint="default"/>
      </w:rPr>
    </w:lvl>
    <w:lvl w:ilvl="4" w:tplc="FFFFFFFF" w:tentative="1">
      <w:start w:val="1"/>
      <w:numFmt w:val="bullet"/>
      <w:lvlText w:val="o"/>
      <w:lvlJc w:val="left"/>
      <w:pPr>
        <w:ind w:left="3742" w:hanging="360"/>
      </w:pPr>
      <w:rPr>
        <w:rFonts w:ascii="Courier New" w:hAnsi="Courier New" w:cs="Courier New" w:hint="default"/>
      </w:rPr>
    </w:lvl>
    <w:lvl w:ilvl="5" w:tplc="FFFFFFFF" w:tentative="1">
      <w:start w:val="1"/>
      <w:numFmt w:val="bullet"/>
      <w:lvlText w:val=""/>
      <w:lvlJc w:val="left"/>
      <w:pPr>
        <w:ind w:left="4462" w:hanging="360"/>
      </w:pPr>
      <w:rPr>
        <w:rFonts w:ascii="Wingdings" w:hAnsi="Wingdings" w:hint="default"/>
      </w:rPr>
    </w:lvl>
    <w:lvl w:ilvl="6" w:tplc="FFFFFFFF" w:tentative="1">
      <w:start w:val="1"/>
      <w:numFmt w:val="bullet"/>
      <w:lvlText w:val=""/>
      <w:lvlJc w:val="left"/>
      <w:pPr>
        <w:ind w:left="5182" w:hanging="360"/>
      </w:pPr>
      <w:rPr>
        <w:rFonts w:ascii="Symbol" w:hAnsi="Symbol" w:hint="default"/>
      </w:rPr>
    </w:lvl>
    <w:lvl w:ilvl="7" w:tplc="FFFFFFFF" w:tentative="1">
      <w:start w:val="1"/>
      <w:numFmt w:val="bullet"/>
      <w:lvlText w:val="o"/>
      <w:lvlJc w:val="left"/>
      <w:pPr>
        <w:ind w:left="5902" w:hanging="360"/>
      </w:pPr>
      <w:rPr>
        <w:rFonts w:ascii="Courier New" w:hAnsi="Courier New" w:cs="Courier New" w:hint="default"/>
      </w:rPr>
    </w:lvl>
    <w:lvl w:ilvl="8" w:tplc="FFFFFFFF" w:tentative="1">
      <w:start w:val="1"/>
      <w:numFmt w:val="bullet"/>
      <w:lvlText w:val=""/>
      <w:lvlJc w:val="left"/>
      <w:pPr>
        <w:ind w:left="6622" w:hanging="360"/>
      </w:pPr>
      <w:rPr>
        <w:rFonts w:ascii="Wingdings" w:hAnsi="Wingdings" w:hint="default"/>
      </w:rPr>
    </w:lvl>
  </w:abstractNum>
  <w:abstractNum w:abstractNumId="21" w15:restartNumberingAfterBreak="0">
    <w:nsid w:val="402F124D"/>
    <w:multiLevelType w:val="hybridMultilevel"/>
    <w:tmpl w:val="9BAA775A"/>
    <w:lvl w:ilvl="0" w:tplc="E97820C4">
      <w:start w:val="1"/>
      <w:numFmt w:val="bullet"/>
      <w:lvlText w:val="→"/>
      <w:lvlJc w:val="left"/>
      <w:pPr>
        <w:ind w:left="1800" w:hanging="360"/>
      </w:pPr>
      <w:rPr>
        <w:rFonts w:ascii="Arial" w:hAnsi="Arial" w:hint="default"/>
      </w:rPr>
    </w:lvl>
    <w:lvl w:ilvl="1" w:tplc="04050003" w:tentative="1">
      <w:start w:val="1"/>
      <w:numFmt w:val="bullet"/>
      <w:lvlText w:val="o"/>
      <w:lvlJc w:val="left"/>
      <w:pPr>
        <w:ind w:left="2520" w:hanging="360"/>
      </w:pPr>
      <w:rPr>
        <w:rFonts w:ascii="Courier New" w:hAnsi="Courier New" w:cs="Courier New" w:hint="default"/>
      </w:rPr>
    </w:lvl>
    <w:lvl w:ilvl="2" w:tplc="04050005" w:tentative="1">
      <w:start w:val="1"/>
      <w:numFmt w:val="bullet"/>
      <w:lvlText w:val=""/>
      <w:lvlJc w:val="left"/>
      <w:pPr>
        <w:ind w:left="3240" w:hanging="360"/>
      </w:pPr>
      <w:rPr>
        <w:rFonts w:ascii="Wingdings" w:hAnsi="Wingdings" w:hint="default"/>
      </w:rPr>
    </w:lvl>
    <w:lvl w:ilvl="3" w:tplc="04050001" w:tentative="1">
      <w:start w:val="1"/>
      <w:numFmt w:val="bullet"/>
      <w:lvlText w:val=""/>
      <w:lvlJc w:val="left"/>
      <w:pPr>
        <w:ind w:left="3960" w:hanging="360"/>
      </w:pPr>
      <w:rPr>
        <w:rFonts w:ascii="Symbol" w:hAnsi="Symbol" w:hint="default"/>
      </w:rPr>
    </w:lvl>
    <w:lvl w:ilvl="4" w:tplc="04050003" w:tentative="1">
      <w:start w:val="1"/>
      <w:numFmt w:val="bullet"/>
      <w:lvlText w:val="o"/>
      <w:lvlJc w:val="left"/>
      <w:pPr>
        <w:ind w:left="4680" w:hanging="360"/>
      </w:pPr>
      <w:rPr>
        <w:rFonts w:ascii="Courier New" w:hAnsi="Courier New" w:cs="Courier New" w:hint="default"/>
      </w:rPr>
    </w:lvl>
    <w:lvl w:ilvl="5" w:tplc="04050005" w:tentative="1">
      <w:start w:val="1"/>
      <w:numFmt w:val="bullet"/>
      <w:lvlText w:val=""/>
      <w:lvlJc w:val="left"/>
      <w:pPr>
        <w:ind w:left="5400" w:hanging="360"/>
      </w:pPr>
      <w:rPr>
        <w:rFonts w:ascii="Wingdings" w:hAnsi="Wingdings" w:hint="default"/>
      </w:rPr>
    </w:lvl>
    <w:lvl w:ilvl="6" w:tplc="04050001" w:tentative="1">
      <w:start w:val="1"/>
      <w:numFmt w:val="bullet"/>
      <w:lvlText w:val=""/>
      <w:lvlJc w:val="left"/>
      <w:pPr>
        <w:ind w:left="6120" w:hanging="360"/>
      </w:pPr>
      <w:rPr>
        <w:rFonts w:ascii="Symbol" w:hAnsi="Symbol" w:hint="default"/>
      </w:rPr>
    </w:lvl>
    <w:lvl w:ilvl="7" w:tplc="04050003" w:tentative="1">
      <w:start w:val="1"/>
      <w:numFmt w:val="bullet"/>
      <w:lvlText w:val="o"/>
      <w:lvlJc w:val="left"/>
      <w:pPr>
        <w:ind w:left="6840" w:hanging="360"/>
      </w:pPr>
      <w:rPr>
        <w:rFonts w:ascii="Courier New" w:hAnsi="Courier New" w:cs="Courier New" w:hint="default"/>
      </w:rPr>
    </w:lvl>
    <w:lvl w:ilvl="8" w:tplc="04050005" w:tentative="1">
      <w:start w:val="1"/>
      <w:numFmt w:val="bullet"/>
      <w:lvlText w:val=""/>
      <w:lvlJc w:val="left"/>
      <w:pPr>
        <w:ind w:left="7560" w:hanging="360"/>
      </w:pPr>
      <w:rPr>
        <w:rFonts w:ascii="Wingdings" w:hAnsi="Wingdings" w:hint="default"/>
      </w:rPr>
    </w:lvl>
  </w:abstractNum>
  <w:abstractNum w:abstractNumId="22" w15:restartNumberingAfterBreak="0">
    <w:nsid w:val="435965B5"/>
    <w:multiLevelType w:val="hybridMultilevel"/>
    <w:tmpl w:val="CF569BBE"/>
    <w:lvl w:ilvl="0" w:tplc="5ED6D452">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466E214A"/>
    <w:multiLevelType w:val="hybridMultilevel"/>
    <w:tmpl w:val="4CA49B8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4AC76956"/>
    <w:multiLevelType w:val="hybridMultilevel"/>
    <w:tmpl w:val="C2222D02"/>
    <w:lvl w:ilvl="0" w:tplc="FFFFFFFF">
      <w:start w:val="1"/>
      <w:numFmt w:val="bullet"/>
      <w:lvlText w:val=""/>
      <w:lvlJc w:val="left"/>
      <w:pPr>
        <w:ind w:left="720" w:hanging="360"/>
      </w:pPr>
      <w:rPr>
        <w:rFonts w:ascii="Symbol" w:hAnsi="Symbol" w:hint="default"/>
      </w:rPr>
    </w:lvl>
    <w:lvl w:ilvl="1" w:tplc="E97820C4">
      <w:start w:val="1"/>
      <w:numFmt w:val="bullet"/>
      <w:lvlText w:val="→"/>
      <w:lvlJc w:val="left"/>
      <w:pPr>
        <w:ind w:left="1440" w:hanging="360"/>
      </w:pPr>
      <w:rPr>
        <w:rFonts w:ascii="Arial" w:hAnsi="Arial" w:hint="default"/>
      </w:rPr>
    </w:lvl>
    <w:lvl w:ilvl="2" w:tplc="FFFFFFFF">
      <w:start w:val="1"/>
      <w:numFmt w:val="bullet"/>
      <w:lvlText w:val=""/>
      <w:lvlJc w:val="left"/>
      <w:pPr>
        <w:ind w:left="2160" w:hanging="360"/>
      </w:pPr>
      <w:rPr>
        <w:rFonts w:ascii="Wingdings" w:hAnsi="Wingdings" w:hint="default"/>
      </w:rPr>
    </w:lvl>
    <w:lvl w:ilvl="3" w:tplc="16562406">
      <w:start w:val="2013"/>
      <w:numFmt w:val="bullet"/>
      <w:lvlText w:val="-"/>
      <w:lvlJc w:val="left"/>
      <w:pPr>
        <w:ind w:left="2880" w:hanging="360"/>
      </w:pPr>
      <w:rPr>
        <w:rFonts w:ascii="Calibri" w:eastAsiaTheme="minorHAnsi" w:hAnsi="Calibri" w:cstheme="minorBidi" w:hint="default"/>
      </w:rPr>
    </w:lvl>
    <w:lvl w:ilvl="4" w:tplc="FFFFFFFF">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4C552981"/>
    <w:multiLevelType w:val="hybridMultilevel"/>
    <w:tmpl w:val="876A65C2"/>
    <w:lvl w:ilvl="0" w:tplc="16562406">
      <w:start w:val="2013"/>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52B771A5"/>
    <w:multiLevelType w:val="hybridMultilevel"/>
    <w:tmpl w:val="19309C4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59776D08"/>
    <w:multiLevelType w:val="hybridMultilevel"/>
    <w:tmpl w:val="3FF4055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625A581F"/>
    <w:multiLevelType w:val="hybridMultilevel"/>
    <w:tmpl w:val="9C9C888E"/>
    <w:lvl w:ilvl="0" w:tplc="C8A86EF8">
      <w:start w:val="1"/>
      <w:numFmt w:val="bullet"/>
      <w:lvlText w:val="-"/>
      <w:lvlJc w:val="left"/>
      <w:pPr>
        <w:ind w:left="360" w:hanging="360"/>
      </w:pPr>
      <w:rPr>
        <w:rFonts w:ascii="Arial" w:eastAsiaTheme="minorHAnsi" w:hAnsi="Arial" w:cs="Aria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9" w15:restartNumberingAfterBreak="0">
    <w:nsid w:val="65D27952"/>
    <w:multiLevelType w:val="hybridMultilevel"/>
    <w:tmpl w:val="28CA4AB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687173DB"/>
    <w:multiLevelType w:val="hybridMultilevel"/>
    <w:tmpl w:val="F826584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6FF13A63"/>
    <w:multiLevelType w:val="hybridMultilevel"/>
    <w:tmpl w:val="71BCB7D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71151154"/>
    <w:multiLevelType w:val="hybridMultilevel"/>
    <w:tmpl w:val="1EDE9500"/>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16562406">
      <w:start w:val="2013"/>
      <w:numFmt w:val="bullet"/>
      <w:lvlText w:val="-"/>
      <w:lvlJc w:val="left"/>
      <w:pPr>
        <w:ind w:left="2880" w:hanging="360"/>
      </w:pPr>
      <w:rPr>
        <w:rFonts w:ascii="Calibri" w:eastAsiaTheme="minorHAnsi" w:hAnsi="Calibri" w:cstheme="minorBidi" w:hint="default"/>
      </w:rPr>
    </w:lvl>
    <w:lvl w:ilvl="4" w:tplc="FFFFFFFF">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71BA3C7D"/>
    <w:multiLevelType w:val="hybridMultilevel"/>
    <w:tmpl w:val="80883FE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363941116">
    <w:abstractNumId w:val="0"/>
  </w:num>
  <w:num w:numId="2" w16cid:durableId="1577088967">
    <w:abstractNumId w:val="19"/>
  </w:num>
  <w:num w:numId="3" w16cid:durableId="20596893">
    <w:abstractNumId w:val="10"/>
  </w:num>
  <w:num w:numId="4" w16cid:durableId="896863627">
    <w:abstractNumId w:val="23"/>
  </w:num>
  <w:num w:numId="5" w16cid:durableId="1383022615">
    <w:abstractNumId w:val="25"/>
  </w:num>
  <w:num w:numId="6" w16cid:durableId="2122146958">
    <w:abstractNumId w:val="8"/>
  </w:num>
  <w:num w:numId="7" w16cid:durableId="2024748087">
    <w:abstractNumId w:val="28"/>
  </w:num>
  <w:num w:numId="8" w16cid:durableId="1906183320">
    <w:abstractNumId w:val="33"/>
  </w:num>
  <w:num w:numId="9" w16cid:durableId="1055279825">
    <w:abstractNumId w:val="29"/>
  </w:num>
  <w:num w:numId="10" w16cid:durableId="1897164588">
    <w:abstractNumId w:val="7"/>
  </w:num>
  <w:num w:numId="11" w16cid:durableId="726226313">
    <w:abstractNumId w:val="11"/>
  </w:num>
  <w:num w:numId="12" w16cid:durableId="536743323">
    <w:abstractNumId w:val="27"/>
  </w:num>
  <w:num w:numId="13" w16cid:durableId="1477915029">
    <w:abstractNumId w:val="30"/>
  </w:num>
  <w:num w:numId="14" w16cid:durableId="2008903857">
    <w:abstractNumId w:val="4"/>
  </w:num>
  <w:num w:numId="15" w16cid:durableId="430466317">
    <w:abstractNumId w:val="3"/>
  </w:num>
  <w:num w:numId="16" w16cid:durableId="1901820466">
    <w:abstractNumId w:val="16"/>
  </w:num>
  <w:num w:numId="17" w16cid:durableId="1497721844">
    <w:abstractNumId w:val="31"/>
  </w:num>
  <w:num w:numId="18" w16cid:durableId="350960841">
    <w:abstractNumId w:val="26"/>
  </w:num>
  <w:num w:numId="19" w16cid:durableId="421533645">
    <w:abstractNumId w:val="32"/>
  </w:num>
  <w:num w:numId="20" w16cid:durableId="723338017">
    <w:abstractNumId w:val="20"/>
  </w:num>
  <w:num w:numId="21" w16cid:durableId="1434326173">
    <w:abstractNumId w:val="5"/>
  </w:num>
  <w:num w:numId="22" w16cid:durableId="1009137679">
    <w:abstractNumId w:val="13"/>
  </w:num>
  <w:num w:numId="23" w16cid:durableId="669219820">
    <w:abstractNumId w:val="15"/>
  </w:num>
  <w:num w:numId="24" w16cid:durableId="609513239">
    <w:abstractNumId w:val="8"/>
  </w:num>
  <w:num w:numId="25" w16cid:durableId="2009946051">
    <w:abstractNumId w:val="2"/>
  </w:num>
  <w:num w:numId="26" w16cid:durableId="1016926037">
    <w:abstractNumId w:val="22"/>
  </w:num>
  <w:num w:numId="27" w16cid:durableId="1012757772">
    <w:abstractNumId w:val="14"/>
  </w:num>
  <w:num w:numId="28" w16cid:durableId="481890783">
    <w:abstractNumId w:val="6"/>
  </w:num>
  <w:num w:numId="29" w16cid:durableId="942806228">
    <w:abstractNumId w:val="24"/>
  </w:num>
  <w:num w:numId="30" w16cid:durableId="1033767593">
    <w:abstractNumId w:val="18"/>
  </w:num>
  <w:num w:numId="31" w16cid:durableId="538326429">
    <w:abstractNumId w:val="21"/>
  </w:num>
  <w:num w:numId="32" w16cid:durableId="538015124">
    <w:abstractNumId w:val="9"/>
  </w:num>
  <w:num w:numId="33" w16cid:durableId="174030554">
    <w:abstractNumId w:val="1"/>
  </w:num>
  <w:num w:numId="34" w16cid:durableId="1936091681">
    <w:abstractNumId w:val="17"/>
  </w:num>
  <w:num w:numId="35" w16cid:durableId="405148377">
    <w:abstractNumId w:val="12"/>
  </w:num>
  <w:num w:numId="36" w16cid:durableId="2101826295">
    <w:abstractNumId w:val="8"/>
  </w:num>
  <w:num w:numId="37" w16cid:durableId="1665816852">
    <w:abstractNumId w:val="8"/>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ocumentProtection w:edit="readOnly" w:enforcement="0"/>
  <w:defaultTabStop w:val="155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822A0"/>
    <w:rsid w:val="00000A2A"/>
    <w:rsid w:val="00000FA0"/>
    <w:rsid w:val="00001205"/>
    <w:rsid w:val="00001CDF"/>
    <w:rsid w:val="000021AE"/>
    <w:rsid w:val="00002EE3"/>
    <w:rsid w:val="0000391C"/>
    <w:rsid w:val="00003981"/>
    <w:rsid w:val="00003A3E"/>
    <w:rsid w:val="00003A86"/>
    <w:rsid w:val="00003B94"/>
    <w:rsid w:val="00003D3D"/>
    <w:rsid w:val="00003E69"/>
    <w:rsid w:val="00004A26"/>
    <w:rsid w:val="00004C88"/>
    <w:rsid w:val="0000544F"/>
    <w:rsid w:val="00006324"/>
    <w:rsid w:val="0000648C"/>
    <w:rsid w:val="00006D30"/>
    <w:rsid w:val="00006FC4"/>
    <w:rsid w:val="00007FB0"/>
    <w:rsid w:val="000103C7"/>
    <w:rsid w:val="00010F88"/>
    <w:rsid w:val="00011744"/>
    <w:rsid w:val="000118D5"/>
    <w:rsid w:val="00011DB4"/>
    <w:rsid w:val="0001216E"/>
    <w:rsid w:val="00012A7C"/>
    <w:rsid w:val="00012AED"/>
    <w:rsid w:val="00012B4D"/>
    <w:rsid w:val="000135AB"/>
    <w:rsid w:val="00013865"/>
    <w:rsid w:val="00014049"/>
    <w:rsid w:val="000143C2"/>
    <w:rsid w:val="000144E1"/>
    <w:rsid w:val="000147E3"/>
    <w:rsid w:val="00014B58"/>
    <w:rsid w:val="0001527C"/>
    <w:rsid w:val="00015B23"/>
    <w:rsid w:val="000161AD"/>
    <w:rsid w:val="000163C3"/>
    <w:rsid w:val="00016737"/>
    <w:rsid w:val="00016B72"/>
    <w:rsid w:val="00016BBE"/>
    <w:rsid w:val="000172DF"/>
    <w:rsid w:val="0001789A"/>
    <w:rsid w:val="000178AC"/>
    <w:rsid w:val="000178D6"/>
    <w:rsid w:val="0002004A"/>
    <w:rsid w:val="00020594"/>
    <w:rsid w:val="00020857"/>
    <w:rsid w:val="00020B27"/>
    <w:rsid w:val="0002103B"/>
    <w:rsid w:val="00021569"/>
    <w:rsid w:val="00021AC2"/>
    <w:rsid w:val="00022907"/>
    <w:rsid w:val="00022C5D"/>
    <w:rsid w:val="00022E85"/>
    <w:rsid w:val="00022F9D"/>
    <w:rsid w:val="000233C3"/>
    <w:rsid w:val="00023C2F"/>
    <w:rsid w:val="00024C1D"/>
    <w:rsid w:val="00025933"/>
    <w:rsid w:val="00025AAF"/>
    <w:rsid w:val="0002625C"/>
    <w:rsid w:val="000262E9"/>
    <w:rsid w:val="00026E1F"/>
    <w:rsid w:val="000300B7"/>
    <w:rsid w:val="000309C9"/>
    <w:rsid w:val="00030A8C"/>
    <w:rsid w:val="00030BA8"/>
    <w:rsid w:val="00030C35"/>
    <w:rsid w:val="00030DDA"/>
    <w:rsid w:val="000318C9"/>
    <w:rsid w:val="000318D3"/>
    <w:rsid w:val="00031A13"/>
    <w:rsid w:val="0003256D"/>
    <w:rsid w:val="00033087"/>
    <w:rsid w:val="000330EB"/>
    <w:rsid w:val="000337C3"/>
    <w:rsid w:val="00033AF3"/>
    <w:rsid w:val="00033C05"/>
    <w:rsid w:val="00033DAA"/>
    <w:rsid w:val="00034FA9"/>
    <w:rsid w:val="000354D2"/>
    <w:rsid w:val="00036207"/>
    <w:rsid w:val="000366AE"/>
    <w:rsid w:val="00036F09"/>
    <w:rsid w:val="00037BE6"/>
    <w:rsid w:val="00037FEC"/>
    <w:rsid w:val="00040093"/>
    <w:rsid w:val="00040353"/>
    <w:rsid w:val="00040656"/>
    <w:rsid w:val="00040E05"/>
    <w:rsid w:val="0004149B"/>
    <w:rsid w:val="000414DF"/>
    <w:rsid w:val="00042809"/>
    <w:rsid w:val="00042E86"/>
    <w:rsid w:val="00042E98"/>
    <w:rsid w:val="00042EB8"/>
    <w:rsid w:val="000431EA"/>
    <w:rsid w:val="0004380E"/>
    <w:rsid w:val="00043988"/>
    <w:rsid w:val="000442A1"/>
    <w:rsid w:val="0004472E"/>
    <w:rsid w:val="00045BFF"/>
    <w:rsid w:val="00045FAA"/>
    <w:rsid w:val="0004641E"/>
    <w:rsid w:val="000464DB"/>
    <w:rsid w:val="00046EF2"/>
    <w:rsid w:val="00047105"/>
    <w:rsid w:val="000479F0"/>
    <w:rsid w:val="00047E3A"/>
    <w:rsid w:val="00047E6F"/>
    <w:rsid w:val="00047F70"/>
    <w:rsid w:val="000502C4"/>
    <w:rsid w:val="00050459"/>
    <w:rsid w:val="000506DD"/>
    <w:rsid w:val="00050EC8"/>
    <w:rsid w:val="000514B7"/>
    <w:rsid w:val="000522CB"/>
    <w:rsid w:val="00052E95"/>
    <w:rsid w:val="0005325C"/>
    <w:rsid w:val="00053E38"/>
    <w:rsid w:val="00054591"/>
    <w:rsid w:val="00055077"/>
    <w:rsid w:val="00055163"/>
    <w:rsid w:val="0005519C"/>
    <w:rsid w:val="000551BE"/>
    <w:rsid w:val="00055617"/>
    <w:rsid w:val="00055E1E"/>
    <w:rsid w:val="00056075"/>
    <w:rsid w:val="000562FA"/>
    <w:rsid w:val="000565D0"/>
    <w:rsid w:val="00056656"/>
    <w:rsid w:val="000566E0"/>
    <w:rsid w:val="0005685B"/>
    <w:rsid w:val="000574CC"/>
    <w:rsid w:val="0005788D"/>
    <w:rsid w:val="00057B17"/>
    <w:rsid w:val="00057C3A"/>
    <w:rsid w:val="00057D91"/>
    <w:rsid w:val="00057F70"/>
    <w:rsid w:val="00060437"/>
    <w:rsid w:val="00060567"/>
    <w:rsid w:val="00060D84"/>
    <w:rsid w:val="00061326"/>
    <w:rsid w:val="00062D64"/>
    <w:rsid w:val="00063063"/>
    <w:rsid w:val="000637DF"/>
    <w:rsid w:val="00063D52"/>
    <w:rsid w:val="00064341"/>
    <w:rsid w:val="00064A4E"/>
    <w:rsid w:val="000656BC"/>
    <w:rsid w:val="00065828"/>
    <w:rsid w:val="000659B0"/>
    <w:rsid w:val="00066B8A"/>
    <w:rsid w:val="00066D7D"/>
    <w:rsid w:val="00067821"/>
    <w:rsid w:val="00067938"/>
    <w:rsid w:val="00067FB1"/>
    <w:rsid w:val="0007004F"/>
    <w:rsid w:val="00070366"/>
    <w:rsid w:val="00071A9A"/>
    <w:rsid w:val="00071AE6"/>
    <w:rsid w:val="00071DAF"/>
    <w:rsid w:val="00071EAB"/>
    <w:rsid w:val="00072077"/>
    <w:rsid w:val="000722A3"/>
    <w:rsid w:val="000722AE"/>
    <w:rsid w:val="00072ABA"/>
    <w:rsid w:val="000730F6"/>
    <w:rsid w:val="000733BF"/>
    <w:rsid w:val="000733EC"/>
    <w:rsid w:val="0007353D"/>
    <w:rsid w:val="00073B09"/>
    <w:rsid w:val="00074033"/>
    <w:rsid w:val="00074540"/>
    <w:rsid w:val="000750D6"/>
    <w:rsid w:val="000753C2"/>
    <w:rsid w:val="00075466"/>
    <w:rsid w:val="00075AAA"/>
    <w:rsid w:val="0007685A"/>
    <w:rsid w:val="00076B14"/>
    <w:rsid w:val="00077189"/>
    <w:rsid w:val="00077198"/>
    <w:rsid w:val="0007720F"/>
    <w:rsid w:val="000777EE"/>
    <w:rsid w:val="00077ACD"/>
    <w:rsid w:val="00077D90"/>
    <w:rsid w:val="00077FD9"/>
    <w:rsid w:val="00080351"/>
    <w:rsid w:val="00080930"/>
    <w:rsid w:val="00081041"/>
    <w:rsid w:val="000816C4"/>
    <w:rsid w:val="000822A0"/>
    <w:rsid w:val="00082875"/>
    <w:rsid w:val="00082FFC"/>
    <w:rsid w:val="000832E5"/>
    <w:rsid w:val="00083A27"/>
    <w:rsid w:val="00084198"/>
    <w:rsid w:val="00084251"/>
    <w:rsid w:val="0008502F"/>
    <w:rsid w:val="000854C9"/>
    <w:rsid w:val="00085631"/>
    <w:rsid w:val="00086114"/>
    <w:rsid w:val="00086660"/>
    <w:rsid w:val="000874F3"/>
    <w:rsid w:val="00087948"/>
    <w:rsid w:val="0009032D"/>
    <w:rsid w:val="00090674"/>
    <w:rsid w:val="00090AB3"/>
    <w:rsid w:val="00091679"/>
    <w:rsid w:val="00091906"/>
    <w:rsid w:val="0009191E"/>
    <w:rsid w:val="00091AD8"/>
    <w:rsid w:val="000920F4"/>
    <w:rsid w:val="00092146"/>
    <w:rsid w:val="00092577"/>
    <w:rsid w:val="000928EF"/>
    <w:rsid w:val="00093F1B"/>
    <w:rsid w:val="000949C3"/>
    <w:rsid w:val="00094CA3"/>
    <w:rsid w:val="000959D3"/>
    <w:rsid w:val="00095ACD"/>
    <w:rsid w:val="00095C3E"/>
    <w:rsid w:val="00096312"/>
    <w:rsid w:val="00096945"/>
    <w:rsid w:val="00096EFD"/>
    <w:rsid w:val="000A1387"/>
    <w:rsid w:val="000A17EB"/>
    <w:rsid w:val="000A1C79"/>
    <w:rsid w:val="000A254B"/>
    <w:rsid w:val="000A2744"/>
    <w:rsid w:val="000A330F"/>
    <w:rsid w:val="000A3338"/>
    <w:rsid w:val="000A34E0"/>
    <w:rsid w:val="000A3889"/>
    <w:rsid w:val="000A3B53"/>
    <w:rsid w:val="000A3BA0"/>
    <w:rsid w:val="000A3F80"/>
    <w:rsid w:val="000A3FEE"/>
    <w:rsid w:val="000A4175"/>
    <w:rsid w:val="000A4DB2"/>
    <w:rsid w:val="000A4F6C"/>
    <w:rsid w:val="000A5A93"/>
    <w:rsid w:val="000A5D88"/>
    <w:rsid w:val="000A6CAA"/>
    <w:rsid w:val="000B0AC2"/>
    <w:rsid w:val="000B1042"/>
    <w:rsid w:val="000B10EB"/>
    <w:rsid w:val="000B1177"/>
    <w:rsid w:val="000B1EF6"/>
    <w:rsid w:val="000B24F2"/>
    <w:rsid w:val="000B2C83"/>
    <w:rsid w:val="000B31BE"/>
    <w:rsid w:val="000B32DA"/>
    <w:rsid w:val="000B3A93"/>
    <w:rsid w:val="000B429D"/>
    <w:rsid w:val="000B447D"/>
    <w:rsid w:val="000B45A0"/>
    <w:rsid w:val="000B487A"/>
    <w:rsid w:val="000B5ACD"/>
    <w:rsid w:val="000B5F96"/>
    <w:rsid w:val="000B7785"/>
    <w:rsid w:val="000C037C"/>
    <w:rsid w:val="000C142B"/>
    <w:rsid w:val="000C1800"/>
    <w:rsid w:val="000C1CBB"/>
    <w:rsid w:val="000C23CE"/>
    <w:rsid w:val="000C24F8"/>
    <w:rsid w:val="000C2CF9"/>
    <w:rsid w:val="000C31F8"/>
    <w:rsid w:val="000C3496"/>
    <w:rsid w:val="000C39F7"/>
    <w:rsid w:val="000C4175"/>
    <w:rsid w:val="000C48D7"/>
    <w:rsid w:val="000C4978"/>
    <w:rsid w:val="000C5257"/>
    <w:rsid w:val="000C5273"/>
    <w:rsid w:val="000C59EC"/>
    <w:rsid w:val="000C5CC1"/>
    <w:rsid w:val="000C5E1E"/>
    <w:rsid w:val="000C616A"/>
    <w:rsid w:val="000C6546"/>
    <w:rsid w:val="000C6A51"/>
    <w:rsid w:val="000C714C"/>
    <w:rsid w:val="000C72EE"/>
    <w:rsid w:val="000C78FE"/>
    <w:rsid w:val="000C795B"/>
    <w:rsid w:val="000C798F"/>
    <w:rsid w:val="000D0BAA"/>
    <w:rsid w:val="000D1BED"/>
    <w:rsid w:val="000D1F38"/>
    <w:rsid w:val="000D38B4"/>
    <w:rsid w:val="000D39CA"/>
    <w:rsid w:val="000D3A18"/>
    <w:rsid w:val="000D3FEA"/>
    <w:rsid w:val="000D4D18"/>
    <w:rsid w:val="000D5089"/>
    <w:rsid w:val="000D5AE7"/>
    <w:rsid w:val="000D6562"/>
    <w:rsid w:val="000D65B4"/>
    <w:rsid w:val="000D6668"/>
    <w:rsid w:val="000D7134"/>
    <w:rsid w:val="000D7160"/>
    <w:rsid w:val="000D733A"/>
    <w:rsid w:val="000E0C5E"/>
    <w:rsid w:val="000E0D43"/>
    <w:rsid w:val="000E1468"/>
    <w:rsid w:val="000E18F3"/>
    <w:rsid w:val="000E26FA"/>
    <w:rsid w:val="000E2F3A"/>
    <w:rsid w:val="000E317B"/>
    <w:rsid w:val="000E4370"/>
    <w:rsid w:val="000E4B27"/>
    <w:rsid w:val="000E4D17"/>
    <w:rsid w:val="000E4D8A"/>
    <w:rsid w:val="000E54C6"/>
    <w:rsid w:val="000E604F"/>
    <w:rsid w:val="000E7353"/>
    <w:rsid w:val="000E7F8C"/>
    <w:rsid w:val="000F03F7"/>
    <w:rsid w:val="000F0518"/>
    <w:rsid w:val="000F0B44"/>
    <w:rsid w:val="000F1800"/>
    <w:rsid w:val="000F1CBF"/>
    <w:rsid w:val="000F1E0A"/>
    <w:rsid w:val="000F2595"/>
    <w:rsid w:val="000F2F45"/>
    <w:rsid w:val="000F30B0"/>
    <w:rsid w:val="000F3766"/>
    <w:rsid w:val="000F3FB2"/>
    <w:rsid w:val="000F4155"/>
    <w:rsid w:val="000F49DD"/>
    <w:rsid w:val="000F586A"/>
    <w:rsid w:val="000F5CA6"/>
    <w:rsid w:val="000F625B"/>
    <w:rsid w:val="000F6379"/>
    <w:rsid w:val="000F6FA9"/>
    <w:rsid w:val="000F7568"/>
    <w:rsid w:val="000F77FD"/>
    <w:rsid w:val="000F792C"/>
    <w:rsid w:val="00100751"/>
    <w:rsid w:val="00100763"/>
    <w:rsid w:val="00100A76"/>
    <w:rsid w:val="00100AF0"/>
    <w:rsid w:val="00100D60"/>
    <w:rsid w:val="00100E6A"/>
    <w:rsid w:val="00101598"/>
    <w:rsid w:val="001021E3"/>
    <w:rsid w:val="00102B68"/>
    <w:rsid w:val="00102C27"/>
    <w:rsid w:val="00102D8A"/>
    <w:rsid w:val="00102F98"/>
    <w:rsid w:val="00103A47"/>
    <w:rsid w:val="00103A63"/>
    <w:rsid w:val="00103CE3"/>
    <w:rsid w:val="00103DC0"/>
    <w:rsid w:val="001042C3"/>
    <w:rsid w:val="001047F5"/>
    <w:rsid w:val="00104D9E"/>
    <w:rsid w:val="00105B06"/>
    <w:rsid w:val="00106594"/>
    <w:rsid w:val="001066EA"/>
    <w:rsid w:val="00106DA1"/>
    <w:rsid w:val="00106F2E"/>
    <w:rsid w:val="0010752E"/>
    <w:rsid w:val="0010795A"/>
    <w:rsid w:val="00107EFD"/>
    <w:rsid w:val="001102A9"/>
    <w:rsid w:val="0011098D"/>
    <w:rsid w:val="00110D10"/>
    <w:rsid w:val="00110E71"/>
    <w:rsid w:val="0011270C"/>
    <w:rsid w:val="00112E76"/>
    <w:rsid w:val="0011349B"/>
    <w:rsid w:val="00113977"/>
    <w:rsid w:val="00113B6B"/>
    <w:rsid w:val="00113DDD"/>
    <w:rsid w:val="00115228"/>
    <w:rsid w:val="00115879"/>
    <w:rsid w:val="00115BA0"/>
    <w:rsid w:val="001164DA"/>
    <w:rsid w:val="00116C33"/>
    <w:rsid w:val="00116F7A"/>
    <w:rsid w:val="00117183"/>
    <w:rsid w:val="00117D7B"/>
    <w:rsid w:val="00120271"/>
    <w:rsid w:val="00120680"/>
    <w:rsid w:val="00121422"/>
    <w:rsid w:val="00121C61"/>
    <w:rsid w:val="00121CFE"/>
    <w:rsid w:val="00121E6F"/>
    <w:rsid w:val="00122FB5"/>
    <w:rsid w:val="00123455"/>
    <w:rsid w:val="0012388A"/>
    <w:rsid w:val="00123AC7"/>
    <w:rsid w:val="001241D3"/>
    <w:rsid w:val="0012438F"/>
    <w:rsid w:val="00124427"/>
    <w:rsid w:val="001244AE"/>
    <w:rsid w:val="0012465F"/>
    <w:rsid w:val="001247B6"/>
    <w:rsid w:val="001256FC"/>
    <w:rsid w:val="0012626C"/>
    <w:rsid w:val="0012679D"/>
    <w:rsid w:val="001268DD"/>
    <w:rsid w:val="00126AC5"/>
    <w:rsid w:val="00126AFE"/>
    <w:rsid w:val="001277D3"/>
    <w:rsid w:val="001309B5"/>
    <w:rsid w:val="00131475"/>
    <w:rsid w:val="00131721"/>
    <w:rsid w:val="00132222"/>
    <w:rsid w:val="001325FC"/>
    <w:rsid w:val="001325FE"/>
    <w:rsid w:val="00132714"/>
    <w:rsid w:val="0013298F"/>
    <w:rsid w:val="00132D79"/>
    <w:rsid w:val="00133488"/>
    <w:rsid w:val="00133CCF"/>
    <w:rsid w:val="00133EB9"/>
    <w:rsid w:val="00134DA4"/>
    <w:rsid w:val="001354D7"/>
    <w:rsid w:val="00135CCD"/>
    <w:rsid w:val="001360F2"/>
    <w:rsid w:val="001364BF"/>
    <w:rsid w:val="00136E58"/>
    <w:rsid w:val="00136FF4"/>
    <w:rsid w:val="00137065"/>
    <w:rsid w:val="0013717B"/>
    <w:rsid w:val="00137954"/>
    <w:rsid w:val="00137E84"/>
    <w:rsid w:val="001407D9"/>
    <w:rsid w:val="001408E7"/>
    <w:rsid w:val="00140CA6"/>
    <w:rsid w:val="00140EC7"/>
    <w:rsid w:val="00141AB5"/>
    <w:rsid w:val="00141B90"/>
    <w:rsid w:val="00142077"/>
    <w:rsid w:val="001421B6"/>
    <w:rsid w:val="001423F6"/>
    <w:rsid w:val="001426C8"/>
    <w:rsid w:val="00142F03"/>
    <w:rsid w:val="00143535"/>
    <w:rsid w:val="001436C8"/>
    <w:rsid w:val="00144211"/>
    <w:rsid w:val="00144229"/>
    <w:rsid w:val="00144D21"/>
    <w:rsid w:val="001450DA"/>
    <w:rsid w:val="001450F8"/>
    <w:rsid w:val="00145813"/>
    <w:rsid w:val="00146813"/>
    <w:rsid w:val="001479C8"/>
    <w:rsid w:val="00147BAA"/>
    <w:rsid w:val="001502DE"/>
    <w:rsid w:val="0015034C"/>
    <w:rsid w:val="00150405"/>
    <w:rsid w:val="00150539"/>
    <w:rsid w:val="00150628"/>
    <w:rsid w:val="0015072B"/>
    <w:rsid w:val="00150AD1"/>
    <w:rsid w:val="00150CEC"/>
    <w:rsid w:val="00151B2D"/>
    <w:rsid w:val="00152461"/>
    <w:rsid w:val="0015246E"/>
    <w:rsid w:val="00152549"/>
    <w:rsid w:val="0015258E"/>
    <w:rsid w:val="00152C8F"/>
    <w:rsid w:val="00152FE4"/>
    <w:rsid w:val="001530DA"/>
    <w:rsid w:val="00153137"/>
    <w:rsid w:val="00153927"/>
    <w:rsid w:val="00153C26"/>
    <w:rsid w:val="00153F95"/>
    <w:rsid w:val="0015511E"/>
    <w:rsid w:val="00155B28"/>
    <w:rsid w:val="00155EC7"/>
    <w:rsid w:val="0015609A"/>
    <w:rsid w:val="0015666B"/>
    <w:rsid w:val="001569CB"/>
    <w:rsid w:val="00156B1E"/>
    <w:rsid w:val="00156DE5"/>
    <w:rsid w:val="00156F20"/>
    <w:rsid w:val="00157BDE"/>
    <w:rsid w:val="00160322"/>
    <w:rsid w:val="001606FF"/>
    <w:rsid w:val="00160B1A"/>
    <w:rsid w:val="00160C2E"/>
    <w:rsid w:val="00161DB1"/>
    <w:rsid w:val="00162477"/>
    <w:rsid w:val="001631D2"/>
    <w:rsid w:val="00163980"/>
    <w:rsid w:val="00164506"/>
    <w:rsid w:val="00164F92"/>
    <w:rsid w:val="001657D4"/>
    <w:rsid w:val="0016581A"/>
    <w:rsid w:val="001661A0"/>
    <w:rsid w:val="00166571"/>
    <w:rsid w:val="00166CCA"/>
    <w:rsid w:val="00166CFD"/>
    <w:rsid w:val="00166EF7"/>
    <w:rsid w:val="001672B7"/>
    <w:rsid w:val="00167684"/>
    <w:rsid w:val="00167711"/>
    <w:rsid w:val="00170144"/>
    <w:rsid w:val="00170644"/>
    <w:rsid w:val="00171F43"/>
    <w:rsid w:val="001730FE"/>
    <w:rsid w:val="001731D1"/>
    <w:rsid w:val="001733FC"/>
    <w:rsid w:val="0017349B"/>
    <w:rsid w:val="001735D4"/>
    <w:rsid w:val="0017463E"/>
    <w:rsid w:val="001746E5"/>
    <w:rsid w:val="00174A1D"/>
    <w:rsid w:val="00174C8E"/>
    <w:rsid w:val="00174CF2"/>
    <w:rsid w:val="00174DC4"/>
    <w:rsid w:val="001750B2"/>
    <w:rsid w:val="00175149"/>
    <w:rsid w:val="001753A8"/>
    <w:rsid w:val="001759B8"/>
    <w:rsid w:val="00176B4A"/>
    <w:rsid w:val="00176E29"/>
    <w:rsid w:val="001778E2"/>
    <w:rsid w:val="00177C95"/>
    <w:rsid w:val="001807F2"/>
    <w:rsid w:val="00180A51"/>
    <w:rsid w:val="001816C0"/>
    <w:rsid w:val="0018180C"/>
    <w:rsid w:val="00181A7F"/>
    <w:rsid w:val="00182744"/>
    <w:rsid w:val="0018277D"/>
    <w:rsid w:val="0018322B"/>
    <w:rsid w:val="0018381F"/>
    <w:rsid w:val="001839D1"/>
    <w:rsid w:val="00183F30"/>
    <w:rsid w:val="0018591F"/>
    <w:rsid w:val="00185BAC"/>
    <w:rsid w:val="00186278"/>
    <w:rsid w:val="001862B6"/>
    <w:rsid w:val="001867AC"/>
    <w:rsid w:val="0018689C"/>
    <w:rsid w:val="00186B40"/>
    <w:rsid w:val="00186EB6"/>
    <w:rsid w:val="00187FE3"/>
    <w:rsid w:val="00190579"/>
    <w:rsid w:val="0019075C"/>
    <w:rsid w:val="00190851"/>
    <w:rsid w:val="00190D95"/>
    <w:rsid w:val="001911CA"/>
    <w:rsid w:val="001915CF"/>
    <w:rsid w:val="00191793"/>
    <w:rsid w:val="00191AC6"/>
    <w:rsid w:val="00191C41"/>
    <w:rsid w:val="00192208"/>
    <w:rsid w:val="001922DC"/>
    <w:rsid w:val="00192969"/>
    <w:rsid w:val="0019303E"/>
    <w:rsid w:val="0019349F"/>
    <w:rsid w:val="00193FDD"/>
    <w:rsid w:val="001942A5"/>
    <w:rsid w:val="001942EC"/>
    <w:rsid w:val="00194D08"/>
    <w:rsid w:val="001952F5"/>
    <w:rsid w:val="00195AA5"/>
    <w:rsid w:val="00195BB5"/>
    <w:rsid w:val="0019603C"/>
    <w:rsid w:val="001961E7"/>
    <w:rsid w:val="001963D5"/>
    <w:rsid w:val="00196625"/>
    <w:rsid w:val="00196F4C"/>
    <w:rsid w:val="00196F59"/>
    <w:rsid w:val="001975EB"/>
    <w:rsid w:val="001A07CE"/>
    <w:rsid w:val="001A09D1"/>
    <w:rsid w:val="001A0A7F"/>
    <w:rsid w:val="001A0C5B"/>
    <w:rsid w:val="001A0D0B"/>
    <w:rsid w:val="001A2059"/>
    <w:rsid w:val="001A23D5"/>
    <w:rsid w:val="001A2AF5"/>
    <w:rsid w:val="001A2D2B"/>
    <w:rsid w:val="001A2D7A"/>
    <w:rsid w:val="001A43C0"/>
    <w:rsid w:val="001A43FD"/>
    <w:rsid w:val="001A493A"/>
    <w:rsid w:val="001A4A48"/>
    <w:rsid w:val="001A528D"/>
    <w:rsid w:val="001A536A"/>
    <w:rsid w:val="001A5928"/>
    <w:rsid w:val="001A6ACA"/>
    <w:rsid w:val="001A777E"/>
    <w:rsid w:val="001A7829"/>
    <w:rsid w:val="001B06F3"/>
    <w:rsid w:val="001B0791"/>
    <w:rsid w:val="001B0D8C"/>
    <w:rsid w:val="001B0D90"/>
    <w:rsid w:val="001B11DC"/>
    <w:rsid w:val="001B1753"/>
    <w:rsid w:val="001B2305"/>
    <w:rsid w:val="001B2806"/>
    <w:rsid w:val="001B28CD"/>
    <w:rsid w:val="001B2A82"/>
    <w:rsid w:val="001B2DB1"/>
    <w:rsid w:val="001B3178"/>
    <w:rsid w:val="001B36DA"/>
    <w:rsid w:val="001B3837"/>
    <w:rsid w:val="001B3B36"/>
    <w:rsid w:val="001B3D0B"/>
    <w:rsid w:val="001B3D83"/>
    <w:rsid w:val="001B442B"/>
    <w:rsid w:val="001B49AF"/>
    <w:rsid w:val="001B4B08"/>
    <w:rsid w:val="001B4C6E"/>
    <w:rsid w:val="001B5DC5"/>
    <w:rsid w:val="001B68EA"/>
    <w:rsid w:val="001B6E06"/>
    <w:rsid w:val="001B75C7"/>
    <w:rsid w:val="001B7601"/>
    <w:rsid w:val="001B7A08"/>
    <w:rsid w:val="001C013A"/>
    <w:rsid w:val="001C051F"/>
    <w:rsid w:val="001C0B45"/>
    <w:rsid w:val="001C0FBC"/>
    <w:rsid w:val="001C152A"/>
    <w:rsid w:val="001C157C"/>
    <w:rsid w:val="001C1BC8"/>
    <w:rsid w:val="001C1C2F"/>
    <w:rsid w:val="001C1D94"/>
    <w:rsid w:val="001C2C12"/>
    <w:rsid w:val="001C37FA"/>
    <w:rsid w:val="001C3BFA"/>
    <w:rsid w:val="001C3C14"/>
    <w:rsid w:val="001C3F0C"/>
    <w:rsid w:val="001C3F8A"/>
    <w:rsid w:val="001C4AB9"/>
    <w:rsid w:val="001C4DD0"/>
    <w:rsid w:val="001C539A"/>
    <w:rsid w:val="001C53C5"/>
    <w:rsid w:val="001C5411"/>
    <w:rsid w:val="001C5623"/>
    <w:rsid w:val="001C57AC"/>
    <w:rsid w:val="001C5BDB"/>
    <w:rsid w:val="001C5D5C"/>
    <w:rsid w:val="001C6AC9"/>
    <w:rsid w:val="001C6D32"/>
    <w:rsid w:val="001C705B"/>
    <w:rsid w:val="001C71A9"/>
    <w:rsid w:val="001C7569"/>
    <w:rsid w:val="001C7682"/>
    <w:rsid w:val="001D0211"/>
    <w:rsid w:val="001D071C"/>
    <w:rsid w:val="001D187F"/>
    <w:rsid w:val="001D195C"/>
    <w:rsid w:val="001D1BCD"/>
    <w:rsid w:val="001D1CED"/>
    <w:rsid w:val="001D1E68"/>
    <w:rsid w:val="001D246C"/>
    <w:rsid w:val="001D263E"/>
    <w:rsid w:val="001D2942"/>
    <w:rsid w:val="001D2BB1"/>
    <w:rsid w:val="001D2D12"/>
    <w:rsid w:val="001D4333"/>
    <w:rsid w:val="001D5651"/>
    <w:rsid w:val="001D573B"/>
    <w:rsid w:val="001D5AC0"/>
    <w:rsid w:val="001D5D49"/>
    <w:rsid w:val="001D608C"/>
    <w:rsid w:val="001D61E1"/>
    <w:rsid w:val="001D6262"/>
    <w:rsid w:val="001D6F8D"/>
    <w:rsid w:val="001D7042"/>
    <w:rsid w:val="001D71E1"/>
    <w:rsid w:val="001E0311"/>
    <w:rsid w:val="001E061B"/>
    <w:rsid w:val="001E0782"/>
    <w:rsid w:val="001E0996"/>
    <w:rsid w:val="001E1220"/>
    <w:rsid w:val="001E13D9"/>
    <w:rsid w:val="001E2023"/>
    <w:rsid w:val="001E2562"/>
    <w:rsid w:val="001E2B94"/>
    <w:rsid w:val="001E2F51"/>
    <w:rsid w:val="001E37B4"/>
    <w:rsid w:val="001E3988"/>
    <w:rsid w:val="001E3FA3"/>
    <w:rsid w:val="001E4791"/>
    <w:rsid w:val="001E50F8"/>
    <w:rsid w:val="001E57CB"/>
    <w:rsid w:val="001E59AF"/>
    <w:rsid w:val="001E7154"/>
    <w:rsid w:val="001E71DC"/>
    <w:rsid w:val="001E7386"/>
    <w:rsid w:val="001E7576"/>
    <w:rsid w:val="001E767C"/>
    <w:rsid w:val="001F13CC"/>
    <w:rsid w:val="001F1438"/>
    <w:rsid w:val="001F190A"/>
    <w:rsid w:val="001F1A47"/>
    <w:rsid w:val="001F22E2"/>
    <w:rsid w:val="001F2B3D"/>
    <w:rsid w:val="001F2E1D"/>
    <w:rsid w:val="001F38A9"/>
    <w:rsid w:val="001F3AAF"/>
    <w:rsid w:val="001F4943"/>
    <w:rsid w:val="001F5013"/>
    <w:rsid w:val="001F5014"/>
    <w:rsid w:val="001F5A37"/>
    <w:rsid w:val="001F5A98"/>
    <w:rsid w:val="001F5B25"/>
    <w:rsid w:val="001F5BCB"/>
    <w:rsid w:val="001F6488"/>
    <w:rsid w:val="001F6785"/>
    <w:rsid w:val="001F761F"/>
    <w:rsid w:val="001F7718"/>
    <w:rsid w:val="001F7DF4"/>
    <w:rsid w:val="002002AF"/>
    <w:rsid w:val="00201C1B"/>
    <w:rsid w:val="00201F7A"/>
    <w:rsid w:val="0020257A"/>
    <w:rsid w:val="00202841"/>
    <w:rsid w:val="00202BCE"/>
    <w:rsid w:val="00203079"/>
    <w:rsid w:val="00203221"/>
    <w:rsid w:val="00203249"/>
    <w:rsid w:val="0020345F"/>
    <w:rsid w:val="002039A5"/>
    <w:rsid w:val="00203E37"/>
    <w:rsid w:val="00203E4D"/>
    <w:rsid w:val="00203E81"/>
    <w:rsid w:val="00204058"/>
    <w:rsid w:val="0020421F"/>
    <w:rsid w:val="00204BAE"/>
    <w:rsid w:val="00204E3E"/>
    <w:rsid w:val="00205006"/>
    <w:rsid w:val="002052C9"/>
    <w:rsid w:val="002058D8"/>
    <w:rsid w:val="002058DB"/>
    <w:rsid w:val="00205A09"/>
    <w:rsid w:val="00205D06"/>
    <w:rsid w:val="00205EB5"/>
    <w:rsid w:val="002072CE"/>
    <w:rsid w:val="00207575"/>
    <w:rsid w:val="00207D50"/>
    <w:rsid w:val="00210083"/>
    <w:rsid w:val="002104D8"/>
    <w:rsid w:val="00210C65"/>
    <w:rsid w:val="00210F35"/>
    <w:rsid w:val="0021133B"/>
    <w:rsid w:val="00211E59"/>
    <w:rsid w:val="002122C6"/>
    <w:rsid w:val="002123CC"/>
    <w:rsid w:val="00212608"/>
    <w:rsid w:val="00212823"/>
    <w:rsid w:val="00212D2D"/>
    <w:rsid w:val="002142B8"/>
    <w:rsid w:val="0021475A"/>
    <w:rsid w:val="00214E69"/>
    <w:rsid w:val="00215D6E"/>
    <w:rsid w:val="00216024"/>
    <w:rsid w:val="00216BA4"/>
    <w:rsid w:val="00216D0C"/>
    <w:rsid w:val="00216D15"/>
    <w:rsid w:val="00216D36"/>
    <w:rsid w:val="00216DCA"/>
    <w:rsid w:val="00217E53"/>
    <w:rsid w:val="00220723"/>
    <w:rsid w:val="00220BE8"/>
    <w:rsid w:val="002214D1"/>
    <w:rsid w:val="00222348"/>
    <w:rsid w:val="00222A99"/>
    <w:rsid w:val="00222C01"/>
    <w:rsid w:val="00222CA5"/>
    <w:rsid w:val="002239EE"/>
    <w:rsid w:val="00223A90"/>
    <w:rsid w:val="0022413D"/>
    <w:rsid w:val="002241D6"/>
    <w:rsid w:val="002245A9"/>
    <w:rsid w:val="002250D0"/>
    <w:rsid w:val="002255A1"/>
    <w:rsid w:val="002255C7"/>
    <w:rsid w:val="0022590C"/>
    <w:rsid w:val="00225F24"/>
    <w:rsid w:val="00226C14"/>
    <w:rsid w:val="0022760D"/>
    <w:rsid w:val="002303A8"/>
    <w:rsid w:val="002305B3"/>
    <w:rsid w:val="00230BA3"/>
    <w:rsid w:val="002313B4"/>
    <w:rsid w:val="002314D2"/>
    <w:rsid w:val="00232067"/>
    <w:rsid w:val="00232278"/>
    <w:rsid w:val="0023229C"/>
    <w:rsid w:val="002328A2"/>
    <w:rsid w:val="00232AA1"/>
    <w:rsid w:val="00232C91"/>
    <w:rsid w:val="00232E5A"/>
    <w:rsid w:val="0023301A"/>
    <w:rsid w:val="00233842"/>
    <w:rsid w:val="002338BC"/>
    <w:rsid w:val="00233AD0"/>
    <w:rsid w:val="00233F86"/>
    <w:rsid w:val="00234535"/>
    <w:rsid w:val="00234722"/>
    <w:rsid w:val="00234BAC"/>
    <w:rsid w:val="002350D8"/>
    <w:rsid w:val="0023531A"/>
    <w:rsid w:val="00235652"/>
    <w:rsid w:val="00235BEE"/>
    <w:rsid w:val="00235EFE"/>
    <w:rsid w:val="00236269"/>
    <w:rsid w:val="00236584"/>
    <w:rsid w:val="00236A4A"/>
    <w:rsid w:val="00236F0D"/>
    <w:rsid w:val="00236F54"/>
    <w:rsid w:val="00237226"/>
    <w:rsid w:val="00237927"/>
    <w:rsid w:val="00237E57"/>
    <w:rsid w:val="002400E7"/>
    <w:rsid w:val="00240B6F"/>
    <w:rsid w:val="00240D52"/>
    <w:rsid w:val="00240E75"/>
    <w:rsid w:val="00241410"/>
    <w:rsid w:val="00241E86"/>
    <w:rsid w:val="002429CE"/>
    <w:rsid w:val="00243562"/>
    <w:rsid w:val="002435CF"/>
    <w:rsid w:val="00243CE7"/>
    <w:rsid w:val="002442BB"/>
    <w:rsid w:val="00244325"/>
    <w:rsid w:val="002451AA"/>
    <w:rsid w:val="00245450"/>
    <w:rsid w:val="002457E9"/>
    <w:rsid w:val="00245973"/>
    <w:rsid w:val="0024652C"/>
    <w:rsid w:val="00246D54"/>
    <w:rsid w:val="0024798A"/>
    <w:rsid w:val="002479A9"/>
    <w:rsid w:val="00247BC5"/>
    <w:rsid w:val="00247BF7"/>
    <w:rsid w:val="00247CA5"/>
    <w:rsid w:val="0025031E"/>
    <w:rsid w:val="00250396"/>
    <w:rsid w:val="00250C04"/>
    <w:rsid w:val="00250C7E"/>
    <w:rsid w:val="00250F1A"/>
    <w:rsid w:val="002513B1"/>
    <w:rsid w:val="002513F5"/>
    <w:rsid w:val="00251526"/>
    <w:rsid w:val="0025162B"/>
    <w:rsid w:val="00251BC7"/>
    <w:rsid w:val="00252DDC"/>
    <w:rsid w:val="002537A3"/>
    <w:rsid w:val="00253C99"/>
    <w:rsid w:val="00253F42"/>
    <w:rsid w:val="00254A3F"/>
    <w:rsid w:val="00254C1F"/>
    <w:rsid w:val="002556C7"/>
    <w:rsid w:val="00255D3E"/>
    <w:rsid w:val="0025625F"/>
    <w:rsid w:val="00256D87"/>
    <w:rsid w:val="002574E8"/>
    <w:rsid w:val="002578D7"/>
    <w:rsid w:val="00257AB5"/>
    <w:rsid w:val="00257DF1"/>
    <w:rsid w:val="00257E67"/>
    <w:rsid w:val="0026059B"/>
    <w:rsid w:val="00260F30"/>
    <w:rsid w:val="002614AF"/>
    <w:rsid w:val="00262211"/>
    <w:rsid w:val="00262503"/>
    <w:rsid w:val="00262693"/>
    <w:rsid w:val="0026271A"/>
    <w:rsid w:val="00262819"/>
    <w:rsid w:val="00263B24"/>
    <w:rsid w:val="00263BA6"/>
    <w:rsid w:val="002643CA"/>
    <w:rsid w:val="00264555"/>
    <w:rsid w:val="0026501E"/>
    <w:rsid w:val="00265848"/>
    <w:rsid w:val="00265A4B"/>
    <w:rsid w:val="00265B57"/>
    <w:rsid w:val="00266966"/>
    <w:rsid w:val="00267346"/>
    <w:rsid w:val="00267615"/>
    <w:rsid w:val="002677D7"/>
    <w:rsid w:val="002701E4"/>
    <w:rsid w:val="00270C62"/>
    <w:rsid w:val="00270D13"/>
    <w:rsid w:val="00270DF5"/>
    <w:rsid w:val="00270E9B"/>
    <w:rsid w:val="00271073"/>
    <w:rsid w:val="002718D4"/>
    <w:rsid w:val="00271B9E"/>
    <w:rsid w:val="002722D2"/>
    <w:rsid w:val="00272543"/>
    <w:rsid w:val="0027278C"/>
    <w:rsid w:val="002727BC"/>
    <w:rsid w:val="00272ED4"/>
    <w:rsid w:val="002733EC"/>
    <w:rsid w:val="002739B9"/>
    <w:rsid w:val="00273BBA"/>
    <w:rsid w:val="00274D31"/>
    <w:rsid w:val="00274FB7"/>
    <w:rsid w:val="002750C6"/>
    <w:rsid w:val="00275147"/>
    <w:rsid w:val="002753B4"/>
    <w:rsid w:val="00275417"/>
    <w:rsid w:val="00275821"/>
    <w:rsid w:val="00275830"/>
    <w:rsid w:val="0027604E"/>
    <w:rsid w:val="002761CB"/>
    <w:rsid w:val="00276399"/>
    <w:rsid w:val="0027724E"/>
    <w:rsid w:val="0027738B"/>
    <w:rsid w:val="00277621"/>
    <w:rsid w:val="00277718"/>
    <w:rsid w:val="00277A81"/>
    <w:rsid w:val="00277CBC"/>
    <w:rsid w:val="00277DFE"/>
    <w:rsid w:val="00280167"/>
    <w:rsid w:val="00280387"/>
    <w:rsid w:val="0028130F"/>
    <w:rsid w:val="002822E0"/>
    <w:rsid w:val="002826ED"/>
    <w:rsid w:val="00283E79"/>
    <w:rsid w:val="00283EC2"/>
    <w:rsid w:val="002840AB"/>
    <w:rsid w:val="002847DC"/>
    <w:rsid w:val="00284FB5"/>
    <w:rsid w:val="00285071"/>
    <w:rsid w:val="002852F4"/>
    <w:rsid w:val="002853CA"/>
    <w:rsid w:val="002856D4"/>
    <w:rsid w:val="0028584E"/>
    <w:rsid w:val="00285947"/>
    <w:rsid w:val="00286230"/>
    <w:rsid w:val="00286EFD"/>
    <w:rsid w:val="00287DF6"/>
    <w:rsid w:val="002900BB"/>
    <w:rsid w:val="002903BD"/>
    <w:rsid w:val="00291BB8"/>
    <w:rsid w:val="00291C89"/>
    <w:rsid w:val="00291FE2"/>
    <w:rsid w:val="00292E9D"/>
    <w:rsid w:val="00292F07"/>
    <w:rsid w:val="0029300E"/>
    <w:rsid w:val="002933DF"/>
    <w:rsid w:val="00293521"/>
    <w:rsid w:val="00293A5D"/>
    <w:rsid w:val="00293B7A"/>
    <w:rsid w:val="00293E8F"/>
    <w:rsid w:val="00294A1F"/>
    <w:rsid w:val="00294C5E"/>
    <w:rsid w:val="0029571D"/>
    <w:rsid w:val="00295CF0"/>
    <w:rsid w:val="00296DAA"/>
    <w:rsid w:val="002978DA"/>
    <w:rsid w:val="00297B96"/>
    <w:rsid w:val="00297D5C"/>
    <w:rsid w:val="00297E0F"/>
    <w:rsid w:val="002A03CB"/>
    <w:rsid w:val="002A09E8"/>
    <w:rsid w:val="002A0B40"/>
    <w:rsid w:val="002A151B"/>
    <w:rsid w:val="002A16B2"/>
    <w:rsid w:val="002A184C"/>
    <w:rsid w:val="002A1FC5"/>
    <w:rsid w:val="002A2833"/>
    <w:rsid w:val="002A2930"/>
    <w:rsid w:val="002A376B"/>
    <w:rsid w:val="002A3804"/>
    <w:rsid w:val="002A3E10"/>
    <w:rsid w:val="002A4687"/>
    <w:rsid w:val="002A4881"/>
    <w:rsid w:val="002A48ED"/>
    <w:rsid w:val="002A49FF"/>
    <w:rsid w:val="002A4F02"/>
    <w:rsid w:val="002A52AD"/>
    <w:rsid w:val="002A55DE"/>
    <w:rsid w:val="002A6450"/>
    <w:rsid w:val="002A6880"/>
    <w:rsid w:val="002A6F85"/>
    <w:rsid w:val="002A793E"/>
    <w:rsid w:val="002A79D9"/>
    <w:rsid w:val="002B0622"/>
    <w:rsid w:val="002B0CE0"/>
    <w:rsid w:val="002B0D23"/>
    <w:rsid w:val="002B0DAA"/>
    <w:rsid w:val="002B0E22"/>
    <w:rsid w:val="002B0FEE"/>
    <w:rsid w:val="002B10DD"/>
    <w:rsid w:val="002B1C8B"/>
    <w:rsid w:val="002B1F7C"/>
    <w:rsid w:val="002B2339"/>
    <w:rsid w:val="002B2521"/>
    <w:rsid w:val="002B2C14"/>
    <w:rsid w:val="002B352B"/>
    <w:rsid w:val="002B3E07"/>
    <w:rsid w:val="002B3E4B"/>
    <w:rsid w:val="002B57A5"/>
    <w:rsid w:val="002B67EE"/>
    <w:rsid w:val="002B6CDC"/>
    <w:rsid w:val="002B7005"/>
    <w:rsid w:val="002B71BE"/>
    <w:rsid w:val="002B774E"/>
    <w:rsid w:val="002C060E"/>
    <w:rsid w:val="002C064A"/>
    <w:rsid w:val="002C0674"/>
    <w:rsid w:val="002C0AE8"/>
    <w:rsid w:val="002C0BA7"/>
    <w:rsid w:val="002C1215"/>
    <w:rsid w:val="002C17E7"/>
    <w:rsid w:val="002C1BAE"/>
    <w:rsid w:val="002C2DDD"/>
    <w:rsid w:val="002C2F44"/>
    <w:rsid w:val="002C33B5"/>
    <w:rsid w:val="002C37F1"/>
    <w:rsid w:val="002C3945"/>
    <w:rsid w:val="002C3ED9"/>
    <w:rsid w:val="002C40F0"/>
    <w:rsid w:val="002C42EF"/>
    <w:rsid w:val="002C43B6"/>
    <w:rsid w:val="002C43D5"/>
    <w:rsid w:val="002C463E"/>
    <w:rsid w:val="002C59A1"/>
    <w:rsid w:val="002C7116"/>
    <w:rsid w:val="002C7E20"/>
    <w:rsid w:val="002D0C32"/>
    <w:rsid w:val="002D0FF2"/>
    <w:rsid w:val="002D131C"/>
    <w:rsid w:val="002D148B"/>
    <w:rsid w:val="002D1868"/>
    <w:rsid w:val="002D186F"/>
    <w:rsid w:val="002D198F"/>
    <w:rsid w:val="002D1F93"/>
    <w:rsid w:val="002D1FE2"/>
    <w:rsid w:val="002D262C"/>
    <w:rsid w:val="002D2850"/>
    <w:rsid w:val="002D3467"/>
    <w:rsid w:val="002D3821"/>
    <w:rsid w:val="002D3A1D"/>
    <w:rsid w:val="002D3CD1"/>
    <w:rsid w:val="002D3E05"/>
    <w:rsid w:val="002D3F7D"/>
    <w:rsid w:val="002D458C"/>
    <w:rsid w:val="002D4681"/>
    <w:rsid w:val="002D480B"/>
    <w:rsid w:val="002D500E"/>
    <w:rsid w:val="002D56C3"/>
    <w:rsid w:val="002D5F0F"/>
    <w:rsid w:val="002D60E3"/>
    <w:rsid w:val="002D6555"/>
    <w:rsid w:val="002D6E76"/>
    <w:rsid w:val="002D7367"/>
    <w:rsid w:val="002D7729"/>
    <w:rsid w:val="002D7B01"/>
    <w:rsid w:val="002E0896"/>
    <w:rsid w:val="002E0A8A"/>
    <w:rsid w:val="002E0A9F"/>
    <w:rsid w:val="002E0FB6"/>
    <w:rsid w:val="002E0FCC"/>
    <w:rsid w:val="002E10E1"/>
    <w:rsid w:val="002E1522"/>
    <w:rsid w:val="002E1F00"/>
    <w:rsid w:val="002E2024"/>
    <w:rsid w:val="002E24C9"/>
    <w:rsid w:val="002E2DDF"/>
    <w:rsid w:val="002E3AF7"/>
    <w:rsid w:val="002E3DB9"/>
    <w:rsid w:val="002E409B"/>
    <w:rsid w:val="002E481C"/>
    <w:rsid w:val="002E48E9"/>
    <w:rsid w:val="002E4FCB"/>
    <w:rsid w:val="002E5005"/>
    <w:rsid w:val="002E51E9"/>
    <w:rsid w:val="002E5594"/>
    <w:rsid w:val="002E6503"/>
    <w:rsid w:val="002E6783"/>
    <w:rsid w:val="002E6E37"/>
    <w:rsid w:val="002E7D6F"/>
    <w:rsid w:val="002E7FB6"/>
    <w:rsid w:val="002F0547"/>
    <w:rsid w:val="002F0661"/>
    <w:rsid w:val="002F12E2"/>
    <w:rsid w:val="002F20C9"/>
    <w:rsid w:val="002F25A0"/>
    <w:rsid w:val="002F365E"/>
    <w:rsid w:val="002F3C29"/>
    <w:rsid w:val="002F4002"/>
    <w:rsid w:val="002F5121"/>
    <w:rsid w:val="002F5FEA"/>
    <w:rsid w:val="002F6620"/>
    <w:rsid w:val="002F6E86"/>
    <w:rsid w:val="002F71E9"/>
    <w:rsid w:val="002F7312"/>
    <w:rsid w:val="002F7B60"/>
    <w:rsid w:val="002F7DAF"/>
    <w:rsid w:val="00300430"/>
    <w:rsid w:val="00300A86"/>
    <w:rsid w:val="00300CC1"/>
    <w:rsid w:val="00300DC6"/>
    <w:rsid w:val="00301801"/>
    <w:rsid w:val="00301B95"/>
    <w:rsid w:val="00301F72"/>
    <w:rsid w:val="00301FDF"/>
    <w:rsid w:val="003022C7"/>
    <w:rsid w:val="0030254D"/>
    <w:rsid w:val="00302BCD"/>
    <w:rsid w:val="0030329D"/>
    <w:rsid w:val="00303608"/>
    <w:rsid w:val="0030398E"/>
    <w:rsid w:val="00304A96"/>
    <w:rsid w:val="0030539E"/>
    <w:rsid w:val="00306931"/>
    <w:rsid w:val="00307924"/>
    <w:rsid w:val="00307AF7"/>
    <w:rsid w:val="003105CD"/>
    <w:rsid w:val="0031089A"/>
    <w:rsid w:val="003108F4"/>
    <w:rsid w:val="00310947"/>
    <w:rsid w:val="003117B8"/>
    <w:rsid w:val="003118C6"/>
    <w:rsid w:val="0031202C"/>
    <w:rsid w:val="0031262A"/>
    <w:rsid w:val="00312D06"/>
    <w:rsid w:val="00312EEA"/>
    <w:rsid w:val="00313472"/>
    <w:rsid w:val="00313B6F"/>
    <w:rsid w:val="00314134"/>
    <w:rsid w:val="00314675"/>
    <w:rsid w:val="003149BD"/>
    <w:rsid w:val="00314EAF"/>
    <w:rsid w:val="003154EB"/>
    <w:rsid w:val="00315538"/>
    <w:rsid w:val="00315719"/>
    <w:rsid w:val="00315A24"/>
    <w:rsid w:val="00316EFA"/>
    <w:rsid w:val="0031737B"/>
    <w:rsid w:val="00317429"/>
    <w:rsid w:val="003176F6"/>
    <w:rsid w:val="00317FEC"/>
    <w:rsid w:val="00320A19"/>
    <w:rsid w:val="00320D83"/>
    <w:rsid w:val="00321051"/>
    <w:rsid w:val="00321577"/>
    <w:rsid w:val="00321772"/>
    <w:rsid w:val="00321A9B"/>
    <w:rsid w:val="00322533"/>
    <w:rsid w:val="003227BD"/>
    <w:rsid w:val="003227F0"/>
    <w:rsid w:val="003227F4"/>
    <w:rsid w:val="00322AFF"/>
    <w:rsid w:val="00322E95"/>
    <w:rsid w:val="00324B7D"/>
    <w:rsid w:val="00324EAB"/>
    <w:rsid w:val="00324EF0"/>
    <w:rsid w:val="0032549C"/>
    <w:rsid w:val="003258D0"/>
    <w:rsid w:val="0032596C"/>
    <w:rsid w:val="00325BB4"/>
    <w:rsid w:val="003264FF"/>
    <w:rsid w:val="00326864"/>
    <w:rsid w:val="00326EE3"/>
    <w:rsid w:val="003273A2"/>
    <w:rsid w:val="003275DD"/>
    <w:rsid w:val="00327699"/>
    <w:rsid w:val="0033063D"/>
    <w:rsid w:val="00330A18"/>
    <w:rsid w:val="00330EEF"/>
    <w:rsid w:val="00331207"/>
    <w:rsid w:val="0033168C"/>
    <w:rsid w:val="003316A4"/>
    <w:rsid w:val="003319F6"/>
    <w:rsid w:val="00331DA9"/>
    <w:rsid w:val="0033240C"/>
    <w:rsid w:val="00332554"/>
    <w:rsid w:val="00332C74"/>
    <w:rsid w:val="0033350D"/>
    <w:rsid w:val="0033377F"/>
    <w:rsid w:val="00333B30"/>
    <w:rsid w:val="003340C6"/>
    <w:rsid w:val="0033419E"/>
    <w:rsid w:val="00334285"/>
    <w:rsid w:val="003343A6"/>
    <w:rsid w:val="003344AD"/>
    <w:rsid w:val="00334B3C"/>
    <w:rsid w:val="00334C28"/>
    <w:rsid w:val="00335AEE"/>
    <w:rsid w:val="003360AC"/>
    <w:rsid w:val="0033610A"/>
    <w:rsid w:val="00336441"/>
    <w:rsid w:val="003366C4"/>
    <w:rsid w:val="00336727"/>
    <w:rsid w:val="0033701B"/>
    <w:rsid w:val="00337A8C"/>
    <w:rsid w:val="00337C88"/>
    <w:rsid w:val="003404E3"/>
    <w:rsid w:val="00340D37"/>
    <w:rsid w:val="00341925"/>
    <w:rsid w:val="003423EE"/>
    <w:rsid w:val="00342AEA"/>
    <w:rsid w:val="00342B2E"/>
    <w:rsid w:val="00342E6E"/>
    <w:rsid w:val="003436EE"/>
    <w:rsid w:val="003438F5"/>
    <w:rsid w:val="00343E81"/>
    <w:rsid w:val="003442F6"/>
    <w:rsid w:val="003445CC"/>
    <w:rsid w:val="00344802"/>
    <w:rsid w:val="0034498C"/>
    <w:rsid w:val="00344AFA"/>
    <w:rsid w:val="0034538B"/>
    <w:rsid w:val="00345518"/>
    <w:rsid w:val="0034559A"/>
    <w:rsid w:val="00345EBF"/>
    <w:rsid w:val="00345EC1"/>
    <w:rsid w:val="00345ED2"/>
    <w:rsid w:val="00346636"/>
    <w:rsid w:val="00346670"/>
    <w:rsid w:val="00346FE6"/>
    <w:rsid w:val="00347071"/>
    <w:rsid w:val="003477FE"/>
    <w:rsid w:val="00347901"/>
    <w:rsid w:val="00350176"/>
    <w:rsid w:val="003503BD"/>
    <w:rsid w:val="003506F3"/>
    <w:rsid w:val="00350BDC"/>
    <w:rsid w:val="00351471"/>
    <w:rsid w:val="00351F4D"/>
    <w:rsid w:val="00353232"/>
    <w:rsid w:val="003537AD"/>
    <w:rsid w:val="0035414E"/>
    <w:rsid w:val="00354AD7"/>
    <w:rsid w:val="0035514E"/>
    <w:rsid w:val="00355793"/>
    <w:rsid w:val="003568CB"/>
    <w:rsid w:val="003570E2"/>
    <w:rsid w:val="0035771C"/>
    <w:rsid w:val="003579FC"/>
    <w:rsid w:val="00357CB1"/>
    <w:rsid w:val="0036065A"/>
    <w:rsid w:val="00361051"/>
    <w:rsid w:val="00361411"/>
    <w:rsid w:val="00362ABF"/>
    <w:rsid w:val="0036304B"/>
    <w:rsid w:val="003633C2"/>
    <w:rsid w:val="003635C4"/>
    <w:rsid w:val="0036378B"/>
    <w:rsid w:val="00363B31"/>
    <w:rsid w:val="00363BB5"/>
    <w:rsid w:val="00364D68"/>
    <w:rsid w:val="0036547D"/>
    <w:rsid w:val="003659EC"/>
    <w:rsid w:val="00365BDE"/>
    <w:rsid w:val="00365F7C"/>
    <w:rsid w:val="00366617"/>
    <w:rsid w:val="003666FA"/>
    <w:rsid w:val="00366A17"/>
    <w:rsid w:val="00367940"/>
    <w:rsid w:val="00370078"/>
    <w:rsid w:val="0037062C"/>
    <w:rsid w:val="00370966"/>
    <w:rsid w:val="00371CE0"/>
    <w:rsid w:val="003722F8"/>
    <w:rsid w:val="00372E52"/>
    <w:rsid w:val="00373A42"/>
    <w:rsid w:val="00373C4A"/>
    <w:rsid w:val="00373F2F"/>
    <w:rsid w:val="00374D1F"/>
    <w:rsid w:val="00374F12"/>
    <w:rsid w:val="00375165"/>
    <w:rsid w:val="003751AF"/>
    <w:rsid w:val="00375348"/>
    <w:rsid w:val="00375753"/>
    <w:rsid w:val="00375E42"/>
    <w:rsid w:val="0037638D"/>
    <w:rsid w:val="00376556"/>
    <w:rsid w:val="003767A1"/>
    <w:rsid w:val="00377DCD"/>
    <w:rsid w:val="00377F64"/>
    <w:rsid w:val="00380080"/>
    <w:rsid w:val="003801F8"/>
    <w:rsid w:val="00381258"/>
    <w:rsid w:val="00381858"/>
    <w:rsid w:val="003819B7"/>
    <w:rsid w:val="00381AF1"/>
    <w:rsid w:val="00381E1C"/>
    <w:rsid w:val="003830F1"/>
    <w:rsid w:val="003837AD"/>
    <w:rsid w:val="003847D3"/>
    <w:rsid w:val="00384EC7"/>
    <w:rsid w:val="00385344"/>
    <w:rsid w:val="00385C99"/>
    <w:rsid w:val="00385CFC"/>
    <w:rsid w:val="0038612F"/>
    <w:rsid w:val="00386362"/>
    <w:rsid w:val="003866A8"/>
    <w:rsid w:val="00386B00"/>
    <w:rsid w:val="0038717A"/>
    <w:rsid w:val="003872CD"/>
    <w:rsid w:val="00387ED2"/>
    <w:rsid w:val="00387F5A"/>
    <w:rsid w:val="003900C7"/>
    <w:rsid w:val="0039018C"/>
    <w:rsid w:val="00390539"/>
    <w:rsid w:val="00390E68"/>
    <w:rsid w:val="00390F40"/>
    <w:rsid w:val="00391380"/>
    <w:rsid w:val="00391464"/>
    <w:rsid w:val="00391634"/>
    <w:rsid w:val="003918EF"/>
    <w:rsid w:val="00391EBB"/>
    <w:rsid w:val="00392C96"/>
    <w:rsid w:val="00392EC1"/>
    <w:rsid w:val="0039366A"/>
    <w:rsid w:val="00394462"/>
    <w:rsid w:val="00394720"/>
    <w:rsid w:val="00394A90"/>
    <w:rsid w:val="00394C52"/>
    <w:rsid w:val="0039519E"/>
    <w:rsid w:val="00395FCE"/>
    <w:rsid w:val="00396838"/>
    <w:rsid w:val="00396B00"/>
    <w:rsid w:val="00396CC6"/>
    <w:rsid w:val="00396F2B"/>
    <w:rsid w:val="00397153"/>
    <w:rsid w:val="00397388"/>
    <w:rsid w:val="00397689"/>
    <w:rsid w:val="00397731"/>
    <w:rsid w:val="00397889"/>
    <w:rsid w:val="00397C62"/>
    <w:rsid w:val="00397F3F"/>
    <w:rsid w:val="003A079B"/>
    <w:rsid w:val="003A0B2E"/>
    <w:rsid w:val="003A0F14"/>
    <w:rsid w:val="003A14DF"/>
    <w:rsid w:val="003A1623"/>
    <w:rsid w:val="003A1AEE"/>
    <w:rsid w:val="003A217B"/>
    <w:rsid w:val="003A26F9"/>
    <w:rsid w:val="003A34FA"/>
    <w:rsid w:val="003A4353"/>
    <w:rsid w:val="003A44D5"/>
    <w:rsid w:val="003A46D4"/>
    <w:rsid w:val="003A46E5"/>
    <w:rsid w:val="003A4CB4"/>
    <w:rsid w:val="003A529E"/>
    <w:rsid w:val="003A5680"/>
    <w:rsid w:val="003A5C16"/>
    <w:rsid w:val="003A5C9C"/>
    <w:rsid w:val="003A639E"/>
    <w:rsid w:val="003A6429"/>
    <w:rsid w:val="003A64A1"/>
    <w:rsid w:val="003A678C"/>
    <w:rsid w:val="003A688C"/>
    <w:rsid w:val="003A7703"/>
    <w:rsid w:val="003A7DA3"/>
    <w:rsid w:val="003A7FDA"/>
    <w:rsid w:val="003B0236"/>
    <w:rsid w:val="003B051A"/>
    <w:rsid w:val="003B0FDB"/>
    <w:rsid w:val="003B1A3D"/>
    <w:rsid w:val="003B1EE9"/>
    <w:rsid w:val="003B2D54"/>
    <w:rsid w:val="003B2D92"/>
    <w:rsid w:val="003B3096"/>
    <w:rsid w:val="003B33DB"/>
    <w:rsid w:val="003B3937"/>
    <w:rsid w:val="003B3939"/>
    <w:rsid w:val="003B3F9F"/>
    <w:rsid w:val="003B4847"/>
    <w:rsid w:val="003B5238"/>
    <w:rsid w:val="003B551D"/>
    <w:rsid w:val="003B57BE"/>
    <w:rsid w:val="003B5A70"/>
    <w:rsid w:val="003B73DD"/>
    <w:rsid w:val="003B74B1"/>
    <w:rsid w:val="003B7C25"/>
    <w:rsid w:val="003C0042"/>
    <w:rsid w:val="003C0258"/>
    <w:rsid w:val="003C165B"/>
    <w:rsid w:val="003C1A67"/>
    <w:rsid w:val="003C22F0"/>
    <w:rsid w:val="003C2C6A"/>
    <w:rsid w:val="003C3178"/>
    <w:rsid w:val="003C3CAC"/>
    <w:rsid w:val="003C42A7"/>
    <w:rsid w:val="003C48DB"/>
    <w:rsid w:val="003C5653"/>
    <w:rsid w:val="003C5AC6"/>
    <w:rsid w:val="003C5BB8"/>
    <w:rsid w:val="003C5DC0"/>
    <w:rsid w:val="003C5EDF"/>
    <w:rsid w:val="003C6FA4"/>
    <w:rsid w:val="003C7372"/>
    <w:rsid w:val="003C7CE9"/>
    <w:rsid w:val="003C7D94"/>
    <w:rsid w:val="003D00FC"/>
    <w:rsid w:val="003D01B5"/>
    <w:rsid w:val="003D0319"/>
    <w:rsid w:val="003D0557"/>
    <w:rsid w:val="003D109F"/>
    <w:rsid w:val="003D112B"/>
    <w:rsid w:val="003D15B4"/>
    <w:rsid w:val="003D1A08"/>
    <w:rsid w:val="003D1CDC"/>
    <w:rsid w:val="003D2045"/>
    <w:rsid w:val="003D2841"/>
    <w:rsid w:val="003D2E8E"/>
    <w:rsid w:val="003D3487"/>
    <w:rsid w:val="003D35D7"/>
    <w:rsid w:val="003D38F4"/>
    <w:rsid w:val="003D3FE5"/>
    <w:rsid w:val="003D43C9"/>
    <w:rsid w:val="003D4B54"/>
    <w:rsid w:val="003D5014"/>
    <w:rsid w:val="003D6282"/>
    <w:rsid w:val="003D637D"/>
    <w:rsid w:val="003D6C92"/>
    <w:rsid w:val="003D76CF"/>
    <w:rsid w:val="003D7C8A"/>
    <w:rsid w:val="003E007C"/>
    <w:rsid w:val="003E047E"/>
    <w:rsid w:val="003E1149"/>
    <w:rsid w:val="003E1577"/>
    <w:rsid w:val="003E186E"/>
    <w:rsid w:val="003E29BA"/>
    <w:rsid w:val="003E38D2"/>
    <w:rsid w:val="003E4371"/>
    <w:rsid w:val="003E46C2"/>
    <w:rsid w:val="003E5EA8"/>
    <w:rsid w:val="003E60D8"/>
    <w:rsid w:val="003E63ED"/>
    <w:rsid w:val="003E6475"/>
    <w:rsid w:val="003E6C2B"/>
    <w:rsid w:val="003E6EDA"/>
    <w:rsid w:val="003E72B0"/>
    <w:rsid w:val="003F0570"/>
    <w:rsid w:val="003F0D18"/>
    <w:rsid w:val="003F14AA"/>
    <w:rsid w:val="003F156B"/>
    <w:rsid w:val="003F1D68"/>
    <w:rsid w:val="003F22CF"/>
    <w:rsid w:val="003F25F9"/>
    <w:rsid w:val="003F2D7E"/>
    <w:rsid w:val="003F2FFB"/>
    <w:rsid w:val="003F3738"/>
    <w:rsid w:val="003F3E82"/>
    <w:rsid w:val="003F3F84"/>
    <w:rsid w:val="003F4581"/>
    <w:rsid w:val="003F4693"/>
    <w:rsid w:val="003F4A97"/>
    <w:rsid w:val="003F4E18"/>
    <w:rsid w:val="003F52AB"/>
    <w:rsid w:val="003F54A7"/>
    <w:rsid w:val="003F56FC"/>
    <w:rsid w:val="003F592C"/>
    <w:rsid w:val="003F5D8D"/>
    <w:rsid w:val="003F610C"/>
    <w:rsid w:val="003F611D"/>
    <w:rsid w:val="003F65F6"/>
    <w:rsid w:val="003F673D"/>
    <w:rsid w:val="003F67A9"/>
    <w:rsid w:val="003F68A6"/>
    <w:rsid w:val="003F6F0A"/>
    <w:rsid w:val="003F71F6"/>
    <w:rsid w:val="003F7571"/>
    <w:rsid w:val="003F79DC"/>
    <w:rsid w:val="00401772"/>
    <w:rsid w:val="00401913"/>
    <w:rsid w:val="00401A49"/>
    <w:rsid w:val="00401D93"/>
    <w:rsid w:val="00402125"/>
    <w:rsid w:val="004022D8"/>
    <w:rsid w:val="004023F7"/>
    <w:rsid w:val="00402749"/>
    <w:rsid w:val="00402800"/>
    <w:rsid w:val="004029E3"/>
    <w:rsid w:val="00402E7E"/>
    <w:rsid w:val="00403546"/>
    <w:rsid w:val="00403FF2"/>
    <w:rsid w:val="00404437"/>
    <w:rsid w:val="0040494A"/>
    <w:rsid w:val="00405E50"/>
    <w:rsid w:val="004068B8"/>
    <w:rsid w:val="00406966"/>
    <w:rsid w:val="0040748D"/>
    <w:rsid w:val="00407F77"/>
    <w:rsid w:val="00410E96"/>
    <w:rsid w:val="00411867"/>
    <w:rsid w:val="00411879"/>
    <w:rsid w:val="0041213B"/>
    <w:rsid w:val="004124EE"/>
    <w:rsid w:val="00412FFE"/>
    <w:rsid w:val="004135EB"/>
    <w:rsid w:val="004139FF"/>
    <w:rsid w:val="00413E68"/>
    <w:rsid w:val="00414005"/>
    <w:rsid w:val="004151CC"/>
    <w:rsid w:val="00416206"/>
    <w:rsid w:val="004162FF"/>
    <w:rsid w:val="004167BB"/>
    <w:rsid w:val="004171A4"/>
    <w:rsid w:val="004172E1"/>
    <w:rsid w:val="00417A22"/>
    <w:rsid w:val="00417DBE"/>
    <w:rsid w:val="00417E2A"/>
    <w:rsid w:val="0042088A"/>
    <w:rsid w:val="00420AC4"/>
    <w:rsid w:val="00420ADA"/>
    <w:rsid w:val="00421B76"/>
    <w:rsid w:val="00421E43"/>
    <w:rsid w:val="0042228E"/>
    <w:rsid w:val="004232A4"/>
    <w:rsid w:val="00424271"/>
    <w:rsid w:val="00424737"/>
    <w:rsid w:val="00424B3B"/>
    <w:rsid w:val="0042505A"/>
    <w:rsid w:val="00425BB2"/>
    <w:rsid w:val="004262ED"/>
    <w:rsid w:val="00426339"/>
    <w:rsid w:val="00426596"/>
    <w:rsid w:val="004272B8"/>
    <w:rsid w:val="00427593"/>
    <w:rsid w:val="00427FDF"/>
    <w:rsid w:val="004307FD"/>
    <w:rsid w:val="00430B55"/>
    <w:rsid w:val="00430C66"/>
    <w:rsid w:val="004311E6"/>
    <w:rsid w:val="004314A8"/>
    <w:rsid w:val="00431CFA"/>
    <w:rsid w:val="00432232"/>
    <w:rsid w:val="00432E5E"/>
    <w:rsid w:val="00432FAE"/>
    <w:rsid w:val="004335E9"/>
    <w:rsid w:val="00434802"/>
    <w:rsid w:val="00434930"/>
    <w:rsid w:val="00434B3D"/>
    <w:rsid w:val="00434C46"/>
    <w:rsid w:val="00434F5F"/>
    <w:rsid w:val="004353DE"/>
    <w:rsid w:val="00435A9F"/>
    <w:rsid w:val="00435C1A"/>
    <w:rsid w:val="004368CD"/>
    <w:rsid w:val="0043712E"/>
    <w:rsid w:val="00440252"/>
    <w:rsid w:val="00440B51"/>
    <w:rsid w:val="00440D65"/>
    <w:rsid w:val="00441191"/>
    <w:rsid w:val="00441337"/>
    <w:rsid w:val="00441817"/>
    <w:rsid w:val="0044188A"/>
    <w:rsid w:val="00441A5E"/>
    <w:rsid w:val="00441E79"/>
    <w:rsid w:val="0044285A"/>
    <w:rsid w:val="0044291B"/>
    <w:rsid w:val="00442E16"/>
    <w:rsid w:val="00443020"/>
    <w:rsid w:val="00443023"/>
    <w:rsid w:val="0044327D"/>
    <w:rsid w:val="004435D9"/>
    <w:rsid w:val="00443614"/>
    <w:rsid w:val="004444E8"/>
    <w:rsid w:val="00444AC9"/>
    <w:rsid w:val="00444BCE"/>
    <w:rsid w:val="00444F05"/>
    <w:rsid w:val="00444F31"/>
    <w:rsid w:val="00444FD1"/>
    <w:rsid w:val="004450A7"/>
    <w:rsid w:val="00445207"/>
    <w:rsid w:val="0044564E"/>
    <w:rsid w:val="0044598A"/>
    <w:rsid w:val="00445DE7"/>
    <w:rsid w:val="0044703F"/>
    <w:rsid w:val="00447281"/>
    <w:rsid w:val="00447D7E"/>
    <w:rsid w:val="0045013E"/>
    <w:rsid w:val="0045051A"/>
    <w:rsid w:val="0045137B"/>
    <w:rsid w:val="00452BAE"/>
    <w:rsid w:val="00452FA4"/>
    <w:rsid w:val="004531D7"/>
    <w:rsid w:val="00453A71"/>
    <w:rsid w:val="0045449A"/>
    <w:rsid w:val="00454CD4"/>
    <w:rsid w:val="00454E07"/>
    <w:rsid w:val="00454F51"/>
    <w:rsid w:val="0045579F"/>
    <w:rsid w:val="00455C72"/>
    <w:rsid w:val="00456078"/>
    <w:rsid w:val="0045612A"/>
    <w:rsid w:val="0045630E"/>
    <w:rsid w:val="00457361"/>
    <w:rsid w:val="0045750F"/>
    <w:rsid w:val="004579F4"/>
    <w:rsid w:val="00457DCE"/>
    <w:rsid w:val="0046009C"/>
    <w:rsid w:val="0046047C"/>
    <w:rsid w:val="0046110B"/>
    <w:rsid w:val="0046186D"/>
    <w:rsid w:val="00461DD2"/>
    <w:rsid w:val="00461F61"/>
    <w:rsid w:val="00462013"/>
    <w:rsid w:val="004626D5"/>
    <w:rsid w:val="00462884"/>
    <w:rsid w:val="00463CE5"/>
    <w:rsid w:val="00463D88"/>
    <w:rsid w:val="004645D5"/>
    <w:rsid w:val="00464C94"/>
    <w:rsid w:val="0046538E"/>
    <w:rsid w:val="004655AC"/>
    <w:rsid w:val="00465964"/>
    <w:rsid w:val="00465992"/>
    <w:rsid w:val="00465C65"/>
    <w:rsid w:val="00465F3A"/>
    <w:rsid w:val="00466028"/>
    <w:rsid w:val="0046615F"/>
    <w:rsid w:val="00466604"/>
    <w:rsid w:val="0046718A"/>
    <w:rsid w:val="00467424"/>
    <w:rsid w:val="00467479"/>
    <w:rsid w:val="004674A8"/>
    <w:rsid w:val="004675C7"/>
    <w:rsid w:val="00467897"/>
    <w:rsid w:val="00467933"/>
    <w:rsid w:val="00467D61"/>
    <w:rsid w:val="00467F75"/>
    <w:rsid w:val="004701DA"/>
    <w:rsid w:val="00470618"/>
    <w:rsid w:val="00470CB6"/>
    <w:rsid w:val="00470CF3"/>
    <w:rsid w:val="00471337"/>
    <w:rsid w:val="004717DD"/>
    <w:rsid w:val="00471FC6"/>
    <w:rsid w:val="004720BB"/>
    <w:rsid w:val="00472253"/>
    <w:rsid w:val="004724FE"/>
    <w:rsid w:val="00472699"/>
    <w:rsid w:val="00472958"/>
    <w:rsid w:val="00472DE4"/>
    <w:rsid w:val="00472E59"/>
    <w:rsid w:val="00472EAA"/>
    <w:rsid w:val="00473562"/>
    <w:rsid w:val="00473A44"/>
    <w:rsid w:val="00473D34"/>
    <w:rsid w:val="00473EFA"/>
    <w:rsid w:val="00473FE8"/>
    <w:rsid w:val="0047421C"/>
    <w:rsid w:val="004743B7"/>
    <w:rsid w:val="004743F1"/>
    <w:rsid w:val="00474FBD"/>
    <w:rsid w:val="004751CC"/>
    <w:rsid w:val="00475AE9"/>
    <w:rsid w:val="004762EC"/>
    <w:rsid w:val="004765EE"/>
    <w:rsid w:val="00476838"/>
    <w:rsid w:val="00476CBC"/>
    <w:rsid w:val="00477187"/>
    <w:rsid w:val="0047749C"/>
    <w:rsid w:val="0048026B"/>
    <w:rsid w:val="0048054E"/>
    <w:rsid w:val="004809F8"/>
    <w:rsid w:val="00480B87"/>
    <w:rsid w:val="00480BBF"/>
    <w:rsid w:val="004813A5"/>
    <w:rsid w:val="00481C1C"/>
    <w:rsid w:val="00481E6F"/>
    <w:rsid w:val="004827B6"/>
    <w:rsid w:val="00482A4C"/>
    <w:rsid w:val="00482E16"/>
    <w:rsid w:val="00482FE4"/>
    <w:rsid w:val="00483B5A"/>
    <w:rsid w:val="004847F9"/>
    <w:rsid w:val="00484D6A"/>
    <w:rsid w:val="00484F54"/>
    <w:rsid w:val="0048519D"/>
    <w:rsid w:val="00485271"/>
    <w:rsid w:val="004857AA"/>
    <w:rsid w:val="00485E6E"/>
    <w:rsid w:val="00485FF4"/>
    <w:rsid w:val="004861EB"/>
    <w:rsid w:val="004863A2"/>
    <w:rsid w:val="00486708"/>
    <w:rsid w:val="00486796"/>
    <w:rsid w:val="0048693E"/>
    <w:rsid w:val="00486CE2"/>
    <w:rsid w:val="00486FC7"/>
    <w:rsid w:val="00486FEC"/>
    <w:rsid w:val="004870FA"/>
    <w:rsid w:val="004871CD"/>
    <w:rsid w:val="00487F91"/>
    <w:rsid w:val="00487F95"/>
    <w:rsid w:val="00490AF1"/>
    <w:rsid w:val="00490BCB"/>
    <w:rsid w:val="00490C7E"/>
    <w:rsid w:val="00490FED"/>
    <w:rsid w:val="00491FDD"/>
    <w:rsid w:val="00491FF6"/>
    <w:rsid w:val="0049275C"/>
    <w:rsid w:val="004927AD"/>
    <w:rsid w:val="00492EB4"/>
    <w:rsid w:val="0049361F"/>
    <w:rsid w:val="00493A91"/>
    <w:rsid w:val="00493BC6"/>
    <w:rsid w:val="00493D2B"/>
    <w:rsid w:val="00493DE6"/>
    <w:rsid w:val="004943FF"/>
    <w:rsid w:val="00494523"/>
    <w:rsid w:val="004945AF"/>
    <w:rsid w:val="00494AC7"/>
    <w:rsid w:val="00495725"/>
    <w:rsid w:val="00495A69"/>
    <w:rsid w:val="00495B5A"/>
    <w:rsid w:val="004961E3"/>
    <w:rsid w:val="00496497"/>
    <w:rsid w:val="004964DF"/>
    <w:rsid w:val="0049678D"/>
    <w:rsid w:val="00496AAE"/>
    <w:rsid w:val="00496ABD"/>
    <w:rsid w:val="00496D0D"/>
    <w:rsid w:val="00496F66"/>
    <w:rsid w:val="00497190"/>
    <w:rsid w:val="004A026F"/>
    <w:rsid w:val="004A0A8C"/>
    <w:rsid w:val="004A0A9D"/>
    <w:rsid w:val="004A0C13"/>
    <w:rsid w:val="004A1505"/>
    <w:rsid w:val="004A1D37"/>
    <w:rsid w:val="004A23D7"/>
    <w:rsid w:val="004A2CD1"/>
    <w:rsid w:val="004A3345"/>
    <w:rsid w:val="004A436F"/>
    <w:rsid w:val="004A45CF"/>
    <w:rsid w:val="004A4B96"/>
    <w:rsid w:val="004A55F7"/>
    <w:rsid w:val="004A5CF8"/>
    <w:rsid w:val="004A5FF5"/>
    <w:rsid w:val="004A6BD6"/>
    <w:rsid w:val="004A762F"/>
    <w:rsid w:val="004A7C4A"/>
    <w:rsid w:val="004B0567"/>
    <w:rsid w:val="004B05DE"/>
    <w:rsid w:val="004B063A"/>
    <w:rsid w:val="004B0891"/>
    <w:rsid w:val="004B0F84"/>
    <w:rsid w:val="004B166F"/>
    <w:rsid w:val="004B1EF1"/>
    <w:rsid w:val="004B2EB5"/>
    <w:rsid w:val="004B323E"/>
    <w:rsid w:val="004B326D"/>
    <w:rsid w:val="004B47EE"/>
    <w:rsid w:val="004B4CC4"/>
    <w:rsid w:val="004B50EC"/>
    <w:rsid w:val="004B5329"/>
    <w:rsid w:val="004B5438"/>
    <w:rsid w:val="004B57BE"/>
    <w:rsid w:val="004B65D2"/>
    <w:rsid w:val="004B6FB8"/>
    <w:rsid w:val="004B71AC"/>
    <w:rsid w:val="004B72AE"/>
    <w:rsid w:val="004B7A03"/>
    <w:rsid w:val="004C080F"/>
    <w:rsid w:val="004C0CFE"/>
    <w:rsid w:val="004C0D36"/>
    <w:rsid w:val="004C1713"/>
    <w:rsid w:val="004C1978"/>
    <w:rsid w:val="004C1C2F"/>
    <w:rsid w:val="004C1DB4"/>
    <w:rsid w:val="004C2189"/>
    <w:rsid w:val="004C23E0"/>
    <w:rsid w:val="004C2EF6"/>
    <w:rsid w:val="004C328A"/>
    <w:rsid w:val="004C36DF"/>
    <w:rsid w:val="004C38EE"/>
    <w:rsid w:val="004C45EC"/>
    <w:rsid w:val="004C482C"/>
    <w:rsid w:val="004C4C76"/>
    <w:rsid w:val="004C4DFC"/>
    <w:rsid w:val="004C5372"/>
    <w:rsid w:val="004C5495"/>
    <w:rsid w:val="004C5B58"/>
    <w:rsid w:val="004C5D1A"/>
    <w:rsid w:val="004C6082"/>
    <w:rsid w:val="004C65F1"/>
    <w:rsid w:val="004C6B1B"/>
    <w:rsid w:val="004C71E8"/>
    <w:rsid w:val="004C788D"/>
    <w:rsid w:val="004C7937"/>
    <w:rsid w:val="004C7CFF"/>
    <w:rsid w:val="004D005B"/>
    <w:rsid w:val="004D0A5E"/>
    <w:rsid w:val="004D0CD7"/>
    <w:rsid w:val="004D15F8"/>
    <w:rsid w:val="004D19C1"/>
    <w:rsid w:val="004D1B77"/>
    <w:rsid w:val="004D1D71"/>
    <w:rsid w:val="004D1FFC"/>
    <w:rsid w:val="004D353F"/>
    <w:rsid w:val="004D36FB"/>
    <w:rsid w:val="004D442D"/>
    <w:rsid w:val="004D45ED"/>
    <w:rsid w:val="004D465E"/>
    <w:rsid w:val="004D4968"/>
    <w:rsid w:val="004D4B59"/>
    <w:rsid w:val="004D5397"/>
    <w:rsid w:val="004D5548"/>
    <w:rsid w:val="004D56D7"/>
    <w:rsid w:val="004D6814"/>
    <w:rsid w:val="004D6B16"/>
    <w:rsid w:val="004D6CC9"/>
    <w:rsid w:val="004D7263"/>
    <w:rsid w:val="004D72F6"/>
    <w:rsid w:val="004D752C"/>
    <w:rsid w:val="004D761E"/>
    <w:rsid w:val="004D7B78"/>
    <w:rsid w:val="004D7BAE"/>
    <w:rsid w:val="004D7F3B"/>
    <w:rsid w:val="004E02B3"/>
    <w:rsid w:val="004E0BFA"/>
    <w:rsid w:val="004E12A2"/>
    <w:rsid w:val="004E1533"/>
    <w:rsid w:val="004E174E"/>
    <w:rsid w:val="004E17F5"/>
    <w:rsid w:val="004E29C7"/>
    <w:rsid w:val="004E355B"/>
    <w:rsid w:val="004E3856"/>
    <w:rsid w:val="004E3D58"/>
    <w:rsid w:val="004E3F27"/>
    <w:rsid w:val="004E4542"/>
    <w:rsid w:val="004E4ABA"/>
    <w:rsid w:val="004E5057"/>
    <w:rsid w:val="004E55CA"/>
    <w:rsid w:val="004E5AA4"/>
    <w:rsid w:val="004E5F1F"/>
    <w:rsid w:val="004E5FFF"/>
    <w:rsid w:val="004E627D"/>
    <w:rsid w:val="004E69B8"/>
    <w:rsid w:val="004E6D35"/>
    <w:rsid w:val="004E7062"/>
    <w:rsid w:val="004E710B"/>
    <w:rsid w:val="004E7300"/>
    <w:rsid w:val="004E7ED9"/>
    <w:rsid w:val="004F05A9"/>
    <w:rsid w:val="004F1151"/>
    <w:rsid w:val="004F168A"/>
    <w:rsid w:val="004F1D24"/>
    <w:rsid w:val="004F236C"/>
    <w:rsid w:val="004F2CFC"/>
    <w:rsid w:val="004F305B"/>
    <w:rsid w:val="004F380C"/>
    <w:rsid w:val="004F3DB8"/>
    <w:rsid w:val="004F45C8"/>
    <w:rsid w:val="004F496B"/>
    <w:rsid w:val="004F4CF5"/>
    <w:rsid w:val="004F4F18"/>
    <w:rsid w:val="004F4F23"/>
    <w:rsid w:val="004F5847"/>
    <w:rsid w:val="004F5E51"/>
    <w:rsid w:val="004F65C3"/>
    <w:rsid w:val="004F7863"/>
    <w:rsid w:val="004F7E1A"/>
    <w:rsid w:val="004F7FC3"/>
    <w:rsid w:val="0050016F"/>
    <w:rsid w:val="0050084A"/>
    <w:rsid w:val="00501017"/>
    <w:rsid w:val="005011E3"/>
    <w:rsid w:val="005017E9"/>
    <w:rsid w:val="005019B1"/>
    <w:rsid w:val="00501B86"/>
    <w:rsid w:val="005025F4"/>
    <w:rsid w:val="00502885"/>
    <w:rsid w:val="00502F10"/>
    <w:rsid w:val="005030AA"/>
    <w:rsid w:val="0050330E"/>
    <w:rsid w:val="0050401D"/>
    <w:rsid w:val="00504068"/>
    <w:rsid w:val="0050465D"/>
    <w:rsid w:val="0050469F"/>
    <w:rsid w:val="00505FA0"/>
    <w:rsid w:val="00506BBA"/>
    <w:rsid w:val="00506EB4"/>
    <w:rsid w:val="0050729D"/>
    <w:rsid w:val="0050735C"/>
    <w:rsid w:val="0050750C"/>
    <w:rsid w:val="00507D4F"/>
    <w:rsid w:val="00510549"/>
    <w:rsid w:val="0051083C"/>
    <w:rsid w:val="00511C78"/>
    <w:rsid w:val="00511D30"/>
    <w:rsid w:val="005120D2"/>
    <w:rsid w:val="00512946"/>
    <w:rsid w:val="00512B3B"/>
    <w:rsid w:val="00512D20"/>
    <w:rsid w:val="005130E5"/>
    <w:rsid w:val="0051330C"/>
    <w:rsid w:val="00513517"/>
    <w:rsid w:val="0051391A"/>
    <w:rsid w:val="00513D42"/>
    <w:rsid w:val="00514AB3"/>
    <w:rsid w:val="00514F3C"/>
    <w:rsid w:val="00515009"/>
    <w:rsid w:val="005155C9"/>
    <w:rsid w:val="005158E0"/>
    <w:rsid w:val="00515AA1"/>
    <w:rsid w:val="00515BC4"/>
    <w:rsid w:val="0051614A"/>
    <w:rsid w:val="005164E0"/>
    <w:rsid w:val="00516799"/>
    <w:rsid w:val="0052062F"/>
    <w:rsid w:val="005206B3"/>
    <w:rsid w:val="00520786"/>
    <w:rsid w:val="0052084B"/>
    <w:rsid w:val="005209E6"/>
    <w:rsid w:val="0052202D"/>
    <w:rsid w:val="005230AC"/>
    <w:rsid w:val="00523168"/>
    <w:rsid w:val="00523402"/>
    <w:rsid w:val="005239FE"/>
    <w:rsid w:val="00523EA0"/>
    <w:rsid w:val="00524400"/>
    <w:rsid w:val="00524C5A"/>
    <w:rsid w:val="005268A6"/>
    <w:rsid w:val="00527191"/>
    <w:rsid w:val="005275F1"/>
    <w:rsid w:val="00527788"/>
    <w:rsid w:val="00527BF8"/>
    <w:rsid w:val="00527FD1"/>
    <w:rsid w:val="0053079C"/>
    <w:rsid w:val="0053104B"/>
    <w:rsid w:val="0053116E"/>
    <w:rsid w:val="005317CE"/>
    <w:rsid w:val="00531A2B"/>
    <w:rsid w:val="00531B89"/>
    <w:rsid w:val="0053255F"/>
    <w:rsid w:val="00532972"/>
    <w:rsid w:val="005331E2"/>
    <w:rsid w:val="0053336B"/>
    <w:rsid w:val="00533711"/>
    <w:rsid w:val="005343AB"/>
    <w:rsid w:val="0053476C"/>
    <w:rsid w:val="00534937"/>
    <w:rsid w:val="00534988"/>
    <w:rsid w:val="00534BCF"/>
    <w:rsid w:val="00534DC0"/>
    <w:rsid w:val="00534E19"/>
    <w:rsid w:val="0053526B"/>
    <w:rsid w:val="00535A84"/>
    <w:rsid w:val="00536670"/>
    <w:rsid w:val="00536EFE"/>
    <w:rsid w:val="00536FEC"/>
    <w:rsid w:val="0053708C"/>
    <w:rsid w:val="005374B0"/>
    <w:rsid w:val="00540505"/>
    <w:rsid w:val="005408CC"/>
    <w:rsid w:val="00540EBD"/>
    <w:rsid w:val="00540FED"/>
    <w:rsid w:val="005411AE"/>
    <w:rsid w:val="0054179D"/>
    <w:rsid w:val="00541AE6"/>
    <w:rsid w:val="00542059"/>
    <w:rsid w:val="00542E1E"/>
    <w:rsid w:val="00542E8D"/>
    <w:rsid w:val="00543068"/>
    <w:rsid w:val="00543099"/>
    <w:rsid w:val="0054309B"/>
    <w:rsid w:val="00543CC0"/>
    <w:rsid w:val="00543E02"/>
    <w:rsid w:val="005449AF"/>
    <w:rsid w:val="00544BF4"/>
    <w:rsid w:val="00544C68"/>
    <w:rsid w:val="00545408"/>
    <w:rsid w:val="0054594E"/>
    <w:rsid w:val="00545DE3"/>
    <w:rsid w:val="005460F9"/>
    <w:rsid w:val="005461EB"/>
    <w:rsid w:val="00546561"/>
    <w:rsid w:val="00546B5A"/>
    <w:rsid w:val="00546B71"/>
    <w:rsid w:val="00547364"/>
    <w:rsid w:val="00547C88"/>
    <w:rsid w:val="00547DC1"/>
    <w:rsid w:val="005500B3"/>
    <w:rsid w:val="00550127"/>
    <w:rsid w:val="00550291"/>
    <w:rsid w:val="00550712"/>
    <w:rsid w:val="00550986"/>
    <w:rsid w:val="00551234"/>
    <w:rsid w:val="005516DC"/>
    <w:rsid w:val="00551A1E"/>
    <w:rsid w:val="00551A6E"/>
    <w:rsid w:val="00551C49"/>
    <w:rsid w:val="00551EFD"/>
    <w:rsid w:val="00551F63"/>
    <w:rsid w:val="0055222E"/>
    <w:rsid w:val="0055251C"/>
    <w:rsid w:val="0055255A"/>
    <w:rsid w:val="005537BA"/>
    <w:rsid w:val="00553A0F"/>
    <w:rsid w:val="00554036"/>
    <w:rsid w:val="0055412D"/>
    <w:rsid w:val="00554186"/>
    <w:rsid w:val="00554338"/>
    <w:rsid w:val="00554FE9"/>
    <w:rsid w:val="0055536E"/>
    <w:rsid w:val="00555CF9"/>
    <w:rsid w:val="005565D3"/>
    <w:rsid w:val="00556655"/>
    <w:rsid w:val="00556D9F"/>
    <w:rsid w:val="005573ED"/>
    <w:rsid w:val="00557D4B"/>
    <w:rsid w:val="00560628"/>
    <w:rsid w:val="0056096A"/>
    <w:rsid w:val="00560E15"/>
    <w:rsid w:val="00560E3E"/>
    <w:rsid w:val="005618E8"/>
    <w:rsid w:val="00561F36"/>
    <w:rsid w:val="005623AF"/>
    <w:rsid w:val="00563645"/>
    <w:rsid w:val="00563826"/>
    <w:rsid w:val="00564134"/>
    <w:rsid w:val="00564907"/>
    <w:rsid w:val="00564971"/>
    <w:rsid w:val="005649D3"/>
    <w:rsid w:val="005657FD"/>
    <w:rsid w:val="0056678A"/>
    <w:rsid w:val="00566AA1"/>
    <w:rsid w:val="00566DA9"/>
    <w:rsid w:val="00566E79"/>
    <w:rsid w:val="005675C8"/>
    <w:rsid w:val="005678D0"/>
    <w:rsid w:val="00567C21"/>
    <w:rsid w:val="00567FF5"/>
    <w:rsid w:val="005703C4"/>
    <w:rsid w:val="00570499"/>
    <w:rsid w:val="00570D3A"/>
    <w:rsid w:val="00570F5F"/>
    <w:rsid w:val="0057115F"/>
    <w:rsid w:val="00571857"/>
    <w:rsid w:val="00572253"/>
    <w:rsid w:val="00572E3E"/>
    <w:rsid w:val="00572EEF"/>
    <w:rsid w:val="005732EE"/>
    <w:rsid w:val="005735F4"/>
    <w:rsid w:val="00573896"/>
    <w:rsid w:val="0057481E"/>
    <w:rsid w:val="00574F47"/>
    <w:rsid w:val="00575F41"/>
    <w:rsid w:val="0057623F"/>
    <w:rsid w:val="005767C3"/>
    <w:rsid w:val="005768D4"/>
    <w:rsid w:val="00576F8B"/>
    <w:rsid w:val="00577238"/>
    <w:rsid w:val="005772B9"/>
    <w:rsid w:val="005779EE"/>
    <w:rsid w:val="00580094"/>
    <w:rsid w:val="005803FA"/>
    <w:rsid w:val="005809EB"/>
    <w:rsid w:val="00580C5C"/>
    <w:rsid w:val="00581091"/>
    <w:rsid w:val="0058151E"/>
    <w:rsid w:val="00581E7B"/>
    <w:rsid w:val="005820FD"/>
    <w:rsid w:val="005827D6"/>
    <w:rsid w:val="00582855"/>
    <w:rsid w:val="00582907"/>
    <w:rsid w:val="00582A88"/>
    <w:rsid w:val="00583263"/>
    <w:rsid w:val="00583F59"/>
    <w:rsid w:val="00584167"/>
    <w:rsid w:val="00585994"/>
    <w:rsid w:val="00586845"/>
    <w:rsid w:val="00586FBE"/>
    <w:rsid w:val="005872B2"/>
    <w:rsid w:val="005875D1"/>
    <w:rsid w:val="005877A4"/>
    <w:rsid w:val="005877B2"/>
    <w:rsid w:val="00587CF3"/>
    <w:rsid w:val="00587FB6"/>
    <w:rsid w:val="005907C6"/>
    <w:rsid w:val="005907DB"/>
    <w:rsid w:val="00590918"/>
    <w:rsid w:val="0059094C"/>
    <w:rsid w:val="00591548"/>
    <w:rsid w:val="00592EBC"/>
    <w:rsid w:val="00593251"/>
    <w:rsid w:val="00593449"/>
    <w:rsid w:val="0059344E"/>
    <w:rsid w:val="00593581"/>
    <w:rsid w:val="0059392C"/>
    <w:rsid w:val="00593EBB"/>
    <w:rsid w:val="0059400D"/>
    <w:rsid w:val="00594013"/>
    <w:rsid w:val="00594F9E"/>
    <w:rsid w:val="0059582A"/>
    <w:rsid w:val="00595ECB"/>
    <w:rsid w:val="00596C33"/>
    <w:rsid w:val="00597307"/>
    <w:rsid w:val="00597469"/>
    <w:rsid w:val="005A03FB"/>
    <w:rsid w:val="005A0478"/>
    <w:rsid w:val="005A1090"/>
    <w:rsid w:val="005A1146"/>
    <w:rsid w:val="005A1196"/>
    <w:rsid w:val="005A12B8"/>
    <w:rsid w:val="005A1F23"/>
    <w:rsid w:val="005A2034"/>
    <w:rsid w:val="005A2DA0"/>
    <w:rsid w:val="005A38EB"/>
    <w:rsid w:val="005A3E3B"/>
    <w:rsid w:val="005A49B5"/>
    <w:rsid w:val="005A49C1"/>
    <w:rsid w:val="005A53C0"/>
    <w:rsid w:val="005A60F8"/>
    <w:rsid w:val="005A697F"/>
    <w:rsid w:val="005A6CC8"/>
    <w:rsid w:val="005A7238"/>
    <w:rsid w:val="005B032C"/>
    <w:rsid w:val="005B0851"/>
    <w:rsid w:val="005B0897"/>
    <w:rsid w:val="005B0CB6"/>
    <w:rsid w:val="005B185C"/>
    <w:rsid w:val="005B19D4"/>
    <w:rsid w:val="005B222F"/>
    <w:rsid w:val="005B26CF"/>
    <w:rsid w:val="005B3022"/>
    <w:rsid w:val="005B3109"/>
    <w:rsid w:val="005B7393"/>
    <w:rsid w:val="005C04EA"/>
    <w:rsid w:val="005C0CF2"/>
    <w:rsid w:val="005C0DF9"/>
    <w:rsid w:val="005C0F99"/>
    <w:rsid w:val="005C10AD"/>
    <w:rsid w:val="005C13C7"/>
    <w:rsid w:val="005C1579"/>
    <w:rsid w:val="005C189B"/>
    <w:rsid w:val="005C25D1"/>
    <w:rsid w:val="005C26D7"/>
    <w:rsid w:val="005C291C"/>
    <w:rsid w:val="005C2975"/>
    <w:rsid w:val="005C2D31"/>
    <w:rsid w:val="005C2F53"/>
    <w:rsid w:val="005C3D2E"/>
    <w:rsid w:val="005C3E14"/>
    <w:rsid w:val="005C4B3F"/>
    <w:rsid w:val="005C4F3D"/>
    <w:rsid w:val="005C4F7F"/>
    <w:rsid w:val="005C501D"/>
    <w:rsid w:val="005C52B1"/>
    <w:rsid w:val="005C53F3"/>
    <w:rsid w:val="005C5623"/>
    <w:rsid w:val="005C565C"/>
    <w:rsid w:val="005C5928"/>
    <w:rsid w:val="005C5EE4"/>
    <w:rsid w:val="005C6022"/>
    <w:rsid w:val="005C668A"/>
    <w:rsid w:val="005C6776"/>
    <w:rsid w:val="005C6E9F"/>
    <w:rsid w:val="005C6EBF"/>
    <w:rsid w:val="005C7C8E"/>
    <w:rsid w:val="005C7FA1"/>
    <w:rsid w:val="005D07A4"/>
    <w:rsid w:val="005D08E7"/>
    <w:rsid w:val="005D119D"/>
    <w:rsid w:val="005D35BD"/>
    <w:rsid w:val="005D3A53"/>
    <w:rsid w:val="005D415E"/>
    <w:rsid w:val="005D426D"/>
    <w:rsid w:val="005D501F"/>
    <w:rsid w:val="005D5472"/>
    <w:rsid w:val="005D5A2C"/>
    <w:rsid w:val="005D6ACA"/>
    <w:rsid w:val="005D7511"/>
    <w:rsid w:val="005E0022"/>
    <w:rsid w:val="005E053C"/>
    <w:rsid w:val="005E1834"/>
    <w:rsid w:val="005E2134"/>
    <w:rsid w:val="005E259B"/>
    <w:rsid w:val="005E2A5B"/>
    <w:rsid w:val="005E42B7"/>
    <w:rsid w:val="005E43FB"/>
    <w:rsid w:val="005E47B2"/>
    <w:rsid w:val="005E57AE"/>
    <w:rsid w:val="005E64C8"/>
    <w:rsid w:val="005E653C"/>
    <w:rsid w:val="005E75D7"/>
    <w:rsid w:val="005E7C11"/>
    <w:rsid w:val="005E7DAB"/>
    <w:rsid w:val="005E7E91"/>
    <w:rsid w:val="005F0408"/>
    <w:rsid w:val="005F06BD"/>
    <w:rsid w:val="005F06C9"/>
    <w:rsid w:val="005F0725"/>
    <w:rsid w:val="005F0783"/>
    <w:rsid w:val="005F09C6"/>
    <w:rsid w:val="005F0B8A"/>
    <w:rsid w:val="005F0DA6"/>
    <w:rsid w:val="005F1449"/>
    <w:rsid w:val="005F1832"/>
    <w:rsid w:val="005F1913"/>
    <w:rsid w:val="005F19A9"/>
    <w:rsid w:val="005F19AA"/>
    <w:rsid w:val="005F2082"/>
    <w:rsid w:val="005F2F7D"/>
    <w:rsid w:val="005F3373"/>
    <w:rsid w:val="005F4579"/>
    <w:rsid w:val="005F49C3"/>
    <w:rsid w:val="005F4EF5"/>
    <w:rsid w:val="005F54F4"/>
    <w:rsid w:val="005F55DE"/>
    <w:rsid w:val="005F5A7B"/>
    <w:rsid w:val="005F6262"/>
    <w:rsid w:val="005F6455"/>
    <w:rsid w:val="005F6699"/>
    <w:rsid w:val="005F6A02"/>
    <w:rsid w:val="005F6B5B"/>
    <w:rsid w:val="005F6C99"/>
    <w:rsid w:val="005F6D9E"/>
    <w:rsid w:val="005F7B1F"/>
    <w:rsid w:val="00600503"/>
    <w:rsid w:val="006015C5"/>
    <w:rsid w:val="00601756"/>
    <w:rsid w:val="0060199F"/>
    <w:rsid w:val="00601D55"/>
    <w:rsid w:val="00602738"/>
    <w:rsid w:val="006027D6"/>
    <w:rsid w:val="0060292A"/>
    <w:rsid w:val="00602ECB"/>
    <w:rsid w:val="00602F41"/>
    <w:rsid w:val="006032C9"/>
    <w:rsid w:val="006037A0"/>
    <w:rsid w:val="00603A7D"/>
    <w:rsid w:val="00603B85"/>
    <w:rsid w:val="00603ED4"/>
    <w:rsid w:val="00603F10"/>
    <w:rsid w:val="006041A9"/>
    <w:rsid w:val="00604316"/>
    <w:rsid w:val="0060462D"/>
    <w:rsid w:val="00605947"/>
    <w:rsid w:val="006059EF"/>
    <w:rsid w:val="00606872"/>
    <w:rsid w:val="00606882"/>
    <w:rsid w:val="00606942"/>
    <w:rsid w:val="00606A1D"/>
    <w:rsid w:val="00606DBB"/>
    <w:rsid w:val="00606ED2"/>
    <w:rsid w:val="00610671"/>
    <w:rsid w:val="006106EE"/>
    <w:rsid w:val="006108F3"/>
    <w:rsid w:val="00610F51"/>
    <w:rsid w:val="006113DE"/>
    <w:rsid w:val="00611A78"/>
    <w:rsid w:val="00611C08"/>
    <w:rsid w:val="006123AE"/>
    <w:rsid w:val="00612C3C"/>
    <w:rsid w:val="00612C45"/>
    <w:rsid w:val="00612C4A"/>
    <w:rsid w:val="00613032"/>
    <w:rsid w:val="006135EE"/>
    <w:rsid w:val="006138C5"/>
    <w:rsid w:val="00614550"/>
    <w:rsid w:val="0061486E"/>
    <w:rsid w:val="006150C5"/>
    <w:rsid w:val="00615101"/>
    <w:rsid w:val="006153FA"/>
    <w:rsid w:val="006156F6"/>
    <w:rsid w:val="00615B34"/>
    <w:rsid w:val="00615BBE"/>
    <w:rsid w:val="00616918"/>
    <w:rsid w:val="006169AC"/>
    <w:rsid w:val="00616A91"/>
    <w:rsid w:val="00616DEE"/>
    <w:rsid w:val="00617105"/>
    <w:rsid w:val="006171E4"/>
    <w:rsid w:val="006209EB"/>
    <w:rsid w:val="0062115B"/>
    <w:rsid w:val="00621308"/>
    <w:rsid w:val="0062136D"/>
    <w:rsid w:val="0062210E"/>
    <w:rsid w:val="0062219B"/>
    <w:rsid w:val="006233FD"/>
    <w:rsid w:val="00623AB6"/>
    <w:rsid w:val="00623E66"/>
    <w:rsid w:val="006246EA"/>
    <w:rsid w:val="006249D7"/>
    <w:rsid w:val="00624BC8"/>
    <w:rsid w:val="00624D9F"/>
    <w:rsid w:val="00624FC0"/>
    <w:rsid w:val="00625F0C"/>
    <w:rsid w:val="00626787"/>
    <w:rsid w:val="006272CF"/>
    <w:rsid w:val="0062733E"/>
    <w:rsid w:val="00627D40"/>
    <w:rsid w:val="00627DEA"/>
    <w:rsid w:val="006305B0"/>
    <w:rsid w:val="00630A72"/>
    <w:rsid w:val="00630BDC"/>
    <w:rsid w:val="006311EE"/>
    <w:rsid w:val="0063145A"/>
    <w:rsid w:val="006314FB"/>
    <w:rsid w:val="00631BF1"/>
    <w:rsid w:val="0063202C"/>
    <w:rsid w:val="00632218"/>
    <w:rsid w:val="006323DD"/>
    <w:rsid w:val="006325B9"/>
    <w:rsid w:val="0063281B"/>
    <w:rsid w:val="00632838"/>
    <w:rsid w:val="0063356F"/>
    <w:rsid w:val="006338C7"/>
    <w:rsid w:val="00633A4F"/>
    <w:rsid w:val="00634593"/>
    <w:rsid w:val="00634662"/>
    <w:rsid w:val="006346D0"/>
    <w:rsid w:val="0063486E"/>
    <w:rsid w:val="00634B4F"/>
    <w:rsid w:val="0063639E"/>
    <w:rsid w:val="006363EA"/>
    <w:rsid w:val="0063693A"/>
    <w:rsid w:val="00636965"/>
    <w:rsid w:val="00637462"/>
    <w:rsid w:val="00637D7F"/>
    <w:rsid w:val="00640229"/>
    <w:rsid w:val="00640BEF"/>
    <w:rsid w:val="00640F37"/>
    <w:rsid w:val="006410D7"/>
    <w:rsid w:val="00641147"/>
    <w:rsid w:val="00641255"/>
    <w:rsid w:val="00641BC4"/>
    <w:rsid w:val="006427DD"/>
    <w:rsid w:val="0064306A"/>
    <w:rsid w:val="00643506"/>
    <w:rsid w:val="0064362B"/>
    <w:rsid w:val="0064381B"/>
    <w:rsid w:val="0064470D"/>
    <w:rsid w:val="00644837"/>
    <w:rsid w:val="00644A05"/>
    <w:rsid w:val="00644A17"/>
    <w:rsid w:val="00645669"/>
    <w:rsid w:val="00645EB0"/>
    <w:rsid w:val="00646243"/>
    <w:rsid w:val="00646B3D"/>
    <w:rsid w:val="00646D6B"/>
    <w:rsid w:val="00646FD6"/>
    <w:rsid w:val="0064701C"/>
    <w:rsid w:val="0064722B"/>
    <w:rsid w:val="00647407"/>
    <w:rsid w:val="00647D78"/>
    <w:rsid w:val="00647DE3"/>
    <w:rsid w:val="00647DE7"/>
    <w:rsid w:val="0065031E"/>
    <w:rsid w:val="006509C7"/>
    <w:rsid w:val="006512FD"/>
    <w:rsid w:val="006515E2"/>
    <w:rsid w:val="0065164B"/>
    <w:rsid w:val="00651657"/>
    <w:rsid w:val="006522C7"/>
    <w:rsid w:val="006524A1"/>
    <w:rsid w:val="00652A64"/>
    <w:rsid w:val="006534FE"/>
    <w:rsid w:val="00653740"/>
    <w:rsid w:val="00653886"/>
    <w:rsid w:val="00653A44"/>
    <w:rsid w:val="00653F58"/>
    <w:rsid w:val="00653F61"/>
    <w:rsid w:val="006544AB"/>
    <w:rsid w:val="00655684"/>
    <w:rsid w:val="00655ECD"/>
    <w:rsid w:val="00657184"/>
    <w:rsid w:val="00657901"/>
    <w:rsid w:val="00657FC1"/>
    <w:rsid w:val="00660001"/>
    <w:rsid w:val="0066014E"/>
    <w:rsid w:val="00660604"/>
    <w:rsid w:val="0066071D"/>
    <w:rsid w:val="00660CBE"/>
    <w:rsid w:val="00660EAB"/>
    <w:rsid w:val="0066109C"/>
    <w:rsid w:val="0066163F"/>
    <w:rsid w:val="00661D52"/>
    <w:rsid w:val="006621DF"/>
    <w:rsid w:val="00662939"/>
    <w:rsid w:val="00662CE7"/>
    <w:rsid w:val="00663621"/>
    <w:rsid w:val="00663759"/>
    <w:rsid w:val="00663CA3"/>
    <w:rsid w:val="00663D5B"/>
    <w:rsid w:val="00663DEC"/>
    <w:rsid w:val="006640BF"/>
    <w:rsid w:val="006641FE"/>
    <w:rsid w:val="006648E5"/>
    <w:rsid w:val="00664DB4"/>
    <w:rsid w:val="00665247"/>
    <w:rsid w:val="006654CF"/>
    <w:rsid w:val="006656B4"/>
    <w:rsid w:val="0066594E"/>
    <w:rsid w:val="00666365"/>
    <w:rsid w:val="006664EE"/>
    <w:rsid w:val="00666709"/>
    <w:rsid w:val="00666BBF"/>
    <w:rsid w:val="00667AB5"/>
    <w:rsid w:val="00667B84"/>
    <w:rsid w:val="0067007E"/>
    <w:rsid w:val="006701A0"/>
    <w:rsid w:val="0067054E"/>
    <w:rsid w:val="006707D8"/>
    <w:rsid w:val="00670B55"/>
    <w:rsid w:val="00671133"/>
    <w:rsid w:val="0067167D"/>
    <w:rsid w:val="0067229B"/>
    <w:rsid w:val="00673474"/>
    <w:rsid w:val="006740C1"/>
    <w:rsid w:val="00674D46"/>
    <w:rsid w:val="00674E45"/>
    <w:rsid w:val="00674F5F"/>
    <w:rsid w:val="006754E7"/>
    <w:rsid w:val="00676506"/>
    <w:rsid w:val="00676F1A"/>
    <w:rsid w:val="0067704B"/>
    <w:rsid w:val="0067748D"/>
    <w:rsid w:val="006775CA"/>
    <w:rsid w:val="006778C4"/>
    <w:rsid w:val="006779FC"/>
    <w:rsid w:val="00677CA5"/>
    <w:rsid w:val="00680299"/>
    <w:rsid w:val="0068031E"/>
    <w:rsid w:val="00680769"/>
    <w:rsid w:val="00680B29"/>
    <w:rsid w:val="0068148D"/>
    <w:rsid w:val="00681A4A"/>
    <w:rsid w:val="00682095"/>
    <w:rsid w:val="00682825"/>
    <w:rsid w:val="0068296C"/>
    <w:rsid w:val="006829F3"/>
    <w:rsid w:val="00682C46"/>
    <w:rsid w:val="00683B99"/>
    <w:rsid w:val="00683CEC"/>
    <w:rsid w:val="00683ED5"/>
    <w:rsid w:val="006841CC"/>
    <w:rsid w:val="0068461D"/>
    <w:rsid w:val="00684FB3"/>
    <w:rsid w:val="00685781"/>
    <w:rsid w:val="00685E90"/>
    <w:rsid w:val="006860E7"/>
    <w:rsid w:val="00686185"/>
    <w:rsid w:val="00686977"/>
    <w:rsid w:val="006874E2"/>
    <w:rsid w:val="00687A27"/>
    <w:rsid w:val="00687B9D"/>
    <w:rsid w:val="00687C79"/>
    <w:rsid w:val="006900A7"/>
    <w:rsid w:val="0069039F"/>
    <w:rsid w:val="00690442"/>
    <w:rsid w:val="006904ED"/>
    <w:rsid w:val="006912BE"/>
    <w:rsid w:val="00691339"/>
    <w:rsid w:val="0069162C"/>
    <w:rsid w:val="00691EDA"/>
    <w:rsid w:val="0069265E"/>
    <w:rsid w:val="00692A96"/>
    <w:rsid w:val="00692FBA"/>
    <w:rsid w:val="006934AA"/>
    <w:rsid w:val="00693C1A"/>
    <w:rsid w:val="0069500B"/>
    <w:rsid w:val="0069598C"/>
    <w:rsid w:val="00695D4E"/>
    <w:rsid w:val="00695F67"/>
    <w:rsid w:val="006961AB"/>
    <w:rsid w:val="0069662C"/>
    <w:rsid w:val="0069673A"/>
    <w:rsid w:val="0069675A"/>
    <w:rsid w:val="00696EC2"/>
    <w:rsid w:val="00696FC5"/>
    <w:rsid w:val="0069706D"/>
    <w:rsid w:val="00697657"/>
    <w:rsid w:val="00697AEB"/>
    <w:rsid w:val="00697C3A"/>
    <w:rsid w:val="00697E52"/>
    <w:rsid w:val="006A04BF"/>
    <w:rsid w:val="006A05B9"/>
    <w:rsid w:val="006A0D6C"/>
    <w:rsid w:val="006A1252"/>
    <w:rsid w:val="006A1BFB"/>
    <w:rsid w:val="006A2155"/>
    <w:rsid w:val="006A2786"/>
    <w:rsid w:val="006A2A2B"/>
    <w:rsid w:val="006A2F65"/>
    <w:rsid w:val="006A31D5"/>
    <w:rsid w:val="006A350B"/>
    <w:rsid w:val="006A3DE9"/>
    <w:rsid w:val="006A3F07"/>
    <w:rsid w:val="006A42D4"/>
    <w:rsid w:val="006A469E"/>
    <w:rsid w:val="006A478F"/>
    <w:rsid w:val="006A502A"/>
    <w:rsid w:val="006A5F28"/>
    <w:rsid w:val="006A616A"/>
    <w:rsid w:val="006A61DB"/>
    <w:rsid w:val="006A6C66"/>
    <w:rsid w:val="006A6DD6"/>
    <w:rsid w:val="006A7072"/>
    <w:rsid w:val="006A7397"/>
    <w:rsid w:val="006A74D5"/>
    <w:rsid w:val="006A7935"/>
    <w:rsid w:val="006A7C92"/>
    <w:rsid w:val="006A7E16"/>
    <w:rsid w:val="006B08DA"/>
    <w:rsid w:val="006B0923"/>
    <w:rsid w:val="006B0B3D"/>
    <w:rsid w:val="006B0CEC"/>
    <w:rsid w:val="006B0E7E"/>
    <w:rsid w:val="006B1195"/>
    <w:rsid w:val="006B1584"/>
    <w:rsid w:val="006B15E2"/>
    <w:rsid w:val="006B1AE3"/>
    <w:rsid w:val="006B41F5"/>
    <w:rsid w:val="006B4254"/>
    <w:rsid w:val="006B545E"/>
    <w:rsid w:val="006B5B72"/>
    <w:rsid w:val="006B64FA"/>
    <w:rsid w:val="006B6C22"/>
    <w:rsid w:val="006B6D86"/>
    <w:rsid w:val="006B76FA"/>
    <w:rsid w:val="006B77DB"/>
    <w:rsid w:val="006B7BB4"/>
    <w:rsid w:val="006C09C0"/>
    <w:rsid w:val="006C0F93"/>
    <w:rsid w:val="006C11E2"/>
    <w:rsid w:val="006C11FE"/>
    <w:rsid w:val="006C1220"/>
    <w:rsid w:val="006C167D"/>
    <w:rsid w:val="006C190A"/>
    <w:rsid w:val="006C1D6F"/>
    <w:rsid w:val="006C1F4A"/>
    <w:rsid w:val="006C25E3"/>
    <w:rsid w:val="006C2C65"/>
    <w:rsid w:val="006C2D75"/>
    <w:rsid w:val="006C3112"/>
    <w:rsid w:val="006C34D4"/>
    <w:rsid w:val="006C3D7D"/>
    <w:rsid w:val="006C4326"/>
    <w:rsid w:val="006C45D5"/>
    <w:rsid w:val="006C4EE8"/>
    <w:rsid w:val="006C52FB"/>
    <w:rsid w:val="006C5A24"/>
    <w:rsid w:val="006C5E92"/>
    <w:rsid w:val="006C6AB2"/>
    <w:rsid w:val="006C6AD5"/>
    <w:rsid w:val="006C6BA5"/>
    <w:rsid w:val="006C6E21"/>
    <w:rsid w:val="006C7953"/>
    <w:rsid w:val="006C7960"/>
    <w:rsid w:val="006D05E1"/>
    <w:rsid w:val="006D0AD1"/>
    <w:rsid w:val="006D0E44"/>
    <w:rsid w:val="006D11E9"/>
    <w:rsid w:val="006D1EFA"/>
    <w:rsid w:val="006D2851"/>
    <w:rsid w:val="006D2A56"/>
    <w:rsid w:val="006D2C52"/>
    <w:rsid w:val="006D32BF"/>
    <w:rsid w:val="006D4DA7"/>
    <w:rsid w:val="006D61BC"/>
    <w:rsid w:val="006D62DD"/>
    <w:rsid w:val="006D71AB"/>
    <w:rsid w:val="006D7231"/>
    <w:rsid w:val="006D72CB"/>
    <w:rsid w:val="006D7CBF"/>
    <w:rsid w:val="006D7EC7"/>
    <w:rsid w:val="006E07FF"/>
    <w:rsid w:val="006E092E"/>
    <w:rsid w:val="006E0D94"/>
    <w:rsid w:val="006E0FD6"/>
    <w:rsid w:val="006E1B10"/>
    <w:rsid w:val="006E290F"/>
    <w:rsid w:val="006E2AE6"/>
    <w:rsid w:val="006E2D24"/>
    <w:rsid w:val="006E2F79"/>
    <w:rsid w:val="006E309A"/>
    <w:rsid w:val="006E36EB"/>
    <w:rsid w:val="006E3D4F"/>
    <w:rsid w:val="006E402F"/>
    <w:rsid w:val="006E41A0"/>
    <w:rsid w:val="006E41A5"/>
    <w:rsid w:val="006E4246"/>
    <w:rsid w:val="006E45CB"/>
    <w:rsid w:val="006E588C"/>
    <w:rsid w:val="006E5BDE"/>
    <w:rsid w:val="006E5CF2"/>
    <w:rsid w:val="006E748F"/>
    <w:rsid w:val="006E75AB"/>
    <w:rsid w:val="006E7894"/>
    <w:rsid w:val="006E7A0F"/>
    <w:rsid w:val="006F05F9"/>
    <w:rsid w:val="006F0A66"/>
    <w:rsid w:val="006F11AD"/>
    <w:rsid w:val="006F2011"/>
    <w:rsid w:val="006F3434"/>
    <w:rsid w:val="006F3819"/>
    <w:rsid w:val="006F3CD9"/>
    <w:rsid w:val="006F3E23"/>
    <w:rsid w:val="006F47E4"/>
    <w:rsid w:val="006F4DAD"/>
    <w:rsid w:val="006F4FD1"/>
    <w:rsid w:val="006F56F0"/>
    <w:rsid w:val="006F6081"/>
    <w:rsid w:val="006F616E"/>
    <w:rsid w:val="006F678C"/>
    <w:rsid w:val="006F7694"/>
    <w:rsid w:val="006F7E88"/>
    <w:rsid w:val="006F7FEB"/>
    <w:rsid w:val="00700021"/>
    <w:rsid w:val="00700383"/>
    <w:rsid w:val="007009FC"/>
    <w:rsid w:val="00700A78"/>
    <w:rsid w:val="00700DFB"/>
    <w:rsid w:val="007012BC"/>
    <w:rsid w:val="00701456"/>
    <w:rsid w:val="00701ADC"/>
    <w:rsid w:val="00701F68"/>
    <w:rsid w:val="00702169"/>
    <w:rsid w:val="0070224F"/>
    <w:rsid w:val="00702585"/>
    <w:rsid w:val="007029D8"/>
    <w:rsid w:val="007032DB"/>
    <w:rsid w:val="00703AD4"/>
    <w:rsid w:val="00703D2F"/>
    <w:rsid w:val="00703FB4"/>
    <w:rsid w:val="007043D3"/>
    <w:rsid w:val="007043DC"/>
    <w:rsid w:val="0070446A"/>
    <w:rsid w:val="00704CDF"/>
    <w:rsid w:val="007052FE"/>
    <w:rsid w:val="0070637C"/>
    <w:rsid w:val="007066C4"/>
    <w:rsid w:val="007069B5"/>
    <w:rsid w:val="00706CDE"/>
    <w:rsid w:val="00706ECE"/>
    <w:rsid w:val="007074D3"/>
    <w:rsid w:val="00707E84"/>
    <w:rsid w:val="00710149"/>
    <w:rsid w:val="007106E0"/>
    <w:rsid w:val="00710CA0"/>
    <w:rsid w:val="00710D4A"/>
    <w:rsid w:val="00711469"/>
    <w:rsid w:val="00711660"/>
    <w:rsid w:val="00712A42"/>
    <w:rsid w:val="00712BA2"/>
    <w:rsid w:val="00712CCB"/>
    <w:rsid w:val="00712DD6"/>
    <w:rsid w:val="00712F59"/>
    <w:rsid w:val="007132DC"/>
    <w:rsid w:val="00714C95"/>
    <w:rsid w:val="00714E76"/>
    <w:rsid w:val="00715055"/>
    <w:rsid w:val="00715234"/>
    <w:rsid w:val="007156AD"/>
    <w:rsid w:val="00715B0F"/>
    <w:rsid w:val="00715E95"/>
    <w:rsid w:val="00716F27"/>
    <w:rsid w:val="00716FC9"/>
    <w:rsid w:val="0071741C"/>
    <w:rsid w:val="00717643"/>
    <w:rsid w:val="00717EE1"/>
    <w:rsid w:val="007201C5"/>
    <w:rsid w:val="0072023D"/>
    <w:rsid w:val="0072028F"/>
    <w:rsid w:val="00720540"/>
    <w:rsid w:val="0072073B"/>
    <w:rsid w:val="00721335"/>
    <w:rsid w:val="007216D4"/>
    <w:rsid w:val="007219D6"/>
    <w:rsid w:val="0072313D"/>
    <w:rsid w:val="007231EB"/>
    <w:rsid w:val="007237F2"/>
    <w:rsid w:val="00723B76"/>
    <w:rsid w:val="00723C3F"/>
    <w:rsid w:val="00724533"/>
    <w:rsid w:val="0072499D"/>
    <w:rsid w:val="00724AEE"/>
    <w:rsid w:val="00725130"/>
    <w:rsid w:val="00725492"/>
    <w:rsid w:val="00725865"/>
    <w:rsid w:val="00725AE5"/>
    <w:rsid w:val="00726268"/>
    <w:rsid w:val="00726BDF"/>
    <w:rsid w:val="00727158"/>
    <w:rsid w:val="00727476"/>
    <w:rsid w:val="0073019F"/>
    <w:rsid w:val="007308FD"/>
    <w:rsid w:val="00730DE0"/>
    <w:rsid w:val="0073110F"/>
    <w:rsid w:val="0073128A"/>
    <w:rsid w:val="00731935"/>
    <w:rsid w:val="00732292"/>
    <w:rsid w:val="00732488"/>
    <w:rsid w:val="00732C7B"/>
    <w:rsid w:val="00732D6D"/>
    <w:rsid w:val="00732ED9"/>
    <w:rsid w:val="00732F08"/>
    <w:rsid w:val="00733F4D"/>
    <w:rsid w:val="00733FB3"/>
    <w:rsid w:val="007342D7"/>
    <w:rsid w:val="00734F7C"/>
    <w:rsid w:val="00735C8E"/>
    <w:rsid w:val="0073634D"/>
    <w:rsid w:val="007365B1"/>
    <w:rsid w:val="007366D4"/>
    <w:rsid w:val="007367F8"/>
    <w:rsid w:val="00736A03"/>
    <w:rsid w:val="00736EE2"/>
    <w:rsid w:val="007370CB"/>
    <w:rsid w:val="007375AE"/>
    <w:rsid w:val="00737FF1"/>
    <w:rsid w:val="0074008A"/>
    <w:rsid w:val="00740196"/>
    <w:rsid w:val="007405A9"/>
    <w:rsid w:val="00740783"/>
    <w:rsid w:val="00740B73"/>
    <w:rsid w:val="00740E7D"/>
    <w:rsid w:val="00741276"/>
    <w:rsid w:val="00741440"/>
    <w:rsid w:val="00741BB0"/>
    <w:rsid w:val="007431A9"/>
    <w:rsid w:val="0074376B"/>
    <w:rsid w:val="00744354"/>
    <w:rsid w:val="00744499"/>
    <w:rsid w:val="00744583"/>
    <w:rsid w:val="00744A86"/>
    <w:rsid w:val="00745117"/>
    <w:rsid w:val="00746745"/>
    <w:rsid w:val="0074698C"/>
    <w:rsid w:val="00746EB0"/>
    <w:rsid w:val="00746EE4"/>
    <w:rsid w:val="007476A4"/>
    <w:rsid w:val="00747A19"/>
    <w:rsid w:val="00747B77"/>
    <w:rsid w:val="00747D4B"/>
    <w:rsid w:val="0075032C"/>
    <w:rsid w:val="00750694"/>
    <w:rsid w:val="00751308"/>
    <w:rsid w:val="007514CD"/>
    <w:rsid w:val="007516A3"/>
    <w:rsid w:val="007518AB"/>
    <w:rsid w:val="00751B6F"/>
    <w:rsid w:val="00751EDC"/>
    <w:rsid w:val="00752D9C"/>
    <w:rsid w:val="00752F53"/>
    <w:rsid w:val="00753198"/>
    <w:rsid w:val="00753850"/>
    <w:rsid w:val="00753B18"/>
    <w:rsid w:val="00753EBA"/>
    <w:rsid w:val="00754195"/>
    <w:rsid w:val="00754CB9"/>
    <w:rsid w:val="007550A6"/>
    <w:rsid w:val="007552F8"/>
    <w:rsid w:val="00755D06"/>
    <w:rsid w:val="00756B83"/>
    <w:rsid w:val="00757468"/>
    <w:rsid w:val="007578D2"/>
    <w:rsid w:val="00757DF0"/>
    <w:rsid w:val="007600AB"/>
    <w:rsid w:val="007601CE"/>
    <w:rsid w:val="007608A4"/>
    <w:rsid w:val="00760ECB"/>
    <w:rsid w:val="0076110E"/>
    <w:rsid w:val="00761B6E"/>
    <w:rsid w:val="00761ED2"/>
    <w:rsid w:val="007622FB"/>
    <w:rsid w:val="007624AF"/>
    <w:rsid w:val="00762C23"/>
    <w:rsid w:val="00762EE8"/>
    <w:rsid w:val="00763651"/>
    <w:rsid w:val="0076387D"/>
    <w:rsid w:val="00763EB1"/>
    <w:rsid w:val="00763FB9"/>
    <w:rsid w:val="00763FF2"/>
    <w:rsid w:val="00764937"/>
    <w:rsid w:val="00764A99"/>
    <w:rsid w:val="007650C3"/>
    <w:rsid w:val="00765296"/>
    <w:rsid w:val="007658CE"/>
    <w:rsid w:val="00766076"/>
    <w:rsid w:val="00766BE6"/>
    <w:rsid w:val="0076718C"/>
    <w:rsid w:val="007673E3"/>
    <w:rsid w:val="00767440"/>
    <w:rsid w:val="007701DC"/>
    <w:rsid w:val="00770843"/>
    <w:rsid w:val="00770BF3"/>
    <w:rsid w:val="00770D86"/>
    <w:rsid w:val="00770FA7"/>
    <w:rsid w:val="00772334"/>
    <w:rsid w:val="00772449"/>
    <w:rsid w:val="00772C66"/>
    <w:rsid w:val="00773CB7"/>
    <w:rsid w:val="00774166"/>
    <w:rsid w:val="00774608"/>
    <w:rsid w:val="0077555A"/>
    <w:rsid w:val="00775EA7"/>
    <w:rsid w:val="007763E2"/>
    <w:rsid w:val="0077651A"/>
    <w:rsid w:val="007768F3"/>
    <w:rsid w:val="00776B43"/>
    <w:rsid w:val="00776D0F"/>
    <w:rsid w:val="007773B1"/>
    <w:rsid w:val="00777C6D"/>
    <w:rsid w:val="007800F2"/>
    <w:rsid w:val="00780374"/>
    <w:rsid w:val="007808D1"/>
    <w:rsid w:val="00780E4D"/>
    <w:rsid w:val="00780F6F"/>
    <w:rsid w:val="007824FC"/>
    <w:rsid w:val="00782B88"/>
    <w:rsid w:val="00782F34"/>
    <w:rsid w:val="00782FDD"/>
    <w:rsid w:val="007843BD"/>
    <w:rsid w:val="007847F3"/>
    <w:rsid w:val="00784CD2"/>
    <w:rsid w:val="00785BA9"/>
    <w:rsid w:val="00785FF6"/>
    <w:rsid w:val="00786685"/>
    <w:rsid w:val="007868DB"/>
    <w:rsid w:val="00786C1F"/>
    <w:rsid w:val="00786C67"/>
    <w:rsid w:val="00787359"/>
    <w:rsid w:val="007905A4"/>
    <w:rsid w:val="007909FD"/>
    <w:rsid w:val="00790CA1"/>
    <w:rsid w:val="00791364"/>
    <w:rsid w:val="00791551"/>
    <w:rsid w:val="00791622"/>
    <w:rsid w:val="00791F1E"/>
    <w:rsid w:val="00792111"/>
    <w:rsid w:val="007921F7"/>
    <w:rsid w:val="007922EF"/>
    <w:rsid w:val="00792710"/>
    <w:rsid w:val="00792B53"/>
    <w:rsid w:val="00792C3B"/>
    <w:rsid w:val="0079344F"/>
    <w:rsid w:val="007935E5"/>
    <w:rsid w:val="007936BC"/>
    <w:rsid w:val="0079375E"/>
    <w:rsid w:val="00793982"/>
    <w:rsid w:val="00794194"/>
    <w:rsid w:val="00794F21"/>
    <w:rsid w:val="0079528F"/>
    <w:rsid w:val="00795655"/>
    <w:rsid w:val="00795F3D"/>
    <w:rsid w:val="00796061"/>
    <w:rsid w:val="00796B45"/>
    <w:rsid w:val="007970CB"/>
    <w:rsid w:val="00797422"/>
    <w:rsid w:val="00797CBB"/>
    <w:rsid w:val="007A09EA"/>
    <w:rsid w:val="007A1384"/>
    <w:rsid w:val="007A146B"/>
    <w:rsid w:val="007A1CCD"/>
    <w:rsid w:val="007A1DD3"/>
    <w:rsid w:val="007A2165"/>
    <w:rsid w:val="007A297A"/>
    <w:rsid w:val="007A3027"/>
    <w:rsid w:val="007A319D"/>
    <w:rsid w:val="007A32E3"/>
    <w:rsid w:val="007A33C3"/>
    <w:rsid w:val="007A350F"/>
    <w:rsid w:val="007A38CD"/>
    <w:rsid w:val="007A3984"/>
    <w:rsid w:val="007A3C24"/>
    <w:rsid w:val="007A3EFB"/>
    <w:rsid w:val="007A3F26"/>
    <w:rsid w:val="007A3F5B"/>
    <w:rsid w:val="007A40D0"/>
    <w:rsid w:val="007A4C58"/>
    <w:rsid w:val="007A5110"/>
    <w:rsid w:val="007A5281"/>
    <w:rsid w:val="007A52A4"/>
    <w:rsid w:val="007A53F5"/>
    <w:rsid w:val="007A59AE"/>
    <w:rsid w:val="007A5A89"/>
    <w:rsid w:val="007A5E0B"/>
    <w:rsid w:val="007A6029"/>
    <w:rsid w:val="007A6999"/>
    <w:rsid w:val="007A6E31"/>
    <w:rsid w:val="007A7B71"/>
    <w:rsid w:val="007A7B8E"/>
    <w:rsid w:val="007A7BCB"/>
    <w:rsid w:val="007A7BF8"/>
    <w:rsid w:val="007A7D07"/>
    <w:rsid w:val="007A7E7D"/>
    <w:rsid w:val="007B0119"/>
    <w:rsid w:val="007B0CCE"/>
    <w:rsid w:val="007B0FE6"/>
    <w:rsid w:val="007B1764"/>
    <w:rsid w:val="007B1C81"/>
    <w:rsid w:val="007B25E7"/>
    <w:rsid w:val="007B2741"/>
    <w:rsid w:val="007B278D"/>
    <w:rsid w:val="007B2C61"/>
    <w:rsid w:val="007B2D10"/>
    <w:rsid w:val="007B386F"/>
    <w:rsid w:val="007B3BA9"/>
    <w:rsid w:val="007B3D5D"/>
    <w:rsid w:val="007B4D4D"/>
    <w:rsid w:val="007B6A01"/>
    <w:rsid w:val="007B6FD8"/>
    <w:rsid w:val="007B7181"/>
    <w:rsid w:val="007B75E4"/>
    <w:rsid w:val="007B7602"/>
    <w:rsid w:val="007B7782"/>
    <w:rsid w:val="007B78E1"/>
    <w:rsid w:val="007B7CB8"/>
    <w:rsid w:val="007C0024"/>
    <w:rsid w:val="007C0164"/>
    <w:rsid w:val="007C0B72"/>
    <w:rsid w:val="007C1509"/>
    <w:rsid w:val="007C159B"/>
    <w:rsid w:val="007C15C0"/>
    <w:rsid w:val="007C15E6"/>
    <w:rsid w:val="007C18FF"/>
    <w:rsid w:val="007C1B3C"/>
    <w:rsid w:val="007C1D13"/>
    <w:rsid w:val="007C2495"/>
    <w:rsid w:val="007C267A"/>
    <w:rsid w:val="007C29C5"/>
    <w:rsid w:val="007C2BD1"/>
    <w:rsid w:val="007C31D3"/>
    <w:rsid w:val="007C3CC8"/>
    <w:rsid w:val="007C3D2C"/>
    <w:rsid w:val="007C3EA3"/>
    <w:rsid w:val="007C4434"/>
    <w:rsid w:val="007C44CA"/>
    <w:rsid w:val="007C45F3"/>
    <w:rsid w:val="007C5BE3"/>
    <w:rsid w:val="007C5FD8"/>
    <w:rsid w:val="007C65B5"/>
    <w:rsid w:val="007C70A4"/>
    <w:rsid w:val="007C77F7"/>
    <w:rsid w:val="007C7B15"/>
    <w:rsid w:val="007C7C70"/>
    <w:rsid w:val="007C7DE7"/>
    <w:rsid w:val="007D039E"/>
    <w:rsid w:val="007D09CE"/>
    <w:rsid w:val="007D11A2"/>
    <w:rsid w:val="007D27A3"/>
    <w:rsid w:val="007D2BE6"/>
    <w:rsid w:val="007D306E"/>
    <w:rsid w:val="007D3C6B"/>
    <w:rsid w:val="007D4374"/>
    <w:rsid w:val="007D5504"/>
    <w:rsid w:val="007D589C"/>
    <w:rsid w:val="007D5A2F"/>
    <w:rsid w:val="007D5ABA"/>
    <w:rsid w:val="007D5B7F"/>
    <w:rsid w:val="007D5E4D"/>
    <w:rsid w:val="007D64A4"/>
    <w:rsid w:val="007D6778"/>
    <w:rsid w:val="007D6BEF"/>
    <w:rsid w:val="007D6E67"/>
    <w:rsid w:val="007E05AF"/>
    <w:rsid w:val="007E0885"/>
    <w:rsid w:val="007E0989"/>
    <w:rsid w:val="007E0AFC"/>
    <w:rsid w:val="007E0DD0"/>
    <w:rsid w:val="007E1149"/>
    <w:rsid w:val="007E152B"/>
    <w:rsid w:val="007E15CF"/>
    <w:rsid w:val="007E1D6B"/>
    <w:rsid w:val="007E23E8"/>
    <w:rsid w:val="007E2EC7"/>
    <w:rsid w:val="007E308E"/>
    <w:rsid w:val="007E41E3"/>
    <w:rsid w:val="007E4570"/>
    <w:rsid w:val="007E47DC"/>
    <w:rsid w:val="007E4AC1"/>
    <w:rsid w:val="007E4EF0"/>
    <w:rsid w:val="007E4FD1"/>
    <w:rsid w:val="007E5B9B"/>
    <w:rsid w:val="007E5DCC"/>
    <w:rsid w:val="007E6226"/>
    <w:rsid w:val="007E6EC6"/>
    <w:rsid w:val="007E740F"/>
    <w:rsid w:val="007E76A0"/>
    <w:rsid w:val="007E7B59"/>
    <w:rsid w:val="007E7C12"/>
    <w:rsid w:val="007E7E08"/>
    <w:rsid w:val="007E7E1F"/>
    <w:rsid w:val="007E7F09"/>
    <w:rsid w:val="007F14F3"/>
    <w:rsid w:val="007F25B9"/>
    <w:rsid w:val="007F25E8"/>
    <w:rsid w:val="007F2655"/>
    <w:rsid w:val="007F2A93"/>
    <w:rsid w:val="007F35A6"/>
    <w:rsid w:val="007F371C"/>
    <w:rsid w:val="007F374B"/>
    <w:rsid w:val="007F4540"/>
    <w:rsid w:val="007F49B0"/>
    <w:rsid w:val="007F606D"/>
    <w:rsid w:val="007F7124"/>
    <w:rsid w:val="007F7141"/>
    <w:rsid w:val="007F7651"/>
    <w:rsid w:val="007F7AEF"/>
    <w:rsid w:val="007F7F84"/>
    <w:rsid w:val="00800003"/>
    <w:rsid w:val="008031B1"/>
    <w:rsid w:val="00803CB7"/>
    <w:rsid w:val="0080419D"/>
    <w:rsid w:val="00804E50"/>
    <w:rsid w:val="00805A85"/>
    <w:rsid w:val="008066E6"/>
    <w:rsid w:val="00806A49"/>
    <w:rsid w:val="00806FA5"/>
    <w:rsid w:val="00807B64"/>
    <w:rsid w:val="00807C3C"/>
    <w:rsid w:val="00810260"/>
    <w:rsid w:val="008104B9"/>
    <w:rsid w:val="0081050E"/>
    <w:rsid w:val="00810D43"/>
    <w:rsid w:val="00811265"/>
    <w:rsid w:val="00811DAE"/>
    <w:rsid w:val="00811F7E"/>
    <w:rsid w:val="0081201D"/>
    <w:rsid w:val="00812E4C"/>
    <w:rsid w:val="00813A93"/>
    <w:rsid w:val="00813AAA"/>
    <w:rsid w:val="00815070"/>
    <w:rsid w:val="00815622"/>
    <w:rsid w:val="0081565A"/>
    <w:rsid w:val="0081597D"/>
    <w:rsid w:val="008159E4"/>
    <w:rsid w:val="00815C21"/>
    <w:rsid w:val="0081619A"/>
    <w:rsid w:val="00816498"/>
    <w:rsid w:val="00816CCF"/>
    <w:rsid w:val="008174A8"/>
    <w:rsid w:val="0082009E"/>
    <w:rsid w:val="00820A9C"/>
    <w:rsid w:val="008215DB"/>
    <w:rsid w:val="008218E4"/>
    <w:rsid w:val="00821B50"/>
    <w:rsid w:val="0082237F"/>
    <w:rsid w:val="00822A02"/>
    <w:rsid w:val="00823974"/>
    <w:rsid w:val="00823FF9"/>
    <w:rsid w:val="00824344"/>
    <w:rsid w:val="00824EF8"/>
    <w:rsid w:val="008251DD"/>
    <w:rsid w:val="00825B65"/>
    <w:rsid w:val="00825C1B"/>
    <w:rsid w:val="00825CA0"/>
    <w:rsid w:val="008263B8"/>
    <w:rsid w:val="00826A3C"/>
    <w:rsid w:val="00827730"/>
    <w:rsid w:val="00827D0A"/>
    <w:rsid w:val="00830001"/>
    <w:rsid w:val="008301A7"/>
    <w:rsid w:val="0083134A"/>
    <w:rsid w:val="008315B5"/>
    <w:rsid w:val="00831625"/>
    <w:rsid w:val="00831752"/>
    <w:rsid w:val="00831BE1"/>
    <w:rsid w:val="008322F9"/>
    <w:rsid w:val="00832E90"/>
    <w:rsid w:val="008334C7"/>
    <w:rsid w:val="008337FB"/>
    <w:rsid w:val="00833C63"/>
    <w:rsid w:val="0083410A"/>
    <w:rsid w:val="008343A1"/>
    <w:rsid w:val="00834752"/>
    <w:rsid w:val="008349F2"/>
    <w:rsid w:val="008353E1"/>
    <w:rsid w:val="008356C3"/>
    <w:rsid w:val="00836C42"/>
    <w:rsid w:val="00836DA6"/>
    <w:rsid w:val="00837096"/>
    <w:rsid w:val="00837270"/>
    <w:rsid w:val="00837A2A"/>
    <w:rsid w:val="00837B63"/>
    <w:rsid w:val="00837D99"/>
    <w:rsid w:val="00840565"/>
    <w:rsid w:val="00840EE9"/>
    <w:rsid w:val="00840FB9"/>
    <w:rsid w:val="008415D7"/>
    <w:rsid w:val="00841AA1"/>
    <w:rsid w:val="00841E95"/>
    <w:rsid w:val="00842726"/>
    <w:rsid w:val="008429F4"/>
    <w:rsid w:val="00842D3E"/>
    <w:rsid w:val="00842E4A"/>
    <w:rsid w:val="008436E3"/>
    <w:rsid w:val="008438AE"/>
    <w:rsid w:val="00843B5B"/>
    <w:rsid w:val="00843BD7"/>
    <w:rsid w:val="0084473C"/>
    <w:rsid w:val="00844D06"/>
    <w:rsid w:val="00844EE1"/>
    <w:rsid w:val="00845313"/>
    <w:rsid w:val="00845A88"/>
    <w:rsid w:val="00845AD8"/>
    <w:rsid w:val="00845C76"/>
    <w:rsid w:val="008465CD"/>
    <w:rsid w:val="008469CC"/>
    <w:rsid w:val="00846C9A"/>
    <w:rsid w:val="008476B2"/>
    <w:rsid w:val="00847ACE"/>
    <w:rsid w:val="00847EE4"/>
    <w:rsid w:val="008500F9"/>
    <w:rsid w:val="008503FF"/>
    <w:rsid w:val="00850777"/>
    <w:rsid w:val="00850B70"/>
    <w:rsid w:val="00850D8D"/>
    <w:rsid w:val="008511E8"/>
    <w:rsid w:val="00853DF0"/>
    <w:rsid w:val="00853EAB"/>
    <w:rsid w:val="00853FF3"/>
    <w:rsid w:val="0085422F"/>
    <w:rsid w:val="00854623"/>
    <w:rsid w:val="00854D05"/>
    <w:rsid w:val="00855319"/>
    <w:rsid w:val="008559C7"/>
    <w:rsid w:val="00855F41"/>
    <w:rsid w:val="00856483"/>
    <w:rsid w:val="0085669E"/>
    <w:rsid w:val="00856AC9"/>
    <w:rsid w:val="00857CB1"/>
    <w:rsid w:val="00857EE5"/>
    <w:rsid w:val="0086009A"/>
    <w:rsid w:val="00860B38"/>
    <w:rsid w:val="00860B94"/>
    <w:rsid w:val="0086176E"/>
    <w:rsid w:val="0086181D"/>
    <w:rsid w:val="0086227B"/>
    <w:rsid w:val="0086234D"/>
    <w:rsid w:val="008626E8"/>
    <w:rsid w:val="00862733"/>
    <w:rsid w:val="0086279B"/>
    <w:rsid w:val="00862FD1"/>
    <w:rsid w:val="00863581"/>
    <w:rsid w:val="00863E5F"/>
    <w:rsid w:val="00864D02"/>
    <w:rsid w:val="008659C0"/>
    <w:rsid w:val="00865A87"/>
    <w:rsid w:val="00865D6D"/>
    <w:rsid w:val="00865F43"/>
    <w:rsid w:val="00865FC2"/>
    <w:rsid w:val="00866181"/>
    <w:rsid w:val="00866364"/>
    <w:rsid w:val="00866371"/>
    <w:rsid w:val="0086657D"/>
    <w:rsid w:val="00866D11"/>
    <w:rsid w:val="00867457"/>
    <w:rsid w:val="008677B2"/>
    <w:rsid w:val="00867CEB"/>
    <w:rsid w:val="00867E97"/>
    <w:rsid w:val="0087090D"/>
    <w:rsid w:val="00870947"/>
    <w:rsid w:val="00870955"/>
    <w:rsid w:val="00870BBA"/>
    <w:rsid w:val="00871403"/>
    <w:rsid w:val="00872228"/>
    <w:rsid w:val="008727B1"/>
    <w:rsid w:val="008729FB"/>
    <w:rsid w:val="00872A16"/>
    <w:rsid w:val="0087320B"/>
    <w:rsid w:val="00873878"/>
    <w:rsid w:val="00873989"/>
    <w:rsid w:val="00873E4B"/>
    <w:rsid w:val="00873F8F"/>
    <w:rsid w:val="00874A67"/>
    <w:rsid w:val="0087504B"/>
    <w:rsid w:val="00875121"/>
    <w:rsid w:val="00875966"/>
    <w:rsid w:val="008759A6"/>
    <w:rsid w:val="0087628A"/>
    <w:rsid w:val="008767E1"/>
    <w:rsid w:val="00876ACD"/>
    <w:rsid w:val="008779AE"/>
    <w:rsid w:val="00877B95"/>
    <w:rsid w:val="00880E47"/>
    <w:rsid w:val="0088134D"/>
    <w:rsid w:val="00881A39"/>
    <w:rsid w:val="00882600"/>
    <w:rsid w:val="00883F51"/>
    <w:rsid w:val="00883F77"/>
    <w:rsid w:val="008842DA"/>
    <w:rsid w:val="00884525"/>
    <w:rsid w:val="00884A2B"/>
    <w:rsid w:val="00885DCF"/>
    <w:rsid w:val="00885DDC"/>
    <w:rsid w:val="00886B50"/>
    <w:rsid w:val="00886BE1"/>
    <w:rsid w:val="00887589"/>
    <w:rsid w:val="00887B80"/>
    <w:rsid w:val="00887C8D"/>
    <w:rsid w:val="00887D40"/>
    <w:rsid w:val="008901D8"/>
    <w:rsid w:val="008902A9"/>
    <w:rsid w:val="0089057D"/>
    <w:rsid w:val="00890909"/>
    <w:rsid w:val="00890A6D"/>
    <w:rsid w:val="00891BF4"/>
    <w:rsid w:val="00891C14"/>
    <w:rsid w:val="008924D7"/>
    <w:rsid w:val="00892E32"/>
    <w:rsid w:val="008930A2"/>
    <w:rsid w:val="0089316C"/>
    <w:rsid w:val="00893960"/>
    <w:rsid w:val="00893B43"/>
    <w:rsid w:val="00893CCF"/>
    <w:rsid w:val="00894EB7"/>
    <w:rsid w:val="0089528D"/>
    <w:rsid w:val="0089684A"/>
    <w:rsid w:val="008969A8"/>
    <w:rsid w:val="00896D68"/>
    <w:rsid w:val="00896DA9"/>
    <w:rsid w:val="0089722D"/>
    <w:rsid w:val="00897521"/>
    <w:rsid w:val="0089753D"/>
    <w:rsid w:val="008979CD"/>
    <w:rsid w:val="00897B08"/>
    <w:rsid w:val="00897C4C"/>
    <w:rsid w:val="008A0549"/>
    <w:rsid w:val="008A0A03"/>
    <w:rsid w:val="008A0F8D"/>
    <w:rsid w:val="008A1025"/>
    <w:rsid w:val="008A31FA"/>
    <w:rsid w:val="008A4640"/>
    <w:rsid w:val="008A470E"/>
    <w:rsid w:val="008A5143"/>
    <w:rsid w:val="008A5592"/>
    <w:rsid w:val="008A5BA4"/>
    <w:rsid w:val="008A5F48"/>
    <w:rsid w:val="008A6683"/>
    <w:rsid w:val="008A677C"/>
    <w:rsid w:val="008A6D1D"/>
    <w:rsid w:val="008A6EBA"/>
    <w:rsid w:val="008A7A45"/>
    <w:rsid w:val="008A7C6F"/>
    <w:rsid w:val="008A7F40"/>
    <w:rsid w:val="008B05CD"/>
    <w:rsid w:val="008B076A"/>
    <w:rsid w:val="008B095A"/>
    <w:rsid w:val="008B0F34"/>
    <w:rsid w:val="008B1568"/>
    <w:rsid w:val="008B16EC"/>
    <w:rsid w:val="008B16F5"/>
    <w:rsid w:val="008B18F4"/>
    <w:rsid w:val="008B1B90"/>
    <w:rsid w:val="008B1E01"/>
    <w:rsid w:val="008B2F2E"/>
    <w:rsid w:val="008B332B"/>
    <w:rsid w:val="008B354B"/>
    <w:rsid w:val="008B3B8B"/>
    <w:rsid w:val="008B3E6C"/>
    <w:rsid w:val="008B476F"/>
    <w:rsid w:val="008B4AF1"/>
    <w:rsid w:val="008B51EA"/>
    <w:rsid w:val="008B6166"/>
    <w:rsid w:val="008B65EB"/>
    <w:rsid w:val="008B6953"/>
    <w:rsid w:val="008B705E"/>
    <w:rsid w:val="008B7162"/>
    <w:rsid w:val="008B793C"/>
    <w:rsid w:val="008C026E"/>
    <w:rsid w:val="008C079B"/>
    <w:rsid w:val="008C10D4"/>
    <w:rsid w:val="008C1535"/>
    <w:rsid w:val="008C156C"/>
    <w:rsid w:val="008C1968"/>
    <w:rsid w:val="008C1F5C"/>
    <w:rsid w:val="008C205A"/>
    <w:rsid w:val="008C24F1"/>
    <w:rsid w:val="008C2827"/>
    <w:rsid w:val="008C2C72"/>
    <w:rsid w:val="008C2F13"/>
    <w:rsid w:val="008C2F25"/>
    <w:rsid w:val="008C3009"/>
    <w:rsid w:val="008C30C1"/>
    <w:rsid w:val="008C34BC"/>
    <w:rsid w:val="008C3C38"/>
    <w:rsid w:val="008C4807"/>
    <w:rsid w:val="008C4E8E"/>
    <w:rsid w:val="008C504C"/>
    <w:rsid w:val="008C5C6D"/>
    <w:rsid w:val="008C618D"/>
    <w:rsid w:val="008C6348"/>
    <w:rsid w:val="008C640D"/>
    <w:rsid w:val="008C6A06"/>
    <w:rsid w:val="008C6A34"/>
    <w:rsid w:val="008C6BAC"/>
    <w:rsid w:val="008D0000"/>
    <w:rsid w:val="008D1378"/>
    <w:rsid w:val="008D142E"/>
    <w:rsid w:val="008D14E6"/>
    <w:rsid w:val="008D153E"/>
    <w:rsid w:val="008D15C6"/>
    <w:rsid w:val="008D1D76"/>
    <w:rsid w:val="008D2055"/>
    <w:rsid w:val="008D2230"/>
    <w:rsid w:val="008D30C2"/>
    <w:rsid w:val="008D3600"/>
    <w:rsid w:val="008D3610"/>
    <w:rsid w:val="008D3F08"/>
    <w:rsid w:val="008D3FB7"/>
    <w:rsid w:val="008D4698"/>
    <w:rsid w:val="008D4B6A"/>
    <w:rsid w:val="008D507E"/>
    <w:rsid w:val="008D6885"/>
    <w:rsid w:val="008D7826"/>
    <w:rsid w:val="008D785E"/>
    <w:rsid w:val="008D78F1"/>
    <w:rsid w:val="008E076A"/>
    <w:rsid w:val="008E0901"/>
    <w:rsid w:val="008E0EAA"/>
    <w:rsid w:val="008E1238"/>
    <w:rsid w:val="008E140F"/>
    <w:rsid w:val="008E1971"/>
    <w:rsid w:val="008E1ABD"/>
    <w:rsid w:val="008E1B81"/>
    <w:rsid w:val="008E1D53"/>
    <w:rsid w:val="008E285A"/>
    <w:rsid w:val="008E2971"/>
    <w:rsid w:val="008E2BE8"/>
    <w:rsid w:val="008E418C"/>
    <w:rsid w:val="008E41D4"/>
    <w:rsid w:val="008E49AC"/>
    <w:rsid w:val="008E4A95"/>
    <w:rsid w:val="008E4ED6"/>
    <w:rsid w:val="008E50C4"/>
    <w:rsid w:val="008E522D"/>
    <w:rsid w:val="008E54CC"/>
    <w:rsid w:val="008E5A5C"/>
    <w:rsid w:val="008E5CAA"/>
    <w:rsid w:val="008E6565"/>
    <w:rsid w:val="008E6EE2"/>
    <w:rsid w:val="008E7278"/>
    <w:rsid w:val="008E7508"/>
    <w:rsid w:val="008E7867"/>
    <w:rsid w:val="008E7BFB"/>
    <w:rsid w:val="008F174D"/>
    <w:rsid w:val="008F198C"/>
    <w:rsid w:val="008F1A5D"/>
    <w:rsid w:val="008F1CF8"/>
    <w:rsid w:val="008F1E11"/>
    <w:rsid w:val="008F2821"/>
    <w:rsid w:val="008F36CD"/>
    <w:rsid w:val="008F3ED8"/>
    <w:rsid w:val="008F4984"/>
    <w:rsid w:val="008F4F66"/>
    <w:rsid w:val="008F5CD4"/>
    <w:rsid w:val="008F6D9E"/>
    <w:rsid w:val="008F7EB9"/>
    <w:rsid w:val="00900839"/>
    <w:rsid w:val="00901B4C"/>
    <w:rsid w:val="00901FC1"/>
    <w:rsid w:val="00902255"/>
    <w:rsid w:val="009022F4"/>
    <w:rsid w:val="009028AC"/>
    <w:rsid w:val="00902C13"/>
    <w:rsid w:val="00903086"/>
    <w:rsid w:val="00903E41"/>
    <w:rsid w:val="0090442B"/>
    <w:rsid w:val="009044FA"/>
    <w:rsid w:val="00904652"/>
    <w:rsid w:val="00905257"/>
    <w:rsid w:val="0090566F"/>
    <w:rsid w:val="0090572D"/>
    <w:rsid w:val="009062E6"/>
    <w:rsid w:val="00906484"/>
    <w:rsid w:val="00906792"/>
    <w:rsid w:val="00907B74"/>
    <w:rsid w:val="009106E0"/>
    <w:rsid w:val="0091072D"/>
    <w:rsid w:val="00910955"/>
    <w:rsid w:val="00910CC8"/>
    <w:rsid w:val="00910D2B"/>
    <w:rsid w:val="00910E12"/>
    <w:rsid w:val="009114A4"/>
    <w:rsid w:val="009114AA"/>
    <w:rsid w:val="00911603"/>
    <w:rsid w:val="00911E3D"/>
    <w:rsid w:val="0091241C"/>
    <w:rsid w:val="009124A1"/>
    <w:rsid w:val="00912533"/>
    <w:rsid w:val="009133EB"/>
    <w:rsid w:val="00913B05"/>
    <w:rsid w:val="00913D26"/>
    <w:rsid w:val="0091407D"/>
    <w:rsid w:val="00914117"/>
    <w:rsid w:val="00914C4D"/>
    <w:rsid w:val="00914CAE"/>
    <w:rsid w:val="009157D6"/>
    <w:rsid w:val="009159C1"/>
    <w:rsid w:val="0091675E"/>
    <w:rsid w:val="00916FC1"/>
    <w:rsid w:val="00917738"/>
    <w:rsid w:val="00917869"/>
    <w:rsid w:val="0092076F"/>
    <w:rsid w:val="00920D2F"/>
    <w:rsid w:val="0092113E"/>
    <w:rsid w:val="00921150"/>
    <w:rsid w:val="009217A1"/>
    <w:rsid w:val="0092244C"/>
    <w:rsid w:val="00922748"/>
    <w:rsid w:val="00922C9C"/>
    <w:rsid w:val="00922FE0"/>
    <w:rsid w:val="009234A3"/>
    <w:rsid w:val="00923682"/>
    <w:rsid w:val="0092377F"/>
    <w:rsid w:val="009239D0"/>
    <w:rsid w:val="00924504"/>
    <w:rsid w:val="00924892"/>
    <w:rsid w:val="00924D95"/>
    <w:rsid w:val="00924ECD"/>
    <w:rsid w:val="00925125"/>
    <w:rsid w:val="00925515"/>
    <w:rsid w:val="00925AC6"/>
    <w:rsid w:val="00925EB9"/>
    <w:rsid w:val="00926623"/>
    <w:rsid w:val="00926A45"/>
    <w:rsid w:val="00926FDB"/>
    <w:rsid w:val="009278B3"/>
    <w:rsid w:val="00927CE5"/>
    <w:rsid w:val="00927E49"/>
    <w:rsid w:val="0093016C"/>
    <w:rsid w:val="00930773"/>
    <w:rsid w:val="00931002"/>
    <w:rsid w:val="009314D8"/>
    <w:rsid w:val="0093195F"/>
    <w:rsid w:val="00931E4F"/>
    <w:rsid w:val="00931F0B"/>
    <w:rsid w:val="009327FD"/>
    <w:rsid w:val="009341A7"/>
    <w:rsid w:val="00934A85"/>
    <w:rsid w:val="00934D86"/>
    <w:rsid w:val="00934FDB"/>
    <w:rsid w:val="00935298"/>
    <w:rsid w:val="0093607B"/>
    <w:rsid w:val="0093608E"/>
    <w:rsid w:val="00936263"/>
    <w:rsid w:val="00936382"/>
    <w:rsid w:val="00936F67"/>
    <w:rsid w:val="00937065"/>
    <w:rsid w:val="00937521"/>
    <w:rsid w:val="00937F92"/>
    <w:rsid w:val="00940950"/>
    <w:rsid w:val="00940A41"/>
    <w:rsid w:val="00940C78"/>
    <w:rsid w:val="009411A2"/>
    <w:rsid w:val="009417C2"/>
    <w:rsid w:val="00941CBB"/>
    <w:rsid w:val="009426A9"/>
    <w:rsid w:val="00942891"/>
    <w:rsid w:val="00943007"/>
    <w:rsid w:val="00943895"/>
    <w:rsid w:val="00943C35"/>
    <w:rsid w:val="00943D76"/>
    <w:rsid w:val="00943E90"/>
    <w:rsid w:val="00944088"/>
    <w:rsid w:val="00945205"/>
    <w:rsid w:val="00945459"/>
    <w:rsid w:val="009454CF"/>
    <w:rsid w:val="00945889"/>
    <w:rsid w:val="00945AEE"/>
    <w:rsid w:val="00945B4A"/>
    <w:rsid w:val="00945B6A"/>
    <w:rsid w:val="00946B51"/>
    <w:rsid w:val="00946D8B"/>
    <w:rsid w:val="009479FD"/>
    <w:rsid w:val="0095097A"/>
    <w:rsid w:val="00950C84"/>
    <w:rsid w:val="0095109B"/>
    <w:rsid w:val="00951450"/>
    <w:rsid w:val="009515E9"/>
    <w:rsid w:val="0095268D"/>
    <w:rsid w:val="0095269D"/>
    <w:rsid w:val="009526C3"/>
    <w:rsid w:val="00952C25"/>
    <w:rsid w:val="00952E53"/>
    <w:rsid w:val="009532DF"/>
    <w:rsid w:val="0095338A"/>
    <w:rsid w:val="009536C2"/>
    <w:rsid w:val="00954219"/>
    <w:rsid w:val="00954B94"/>
    <w:rsid w:val="00954C63"/>
    <w:rsid w:val="00954F7B"/>
    <w:rsid w:val="00954F7E"/>
    <w:rsid w:val="00954F94"/>
    <w:rsid w:val="00955937"/>
    <w:rsid w:val="00955A69"/>
    <w:rsid w:val="00956109"/>
    <w:rsid w:val="00956D00"/>
    <w:rsid w:val="00957065"/>
    <w:rsid w:val="009570C2"/>
    <w:rsid w:val="009574F8"/>
    <w:rsid w:val="00957A84"/>
    <w:rsid w:val="0096003C"/>
    <w:rsid w:val="00960420"/>
    <w:rsid w:val="00960CBE"/>
    <w:rsid w:val="00961222"/>
    <w:rsid w:val="0096140E"/>
    <w:rsid w:val="009616F9"/>
    <w:rsid w:val="00962F1C"/>
    <w:rsid w:val="00963238"/>
    <w:rsid w:val="009645B5"/>
    <w:rsid w:val="00964D89"/>
    <w:rsid w:val="009652F4"/>
    <w:rsid w:val="009655FC"/>
    <w:rsid w:val="00965C51"/>
    <w:rsid w:val="00966421"/>
    <w:rsid w:val="0096660E"/>
    <w:rsid w:val="00966907"/>
    <w:rsid w:val="00966A45"/>
    <w:rsid w:val="00966F51"/>
    <w:rsid w:val="009673AE"/>
    <w:rsid w:val="0096777A"/>
    <w:rsid w:val="00967A87"/>
    <w:rsid w:val="009710B9"/>
    <w:rsid w:val="009713BC"/>
    <w:rsid w:val="009718D4"/>
    <w:rsid w:val="00971B94"/>
    <w:rsid w:val="00971CA3"/>
    <w:rsid w:val="00971D9E"/>
    <w:rsid w:val="00971E4E"/>
    <w:rsid w:val="009723AD"/>
    <w:rsid w:val="00972A59"/>
    <w:rsid w:val="00972D5C"/>
    <w:rsid w:val="0097357F"/>
    <w:rsid w:val="00973CC7"/>
    <w:rsid w:val="009740DC"/>
    <w:rsid w:val="00975051"/>
    <w:rsid w:val="0097552E"/>
    <w:rsid w:val="00975B9D"/>
    <w:rsid w:val="00975C6D"/>
    <w:rsid w:val="00976B7B"/>
    <w:rsid w:val="00976F01"/>
    <w:rsid w:val="009775AE"/>
    <w:rsid w:val="009776E9"/>
    <w:rsid w:val="00977AC1"/>
    <w:rsid w:val="00977B79"/>
    <w:rsid w:val="00977BA6"/>
    <w:rsid w:val="00977F76"/>
    <w:rsid w:val="00980B63"/>
    <w:rsid w:val="00980D22"/>
    <w:rsid w:val="00980F3B"/>
    <w:rsid w:val="00981817"/>
    <w:rsid w:val="009822F3"/>
    <w:rsid w:val="009829C5"/>
    <w:rsid w:val="00982A4B"/>
    <w:rsid w:val="00982EF1"/>
    <w:rsid w:val="009830F5"/>
    <w:rsid w:val="009844AD"/>
    <w:rsid w:val="00984831"/>
    <w:rsid w:val="00984BA1"/>
    <w:rsid w:val="009850B0"/>
    <w:rsid w:val="00985C73"/>
    <w:rsid w:val="00986209"/>
    <w:rsid w:val="00986921"/>
    <w:rsid w:val="009869F8"/>
    <w:rsid w:val="00987991"/>
    <w:rsid w:val="00987B5F"/>
    <w:rsid w:val="00990452"/>
    <w:rsid w:val="00991299"/>
    <w:rsid w:val="009919CE"/>
    <w:rsid w:val="00992CC2"/>
    <w:rsid w:val="00992CDB"/>
    <w:rsid w:val="00992DF3"/>
    <w:rsid w:val="0099351B"/>
    <w:rsid w:val="00994ACA"/>
    <w:rsid w:val="00994BB0"/>
    <w:rsid w:val="00995ED6"/>
    <w:rsid w:val="00996116"/>
    <w:rsid w:val="00996755"/>
    <w:rsid w:val="00996D09"/>
    <w:rsid w:val="009A04A4"/>
    <w:rsid w:val="009A06E5"/>
    <w:rsid w:val="009A0D12"/>
    <w:rsid w:val="009A1167"/>
    <w:rsid w:val="009A1D5A"/>
    <w:rsid w:val="009A26D9"/>
    <w:rsid w:val="009A3262"/>
    <w:rsid w:val="009A3DEA"/>
    <w:rsid w:val="009A3DF3"/>
    <w:rsid w:val="009A45ED"/>
    <w:rsid w:val="009A477D"/>
    <w:rsid w:val="009A48DF"/>
    <w:rsid w:val="009A497A"/>
    <w:rsid w:val="009A4B85"/>
    <w:rsid w:val="009A5680"/>
    <w:rsid w:val="009A5758"/>
    <w:rsid w:val="009A7902"/>
    <w:rsid w:val="009A7B64"/>
    <w:rsid w:val="009A7D82"/>
    <w:rsid w:val="009A7FBE"/>
    <w:rsid w:val="009B13E6"/>
    <w:rsid w:val="009B1616"/>
    <w:rsid w:val="009B163B"/>
    <w:rsid w:val="009B16AD"/>
    <w:rsid w:val="009B21E1"/>
    <w:rsid w:val="009B2333"/>
    <w:rsid w:val="009B2422"/>
    <w:rsid w:val="009B29AF"/>
    <w:rsid w:val="009B29C2"/>
    <w:rsid w:val="009B2D46"/>
    <w:rsid w:val="009B2F19"/>
    <w:rsid w:val="009B4E7D"/>
    <w:rsid w:val="009B503E"/>
    <w:rsid w:val="009B52F5"/>
    <w:rsid w:val="009B667F"/>
    <w:rsid w:val="009B67D9"/>
    <w:rsid w:val="009B6940"/>
    <w:rsid w:val="009B6A20"/>
    <w:rsid w:val="009B6B81"/>
    <w:rsid w:val="009B6E0C"/>
    <w:rsid w:val="009B7C8C"/>
    <w:rsid w:val="009B7CC9"/>
    <w:rsid w:val="009C021E"/>
    <w:rsid w:val="009C0452"/>
    <w:rsid w:val="009C16C3"/>
    <w:rsid w:val="009C1828"/>
    <w:rsid w:val="009C1B08"/>
    <w:rsid w:val="009C222F"/>
    <w:rsid w:val="009C3FFA"/>
    <w:rsid w:val="009C478E"/>
    <w:rsid w:val="009C4BF8"/>
    <w:rsid w:val="009C4D5F"/>
    <w:rsid w:val="009C4DD5"/>
    <w:rsid w:val="009C5AA2"/>
    <w:rsid w:val="009C5E66"/>
    <w:rsid w:val="009C5F2C"/>
    <w:rsid w:val="009C67E9"/>
    <w:rsid w:val="009C76D7"/>
    <w:rsid w:val="009D02B9"/>
    <w:rsid w:val="009D0AF1"/>
    <w:rsid w:val="009D0C5A"/>
    <w:rsid w:val="009D131A"/>
    <w:rsid w:val="009D1ECC"/>
    <w:rsid w:val="009D28E6"/>
    <w:rsid w:val="009D2B3A"/>
    <w:rsid w:val="009D2E74"/>
    <w:rsid w:val="009D38B2"/>
    <w:rsid w:val="009D3F2C"/>
    <w:rsid w:val="009D4F60"/>
    <w:rsid w:val="009D5027"/>
    <w:rsid w:val="009D52CC"/>
    <w:rsid w:val="009D5A19"/>
    <w:rsid w:val="009D5AD6"/>
    <w:rsid w:val="009D5C58"/>
    <w:rsid w:val="009D61F6"/>
    <w:rsid w:val="009D7B30"/>
    <w:rsid w:val="009D7B85"/>
    <w:rsid w:val="009D7D93"/>
    <w:rsid w:val="009E01AE"/>
    <w:rsid w:val="009E0765"/>
    <w:rsid w:val="009E0D86"/>
    <w:rsid w:val="009E2055"/>
    <w:rsid w:val="009E2461"/>
    <w:rsid w:val="009E33DB"/>
    <w:rsid w:val="009E3C5A"/>
    <w:rsid w:val="009E44F2"/>
    <w:rsid w:val="009E46E4"/>
    <w:rsid w:val="009E474E"/>
    <w:rsid w:val="009E4926"/>
    <w:rsid w:val="009E4C8A"/>
    <w:rsid w:val="009E4FF7"/>
    <w:rsid w:val="009E58A7"/>
    <w:rsid w:val="009E5953"/>
    <w:rsid w:val="009E59BB"/>
    <w:rsid w:val="009E6005"/>
    <w:rsid w:val="009E6F86"/>
    <w:rsid w:val="009E7274"/>
    <w:rsid w:val="009E764E"/>
    <w:rsid w:val="009E77AB"/>
    <w:rsid w:val="009F01D3"/>
    <w:rsid w:val="009F0232"/>
    <w:rsid w:val="009F075C"/>
    <w:rsid w:val="009F0AB6"/>
    <w:rsid w:val="009F108E"/>
    <w:rsid w:val="009F10F4"/>
    <w:rsid w:val="009F1B1F"/>
    <w:rsid w:val="009F1B99"/>
    <w:rsid w:val="009F1C46"/>
    <w:rsid w:val="009F2780"/>
    <w:rsid w:val="009F3BA6"/>
    <w:rsid w:val="009F3E97"/>
    <w:rsid w:val="009F43A0"/>
    <w:rsid w:val="009F4CA8"/>
    <w:rsid w:val="009F506E"/>
    <w:rsid w:val="009F5F20"/>
    <w:rsid w:val="009F5F26"/>
    <w:rsid w:val="009F6F59"/>
    <w:rsid w:val="009F7744"/>
    <w:rsid w:val="009F7964"/>
    <w:rsid w:val="009F7B97"/>
    <w:rsid w:val="00A00AED"/>
    <w:rsid w:val="00A00E7D"/>
    <w:rsid w:val="00A01136"/>
    <w:rsid w:val="00A01975"/>
    <w:rsid w:val="00A01AE7"/>
    <w:rsid w:val="00A021C6"/>
    <w:rsid w:val="00A02BDB"/>
    <w:rsid w:val="00A02FD1"/>
    <w:rsid w:val="00A034D9"/>
    <w:rsid w:val="00A03F55"/>
    <w:rsid w:val="00A04478"/>
    <w:rsid w:val="00A04BB6"/>
    <w:rsid w:val="00A050D4"/>
    <w:rsid w:val="00A05567"/>
    <w:rsid w:val="00A05A14"/>
    <w:rsid w:val="00A05DA8"/>
    <w:rsid w:val="00A065FD"/>
    <w:rsid w:val="00A078CA"/>
    <w:rsid w:val="00A07C81"/>
    <w:rsid w:val="00A07D1D"/>
    <w:rsid w:val="00A07E94"/>
    <w:rsid w:val="00A105B2"/>
    <w:rsid w:val="00A10ECA"/>
    <w:rsid w:val="00A11746"/>
    <w:rsid w:val="00A117DE"/>
    <w:rsid w:val="00A11DAD"/>
    <w:rsid w:val="00A124A5"/>
    <w:rsid w:val="00A124FE"/>
    <w:rsid w:val="00A12FB6"/>
    <w:rsid w:val="00A131BF"/>
    <w:rsid w:val="00A13518"/>
    <w:rsid w:val="00A138F2"/>
    <w:rsid w:val="00A139C9"/>
    <w:rsid w:val="00A13C0B"/>
    <w:rsid w:val="00A15469"/>
    <w:rsid w:val="00A16516"/>
    <w:rsid w:val="00A169FB"/>
    <w:rsid w:val="00A17057"/>
    <w:rsid w:val="00A176B2"/>
    <w:rsid w:val="00A17C8A"/>
    <w:rsid w:val="00A17DF6"/>
    <w:rsid w:val="00A17FDF"/>
    <w:rsid w:val="00A20275"/>
    <w:rsid w:val="00A2067B"/>
    <w:rsid w:val="00A20F5B"/>
    <w:rsid w:val="00A2152F"/>
    <w:rsid w:val="00A219E1"/>
    <w:rsid w:val="00A22123"/>
    <w:rsid w:val="00A22AE3"/>
    <w:rsid w:val="00A22F81"/>
    <w:rsid w:val="00A231BC"/>
    <w:rsid w:val="00A231FD"/>
    <w:rsid w:val="00A23488"/>
    <w:rsid w:val="00A23AE8"/>
    <w:rsid w:val="00A23E42"/>
    <w:rsid w:val="00A247C0"/>
    <w:rsid w:val="00A248AD"/>
    <w:rsid w:val="00A24AB9"/>
    <w:rsid w:val="00A24B39"/>
    <w:rsid w:val="00A24F32"/>
    <w:rsid w:val="00A25361"/>
    <w:rsid w:val="00A25BEF"/>
    <w:rsid w:val="00A2605F"/>
    <w:rsid w:val="00A261FC"/>
    <w:rsid w:val="00A27286"/>
    <w:rsid w:val="00A27883"/>
    <w:rsid w:val="00A30A52"/>
    <w:rsid w:val="00A31970"/>
    <w:rsid w:val="00A31C25"/>
    <w:rsid w:val="00A31DB5"/>
    <w:rsid w:val="00A32838"/>
    <w:rsid w:val="00A328B0"/>
    <w:rsid w:val="00A33576"/>
    <w:rsid w:val="00A33B24"/>
    <w:rsid w:val="00A33B70"/>
    <w:rsid w:val="00A346BE"/>
    <w:rsid w:val="00A346DE"/>
    <w:rsid w:val="00A3473E"/>
    <w:rsid w:val="00A3545E"/>
    <w:rsid w:val="00A3564C"/>
    <w:rsid w:val="00A361AA"/>
    <w:rsid w:val="00A364A4"/>
    <w:rsid w:val="00A369EA"/>
    <w:rsid w:val="00A377E2"/>
    <w:rsid w:val="00A37813"/>
    <w:rsid w:val="00A37BCE"/>
    <w:rsid w:val="00A37C54"/>
    <w:rsid w:val="00A40149"/>
    <w:rsid w:val="00A4043D"/>
    <w:rsid w:val="00A404BD"/>
    <w:rsid w:val="00A406F3"/>
    <w:rsid w:val="00A407EA"/>
    <w:rsid w:val="00A40CD1"/>
    <w:rsid w:val="00A40E27"/>
    <w:rsid w:val="00A41C00"/>
    <w:rsid w:val="00A41D13"/>
    <w:rsid w:val="00A42150"/>
    <w:rsid w:val="00A42A7C"/>
    <w:rsid w:val="00A42DAE"/>
    <w:rsid w:val="00A42DF3"/>
    <w:rsid w:val="00A43BCD"/>
    <w:rsid w:val="00A43F5B"/>
    <w:rsid w:val="00A4456A"/>
    <w:rsid w:val="00A4470F"/>
    <w:rsid w:val="00A44CD9"/>
    <w:rsid w:val="00A44F31"/>
    <w:rsid w:val="00A453EC"/>
    <w:rsid w:val="00A459C4"/>
    <w:rsid w:val="00A466BD"/>
    <w:rsid w:val="00A46703"/>
    <w:rsid w:val="00A46B2F"/>
    <w:rsid w:val="00A46E9C"/>
    <w:rsid w:val="00A4717E"/>
    <w:rsid w:val="00A47CC9"/>
    <w:rsid w:val="00A5078E"/>
    <w:rsid w:val="00A50F36"/>
    <w:rsid w:val="00A51148"/>
    <w:rsid w:val="00A513C0"/>
    <w:rsid w:val="00A5159C"/>
    <w:rsid w:val="00A51820"/>
    <w:rsid w:val="00A52353"/>
    <w:rsid w:val="00A52530"/>
    <w:rsid w:val="00A5299C"/>
    <w:rsid w:val="00A52A0D"/>
    <w:rsid w:val="00A53562"/>
    <w:rsid w:val="00A53906"/>
    <w:rsid w:val="00A539B3"/>
    <w:rsid w:val="00A545A3"/>
    <w:rsid w:val="00A545EA"/>
    <w:rsid w:val="00A552D2"/>
    <w:rsid w:val="00A553DE"/>
    <w:rsid w:val="00A56426"/>
    <w:rsid w:val="00A567AC"/>
    <w:rsid w:val="00A57151"/>
    <w:rsid w:val="00A571C0"/>
    <w:rsid w:val="00A57BE3"/>
    <w:rsid w:val="00A600FB"/>
    <w:rsid w:val="00A607F3"/>
    <w:rsid w:val="00A61152"/>
    <w:rsid w:val="00A61AA5"/>
    <w:rsid w:val="00A6202E"/>
    <w:rsid w:val="00A623DC"/>
    <w:rsid w:val="00A62F43"/>
    <w:rsid w:val="00A62FC9"/>
    <w:rsid w:val="00A63038"/>
    <w:rsid w:val="00A63051"/>
    <w:rsid w:val="00A635B6"/>
    <w:rsid w:val="00A63CB6"/>
    <w:rsid w:val="00A643D8"/>
    <w:rsid w:val="00A647DB"/>
    <w:rsid w:val="00A64948"/>
    <w:rsid w:val="00A64DCF"/>
    <w:rsid w:val="00A64FE7"/>
    <w:rsid w:val="00A65B73"/>
    <w:rsid w:val="00A66257"/>
    <w:rsid w:val="00A6662C"/>
    <w:rsid w:val="00A67326"/>
    <w:rsid w:val="00A677A6"/>
    <w:rsid w:val="00A67910"/>
    <w:rsid w:val="00A67AF2"/>
    <w:rsid w:val="00A67B88"/>
    <w:rsid w:val="00A67C46"/>
    <w:rsid w:val="00A67D78"/>
    <w:rsid w:val="00A70508"/>
    <w:rsid w:val="00A70A7B"/>
    <w:rsid w:val="00A71231"/>
    <w:rsid w:val="00A71F01"/>
    <w:rsid w:val="00A7363C"/>
    <w:rsid w:val="00A74748"/>
    <w:rsid w:val="00A747ED"/>
    <w:rsid w:val="00A7535B"/>
    <w:rsid w:val="00A75D97"/>
    <w:rsid w:val="00A76A9D"/>
    <w:rsid w:val="00A76C27"/>
    <w:rsid w:val="00A770EA"/>
    <w:rsid w:val="00A77773"/>
    <w:rsid w:val="00A77837"/>
    <w:rsid w:val="00A77B06"/>
    <w:rsid w:val="00A801C5"/>
    <w:rsid w:val="00A80341"/>
    <w:rsid w:val="00A810AB"/>
    <w:rsid w:val="00A82567"/>
    <w:rsid w:val="00A8262B"/>
    <w:rsid w:val="00A82CF9"/>
    <w:rsid w:val="00A8378F"/>
    <w:rsid w:val="00A83889"/>
    <w:rsid w:val="00A83976"/>
    <w:rsid w:val="00A83C58"/>
    <w:rsid w:val="00A83D36"/>
    <w:rsid w:val="00A83EF8"/>
    <w:rsid w:val="00A844E8"/>
    <w:rsid w:val="00A84E80"/>
    <w:rsid w:val="00A85449"/>
    <w:rsid w:val="00A85849"/>
    <w:rsid w:val="00A86023"/>
    <w:rsid w:val="00A87AFE"/>
    <w:rsid w:val="00A87FE6"/>
    <w:rsid w:val="00A908F8"/>
    <w:rsid w:val="00A910D0"/>
    <w:rsid w:val="00A9152F"/>
    <w:rsid w:val="00A91C69"/>
    <w:rsid w:val="00A923C0"/>
    <w:rsid w:val="00A92D5B"/>
    <w:rsid w:val="00A9322A"/>
    <w:rsid w:val="00A93B38"/>
    <w:rsid w:val="00A93F3D"/>
    <w:rsid w:val="00A943B6"/>
    <w:rsid w:val="00A9669B"/>
    <w:rsid w:val="00A96CF4"/>
    <w:rsid w:val="00A96D56"/>
    <w:rsid w:val="00A96E6D"/>
    <w:rsid w:val="00A96ECC"/>
    <w:rsid w:val="00A97338"/>
    <w:rsid w:val="00A973AD"/>
    <w:rsid w:val="00A97628"/>
    <w:rsid w:val="00A97B20"/>
    <w:rsid w:val="00AA01EA"/>
    <w:rsid w:val="00AA0564"/>
    <w:rsid w:val="00AA067E"/>
    <w:rsid w:val="00AA070E"/>
    <w:rsid w:val="00AA0A21"/>
    <w:rsid w:val="00AA0A83"/>
    <w:rsid w:val="00AA10E6"/>
    <w:rsid w:val="00AA139D"/>
    <w:rsid w:val="00AA1976"/>
    <w:rsid w:val="00AA1DB7"/>
    <w:rsid w:val="00AA218C"/>
    <w:rsid w:val="00AA374E"/>
    <w:rsid w:val="00AA3A93"/>
    <w:rsid w:val="00AA4A0F"/>
    <w:rsid w:val="00AA504A"/>
    <w:rsid w:val="00AA5537"/>
    <w:rsid w:val="00AA571F"/>
    <w:rsid w:val="00AA5730"/>
    <w:rsid w:val="00AA5F28"/>
    <w:rsid w:val="00AA67E4"/>
    <w:rsid w:val="00AA6A7C"/>
    <w:rsid w:val="00AA6E31"/>
    <w:rsid w:val="00AA7631"/>
    <w:rsid w:val="00AA77D6"/>
    <w:rsid w:val="00AA782C"/>
    <w:rsid w:val="00AB0A75"/>
    <w:rsid w:val="00AB0B2D"/>
    <w:rsid w:val="00AB0BFD"/>
    <w:rsid w:val="00AB0FC1"/>
    <w:rsid w:val="00AB1108"/>
    <w:rsid w:val="00AB125D"/>
    <w:rsid w:val="00AB15B4"/>
    <w:rsid w:val="00AB160E"/>
    <w:rsid w:val="00AB1814"/>
    <w:rsid w:val="00AB24D3"/>
    <w:rsid w:val="00AB252D"/>
    <w:rsid w:val="00AB2B46"/>
    <w:rsid w:val="00AB43E2"/>
    <w:rsid w:val="00AB47A5"/>
    <w:rsid w:val="00AB4FAC"/>
    <w:rsid w:val="00AB5B0D"/>
    <w:rsid w:val="00AB5B28"/>
    <w:rsid w:val="00AB5BC3"/>
    <w:rsid w:val="00AB5F2A"/>
    <w:rsid w:val="00AB5F9C"/>
    <w:rsid w:val="00AB64D3"/>
    <w:rsid w:val="00AB6847"/>
    <w:rsid w:val="00AB6A25"/>
    <w:rsid w:val="00AB6AD7"/>
    <w:rsid w:val="00AB6DCF"/>
    <w:rsid w:val="00AB6FDB"/>
    <w:rsid w:val="00AB71D4"/>
    <w:rsid w:val="00AB7568"/>
    <w:rsid w:val="00AB77ED"/>
    <w:rsid w:val="00AB7A40"/>
    <w:rsid w:val="00AC06A6"/>
    <w:rsid w:val="00AC07A2"/>
    <w:rsid w:val="00AC08EB"/>
    <w:rsid w:val="00AC0A61"/>
    <w:rsid w:val="00AC0BCF"/>
    <w:rsid w:val="00AC0F97"/>
    <w:rsid w:val="00AC137A"/>
    <w:rsid w:val="00AC1FA6"/>
    <w:rsid w:val="00AC208A"/>
    <w:rsid w:val="00AC259C"/>
    <w:rsid w:val="00AC2A10"/>
    <w:rsid w:val="00AC2AAE"/>
    <w:rsid w:val="00AC2D8C"/>
    <w:rsid w:val="00AC2E40"/>
    <w:rsid w:val="00AC2FA3"/>
    <w:rsid w:val="00AC4AFF"/>
    <w:rsid w:val="00AC4B46"/>
    <w:rsid w:val="00AC5090"/>
    <w:rsid w:val="00AC5A8D"/>
    <w:rsid w:val="00AC5AAE"/>
    <w:rsid w:val="00AC62CC"/>
    <w:rsid w:val="00AC66A6"/>
    <w:rsid w:val="00AC6A65"/>
    <w:rsid w:val="00AC6D79"/>
    <w:rsid w:val="00AC725F"/>
    <w:rsid w:val="00AC7BE3"/>
    <w:rsid w:val="00AC7C62"/>
    <w:rsid w:val="00AC7D80"/>
    <w:rsid w:val="00AD09A4"/>
    <w:rsid w:val="00AD12A9"/>
    <w:rsid w:val="00AD1602"/>
    <w:rsid w:val="00AD24E7"/>
    <w:rsid w:val="00AD2A64"/>
    <w:rsid w:val="00AD2BE8"/>
    <w:rsid w:val="00AD35EF"/>
    <w:rsid w:val="00AD3D8D"/>
    <w:rsid w:val="00AD429A"/>
    <w:rsid w:val="00AD590F"/>
    <w:rsid w:val="00AD5A4C"/>
    <w:rsid w:val="00AD5FE4"/>
    <w:rsid w:val="00AD62B9"/>
    <w:rsid w:val="00AD6656"/>
    <w:rsid w:val="00AD665F"/>
    <w:rsid w:val="00AD67F8"/>
    <w:rsid w:val="00AD6B7E"/>
    <w:rsid w:val="00AD707F"/>
    <w:rsid w:val="00AD7092"/>
    <w:rsid w:val="00AD7DF3"/>
    <w:rsid w:val="00AE042B"/>
    <w:rsid w:val="00AE0995"/>
    <w:rsid w:val="00AE0996"/>
    <w:rsid w:val="00AE193F"/>
    <w:rsid w:val="00AE1986"/>
    <w:rsid w:val="00AE19ED"/>
    <w:rsid w:val="00AE2431"/>
    <w:rsid w:val="00AE264C"/>
    <w:rsid w:val="00AE2C83"/>
    <w:rsid w:val="00AE3AAA"/>
    <w:rsid w:val="00AE5941"/>
    <w:rsid w:val="00AE5B7F"/>
    <w:rsid w:val="00AE67FD"/>
    <w:rsid w:val="00AE6C95"/>
    <w:rsid w:val="00AE707D"/>
    <w:rsid w:val="00AE7D03"/>
    <w:rsid w:val="00AF05C7"/>
    <w:rsid w:val="00AF05D1"/>
    <w:rsid w:val="00AF1173"/>
    <w:rsid w:val="00AF12CD"/>
    <w:rsid w:val="00AF13AE"/>
    <w:rsid w:val="00AF1A95"/>
    <w:rsid w:val="00AF1CB7"/>
    <w:rsid w:val="00AF2ABE"/>
    <w:rsid w:val="00AF2C1F"/>
    <w:rsid w:val="00AF2C74"/>
    <w:rsid w:val="00AF326C"/>
    <w:rsid w:val="00AF33E3"/>
    <w:rsid w:val="00AF48CA"/>
    <w:rsid w:val="00AF4963"/>
    <w:rsid w:val="00AF508E"/>
    <w:rsid w:val="00AF50F1"/>
    <w:rsid w:val="00AF5603"/>
    <w:rsid w:val="00AF5B8D"/>
    <w:rsid w:val="00AF68EE"/>
    <w:rsid w:val="00AF752B"/>
    <w:rsid w:val="00AF76BB"/>
    <w:rsid w:val="00B00235"/>
    <w:rsid w:val="00B00564"/>
    <w:rsid w:val="00B00862"/>
    <w:rsid w:val="00B013CC"/>
    <w:rsid w:val="00B01846"/>
    <w:rsid w:val="00B01C49"/>
    <w:rsid w:val="00B023BC"/>
    <w:rsid w:val="00B028FD"/>
    <w:rsid w:val="00B0385E"/>
    <w:rsid w:val="00B03C30"/>
    <w:rsid w:val="00B04513"/>
    <w:rsid w:val="00B045A4"/>
    <w:rsid w:val="00B04F56"/>
    <w:rsid w:val="00B05460"/>
    <w:rsid w:val="00B05C22"/>
    <w:rsid w:val="00B062FD"/>
    <w:rsid w:val="00B065F0"/>
    <w:rsid w:val="00B06842"/>
    <w:rsid w:val="00B06DFE"/>
    <w:rsid w:val="00B07B31"/>
    <w:rsid w:val="00B10243"/>
    <w:rsid w:val="00B10255"/>
    <w:rsid w:val="00B1089B"/>
    <w:rsid w:val="00B10C82"/>
    <w:rsid w:val="00B124EB"/>
    <w:rsid w:val="00B12538"/>
    <w:rsid w:val="00B127AD"/>
    <w:rsid w:val="00B13462"/>
    <w:rsid w:val="00B1379F"/>
    <w:rsid w:val="00B13843"/>
    <w:rsid w:val="00B142BD"/>
    <w:rsid w:val="00B146C6"/>
    <w:rsid w:val="00B14DE2"/>
    <w:rsid w:val="00B14E18"/>
    <w:rsid w:val="00B153F7"/>
    <w:rsid w:val="00B158EC"/>
    <w:rsid w:val="00B15D53"/>
    <w:rsid w:val="00B165AB"/>
    <w:rsid w:val="00B167F1"/>
    <w:rsid w:val="00B16922"/>
    <w:rsid w:val="00B16BF0"/>
    <w:rsid w:val="00B16BF6"/>
    <w:rsid w:val="00B17650"/>
    <w:rsid w:val="00B17960"/>
    <w:rsid w:val="00B17FB4"/>
    <w:rsid w:val="00B20909"/>
    <w:rsid w:val="00B209A5"/>
    <w:rsid w:val="00B20B41"/>
    <w:rsid w:val="00B215B8"/>
    <w:rsid w:val="00B218AA"/>
    <w:rsid w:val="00B21E09"/>
    <w:rsid w:val="00B223F1"/>
    <w:rsid w:val="00B22704"/>
    <w:rsid w:val="00B2284F"/>
    <w:rsid w:val="00B22B97"/>
    <w:rsid w:val="00B22EEC"/>
    <w:rsid w:val="00B2319C"/>
    <w:rsid w:val="00B2386C"/>
    <w:rsid w:val="00B23D06"/>
    <w:rsid w:val="00B24EFD"/>
    <w:rsid w:val="00B2513C"/>
    <w:rsid w:val="00B25347"/>
    <w:rsid w:val="00B2572E"/>
    <w:rsid w:val="00B258CC"/>
    <w:rsid w:val="00B25926"/>
    <w:rsid w:val="00B25934"/>
    <w:rsid w:val="00B259AB"/>
    <w:rsid w:val="00B25A9A"/>
    <w:rsid w:val="00B25E4F"/>
    <w:rsid w:val="00B2621C"/>
    <w:rsid w:val="00B26568"/>
    <w:rsid w:val="00B26577"/>
    <w:rsid w:val="00B26771"/>
    <w:rsid w:val="00B2739B"/>
    <w:rsid w:val="00B30626"/>
    <w:rsid w:val="00B30638"/>
    <w:rsid w:val="00B308C1"/>
    <w:rsid w:val="00B30AA6"/>
    <w:rsid w:val="00B312E0"/>
    <w:rsid w:val="00B318D8"/>
    <w:rsid w:val="00B321F0"/>
    <w:rsid w:val="00B3258C"/>
    <w:rsid w:val="00B32E90"/>
    <w:rsid w:val="00B33B85"/>
    <w:rsid w:val="00B34B82"/>
    <w:rsid w:val="00B35101"/>
    <w:rsid w:val="00B352F1"/>
    <w:rsid w:val="00B356E0"/>
    <w:rsid w:val="00B3595F"/>
    <w:rsid w:val="00B35FC0"/>
    <w:rsid w:val="00B36339"/>
    <w:rsid w:val="00B368D0"/>
    <w:rsid w:val="00B36DC6"/>
    <w:rsid w:val="00B36F48"/>
    <w:rsid w:val="00B37042"/>
    <w:rsid w:val="00B3747D"/>
    <w:rsid w:val="00B37B27"/>
    <w:rsid w:val="00B417C0"/>
    <w:rsid w:val="00B41B79"/>
    <w:rsid w:val="00B41F10"/>
    <w:rsid w:val="00B42132"/>
    <w:rsid w:val="00B4249C"/>
    <w:rsid w:val="00B42616"/>
    <w:rsid w:val="00B42C17"/>
    <w:rsid w:val="00B42C19"/>
    <w:rsid w:val="00B4344B"/>
    <w:rsid w:val="00B434E5"/>
    <w:rsid w:val="00B43C64"/>
    <w:rsid w:val="00B4473F"/>
    <w:rsid w:val="00B44C53"/>
    <w:rsid w:val="00B456E2"/>
    <w:rsid w:val="00B456F4"/>
    <w:rsid w:val="00B46596"/>
    <w:rsid w:val="00B46F87"/>
    <w:rsid w:val="00B4798C"/>
    <w:rsid w:val="00B47AAD"/>
    <w:rsid w:val="00B47AE7"/>
    <w:rsid w:val="00B5074D"/>
    <w:rsid w:val="00B50B42"/>
    <w:rsid w:val="00B514B7"/>
    <w:rsid w:val="00B51B0D"/>
    <w:rsid w:val="00B521DE"/>
    <w:rsid w:val="00B524E8"/>
    <w:rsid w:val="00B52621"/>
    <w:rsid w:val="00B52B67"/>
    <w:rsid w:val="00B53691"/>
    <w:rsid w:val="00B53961"/>
    <w:rsid w:val="00B53C4C"/>
    <w:rsid w:val="00B53D6E"/>
    <w:rsid w:val="00B54814"/>
    <w:rsid w:val="00B551D0"/>
    <w:rsid w:val="00B5551C"/>
    <w:rsid w:val="00B560FC"/>
    <w:rsid w:val="00B569FB"/>
    <w:rsid w:val="00B56A05"/>
    <w:rsid w:val="00B57839"/>
    <w:rsid w:val="00B57C22"/>
    <w:rsid w:val="00B60375"/>
    <w:rsid w:val="00B60A26"/>
    <w:rsid w:val="00B60AA3"/>
    <w:rsid w:val="00B611E3"/>
    <w:rsid w:val="00B61233"/>
    <w:rsid w:val="00B619D7"/>
    <w:rsid w:val="00B6213B"/>
    <w:rsid w:val="00B622E6"/>
    <w:rsid w:val="00B62542"/>
    <w:rsid w:val="00B62635"/>
    <w:rsid w:val="00B62B02"/>
    <w:rsid w:val="00B6383F"/>
    <w:rsid w:val="00B638D9"/>
    <w:rsid w:val="00B63951"/>
    <w:rsid w:val="00B63B09"/>
    <w:rsid w:val="00B63EA8"/>
    <w:rsid w:val="00B643B6"/>
    <w:rsid w:val="00B645B6"/>
    <w:rsid w:val="00B646C6"/>
    <w:rsid w:val="00B648E0"/>
    <w:rsid w:val="00B64BBC"/>
    <w:rsid w:val="00B65361"/>
    <w:rsid w:val="00B6540B"/>
    <w:rsid w:val="00B6564D"/>
    <w:rsid w:val="00B659E0"/>
    <w:rsid w:val="00B65B6F"/>
    <w:rsid w:val="00B65C24"/>
    <w:rsid w:val="00B663D4"/>
    <w:rsid w:val="00B66724"/>
    <w:rsid w:val="00B66725"/>
    <w:rsid w:val="00B66748"/>
    <w:rsid w:val="00B66AC5"/>
    <w:rsid w:val="00B673C0"/>
    <w:rsid w:val="00B703A1"/>
    <w:rsid w:val="00B70635"/>
    <w:rsid w:val="00B717D5"/>
    <w:rsid w:val="00B723D4"/>
    <w:rsid w:val="00B730D4"/>
    <w:rsid w:val="00B731A4"/>
    <w:rsid w:val="00B73989"/>
    <w:rsid w:val="00B750D0"/>
    <w:rsid w:val="00B75136"/>
    <w:rsid w:val="00B75AC5"/>
    <w:rsid w:val="00B75E56"/>
    <w:rsid w:val="00B8005D"/>
    <w:rsid w:val="00B80116"/>
    <w:rsid w:val="00B802E9"/>
    <w:rsid w:val="00B80ABC"/>
    <w:rsid w:val="00B812B2"/>
    <w:rsid w:val="00B817F0"/>
    <w:rsid w:val="00B82C79"/>
    <w:rsid w:val="00B83532"/>
    <w:rsid w:val="00B83554"/>
    <w:rsid w:val="00B838B0"/>
    <w:rsid w:val="00B83CCF"/>
    <w:rsid w:val="00B84862"/>
    <w:rsid w:val="00B8551B"/>
    <w:rsid w:val="00B85A13"/>
    <w:rsid w:val="00B86974"/>
    <w:rsid w:val="00B86B8F"/>
    <w:rsid w:val="00B87A79"/>
    <w:rsid w:val="00B9024D"/>
    <w:rsid w:val="00B906DB"/>
    <w:rsid w:val="00B9106F"/>
    <w:rsid w:val="00B916D7"/>
    <w:rsid w:val="00B916DC"/>
    <w:rsid w:val="00B91C87"/>
    <w:rsid w:val="00B91F45"/>
    <w:rsid w:val="00B927F4"/>
    <w:rsid w:val="00B92D4B"/>
    <w:rsid w:val="00B930C2"/>
    <w:rsid w:val="00B936E2"/>
    <w:rsid w:val="00B93C4A"/>
    <w:rsid w:val="00B93FBF"/>
    <w:rsid w:val="00B94441"/>
    <w:rsid w:val="00B94905"/>
    <w:rsid w:val="00B94C7B"/>
    <w:rsid w:val="00B94CC3"/>
    <w:rsid w:val="00B94DE8"/>
    <w:rsid w:val="00B95117"/>
    <w:rsid w:val="00B95C9D"/>
    <w:rsid w:val="00B96D5C"/>
    <w:rsid w:val="00B96E06"/>
    <w:rsid w:val="00B97278"/>
    <w:rsid w:val="00B97374"/>
    <w:rsid w:val="00BA0384"/>
    <w:rsid w:val="00BA0420"/>
    <w:rsid w:val="00BA11BF"/>
    <w:rsid w:val="00BA1F9E"/>
    <w:rsid w:val="00BA2278"/>
    <w:rsid w:val="00BA25ED"/>
    <w:rsid w:val="00BA29FC"/>
    <w:rsid w:val="00BA2E57"/>
    <w:rsid w:val="00BA32EA"/>
    <w:rsid w:val="00BA3456"/>
    <w:rsid w:val="00BA543E"/>
    <w:rsid w:val="00BA59CC"/>
    <w:rsid w:val="00BA5FAD"/>
    <w:rsid w:val="00BA600E"/>
    <w:rsid w:val="00BA6AD4"/>
    <w:rsid w:val="00BA6BAF"/>
    <w:rsid w:val="00BA6CA0"/>
    <w:rsid w:val="00BA7947"/>
    <w:rsid w:val="00BB00E1"/>
    <w:rsid w:val="00BB05D2"/>
    <w:rsid w:val="00BB0611"/>
    <w:rsid w:val="00BB0853"/>
    <w:rsid w:val="00BB0890"/>
    <w:rsid w:val="00BB0EA9"/>
    <w:rsid w:val="00BB1EAE"/>
    <w:rsid w:val="00BB1F32"/>
    <w:rsid w:val="00BB3642"/>
    <w:rsid w:val="00BB4098"/>
    <w:rsid w:val="00BB40FD"/>
    <w:rsid w:val="00BB494E"/>
    <w:rsid w:val="00BB4B5F"/>
    <w:rsid w:val="00BB4DC3"/>
    <w:rsid w:val="00BB5755"/>
    <w:rsid w:val="00BB5E56"/>
    <w:rsid w:val="00BB6472"/>
    <w:rsid w:val="00BB6846"/>
    <w:rsid w:val="00BB68B9"/>
    <w:rsid w:val="00BB74C1"/>
    <w:rsid w:val="00BB786E"/>
    <w:rsid w:val="00BB7992"/>
    <w:rsid w:val="00BB7AAE"/>
    <w:rsid w:val="00BC0234"/>
    <w:rsid w:val="00BC0BF6"/>
    <w:rsid w:val="00BC0D15"/>
    <w:rsid w:val="00BC2054"/>
    <w:rsid w:val="00BC2124"/>
    <w:rsid w:val="00BC2608"/>
    <w:rsid w:val="00BC274B"/>
    <w:rsid w:val="00BC2839"/>
    <w:rsid w:val="00BC2B8F"/>
    <w:rsid w:val="00BC364D"/>
    <w:rsid w:val="00BC3713"/>
    <w:rsid w:val="00BC3F24"/>
    <w:rsid w:val="00BC43EF"/>
    <w:rsid w:val="00BC597D"/>
    <w:rsid w:val="00BC5D45"/>
    <w:rsid w:val="00BC797F"/>
    <w:rsid w:val="00BC7C62"/>
    <w:rsid w:val="00BD0234"/>
    <w:rsid w:val="00BD08AC"/>
    <w:rsid w:val="00BD0C64"/>
    <w:rsid w:val="00BD10BE"/>
    <w:rsid w:val="00BD14B0"/>
    <w:rsid w:val="00BD22FF"/>
    <w:rsid w:val="00BD239B"/>
    <w:rsid w:val="00BD26A7"/>
    <w:rsid w:val="00BD2AE2"/>
    <w:rsid w:val="00BD2D99"/>
    <w:rsid w:val="00BD3047"/>
    <w:rsid w:val="00BD3667"/>
    <w:rsid w:val="00BD3CC1"/>
    <w:rsid w:val="00BD3D0A"/>
    <w:rsid w:val="00BD461C"/>
    <w:rsid w:val="00BD508A"/>
    <w:rsid w:val="00BD50D9"/>
    <w:rsid w:val="00BD5138"/>
    <w:rsid w:val="00BD62A1"/>
    <w:rsid w:val="00BD7006"/>
    <w:rsid w:val="00BD71D2"/>
    <w:rsid w:val="00BD7E2E"/>
    <w:rsid w:val="00BE0EEA"/>
    <w:rsid w:val="00BE10E7"/>
    <w:rsid w:val="00BE1728"/>
    <w:rsid w:val="00BE18BC"/>
    <w:rsid w:val="00BE1BF0"/>
    <w:rsid w:val="00BE28EC"/>
    <w:rsid w:val="00BE2E57"/>
    <w:rsid w:val="00BE358A"/>
    <w:rsid w:val="00BE394D"/>
    <w:rsid w:val="00BE4C0A"/>
    <w:rsid w:val="00BE5612"/>
    <w:rsid w:val="00BE56B2"/>
    <w:rsid w:val="00BE5B8B"/>
    <w:rsid w:val="00BE5BD9"/>
    <w:rsid w:val="00BE5EC9"/>
    <w:rsid w:val="00BE656E"/>
    <w:rsid w:val="00BE67BE"/>
    <w:rsid w:val="00BE6958"/>
    <w:rsid w:val="00BE6BB0"/>
    <w:rsid w:val="00BE6DC6"/>
    <w:rsid w:val="00BE6F2A"/>
    <w:rsid w:val="00BE6F3E"/>
    <w:rsid w:val="00BE7BC4"/>
    <w:rsid w:val="00BF0527"/>
    <w:rsid w:val="00BF08D9"/>
    <w:rsid w:val="00BF13E7"/>
    <w:rsid w:val="00BF1621"/>
    <w:rsid w:val="00BF3152"/>
    <w:rsid w:val="00BF388E"/>
    <w:rsid w:val="00BF39BB"/>
    <w:rsid w:val="00BF402E"/>
    <w:rsid w:val="00BF4774"/>
    <w:rsid w:val="00BF4A78"/>
    <w:rsid w:val="00BF4AC5"/>
    <w:rsid w:val="00BF4E58"/>
    <w:rsid w:val="00BF515E"/>
    <w:rsid w:val="00BF536E"/>
    <w:rsid w:val="00BF5BAE"/>
    <w:rsid w:val="00BF5EAF"/>
    <w:rsid w:val="00BF5F62"/>
    <w:rsid w:val="00BF5F9B"/>
    <w:rsid w:val="00BF6835"/>
    <w:rsid w:val="00BF70C2"/>
    <w:rsid w:val="00BF7B5F"/>
    <w:rsid w:val="00BF7E04"/>
    <w:rsid w:val="00BF7F1B"/>
    <w:rsid w:val="00C008C8"/>
    <w:rsid w:val="00C00C40"/>
    <w:rsid w:val="00C00D26"/>
    <w:rsid w:val="00C00FA2"/>
    <w:rsid w:val="00C01461"/>
    <w:rsid w:val="00C01482"/>
    <w:rsid w:val="00C01DFD"/>
    <w:rsid w:val="00C027D4"/>
    <w:rsid w:val="00C02A8C"/>
    <w:rsid w:val="00C03430"/>
    <w:rsid w:val="00C03712"/>
    <w:rsid w:val="00C03934"/>
    <w:rsid w:val="00C039F7"/>
    <w:rsid w:val="00C03AA2"/>
    <w:rsid w:val="00C03C52"/>
    <w:rsid w:val="00C04277"/>
    <w:rsid w:val="00C04A86"/>
    <w:rsid w:val="00C0501A"/>
    <w:rsid w:val="00C051F5"/>
    <w:rsid w:val="00C05763"/>
    <w:rsid w:val="00C05A94"/>
    <w:rsid w:val="00C05EAF"/>
    <w:rsid w:val="00C06267"/>
    <w:rsid w:val="00C06676"/>
    <w:rsid w:val="00C06DCD"/>
    <w:rsid w:val="00C07080"/>
    <w:rsid w:val="00C072FA"/>
    <w:rsid w:val="00C075FE"/>
    <w:rsid w:val="00C1043E"/>
    <w:rsid w:val="00C10939"/>
    <w:rsid w:val="00C10BEE"/>
    <w:rsid w:val="00C10D61"/>
    <w:rsid w:val="00C11E46"/>
    <w:rsid w:val="00C12247"/>
    <w:rsid w:val="00C122CA"/>
    <w:rsid w:val="00C128C6"/>
    <w:rsid w:val="00C12BD2"/>
    <w:rsid w:val="00C130D3"/>
    <w:rsid w:val="00C13599"/>
    <w:rsid w:val="00C139A5"/>
    <w:rsid w:val="00C13D45"/>
    <w:rsid w:val="00C14662"/>
    <w:rsid w:val="00C1541A"/>
    <w:rsid w:val="00C15F2F"/>
    <w:rsid w:val="00C1670E"/>
    <w:rsid w:val="00C16825"/>
    <w:rsid w:val="00C16B97"/>
    <w:rsid w:val="00C179E5"/>
    <w:rsid w:val="00C17A33"/>
    <w:rsid w:val="00C17D6C"/>
    <w:rsid w:val="00C17D83"/>
    <w:rsid w:val="00C2090B"/>
    <w:rsid w:val="00C20AE0"/>
    <w:rsid w:val="00C20BB7"/>
    <w:rsid w:val="00C20BD3"/>
    <w:rsid w:val="00C21902"/>
    <w:rsid w:val="00C21DF8"/>
    <w:rsid w:val="00C224FE"/>
    <w:rsid w:val="00C23C23"/>
    <w:rsid w:val="00C245E8"/>
    <w:rsid w:val="00C2487C"/>
    <w:rsid w:val="00C24A9A"/>
    <w:rsid w:val="00C24FDF"/>
    <w:rsid w:val="00C2541F"/>
    <w:rsid w:val="00C25AD7"/>
    <w:rsid w:val="00C25D8C"/>
    <w:rsid w:val="00C26286"/>
    <w:rsid w:val="00C26E9E"/>
    <w:rsid w:val="00C27661"/>
    <w:rsid w:val="00C304F2"/>
    <w:rsid w:val="00C30E46"/>
    <w:rsid w:val="00C3131B"/>
    <w:rsid w:val="00C320AF"/>
    <w:rsid w:val="00C326FA"/>
    <w:rsid w:val="00C32913"/>
    <w:rsid w:val="00C32960"/>
    <w:rsid w:val="00C32CF2"/>
    <w:rsid w:val="00C332BF"/>
    <w:rsid w:val="00C33479"/>
    <w:rsid w:val="00C33C04"/>
    <w:rsid w:val="00C33EB7"/>
    <w:rsid w:val="00C3479D"/>
    <w:rsid w:val="00C34D96"/>
    <w:rsid w:val="00C34E9F"/>
    <w:rsid w:val="00C360F3"/>
    <w:rsid w:val="00C36235"/>
    <w:rsid w:val="00C36ABC"/>
    <w:rsid w:val="00C37104"/>
    <w:rsid w:val="00C3750B"/>
    <w:rsid w:val="00C377E0"/>
    <w:rsid w:val="00C406C3"/>
    <w:rsid w:val="00C40B5E"/>
    <w:rsid w:val="00C40C98"/>
    <w:rsid w:val="00C4127D"/>
    <w:rsid w:val="00C41515"/>
    <w:rsid w:val="00C41DE7"/>
    <w:rsid w:val="00C42529"/>
    <w:rsid w:val="00C42951"/>
    <w:rsid w:val="00C438B0"/>
    <w:rsid w:val="00C43BA9"/>
    <w:rsid w:val="00C44C7D"/>
    <w:rsid w:val="00C4551F"/>
    <w:rsid w:val="00C457A0"/>
    <w:rsid w:val="00C45BA8"/>
    <w:rsid w:val="00C465F4"/>
    <w:rsid w:val="00C4674F"/>
    <w:rsid w:val="00C47703"/>
    <w:rsid w:val="00C47CA7"/>
    <w:rsid w:val="00C5002C"/>
    <w:rsid w:val="00C5098F"/>
    <w:rsid w:val="00C50B9F"/>
    <w:rsid w:val="00C50ECA"/>
    <w:rsid w:val="00C512AE"/>
    <w:rsid w:val="00C518A3"/>
    <w:rsid w:val="00C525C6"/>
    <w:rsid w:val="00C526DA"/>
    <w:rsid w:val="00C526F8"/>
    <w:rsid w:val="00C52788"/>
    <w:rsid w:val="00C53036"/>
    <w:rsid w:val="00C53C1C"/>
    <w:rsid w:val="00C541AC"/>
    <w:rsid w:val="00C54C4B"/>
    <w:rsid w:val="00C54E4B"/>
    <w:rsid w:val="00C5505C"/>
    <w:rsid w:val="00C5676B"/>
    <w:rsid w:val="00C56EC7"/>
    <w:rsid w:val="00C57316"/>
    <w:rsid w:val="00C57CF0"/>
    <w:rsid w:val="00C6034B"/>
    <w:rsid w:val="00C612FC"/>
    <w:rsid w:val="00C6226A"/>
    <w:rsid w:val="00C623E4"/>
    <w:rsid w:val="00C6346D"/>
    <w:rsid w:val="00C63F16"/>
    <w:rsid w:val="00C64358"/>
    <w:rsid w:val="00C64BC8"/>
    <w:rsid w:val="00C6507E"/>
    <w:rsid w:val="00C668F1"/>
    <w:rsid w:val="00C669D5"/>
    <w:rsid w:val="00C66DD9"/>
    <w:rsid w:val="00C66E6E"/>
    <w:rsid w:val="00C67215"/>
    <w:rsid w:val="00C67E77"/>
    <w:rsid w:val="00C7020E"/>
    <w:rsid w:val="00C7097B"/>
    <w:rsid w:val="00C709E1"/>
    <w:rsid w:val="00C70B63"/>
    <w:rsid w:val="00C70C06"/>
    <w:rsid w:val="00C70D67"/>
    <w:rsid w:val="00C70FB2"/>
    <w:rsid w:val="00C7274A"/>
    <w:rsid w:val="00C72940"/>
    <w:rsid w:val="00C73245"/>
    <w:rsid w:val="00C737AB"/>
    <w:rsid w:val="00C73BD4"/>
    <w:rsid w:val="00C741D6"/>
    <w:rsid w:val="00C7434F"/>
    <w:rsid w:val="00C74415"/>
    <w:rsid w:val="00C749DC"/>
    <w:rsid w:val="00C74D98"/>
    <w:rsid w:val="00C74E10"/>
    <w:rsid w:val="00C75670"/>
    <w:rsid w:val="00C75FA0"/>
    <w:rsid w:val="00C76AAD"/>
    <w:rsid w:val="00C76C3F"/>
    <w:rsid w:val="00C77BAD"/>
    <w:rsid w:val="00C801C8"/>
    <w:rsid w:val="00C80266"/>
    <w:rsid w:val="00C803A0"/>
    <w:rsid w:val="00C8041A"/>
    <w:rsid w:val="00C80BEC"/>
    <w:rsid w:val="00C816C1"/>
    <w:rsid w:val="00C817CE"/>
    <w:rsid w:val="00C81960"/>
    <w:rsid w:val="00C81DC2"/>
    <w:rsid w:val="00C82560"/>
    <w:rsid w:val="00C82AFC"/>
    <w:rsid w:val="00C83018"/>
    <w:rsid w:val="00C841A9"/>
    <w:rsid w:val="00C84F78"/>
    <w:rsid w:val="00C8535A"/>
    <w:rsid w:val="00C8604A"/>
    <w:rsid w:val="00C86241"/>
    <w:rsid w:val="00C86277"/>
    <w:rsid w:val="00C863AF"/>
    <w:rsid w:val="00C86442"/>
    <w:rsid w:val="00C867C8"/>
    <w:rsid w:val="00C8696E"/>
    <w:rsid w:val="00C86A82"/>
    <w:rsid w:val="00C86F53"/>
    <w:rsid w:val="00C87292"/>
    <w:rsid w:val="00C872E9"/>
    <w:rsid w:val="00C87356"/>
    <w:rsid w:val="00C8770C"/>
    <w:rsid w:val="00C87755"/>
    <w:rsid w:val="00C87A8B"/>
    <w:rsid w:val="00C87E71"/>
    <w:rsid w:val="00C90747"/>
    <w:rsid w:val="00C90DA6"/>
    <w:rsid w:val="00C9167B"/>
    <w:rsid w:val="00C91D44"/>
    <w:rsid w:val="00C91E8F"/>
    <w:rsid w:val="00C928C2"/>
    <w:rsid w:val="00C92944"/>
    <w:rsid w:val="00C92A42"/>
    <w:rsid w:val="00C92A5A"/>
    <w:rsid w:val="00C92DF9"/>
    <w:rsid w:val="00C9320A"/>
    <w:rsid w:val="00C9343E"/>
    <w:rsid w:val="00C9351A"/>
    <w:rsid w:val="00C9387D"/>
    <w:rsid w:val="00C93F11"/>
    <w:rsid w:val="00C9434E"/>
    <w:rsid w:val="00C943E3"/>
    <w:rsid w:val="00C9443F"/>
    <w:rsid w:val="00C949C9"/>
    <w:rsid w:val="00C9549D"/>
    <w:rsid w:val="00C961DB"/>
    <w:rsid w:val="00C9668E"/>
    <w:rsid w:val="00C96763"/>
    <w:rsid w:val="00C96E28"/>
    <w:rsid w:val="00C97C03"/>
    <w:rsid w:val="00C97C0D"/>
    <w:rsid w:val="00C97C5C"/>
    <w:rsid w:val="00CA0357"/>
    <w:rsid w:val="00CA037E"/>
    <w:rsid w:val="00CA0464"/>
    <w:rsid w:val="00CA049E"/>
    <w:rsid w:val="00CA05CC"/>
    <w:rsid w:val="00CA164E"/>
    <w:rsid w:val="00CA19EB"/>
    <w:rsid w:val="00CA1CD5"/>
    <w:rsid w:val="00CA1CFE"/>
    <w:rsid w:val="00CA1DEC"/>
    <w:rsid w:val="00CA2AAC"/>
    <w:rsid w:val="00CA2CAD"/>
    <w:rsid w:val="00CA2F78"/>
    <w:rsid w:val="00CA321F"/>
    <w:rsid w:val="00CA34EF"/>
    <w:rsid w:val="00CA39E1"/>
    <w:rsid w:val="00CA3A67"/>
    <w:rsid w:val="00CA44B1"/>
    <w:rsid w:val="00CA4B1F"/>
    <w:rsid w:val="00CA4C5E"/>
    <w:rsid w:val="00CA4E15"/>
    <w:rsid w:val="00CA5023"/>
    <w:rsid w:val="00CA5188"/>
    <w:rsid w:val="00CA51D4"/>
    <w:rsid w:val="00CA5435"/>
    <w:rsid w:val="00CA5451"/>
    <w:rsid w:val="00CA5571"/>
    <w:rsid w:val="00CA55CF"/>
    <w:rsid w:val="00CA578D"/>
    <w:rsid w:val="00CA5ACB"/>
    <w:rsid w:val="00CA5BC0"/>
    <w:rsid w:val="00CA608D"/>
    <w:rsid w:val="00CA61A1"/>
    <w:rsid w:val="00CA61A3"/>
    <w:rsid w:val="00CB0207"/>
    <w:rsid w:val="00CB07B9"/>
    <w:rsid w:val="00CB0CE4"/>
    <w:rsid w:val="00CB1442"/>
    <w:rsid w:val="00CB1B89"/>
    <w:rsid w:val="00CB20EE"/>
    <w:rsid w:val="00CB2645"/>
    <w:rsid w:val="00CB2734"/>
    <w:rsid w:val="00CB290D"/>
    <w:rsid w:val="00CB3E7F"/>
    <w:rsid w:val="00CB4517"/>
    <w:rsid w:val="00CB4BFE"/>
    <w:rsid w:val="00CB4E13"/>
    <w:rsid w:val="00CB6266"/>
    <w:rsid w:val="00CB6446"/>
    <w:rsid w:val="00CB6551"/>
    <w:rsid w:val="00CB663B"/>
    <w:rsid w:val="00CB671E"/>
    <w:rsid w:val="00CB6FDD"/>
    <w:rsid w:val="00CB74CF"/>
    <w:rsid w:val="00CB74E4"/>
    <w:rsid w:val="00CC04CF"/>
    <w:rsid w:val="00CC0A2D"/>
    <w:rsid w:val="00CC0B14"/>
    <w:rsid w:val="00CC0D0D"/>
    <w:rsid w:val="00CC0DB9"/>
    <w:rsid w:val="00CC0E60"/>
    <w:rsid w:val="00CC1937"/>
    <w:rsid w:val="00CC194A"/>
    <w:rsid w:val="00CC1DBA"/>
    <w:rsid w:val="00CC2E93"/>
    <w:rsid w:val="00CC3F18"/>
    <w:rsid w:val="00CC3F5E"/>
    <w:rsid w:val="00CC4041"/>
    <w:rsid w:val="00CC578A"/>
    <w:rsid w:val="00CC610E"/>
    <w:rsid w:val="00CC6416"/>
    <w:rsid w:val="00CC7055"/>
    <w:rsid w:val="00CC72F6"/>
    <w:rsid w:val="00CC73A0"/>
    <w:rsid w:val="00CC743E"/>
    <w:rsid w:val="00CC76AC"/>
    <w:rsid w:val="00CC7B99"/>
    <w:rsid w:val="00CC7D85"/>
    <w:rsid w:val="00CD08EB"/>
    <w:rsid w:val="00CD0A39"/>
    <w:rsid w:val="00CD13E6"/>
    <w:rsid w:val="00CD1424"/>
    <w:rsid w:val="00CD15B0"/>
    <w:rsid w:val="00CD1C40"/>
    <w:rsid w:val="00CD2129"/>
    <w:rsid w:val="00CD2145"/>
    <w:rsid w:val="00CD2B35"/>
    <w:rsid w:val="00CD2EF2"/>
    <w:rsid w:val="00CD3891"/>
    <w:rsid w:val="00CD3FA6"/>
    <w:rsid w:val="00CD4516"/>
    <w:rsid w:val="00CD4700"/>
    <w:rsid w:val="00CD53AB"/>
    <w:rsid w:val="00CD5F7C"/>
    <w:rsid w:val="00CD6279"/>
    <w:rsid w:val="00CD629D"/>
    <w:rsid w:val="00CD6879"/>
    <w:rsid w:val="00CD6B5B"/>
    <w:rsid w:val="00CD6BE7"/>
    <w:rsid w:val="00CD708E"/>
    <w:rsid w:val="00CD718B"/>
    <w:rsid w:val="00CD7774"/>
    <w:rsid w:val="00CD77FD"/>
    <w:rsid w:val="00CE050A"/>
    <w:rsid w:val="00CE1203"/>
    <w:rsid w:val="00CE12DC"/>
    <w:rsid w:val="00CE167A"/>
    <w:rsid w:val="00CE2DF6"/>
    <w:rsid w:val="00CE37D1"/>
    <w:rsid w:val="00CE3ACE"/>
    <w:rsid w:val="00CE4151"/>
    <w:rsid w:val="00CE436E"/>
    <w:rsid w:val="00CE489C"/>
    <w:rsid w:val="00CE4931"/>
    <w:rsid w:val="00CE525D"/>
    <w:rsid w:val="00CE5CD2"/>
    <w:rsid w:val="00CE5DB4"/>
    <w:rsid w:val="00CE605B"/>
    <w:rsid w:val="00CE6310"/>
    <w:rsid w:val="00CE6487"/>
    <w:rsid w:val="00CE6763"/>
    <w:rsid w:val="00CE73BE"/>
    <w:rsid w:val="00CE752B"/>
    <w:rsid w:val="00CE762B"/>
    <w:rsid w:val="00CE7F46"/>
    <w:rsid w:val="00CF0B43"/>
    <w:rsid w:val="00CF0BF0"/>
    <w:rsid w:val="00CF163A"/>
    <w:rsid w:val="00CF1DE9"/>
    <w:rsid w:val="00CF1EB6"/>
    <w:rsid w:val="00CF210A"/>
    <w:rsid w:val="00CF29E3"/>
    <w:rsid w:val="00CF2CC1"/>
    <w:rsid w:val="00CF30B3"/>
    <w:rsid w:val="00CF30FB"/>
    <w:rsid w:val="00CF346C"/>
    <w:rsid w:val="00CF34B7"/>
    <w:rsid w:val="00CF3CB4"/>
    <w:rsid w:val="00CF3CB8"/>
    <w:rsid w:val="00CF42CF"/>
    <w:rsid w:val="00CF4535"/>
    <w:rsid w:val="00CF49AC"/>
    <w:rsid w:val="00CF4CC0"/>
    <w:rsid w:val="00CF4EC1"/>
    <w:rsid w:val="00CF5017"/>
    <w:rsid w:val="00CF68B7"/>
    <w:rsid w:val="00CF6E26"/>
    <w:rsid w:val="00CF7443"/>
    <w:rsid w:val="00CF773C"/>
    <w:rsid w:val="00CF7F7E"/>
    <w:rsid w:val="00D000AA"/>
    <w:rsid w:val="00D00227"/>
    <w:rsid w:val="00D0025D"/>
    <w:rsid w:val="00D006A7"/>
    <w:rsid w:val="00D00AFC"/>
    <w:rsid w:val="00D0111E"/>
    <w:rsid w:val="00D02B26"/>
    <w:rsid w:val="00D02C2A"/>
    <w:rsid w:val="00D0377A"/>
    <w:rsid w:val="00D03C43"/>
    <w:rsid w:val="00D03E0C"/>
    <w:rsid w:val="00D03EF7"/>
    <w:rsid w:val="00D04247"/>
    <w:rsid w:val="00D04D1E"/>
    <w:rsid w:val="00D05349"/>
    <w:rsid w:val="00D058F6"/>
    <w:rsid w:val="00D059D7"/>
    <w:rsid w:val="00D05DDA"/>
    <w:rsid w:val="00D05E17"/>
    <w:rsid w:val="00D06098"/>
    <w:rsid w:val="00D06366"/>
    <w:rsid w:val="00D068A8"/>
    <w:rsid w:val="00D06AE5"/>
    <w:rsid w:val="00D06C35"/>
    <w:rsid w:val="00D06C4C"/>
    <w:rsid w:val="00D06FFE"/>
    <w:rsid w:val="00D07102"/>
    <w:rsid w:val="00D075E0"/>
    <w:rsid w:val="00D07933"/>
    <w:rsid w:val="00D1023D"/>
    <w:rsid w:val="00D10B03"/>
    <w:rsid w:val="00D10E2E"/>
    <w:rsid w:val="00D10E97"/>
    <w:rsid w:val="00D11414"/>
    <w:rsid w:val="00D115EF"/>
    <w:rsid w:val="00D11B98"/>
    <w:rsid w:val="00D12083"/>
    <w:rsid w:val="00D1209C"/>
    <w:rsid w:val="00D12589"/>
    <w:rsid w:val="00D13973"/>
    <w:rsid w:val="00D1434E"/>
    <w:rsid w:val="00D14A06"/>
    <w:rsid w:val="00D14D20"/>
    <w:rsid w:val="00D14E3C"/>
    <w:rsid w:val="00D154C8"/>
    <w:rsid w:val="00D157F1"/>
    <w:rsid w:val="00D15AD0"/>
    <w:rsid w:val="00D162BC"/>
    <w:rsid w:val="00D164B3"/>
    <w:rsid w:val="00D16913"/>
    <w:rsid w:val="00D16D2D"/>
    <w:rsid w:val="00D16F5B"/>
    <w:rsid w:val="00D174D2"/>
    <w:rsid w:val="00D17974"/>
    <w:rsid w:val="00D17A1D"/>
    <w:rsid w:val="00D17C22"/>
    <w:rsid w:val="00D17F32"/>
    <w:rsid w:val="00D2008D"/>
    <w:rsid w:val="00D20098"/>
    <w:rsid w:val="00D2048D"/>
    <w:rsid w:val="00D20733"/>
    <w:rsid w:val="00D20A4D"/>
    <w:rsid w:val="00D20D6D"/>
    <w:rsid w:val="00D21714"/>
    <w:rsid w:val="00D218BD"/>
    <w:rsid w:val="00D21EE5"/>
    <w:rsid w:val="00D22ED7"/>
    <w:rsid w:val="00D22F99"/>
    <w:rsid w:val="00D238B7"/>
    <w:rsid w:val="00D23EB5"/>
    <w:rsid w:val="00D2409A"/>
    <w:rsid w:val="00D24DDF"/>
    <w:rsid w:val="00D251B3"/>
    <w:rsid w:val="00D25590"/>
    <w:rsid w:val="00D258FA"/>
    <w:rsid w:val="00D25C7B"/>
    <w:rsid w:val="00D25D35"/>
    <w:rsid w:val="00D25D90"/>
    <w:rsid w:val="00D25F80"/>
    <w:rsid w:val="00D262ED"/>
    <w:rsid w:val="00D266B2"/>
    <w:rsid w:val="00D26E39"/>
    <w:rsid w:val="00D276D0"/>
    <w:rsid w:val="00D30247"/>
    <w:rsid w:val="00D3041F"/>
    <w:rsid w:val="00D30FD4"/>
    <w:rsid w:val="00D32516"/>
    <w:rsid w:val="00D32C32"/>
    <w:rsid w:val="00D3305F"/>
    <w:rsid w:val="00D332EC"/>
    <w:rsid w:val="00D3354C"/>
    <w:rsid w:val="00D33A4E"/>
    <w:rsid w:val="00D33F0D"/>
    <w:rsid w:val="00D33FA0"/>
    <w:rsid w:val="00D3424A"/>
    <w:rsid w:val="00D34BA2"/>
    <w:rsid w:val="00D34EFF"/>
    <w:rsid w:val="00D35C9F"/>
    <w:rsid w:val="00D3654A"/>
    <w:rsid w:val="00D36848"/>
    <w:rsid w:val="00D36A6E"/>
    <w:rsid w:val="00D36A83"/>
    <w:rsid w:val="00D37348"/>
    <w:rsid w:val="00D37900"/>
    <w:rsid w:val="00D37A11"/>
    <w:rsid w:val="00D400DF"/>
    <w:rsid w:val="00D40556"/>
    <w:rsid w:val="00D40FF5"/>
    <w:rsid w:val="00D417C3"/>
    <w:rsid w:val="00D42B84"/>
    <w:rsid w:val="00D42C1C"/>
    <w:rsid w:val="00D431FC"/>
    <w:rsid w:val="00D432F8"/>
    <w:rsid w:val="00D437A3"/>
    <w:rsid w:val="00D4384D"/>
    <w:rsid w:val="00D43896"/>
    <w:rsid w:val="00D44801"/>
    <w:rsid w:val="00D450AD"/>
    <w:rsid w:val="00D452FF"/>
    <w:rsid w:val="00D4532A"/>
    <w:rsid w:val="00D459EF"/>
    <w:rsid w:val="00D461D0"/>
    <w:rsid w:val="00D46275"/>
    <w:rsid w:val="00D47272"/>
    <w:rsid w:val="00D504B2"/>
    <w:rsid w:val="00D50A64"/>
    <w:rsid w:val="00D50CD5"/>
    <w:rsid w:val="00D50FBF"/>
    <w:rsid w:val="00D51389"/>
    <w:rsid w:val="00D51649"/>
    <w:rsid w:val="00D519C5"/>
    <w:rsid w:val="00D51D03"/>
    <w:rsid w:val="00D51F84"/>
    <w:rsid w:val="00D5231D"/>
    <w:rsid w:val="00D5231F"/>
    <w:rsid w:val="00D523F7"/>
    <w:rsid w:val="00D525C4"/>
    <w:rsid w:val="00D52809"/>
    <w:rsid w:val="00D531F7"/>
    <w:rsid w:val="00D5359B"/>
    <w:rsid w:val="00D53C72"/>
    <w:rsid w:val="00D53F94"/>
    <w:rsid w:val="00D5402D"/>
    <w:rsid w:val="00D543A5"/>
    <w:rsid w:val="00D5450B"/>
    <w:rsid w:val="00D550F8"/>
    <w:rsid w:val="00D55167"/>
    <w:rsid w:val="00D553BC"/>
    <w:rsid w:val="00D55CFD"/>
    <w:rsid w:val="00D567C8"/>
    <w:rsid w:val="00D57B74"/>
    <w:rsid w:val="00D57C7F"/>
    <w:rsid w:val="00D6010B"/>
    <w:rsid w:val="00D613D5"/>
    <w:rsid w:val="00D616FA"/>
    <w:rsid w:val="00D617E7"/>
    <w:rsid w:val="00D61EB5"/>
    <w:rsid w:val="00D62132"/>
    <w:rsid w:val="00D62E87"/>
    <w:rsid w:val="00D6317B"/>
    <w:rsid w:val="00D632D9"/>
    <w:rsid w:val="00D63520"/>
    <w:rsid w:val="00D636CF"/>
    <w:rsid w:val="00D64174"/>
    <w:rsid w:val="00D644D6"/>
    <w:rsid w:val="00D64D7D"/>
    <w:rsid w:val="00D64DF0"/>
    <w:rsid w:val="00D64E25"/>
    <w:rsid w:val="00D653B6"/>
    <w:rsid w:val="00D6580C"/>
    <w:rsid w:val="00D658CE"/>
    <w:rsid w:val="00D65B5C"/>
    <w:rsid w:val="00D65FCC"/>
    <w:rsid w:val="00D65FE5"/>
    <w:rsid w:val="00D66B76"/>
    <w:rsid w:val="00D66F45"/>
    <w:rsid w:val="00D678EF"/>
    <w:rsid w:val="00D67AE5"/>
    <w:rsid w:val="00D67B29"/>
    <w:rsid w:val="00D70768"/>
    <w:rsid w:val="00D70D8E"/>
    <w:rsid w:val="00D710E0"/>
    <w:rsid w:val="00D710F0"/>
    <w:rsid w:val="00D71BD3"/>
    <w:rsid w:val="00D71DEE"/>
    <w:rsid w:val="00D723A5"/>
    <w:rsid w:val="00D72475"/>
    <w:rsid w:val="00D72486"/>
    <w:rsid w:val="00D72528"/>
    <w:rsid w:val="00D7280C"/>
    <w:rsid w:val="00D72A1A"/>
    <w:rsid w:val="00D7356F"/>
    <w:rsid w:val="00D73682"/>
    <w:rsid w:val="00D7369F"/>
    <w:rsid w:val="00D74188"/>
    <w:rsid w:val="00D743A3"/>
    <w:rsid w:val="00D74436"/>
    <w:rsid w:val="00D74C2C"/>
    <w:rsid w:val="00D75675"/>
    <w:rsid w:val="00D7580D"/>
    <w:rsid w:val="00D75FAC"/>
    <w:rsid w:val="00D764BF"/>
    <w:rsid w:val="00D766F6"/>
    <w:rsid w:val="00D76D56"/>
    <w:rsid w:val="00D76E3B"/>
    <w:rsid w:val="00D774E6"/>
    <w:rsid w:val="00D7788A"/>
    <w:rsid w:val="00D77898"/>
    <w:rsid w:val="00D8009E"/>
    <w:rsid w:val="00D801F6"/>
    <w:rsid w:val="00D805C0"/>
    <w:rsid w:val="00D8060A"/>
    <w:rsid w:val="00D80689"/>
    <w:rsid w:val="00D80EB6"/>
    <w:rsid w:val="00D810EB"/>
    <w:rsid w:val="00D815CA"/>
    <w:rsid w:val="00D81C39"/>
    <w:rsid w:val="00D81D07"/>
    <w:rsid w:val="00D81E2B"/>
    <w:rsid w:val="00D8259B"/>
    <w:rsid w:val="00D830F4"/>
    <w:rsid w:val="00D831E6"/>
    <w:rsid w:val="00D83432"/>
    <w:rsid w:val="00D8352F"/>
    <w:rsid w:val="00D85179"/>
    <w:rsid w:val="00D85738"/>
    <w:rsid w:val="00D858E5"/>
    <w:rsid w:val="00D86295"/>
    <w:rsid w:val="00D86418"/>
    <w:rsid w:val="00D8692E"/>
    <w:rsid w:val="00D86B29"/>
    <w:rsid w:val="00D86DCA"/>
    <w:rsid w:val="00D86F86"/>
    <w:rsid w:val="00D876EB"/>
    <w:rsid w:val="00D876F9"/>
    <w:rsid w:val="00D87E7A"/>
    <w:rsid w:val="00D90ADA"/>
    <w:rsid w:val="00D90DC3"/>
    <w:rsid w:val="00D90E00"/>
    <w:rsid w:val="00D912B7"/>
    <w:rsid w:val="00D91442"/>
    <w:rsid w:val="00D91B50"/>
    <w:rsid w:val="00D91D9B"/>
    <w:rsid w:val="00D91E8A"/>
    <w:rsid w:val="00D92160"/>
    <w:rsid w:val="00D92A26"/>
    <w:rsid w:val="00D93393"/>
    <w:rsid w:val="00D93531"/>
    <w:rsid w:val="00D939E7"/>
    <w:rsid w:val="00D9401A"/>
    <w:rsid w:val="00D9493B"/>
    <w:rsid w:val="00D94EB2"/>
    <w:rsid w:val="00D95375"/>
    <w:rsid w:val="00D954A6"/>
    <w:rsid w:val="00D95892"/>
    <w:rsid w:val="00D95AAF"/>
    <w:rsid w:val="00D96182"/>
    <w:rsid w:val="00D9637D"/>
    <w:rsid w:val="00D9641A"/>
    <w:rsid w:val="00D964A3"/>
    <w:rsid w:val="00D9654D"/>
    <w:rsid w:val="00D97698"/>
    <w:rsid w:val="00DA0191"/>
    <w:rsid w:val="00DA06E7"/>
    <w:rsid w:val="00DA09C9"/>
    <w:rsid w:val="00DA0A75"/>
    <w:rsid w:val="00DA0AB6"/>
    <w:rsid w:val="00DA0ADD"/>
    <w:rsid w:val="00DA0C35"/>
    <w:rsid w:val="00DA0D17"/>
    <w:rsid w:val="00DA2744"/>
    <w:rsid w:val="00DA2D6C"/>
    <w:rsid w:val="00DA2EE7"/>
    <w:rsid w:val="00DA2F57"/>
    <w:rsid w:val="00DA3248"/>
    <w:rsid w:val="00DA352F"/>
    <w:rsid w:val="00DA38F9"/>
    <w:rsid w:val="00DA3E58"/>
    <w:rsid w:val="00DA3FE4"/>
    <w:rsid w:val="00DA4861"/>
    <w:rsid w:val="00DA51F2"/>
    <w:rsid w:val="00DA52C8"/>
    <w:rsid w:val="00DA52FE"/>
    <w:rsid w:val="00DA588E"/>
    <w:rsid w:val="00DA5DAD"/>
    <w:rsid w:val="00DA5DED"/>
    <w:rsid w:val="00DA646C"/>
    <w:rsid w:val="00DA6E1C"/>
    <w:rsid w:val="00DA6EFA"/>
    <w:rsid w:val="00DA797D"/>
    <w:rsid w:val="00DA7AA4"/>
    <w:rsid w:val="00DA7E1A"/>
    <w:rsid w:val="00DB0022"/>
    <w:rsid w:val="00DB0086"/>
    <w:rsid w:val="00DB0B51"/>
    <w:rsid w:val="00DB1764"/>
    <w:rsid w:val="00DB211B"/>
    <w:rsid w:val="00DB28AF"/>
    <w:rsid w:val="00DB2D65"/>
    <w:rsid w:val="00DB316D"/>
    <w:rsid w:val="00DB317A"/>
    <w:rsid w:val="00DB327C"/>
    <w:rsid w:val="00DB36F7"/>
    <w:rsid w:val="00DB3A41"/>
    <w:rsid w:val="00DB488F"/>
    <w:rsid w:val="00DB4E44"/>
    <w:rsid w:val="00DB4F10"/>
    <w:rsid w:val="00DB50FB"/>
    <w:rsid w:val="00DB5411"/>
    <w:rsid w:val="00DB5657"/>
    <w:rsid w:val="00DB586D"/>
    <w:rsid w:val="00DB6E10"/>
    <w:rsid w:val="00DB6F6D"/>
    <w:rsid w:val="00DB6FA3"/>
    <w:rsid w:val="00DB72E8"/>
    <w:rsid w:val="00DB746C"/>
    <w:rsid w:val="00DB78C7"/>
    <w:rsid w:val="00DB7ACA"/>
    <w:rsid w:val="00DC05B4"/>
    <w:rsid w:val="00DC0ADA"/>
    <w:rsid w:val="00DC0EC5"/>
    <w:rsid w:val="00DC1CA7"/>
    <w:rsid w:val="00DC1D2A"/>
    <w:rsid w:val="00DC1F1D"/>
    <w:rsid w:val="00DC24F0"/>
    <w:rsid w:val="00DC257F"/>
    <w:rsid w:val="00DC3A09"/>
    <w:rsid w:val="00DC3A87"/>
    <w:rsid w:val="00DC3C03"/>
    <w:rsid w:val="00DC42F2"/>
    <w:rsid w:val="00DC478B"/>
    <w:rsid w:val="00DC4C1A"/>
    <w:rsid w:val="00DC5103"/>
    <w:rsid w:val="00DC57CB"/>
    <w:rsid w:val="00DC5D58"/>
    <w:rsid w:val="00DC6739"/>
    <w:rsid w:val="00DC674E"/>
    <w:rsid w:val="00DC6759"/>
    <w:rsid w:val="00DC6B81"/>
    <w:rsid w:val="00DC7689"/>
    <w:rsid w:val="00DD02F3"/>
    <w:rsid w:val="00DD0A26"/>
    <w:rsid w:val="00DD1234"/>
    <w:rsid w:val="00DD1DF2"/>
    <w:rsid w:val="00DD1E9A"/>
    <w:rsid w:val="00DD2A23"/>
    <w:rsid w:val="00DD48ED"/>
    <w:rsid w:val="00DD4C90"/>
    <w:rsid w:val="00DD5607"/>
    <w:rsid w:val="00DD5778"/>
    <w:rsid w:val="00DD5796"/>
    <w:rsid w:val="00DD59E4"/>
    <w:rsid w:val="00DD62A6"/>
    <w:rsid w:val="00DD655C"/>
    <w:rsid w:val="00DD6832"/>
    <w:rsid w:val="00DD6A16"/>
    <w:rsid w:val="00DD6F06"/>
    <w:rsid w:val="00DD6F86"/>
    <w:rsid w:val="00DD71D2"/>
    <w:rsid w:val="00DE00EC"/>
    <w:rsid w:val="00DE09D3"/>
    <w:rsid w:val="00DE1161"/>
    <w:rsid w:val="00DE1922"/>
    <w:rsid w:val="00DE2728"/>
    <w:rsid w:val="00DE3038"/>
    <w:rsid w:val="00DE33DA"/>
    <w:rsid w:val="00DE3A4B"/>
    <w:rsid w:val="00DE3D71"/>
    <w:rsid w:val="00DE4096"/>
    <w:rsid w:val="00DE4125"/>
    <w:rsid w:val="00DE4D5D"/>
    <w:rsid w:val="00DE4E1F"/>
    <w:rsid w:val="00DE520A"/>
    <w:rsid w:val="00DE5736"/>
    <w:rsid w:val="00DE5F35"/>
    <w:rsid w:val="00DE640F"/>
    <w:rsid w:val="00DE6820"/>
    <w:rsid w:val="00DE6A94"/>
    <w:rsid w:val="00DE7262"/>
    <w:rsid w:val="00DE7C2C"/>
    <w:rsid w:val="00DE7EF5"/>
    <w:rsid w:val="00DF0347"/>
    <w:rsid w:val="00DF090C"/>
    <w:rsid w:val="00DF0D9E"/>
    <w:rsid w:val="00DF219E"/>
    <w:rsid w:val="00DF37CB"/>
    <w:rsid w:val="00DF3E75"/>
    <w:rsid w:val="00DF41D2"/>
    <w:rsid w:val="00DF4550"/>
    <w:rsid w:val="00DF62FF"/>
    <w:rsid w:val="00DF6B2B"/>
    <w:rsid w:val="00DF7186"/>
    <w:rsid w:val="00DF7206"/>
    <w:rsid w:val="00DF7D8A"/>
    <w:rsid w:val="00E00192"/>
    <w:rsid w:val="00E002F4"/>
    <w:rsid w:val="00E006A5"/>
    <w:rsid w:val="00E01221"/>
    <w:rsid w:val="00E016F5"/>
    <w:rsid w:val="00E0197B"/>
    <w:rsid w:val="00E01D01"/>
    <w:rsid w:val="00E01F99"/>
    <w:rsid w:val="00E02237"/>
    <w:rsid w:val="00E02571"/>
    <w:rsid w:val="00E026F0"/>
    <w:rsid w:val="00E02893"/>
    <w:rsid w:val="00E02D1F"/>
    <w:rsid w:val="00E02F7E"/>
    <w:rsid w:val="00E03AF6"/>
    <w:rsid w:val="00E03F4A"/>
    <w:rsid w:val="00E045AE"/>
    <w:rsid w:val="00E04D3D"/>
    <w:rsid w:val="00E04D87"/>
    <w:rsid w:val="00E054A1"/>
    <w:rsid w:val="00E05D0C"/>
    <w:rsid w:val="00E0682E"/>
    <w:rsid w:val="00E06A89"/>
    <w:rsid w:val="00E071C0"/>
    <w:rsid w:val="00E078D3"/>
    <w:rsid w:val="00E07BB5"/>
    <w:rsid w:val="00E07CFB"/>
    <w:rsid w:val="00E10899"/>
    <w:rsid w:val="00E11546"/>
    <w:rsid w:val="00E11A3C"/>
    <w:rsid w:val="00E11FA9"/>
    <w:rsid w:val="00E120AD"/>
    <w:rsid w:val="00E122F3"/>
    <w:rsid w:val="00E123FB"/>
    <w:rsid w:val="00E12A32"/>
    <w:rsid w:val="00E12E07"/>
    <w:rsid w:val="00E144F2"/>
    <w:rsid w:val="00E1458B"/>
    <w:rsid w:val="00E14B13"/>
    <w:rsid w:val="00E14E03"/>
    <w:rsid w:val="00E14F08"/>
    <w:rsid w:val="00E14F8F"/>
    <w:rsid w:val="00E1519E"/>
    <w:rsid w:val="00E15A1F"/>
    <w:rsid w:val="00E15AEB"/>
    <w:rsid w:val="00E15BC4"/>
    <w:rsid w:val="00E15CAD"/>
    <w:rsid w:val="00E15D9A"/>
    <w:rsid w:val="00E164AC"/>
    <w:rsid w:val="00E16852"/>
    <w:rsid w:val="00E174BC"/>
    <w:rsid w:val="00E20504"/>
    <w:rsid w:val="00E20643"/>
    <w:rsid w:val="00E20981"/>
    <w:rsid w:val="00E21867"/>
    <w:rsid w:val="00E2213E"/>
    <w:rsid w:val="00E22214"/>
    <w:rsid w:val="00E22D8B"/>
    <w:rsid w:val="00E230BA"/>
    <w:rsid w:val="00E23936"/>
    <w:rsid w:val="00E23DA8"/>
    <w:rsid w:val="00E243A7"/>
    <w:rsid w:val="00E244C4"/>
    <w:rsid w:val="00E24C2F"/>
    <w:rsid w:val="00E25B3A"/>
    <w:rsid w:val="00E25E11"/>
    <w:rsid w:val="00E25F40"/>
    <w:rsid w:val="00E2654D"/>
    <w:rsid w:val="00E267F9"/>
    <w:rsid w:val="00E26E21"/>
    <w:rsid w:val="00E270BC"/>
    <w:rsid w:val="00E270DF"/>
    <w:rsid w:val="00E27208"/>
    <w:rsid w:val="00E30696"/>
    <w:rsid w:val="00E30A9C"/>
    <w:rsid w:val="00E30C86"/>
    <w:rsid w:val="00E3147D"/>
    <w:rsid w:val="00E31666"/>
    <w:rsid w:val="00E31C49"/>
    <w:rsid w:val="00E32337"/>
    <w:rsid w:val="00E32713"/>
    <w:rsid w:val="00E329A8"/>
    <w:rsid w:val="00E3335D"/>
    <w:rsid w:val="00E3342F"/>
    <w:rsid w:val="00E33AC1"/>
    <w:rsid w:val="00E33FF5"/>
    <w:rsid w:val="00E34AEB"/>
    <w:rsid w:val="00E34BF0"/>
    <w:rsid w:val="00E3554F"/>
    <w:rsid w:val="00E35553"/>
    <w:rsid w:val="00E35CA4"/>
    <w:rsid w:val="00E36803"/>
    <w:rsid w:val="00E4006E"/>
    <w:rsid w:val="00E40347"/>
    <w:rsid w:val="00E409E8"/>
    <w:rsid w:val="00E41CEF"/>
    <w:rsid w:val="00E4226A"/>
    <w:rsid w:val="00E43908"/>
    <w:rsid w:val="00E439F2"/>
    <w:rsid w:val="00E43C22"/>
    <w:rsid w:val="00E43C7D"/>
    <w:rsid w:val="00E454D7"/>
    <w:rsid w:val="00E454E8"/>
    <w:rsid w:val="00E4579E"/>
    <w:rsid w:val="00E45D30"/>
    <w:rsid w:val="00E46D4A"/>
    <w:rsid w:val="00E4712D"/>
    <w:rsid w:val="00E47653"/>
    <w:rsid w:val="00E47C05"/>
    <w:rsid w:val="00E504E4"/>
    <w:rsid w:val="00E50907"/>
    <w:rsid w:val="00E50B44"/>
    <w:rsid w:val="00E50D47"/>
    <w:rsid w:val="00E50E45"/>
    <w:rsid w:val="00E51021"/>
    <w:rsid w:val="00E513D1"/>
    <w:rsid w:val="00E5142B"/>
    <w:rsid w:val="00E5178A"/>
    <w:rsid w:val="00E518B6"/>
    <w:rsid w:val="00E51EFF"/>
    <w:rsid w:val="00E51FF2"/>
    <w:rsid w:val="00E520D8"/>
    <w:rsid w:val="00E52684"/>
    <w:rsid w:val="00E540D1"/>
    <w:rsid w:val="00E5444E"/>
    <w:rsid w:val="00E54A04"/>
    <w:rsid w:val="00E54BB7"/>
    <w:rsid w:val="00E5545C"/>
    <w:rsid w:val="00E55461"/>
    <w:rsid w:val="00E55AEE"/>
    <w:rsid w:val="00E55D71"/>
    <w:rsid w:val="00E5650D"/>
    <w:rsid w:val="00E56565"/>
    <w:rsid w:val="00E57BB2"/>
    <w:rsid w:val="00E60221"/>
    <w:rsid w:val="00E604F0"/>
    <w:rsid w:val="00E60DF7"/>
    <w:rsid w:val="00E61374"/>
    <w:rsid w:val="00E62100"/>
    <w:rsid w:val="00E621CC"/>
    <w:rsid w:val="00E625F3"/>
    <w:rsid w:val="00E6336C"/>
    <w:rsid w:val="00E63598"/>
    <w:rsid w:val="00E63BB1"/>
    <w:rsid w:val="00E63FCF"/>
    <w:rsid w:val="00E641CE"/>
    <w:rsid w:val="00E6498C"/>
    <w:rsid w:val="00E653B1"/>
    <w:rsid w:val="00E656CE"/>
    <w:rsid w:val="00E65CC7"/>
    <w:rsid w:val="00E66433"/>
    <w:rsid w:val="00E67798"/>
    <w:rsid w:val="00E6797B"/>
    <w:rsid w:val="00E67A96"/>
    <w:rsid w:val="00E67F8A"/>
    <w:rsid w:val="00E70D46"/>
    <w:rsid w:val="00E71350"/>
    <w:rsid w:val="00E71F81"/>
    <w:rsid w:val="00E722DA"/>
    <w:rsid w:val="00E72377"/>
    <w:rsid w:val="00E726A7"/>
    <w:rsid w:val="00E7276E"/>
    <w:rsid w:val="00E7295C"/>
    <w:rsid w:val="00E72EA5"/>
    <w:rsid w:val="00E72FE8"/>
    <w:rsid w:val="00E73167"/>
    <w:rsid w:val="00E736DA"/>
    <w:rsid w:val="00E742BC"/>
    <w:rsid w:val="00E75053"/>
    <w:rsid w:val="00E75E3D"/>
    <w:rsid w:val="00E762A0"/>
    <w:rsid w:val="00E765BA"/>
    <w:rsid w:val="00E7662E"/>
    <w:rsid w:val="00E76714"/>
    <w:rsid w:val="00E76989"/>
    <w:rsid w:val="00E76B55"/>
    <w:rsid w:val="00E76BA4"/>
    <w:rsid w:val="00E76EE2"/>
    <w:rsid w:val="00E771C8"/>
    <w:rsid w:val="00E77CFE"/>
    <w:rsid w:val="00E77D68"/>
    <w:rsid w:val="00E80AC6"/>
    <w:rsid w:val="00E80E7E"/>
    <w:rsid w:val="00E8137F"/>
    <w:rsid w:val="00E81490"/>
    <w:rsid w:val="00E8155F"/>
    <w:rsid w:val="00E81570"/>
    <w:rsid w:val="00E81A40"/>
    <w:rsid w:val="00E81A42"/>
    <w:rsid w:val="00E81AC5"/>
    <w:rsid w:val="00E81BCD"/>
    <w:rsid w:val="00E81C12"/>
    <w:rsid w:val="00E81F62"/>
    <w:rsid w:val="00E822B4"/>
    <w:rsid w:val="00E82D04"/>
    <w:rsid w:val="00E83637"/>
    <w:rsid w:val="00E83EA2"/>
    <w:rsid w:val="00E84175"/>
    <w:rsid w:val="00E84397"/>
    <w:rsid w:val="00E844A5"/>
    <w:rsid w:val="00E84957"/>
    <w:rsid w:val="00E84D38"/>
    <w:rsid w:val="00E85415"/>
    <w:rsid w:val="00E85F32"/>
    <w:rsid w:val="00E861A2"/>
    <w:rsid w:val="00E866BC"/>
    <w:rsid w:val="00E868F7"/>
    <w:rsid w:val="00E86CDC"/>
    <w:rsid w:val="00E86F01"/>
    <w:rsid w:val="00E875ED"/>
    <w:rsid w:val="00E8772A"/>
    <w:rsid w:val="00E907CA"/>
    <w:rsid w:val="00E90CD2"/>
    <w:rsid w:val="00E90F1C"/>
    <w:rsid w:val="00E90F39"/>
    <w:rsid w:val="00E91DA6"/>
    <w:rsid w:val="00E92341"/>
    <w:rsid w:val="00E93156"/>
    <w:rsid w:val="00E93564"/>
    <w:rsid w:val="00E937EF"/>
    <w:rsid w:val="00E93F9A"/>
    <w:rsid w:val="00E945C7"/>
    <w:rsid w:val="00E953DD"/>
    <w:rsid w:val="00E95713"/>
    <w:rsid w:val="00E959B8"/>
    <w:rsid w:val="00E95CAA"/>
    <w:rsid w:val="00E96737"/>
    <w:rsid w:val="00E96CAE"/>
    <w:rsid w:val="00E96E43"/>
    <w:rsid w:val="00E9739A"/>
    <w:rsid w:val="00E97B48"/>
    <w:rsid w:val="00E97E40"/>
    <w:rsid w:val="00EA0CD7"/>
    <w:rsid w:val="00EA113F"/>
    <w:rsid w:val="00EA11A4"/>
    <w:rsid w:val="00EA12D7"/>
    <w:rsid w:val="00EA12E3"/>
    <w:rsid w:val="00EA1E12"/>
    <w:rsid w:val="00EA27D3"/>
    <w:rsid w:val="00EA2B85"/>
    <w:rsid w:val="00EA30E0"/>
    <w:rsid w:val="00EA311F"/>
    <w:rsid w:val="00EA31E7"/>
    <w:rsid w:val="00EA3FB2"/>
    <w:rsid w:val="00EA4088"/>
    <w:rsid w:val="00EA42D8"/>
    <w:rsid w:val="00EA4A47"/>
    <w:rsid w:val="00EA4F74"/>
    <w:rsid w:val="00EA5299"/>
    <w:rsid w:val="00EA5423"/>
    <w:rsid w:val="00EA594E"/>
    <w:rsid w:val="00EA5A99"/>
    <w:rsid w:val="00EA622F"/>
    <w:rsid w:val="00EA6460"/>
    <w:rsid w:val="00EA65B4"/>
    <w:rsid w:val="00EA6AC7"/>
    <w:rsid w:val="00EA6DE8"/>
    <w:rsid w:val="00EA71AC"/>
    <w:rsid w:val="00EA75CC"/>
    <w:rsid w:val="00EA7973"/>
    <w:rsid w:val="00EA7BD4"/>
    <w:rsid w:val="00EB0FF6"/>
    <w:rsid w:val="00EB11AA"/>
    <w:rsid w:val="00EB12E2"/>
    <w:rsid w:val="00EB1462"/>
    <w:rsid w:val="00EB16FA"/>
    <w:rsid w:val="00EB2254"/>
    <w:rsid w:val="00EB24D3"/>
    <w:rsid w:val="00EB2689"/>
    <w:rsid w:val="00EB2EA7"/>
    <w:rsid w:val="00EB2FAD"/>
    <w:rsid w:val="00EB3508"/>
    <w:rsid w:val="00EB3B5B"/>
    <w:rsid w:val="00EB4725"/>
    <w:rsid w:val="00EB4B37"/>
    <w:rsid w:val="00EB4BAA"/>
    <w:rsid w:val="00EB4C8E"/>
    <w:rsid w:val="00EB5D91"/>
    <w:rsid w:val="00EB6030"/>
    <w:rsid w:val="00EB6353"/>
    <w:rsid w:val="00EB6779"/>
    <w:rsid w:val="00EB6A62"/>
    <w:rsid w:val="00EB6F8F"/>
    <w:rsid w:val="00EB7966"/>
    <w:rsid w:val="00EB7AB5"/>
    <w:rsid w:val="00EB7F8C"/>
    <w:rsid w:val="00EC093B"/>
    <w:rsid w:val="00EC1071"/>
    <w:rsid w:val="00EC1595"/>
    <w:rsid w:val="00EC25E8"/>
    <w:rsid w:val="00EC28A1"/>
    <w:rsid w:val="00EC2C81"/>
    <w:rsid w:val="00EC31BD"/>
    <w:rsid w:val="00EC3569"/>
    <w:rsid w:val="00EC3C55"/>
    <w:rsid w:val="00EC3F2D"/>
    <w:rsid w:val="00EC3FDC"/>
    <w:rsid w:val="00EC48D7"/>
    <w:rsid w:val="00EC4B08"/>
    <w:rsid w:val="00EC4C7C"/>
    <w:rsid w:val="00EC507A"/>
    <w:rsid w:val="00EC56DB"/>
    <w:rsid w:val="00EC5EF1"/>
    <w:rsid w:val="00EC6226"/>
    <w:rsid w:val="00EC6686"/>
    <w:rsid w:val="00EC7315"/>
    <w:rsid w:val="00EC7AAF"/>
    <w:rsid w:val="00EC7AFC"/>
    <w:rsid w:val="00EC7ED5"/>
    <w:rsid w:val="00ED07AD"/>
    <w:rsid w:val="00ED0A97"/>
    <w:rsid w:val="00ED0E3E"/>
    <w:rsid w:val="00ED113C"/>
    <w:rsid w:val="00ED1212"/>
    <w:rsid w:val="00ED20E6"/>
    <w:rsid w:val="00ED25D4"/>
    <w:rsid w:val="00ED2617"/>
    <w:rsid w:val="00ED3016"/>
    <w:rsid w:val="00ED3150"/>
    <w:rsid w:val="00ED3592"/>
    <w:rsid w:val="00ED3ADD"/>
    <w:rsid w:val="00ED3B98"/>
    <w:rsid w:val="00ED40E3"/>
    <w:rsid w:val="00ED4163"/>
    <w:rsid w:val="00ED4B71"/>
    <w:rsid w:val="00ED4F68"/>
    <w:rsid w:val="00ED5066"/>
    <w:rsid w:val="00ED5439"/>
    <w:rsid w:val="00ED54C2"/>
    <w:rsid w:val="00ED5B82"/>
    <w:rsid w:val="00ED5CEE"/>
    <w:rsid w:val="00ED6231"/>
    <w:rsid w:val="00ED6BA3"/>
    <w:rsid w:val="00ED6C9D"/>
    <w:rsid w:val="00ED700B"/>
    <w:rsid w:val="00ED728C"/>
    <w:rsid w:val="00ED735E"/>
    <w:rsid w:val="00ED79BC"/>
    <w:rsid w:val="00ED7E91"/>
    <w:rsid w:val="00EE073E"/>
    <w:rsid w:val="00EE0886"/>
    <w:rsid w:val="00EE0D17"/>
    <w:rsid w:val="00EE1ED1"/>
    <w:rsid w:val="00EE218A"/>
    <w:rsid w:val="00EE2237"/>
    <w:rsid w:val="00EE2256"/>
    <w:rsid w:val="00EE2A7A"/>
    <w:rsid w:val="00EE340A"/>
    <w:rsid w:val="00EE35DA"/>
    <w:rsid w:val="00EE3D1B"/>
    <w:rsid w:val="00EE4587"/>
    <w:rsid w:val="00EE4F93"/>
    <w:rsid w:val="00EE5185"/>
    <w:rsid w:val="00EE579E"/>
    <w:rsid w:val="00EE6572"/>
    <w:rsid w:val="00EE66F0"/>
    <w:rsid w:val="00EE6D38"/>
    <w:rsid w:val="00EE6D85"/>
    <w:rsid w:val="00EE6F3D"/>
    <w:rsid w:val="00EE6FFA"/>
    <w:rsid w:val="00EE772B"/>
    <w:rsid w:val="00EE7825"/>
    <w:rsid w:val="00EE7B66"/>
    <w:rsid w:val="00EE7CAA"/>
    <w:rsid w:val="00EE7E86"/>
    <w:rsid w:val="00EE7ED1"/>
    <w:rsid w:val="00EF076A"/>
    <w:rsid w:val="00EF08F4"/>
    <w:rsid w:val="00EF128B"/>
    <w:rsid w:val="00EF1371"/>
    <w:rsid w:val="00EF1686"/>
    <w:rsid w:val="00EF1BC9"/>
    <w:rsid w:val="00EF2407"/>
    <w:rsid w:val="00EF25A6"/>
    <w:rsid w:val="00EF31D3"/>
    <w:rsid w:val="00EF387B"/>
    <w:rsid w:val="00EF3969"/>
    <w:rsid w:val="00EF4179"/>
    <w:rsid w:val="00EF425E"/>
    <w:rsid w:val="00EF61FD"/>
    <w:rsid w:val="00EF7524"/>
    <w:rsid w:val="00EF7872"/>
    <w:rsid w:val="00EF79B1"/>
    <w:rsid w:val="00EF7CC0"/>
    <w:rsid w:val="00EF7DA7"/>
    <w:rsid w:val="00F0035B"/>
    <w:rsid w:val="00F003BB"/>
    <w:rsid w:val="00F00AD5"/>
    <w:rsid w:val="00F01472"/>
    <w:rsid w:val="00F01E69"/>
    <w:rsid w:val="00F0229B"/>
    <w:rsid w:val="00F02566"/>
    <w:rsid w:val="00F027A4"/>
    <w:rsid w:val="00F028AA"/>
    <w:rsid w:val="00F032BC"/>
    <w:rsid w:val="00F03FB4"/>
    <w:rsid w:val="00F0416F"/>
    <w:rsid w:val="00F042EB"/>
    <w:rsid w:val="00F04412"/>
    <w:rsid w:val="00F045EB"/>
    <w:rsid w:val="00F04776"/>
    <w:rsid w:val="00F047FF"/>
    <w:rsid w:val="00F04CDE"/>
    <w:rsid w:val="00F06041"/>
    <w:rsid w:val="00F06BCD"/>
    <w:rsid w:val="00F07005"/>
    <w:rsid w:val="00F07665"/>
    <w:rsid w:val="00F07E99"/>
    <w:rsid w:val="00F10606"/>
    <w:rsid w:val="00F107BC"/>
    <w:rsid w:val="00F10A70"/>
    <w:rsid w:val="00F10DE0"/>
    <w:rsid w:val="00F110FD"/>
    <w:rsid w:val="00F118DB"/>
    <w:rsid w:val="00F11AD4"/>
    <w:rsid w:val="00F11C89"/>
    <w:rsid w:val="00F11EF9"/>
    <w:rsid w:val="00F124D5"/>
    <w:rsid w:val="00F12A87"/>
    <w:rsid w:val="00F133A7"/>
    <w:rsid w:val="00F13B3E"/>
    <w:rsid w:val="00F141DD"/>
    <w:rsid w:val="00F1475C"/>
    <w:rsid w:val="00F150AB"/>
    <w:rsid w:val="00F1512B"/>
    <w:rsid w:val="00F1541A"/>
    <w:rsid w:val="00F154B3"/>
    <w:rsid w:val="00F15858"/>
    <w:rsid w:val="00F15BF9"/>
    <w:rsid w:val="00F15D23"/>
    <w:rsid w:val="00F16ABF"/>
    <w:rsid w:val="00F170E7"/>
    <w:rsid w:val="00F17657"/>
    <w:rsid w:val="00F17831"/>
    <w:rsid w:val="00F202B5"/>
    <w:rsid w:val="00F204C4"/>
    <w:rsid w:val="00F20A60"/>
    <w:rsid w:val="00F20AA3"/>
    <w:rsid w:val="00F212A3"/>
    <w:rsid w:val="00F214C4"/>
    <w:rsid w:val="00F215E9"/>
    <w:rsid w:val="00F218CD"/>
    <w:rsid w:val="00F21A26"/>
    <w:rsid w:val="00F224E6"/>
    <w:rsid w:val="00F22630"/>
    <w:rsid w:val="00F228F0"/>
    <w:rsid w:val="00F22B39"/>
    <w:rsid w:val="00F22E01"/>
    <w:rsid w:val="00F23277"/>
    <w:rsid w:val="00F2330A"/>
    <w:rsid w:val="00F23481"/>
    <w:rsid w:val="00F23A06"/>
    <w:rsid w:val="00F23D0C"/>
    <w:rsid w:val="00F23D93"/>
    <w:rsid w:val="00F24A39"/>
    <w:rsid w:val="00F24CFA"/>
    <w:rsid w:val="00F24CFB"/>
    <w:rsid w:val="00F24F99"/>
    <w:rsid w:val="00F253B8"/>
    <w:rsid w:val="00F25A2E"/>
    <w:rsid w:val="00F26085"/>
    <w:rsid w:val="00F269D1"/>
    <w:rsid w:val="00F26F2B"/>
    <w:rsid w:val="00F27262"/>
    <w:rsid w:val="00F2780A"/>
    <w:rsid w:val="00F27A3B"/>
    <w:rsid w:val="00F27A62"/>
    <w:rsid w:val="00F27B2E"/>
    <w:rsid w:val="00F30092"/>
    <w:rsid w:val="00F301D1"/>
    <w:rsid w:val="00F305A9"/>
    <w:rsid w:val="00F3107D"/>
    <w:rsid w:val="00F3137C"/>
    <w:rsid w:val="00F31EA3"/>
    <w:rsid w:val="00F31FAE"/>
    <w:rsid w:val="00F3208F"/>
    <w:rsid w:val="00F3273E"/>
    <w:rsid w:val="00F328CB"/>
    <w:rsid w:val="00F33030"/>
    <w:rsid w:val="00F33146"/>
    <w:rsid w:val="00F331B4"/>
    <w:rsid w:val="00F331DD"/>
    <w:rsid w:val="00F332F2"/>
    <w:rsid w:val="00F33344"/>
    <w:rsid w:val="00F33538"/>
    <w:rsid w:val="00F335B8"/>
    <w:rsid w:val="00F335CF"/>
    <w:rsid w:val="00F33B35"/>
    <w:rsid w:val="00F3485F"/>
    <w:rsid w:val="00F34C02"/>
    <w:rsid w:val="00F354C7"/>
    <w:rsid w:val="00F35E10"/>
    <w:rsid w:val="00F36064"/>
    <w:rsid w:val="00F36E23"/>
    <w:rsid w:val="00F37D6E"/>
    <w:rsid w:val="00F4059A"/>
    <w:rsid w:val="00F40DE7"/>
    <w:rsid w:val="00F40F03"/>
    <w:rsid w:val="00F4154B"/>
    <w:rsid w:val="00F42401"/>
    <w:rsid w:val="00F42789"/>
    <w:rsid w:val="00F42F8B"/>
    <w:rsid w:val="00F43611"/>
    <w:rsid w:val="00F4395E"/>
    <w:rsid w:val="00F443F1"/>
    <w:rsid w:val="00F44401"/>
    <w:rsid w:val="00F44A51"/>
    <w:rsid w:val="00F44DC8"/>
    <w:rsid w:val="00F451EE"/>
    <w:rsid w:val="00F45410"/>
    <w:rsid w:val="00F45837"/>
    <w:rsid w:val="00F45A47"/>
    <w:rsid w:val="00F45A9A"/>
    <w:rsid w:val="00F465BD"/>
    <w:rsid w:val="00F46767"/>
    <w:rsid w:val="00F47460"/>
    <w:rsid w:val="00F476BA"/>
    <w:rsid w:val="00F5077F"/>
    <w:rsid w:val="00F508F2"/>
    <w:rsid w:val="00F50B41"/>
    <w:rsid w:val="00F50C49"/>
    <w:rsid w:val="00F51260"/>
    <w:rsid w:val="00F529BE"/>
    <w:rsid w:val="00F52A56"/>
    <w:rsid w:val="00F52AE5"/>
    <w:rsid w:val="00F53673"/>
    <w:rsid w:val="00F53A4B"/>
    <w:rsid w:val="00F53F95"/>
    <w:rsid w:val="00F5466E"/>
    <w:rsid w:val="00F54759"/>
    <w:rsid w:val="00F547CC"/>
    <w:rsid w:val="00F54B66"/>
    <w:rsid w:val="00F54E2A"/>
    <w:rsid w:val="00F55142"/>
    <w:rsid w:val="00F551E2"/>
    <w:rsid w:val="00F55574"/>
    <w:rsid w:val="00F55AD1"/>
    <w:rsid w:val="00F55CD6"/>
    <w:rsid w:val="00F55F3F"/>
    <w:rsid w:val="00F562F0"/>
    <w:rsid w:val="00F563EB"/>
    <w:rsid w:val="00F56DCC"/>
    <w:rsid w:val="00F57510"/>
    <w:rsid w:val="00F5764B"/>
    <w:rsid w:val="00F57A5E"/>
    <w:rsid w:val="00F60222"/>
    <w:rsid w:val="00F606B3"/>
    <w:rsid w:val="00F60AA7"/>
    <w:rsid w:val="00F60F18"/>
    <w:rsid w:val="00F61636"/>
    <w:rsid w:val="00F619E7"/>
    <w:rsid w:val="00F620B4"/>
    <w:rsid w:val="00F623DF"/>
    <w:rsid w:val="00F62E46"/>
    <w:rsid w:val="00F6310A"/>
    <w:rsid w:val="00F634FB"/>
    <w:rsid w:val="00F63B9E"/>
    <w:rsid w:val="00F63F00"/>
    <w:rsid w:val="00F64378"/>
    <w:rsid w:val="00F645CF"/>
    <w:rsid w:val="00F64F2E"/>
    <w:rsid w:val="00F64FB6"/>
    <w:rsid w:val="00F6505B"/>
    <w:rsid w:val="00F657F4"/>
    <w:rsid w:val="00F659FE"/>
    <w:rsid w:val="00F65EB7"/>
    <w:rsid w:val="00F663A2"/>
    <w:rsid w:val="00F67056"/>
    <w:rsid w:val="00F67179"/>
    <w:rsid w:val="00F67712"/>
    <w:rsid w:val="00F67AEC"/>
    <w:rsid w:val="00F67C24"/>
    <w:rsid w:val="00F70200"/>
    <w:rsid w:val="00F70550"/>
    <w:rsid w:val="00F70984"/>
    <w:rsid w:val="00F709A4"/>
    <w:rsid w:val="00F70A57"/>
    <w:rsid w:val="00F70CE0"/>
    <w:rsid w:val="00F71349"/>
    <w:rsid w:val="00F7161D"/>
    <w:rsid w:val="00F71B71"/>
    <w:rsid w:val="00F72DF2"/>
    <w:rsid w:val="00F73223"/>
    <w:rsid w:val="00F73611"/>
    <w:rsid w:val="00F738C1"/>
    <w:rsid w:val="00F73F4E"/>
    <w:rsid w:val="00F74C14"/>
    <w:rsid w:val="00F75432"/>
    <w:rsid w:val="00F75976"/>
    <w:rsid w:val="00F75A0B"/>
    <w:rsid w:val="00F75BD5"/>
    <w:rsid w:val="00F7610C"/>
    <w:rsid w:val="00F7663F"/>
    <w:rsid w:val="00F7711C"/>
    <w:rsid w:val="00F777E2"/>
    <w:rsid w:val="00F77A9A"/>
    <w:rsid w:val="00F807F8"/>
    <w:rsid w:val="00F81017"/>
    <w:rsid w:val="00F81390"/>
    <w:rsid w:val="00F814B3"/>
    <w:rsid w:val="00F81CB7"/>
    <w:rsid w:val="00F826C4"/>
    <w:rsid w:val="00F82777"/>
    <w:rsid w:val="00F82D05"/>
    <w:rsid w:val="00F83FB9"/>
    <w:rsid w:val="00F84487"/>
    <w:rsid w:val="00F8462E"/>
    <w:rsid w:val="00F8469F"/>
    <w:rsid w:val="00F847A1"/>
    <w:rsid w:val="00F84BC7"/>
    <w:rsid w:val="00F84D13"/>
    <w:rsid w:val="00F85731"/>
    <w:rsid w:val="00F8593F"/>
    <w:rsid w:val="00F8598F"/>
    <w:rsid w:val="00F85F3A"/>
    <w:rsid w:val="00F86233"/>
    <w:rsid w:val="00F8627A"/>
    <w:rsid w:val="00F86DBC"/>
    <w:rsid w:val="00F873BF"/>
    <w:rsid w:val="00F87675"/>
    <w:rsid w:val="00F87A32"/>
    <w:rsid w:val="00F87E32"/>
    <w:rsid w:val="00F87FAD"/>
    <w:rsid w:val="00F90B50"/>
    <w:rsid w:val="00F91489"/>
    <w:rsid w:val="00F91BC2"/>
    <w:rsid w:val="00F92A41"/>
    <w:rsid w:val="00F9318C"/>
    <w:rsid w:val="00F9362B"/>
    <w:rsid w:val="00F93EA5"/>
    <w:rsid w:val="00F940FD"/>
    <w:rsid w:val="00F9469B"/>
    <w:rsid w:val="00F94F64"/>
    <w:rsid w:val="00F96764"/>
    <w:rsid w:val="00F97073"/>
    <w:rsid w:val="00F9733E"/>
    <w:rsid w:val="00F97742"/>
    <w:rsid w:val="00F9796F"/>
    <w:rsid w:val="00FA0210"/>
    <w:rsid w:val="00FA061D"/>
    <w:rsid w:val="00FA0838"/>
    <w:rsid w:val="00FA0D27"/>
    <w:rsid w:val="00FA119D"/>
    <w:rsid w:val="00FA1586"/>
    <w:rsid w:val="00FA1845"/>
    <w:rsid w:val="00FA2243"/>
    <w:rsid w:val="00FA254E"/>
    <w:rsid w:val="00FA2586"/>
    <w:rsid w:val="00FA285D"/>
    <w:rsid w:val="00FA2A6F"/>
    <w:rsid w:val="00FA2BD1"/>
    <w:rsid w:val="00FA2CA4"/>
    <w:rsid w:val="00FA365C"/>
    <w:rsid w:val="00FA3FE6"/>
    <w:rsid w:val="00FA44E7"/>
    <w:rsid w:val="00FA583B"/>
    <w:rsid w:val="00FA6255"/>
    <w:rsid w:val="00FA686C"/>
    <w:rsid w:val="00FA6F08"/>
    <w:rsid w:val="00FA729C"/>
    <w:rsid w:val="00FA72D0"/>
    <w:rsid w:val="00FA745E"/>
    <w:rsid w:val="00FA79F7"/>
    <w:rsid w:val="00FA7DDD"/>
    <w:rsid w:val="00FB05A5"/>
    <w:rsid w:val="00FB138E"/>
    <w:rsid w:val="00FB188D"/>
    <w:rsid w:val="00FB1D91"/>
    <w:rsid w:val="00FB1F30"/>
    <w:rsid w:val="00FB1FB6"/>
    <w:rsid w:val="00FB21A0"/>
    <w:rsid w:val="00FB2419"/>
    <w:rsid w:val="00FB2823"/>
    <w:rsid w:val="00FB2FC8"/>
    <w:rsid w:val="00FB308B"/>
    <w:rsid w:val="00FB48FD"/>
    <w:rsid w:val="00FB4956"/>
    <w:rsid w:val="00FB53B8"/>
    <w:rsid w:val="00FB5538"/>
    <w:rsid w:val="00FB5B80"/>
    <w:rsid w:val="00FB60D7"/>
    <w:rsid w:val="00FB6512"/>
    <w:rsid w:val="00FB6E97"/>
    <w:rsid w:val="00FB7668"/>
    <w:rsid w:val="00FB7B93"/>
    <w:rsid w:val="00FC0042"/>
    <w:rsid w:val="00FC0448"/>
    <w:rsid w:val="00FC0A91"/>
    <w:rsid w:val="00FC0B1B"/>
    <w:rsid w:val="00FC0B81"/>
    <w:rsid w:val="00FC0E22"/>
    <w:rsid w:val="00FC107F"/>
    <w:rsid w:val="00FC129F"/>
    <w:rsid w:val="00FC158E"/>
    <w:rsid w:val="00FC2165"/>
    <w:rsid w:val="00FC216F"/>
    <w:rsid w:val="00FC2BC6"/>
    <w:rsid w:val="00FC2EEB"/>
    <w:rsid w:val="00FC2F84"/>
    <w:rsid w:val="00FC3455"/>
    <w:rsid w:val="00FC38D3"/>
    <w:rsid w:val="00FC3E18"/>
    <w:rsid w:val="00FC436B"/>
    <w:rsid w:val="00FC4D3B"/>
    <w:rsid w:val="00FC598F"/>
    <w:rsid w:val="00FC5CCD"/>
    <w:rsid w:val="00FC616E"/>
    <w:rsid w:val="00FC6239"/>
    <w:rsid w:val="00FC63A3"/>
    <w:rsid w:val="00FC699D"/>
    <w:rsid w:val="00FC6C7A"/>
    <w:rsid w:val="00FC6CEF"/>
    <w:rsid w:val="00FC78EB"/>
    <w:rsid w:val="00FC7977"/>
    <w:rsid w:val="00FD06CB"/>
    <w:rsid w:val="00FD145F"/>
    <w:rsid w:val="00FD18A8"/>
    <w:rsid w:val="00FD1BF2"/>
    <w:rsid w:val="00FD1C05"/>
    <w:rsid w:val="00FD1E88"/>
    <w:rsid w:val="00FD21AE"/>
    <w:rsid w:val="00FD278B"/>
    <w:rsid w:val="00FD2884"/>
    <w:rsid w:val="00FD2A97"/>
    <w:rsid w:val="00FD2AA0"/>
    <w:rsid w:val="00FD2B14"/>
    <w:rsid w:val="00FD3399"/>
    <w:rsid w:val="00FD34E5"/>
    <w:rsid w:val="00FD3762"/>
    <w:rsid w:val="00FD3A82"/>
    <w:rsid w:val="00FD4467"/>
    <w:rsid w:val="00FD456E"/>
    <w:rsid w:val="00FD482B"/>
    <w:rsid w:val="00FD4E63"/>
    <w:rsid w:val="00FD61B0"/>
    <w:rsid w:val="00FD696D"/>
    <w:rsid w:val="00FD7117"/>
    <w:rsid w:val="00FD71F4"/>
    <w:rsid w:val="00FD73FE"/>
    <w:rsid w:val="00FD742C"/>
    <w:rsid w:val="00FD7A77"/>
    <w:rsid w:val="00FD7F36"/>
    <w:rsid w:val="00FE03A3"/>
    <w:rsid w:val="00FE062B"/>
    <w:rsid w:val="00FE0723"/>
    <w:rsid w:val="00FE0DFE"/>
    <w:rsid w:val="00FE1289"/>
    <w:rsid w:val="00FE12FE"/>
    <w:rsid w:val="00FE16F9"/>
    <w:rsid w:val="00FE17AB"/>
    <w:rsid w:val="00FE18C0"/>
    <w:rsid w:val="00FE26AA"/>
    <w:rsid w:val="00FE2895"/>
    <w:rsid w:val="00FE28A9"/>
    <w:rsid w:val="00FE2C81"/>
    <w:rsid w:val="00FE35B1"/>
    <w:rsid w:val="00FE45D8"/>
    <w:rsid w:val="00FE4D35"/>
    <w:rsid w:val="00FE4EE1"/>
    <w:rsid w:val="00FE5383"/>
    <w:rsid w:val="00FE5407"/>
    <w:rsid w:val="00FE581E"/>
    <w:rsid w:val="00FE595E"/>
    <w:rsid w:val="00FE627F"/>
    <w:rsid w:val="00FE680D"/>
    <w:rsid w:val="00FE7A04"/>
    <w:rsid w:val="00FE7BC2"/>
    <w:rsid w:val="00FE7C5C"/>
    <w:rsid w:val="00FF0071"/>
    <w:rsid w:val="00FF00BF"/>
    <w:rsid w:val="00FF0BB2"/>
    <w:rsid w:val="00FF1016"/>
    <w:rsid w:val="00FF166F"/>
    <w:rsid w:val="00FF1831"/>
    <w:rsid w:val="00FF2E5C"/>
    <w:rsid w:val="00FF2FAD"/>
    <w:rsid w:val="00FF399D"/>
    <w:rsid w:val="00FF3AFB"/>
    <w:rsid w:val="00FF407B"/>
    <w:rsid w:val="00FF4084"/>
    <w:rsid w:val="00FF41AA"/>
    <w:rsid w:val="00FF4A41"/>
    <w:rsid w:val="00FF4F37"/>
    <w:rsid w:val="00FF54A3"/>
    <w:rsid w:val="00FF6335"/>
    <w:rsid w:val="00FF6865"/>
    <w:rsid w:val="00FF6A44"/>
    <w:rsid w:val="00FF6A9E"/>
    <w:rsid w:val="00FF6ED8"/>
    <w:rsid w:val="00FF7126"/>
    <w:rsid w:val="00FF7604"/>
    <w:rsid w:val="00FF76B7"/>
    <w:rsid w:val="00FF7D5C"/>
    <w:rsid w:val="0C029551"/>
    <w:rsid w:val="1171C4A0"/>
    <w:rsid w:val="122B719E"/>
    <w:rsid w:val="164BF921"/>
    <w:rsid w:val="17B57FE6"/>
    <w:rsid w:val="1B26669D"/>
    <w:rsid w:val="1B5D8A2A"/>
    <w:rsid w:val="1D59FCB9"/>
    <w:rsid w:val="20FF0C51"/>
    <w:rsid w:val="226EAE48"/>
    <w:rsid w:val="257763A7"/>
    <w:rsid w:val="25E2E571"/>
    <w:rsid w:val="261CF0AD"/>
    <w:rsid w:val="2B2A6976"/>
    <w:rsid w:val="2D1A67CC"/>
    <w:rsid w:val="2E3D8E87"/>
    <w:rsid w:val="3333792F"/>
    <w:rsid w:val="343CBBAD"/>
    <w:rsid w:val="34EC95B1"/>
    <w:rsid w:val="369067B1"/>
    <w:rsid w:val="375A7591"/>
    <w:rsid w:val="38207CAD"/>
    <w:rsid w:val="3A307DB6"/>
    <w:rsid w:val="3BDD2810"/>
    <w:rsid w:val="3D83DEC4"/>
    <w:rsid w:val="3DA6E072"/>
    <w:rsid w:val="3E56FB4C"/>
    <w:rsid w:val="3F988086"/>
    <w:rsid w:val="461BA1EF"/>
    <w:rsid w:val="4950594D"/>
    <w:rsid w:val="4A759E9A"/>
    <w:rsid w:val="4B928072"/>
    <w:rsid w:val="4C300D71"/>
    <w:rsid w:val="4D6BEBD0"/>
    <w:rsid w:val="51D34CE6"/>
    <w:rsid w:val="51F40D9D"/>
    <w:rsid w:val="5323EEB2"/>
    <w:rsid w:val="57CEDACB"/>
    <w:rsid w:val="5CB0E5C7"/>
    <w:rsid w:val="5D0A3023"/>
    <w:rsid w:val="5D8526B4"/>
    <w:rsid w:val="65FF4E89"/>
    <w:rsid w:val="66B94BA0"/>
    <w:rsid w:val="66D9D40F"/>
    <w:rsid w:val="67033E13"/>
    <w:rsid w:val="6B9CE6FD"/>
    <w:rsid w:val="6DCF0567"/>
    <w:rsid w:val="6EBD258C"/>
    <w:rsid w:val="70F59C08"/>
    <w:rsid w:val="74BF6B07"/>
    <w:rsid w:val="75448AE6"/>
    <w:rsid w:val="772DE480"/>
    <w:rsid w:val="779AF5E4"/>
    <w:rsid w:val="782AEDAF"/>
    <w:rsid w:val="786A872D"/>
    <w:rsid w:val="7BE07F1D"/>
    <w:rsid w:val="7C001A0A"/>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ACD5B26"/>
  <w15:docId w15:val="{7626F246-EA95-4E41-8EB6-60F61ABDDA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DD71D2"/>
    <w:rPr>
      <w:rFonts w:ascii="Arial" w:hAnsi="Arial"/>
    </w:rPr>
  </w:style>
  <w:style w:type="paragraph" w:styleId="Nadpis1">
    <w:name w:val="heading 1"/>
    <w:basedOn w:val="Normln"/>
    <w:next w:val="Normln"/>
    <w:link w:val="Nadpis1Char"/>
    <w:uiPriority w:val="9"/>
    <w:qFormat/>
    <w:rsid w:val="00AD12A9"/>
    <w:pPr>
      <w:keepNext/>
      <w:keepLines/>
      <w:numPr>
        <w:numId w:val="6"/>
      </w:numPr>
      <w:spacing w:after="120"/>
      <w:jc w:val="both"/>
      <w:outlineLvl w:val="0"/>
    </w:pPr>
    <w:rPr>
      <w:rFonts w:asciiTheme="majorHAnsi" w:eastAsiaTheme="majorEastAsia" w:hAnsiTheme="majorHAnsi" w:cstheme="majorBidi"/>
      <w:b/>
      <w:bCs/>
      <w:color w:val="365F91" w:themeColor="accent1" w:themeShade="BF"/>
      <w:sz w:val="36"/>
      <w:szCs w:val="28"/>
    </w:rPr>
  </w:style>
  <w:style w:type="paragraph" w:styleId="Nadpis2">
    <w:name w:val="heading 2"/>
    <w:basedOn w:val="Normln"/>
    <w:next w:val="Normln"/>
    <w:link w:val="Nadpis2Char"/>
    <w:uiPriority w:val="9"/>
    <w:unhideWhenUsed/>
    <w:qFormat/>
    <w:rsid w:val="007C31D3"/>
    <w:pPr>
      <w:keepNext/>
      <w:keepLines/>
      <w:numPr>
        <w:ilvl w:val="1"/>
        <w:numId w:val="6"/>
      </w:numPr>
      <w:spacing w:before="120" w:after="120"/>
      <w:jc w:val="both"/>
      <w:outlineLvl w:val="1"/>
    </w:pPr>
    <w:rPr>
      <w:rFonts w:asciiTheme="majorHAnsi" w:eastAsiaTheme="majorEastAsia" w:hAnsiTheme="majorHAnsi" w:cstheme="majorBidi"/>
      <w:b/>
      <w:bCs/>
      <w:color w:val="4F81BD" w:themeColor="accent1"/>
      <w:sz w:val="32"/>
      <w:szCs w:val="26"/>
    </w:rPr>
  </w:style>
  <w:style w:type="paragraph" w:styleId="Nadpis3">
    <w:name w:val="heading 3"/>
    <w:basedOn w:val="Normln"/>
    <w:next w:val="Normln"/>
    <w:link w:val="Nadpis3Char"/>
    <w:uiPriority w:val="9"/>
    <w:unhideWhenUsed/>
    <w:qFormat/>
    <w:rsid w:val="007C31D3"/>
    <w:pPr>
      <w:keepNext/>
      <w:keepLines/>
      <w:spacing w:after="120"/>
      <w:outlineLvl w:val="2"/>
    </w:pPr>
    <w:rPr>
      <w:rFonts w:asciiTheme="majorHAnsi" w:eastAsiaTheme="majorEastAsia" w:hAnsiTheme="majorHAnsi" w:cstheme="majorBidi"/>
      <w:b/>
      <w:bCs/>
      <w:color w:val="4F81BD" w:themeColor="accent1"/>
      <w:sz w:val="24"/>
    </w:rPr>
  </w:style>
  <w:style w:type="paragraph" w:styleId="Nadpis4">
    <w:name w:val="heading 4"/>
    <w:basedOn w:val="Normln"/>
    <w:next w:val="Normln"/>
    <w:link w:val="Nadpis4Char"/>
    <w:uiPriority w:val="9"/>
    <w:unhideWhenUsed/>
    <w:qFormat/>
    <w:rsid w:val="00931F0B"/>
    <w:pPr>
      <w:keepNext/>
      <w:keepLines/>
      <w:numPr>
        <w:ilvl w:val="3"/>
        <w:numId w:val="6"/>
      </w:numPr>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uiPriority w:val="9"/>
    <w:unhideWhenUsed/>
    <w:qFormat/>
    <w:rsid w:val="00931F0B"/>
    <w:pPr>
      <w:keepNext/>
      <w:keepLines/>
      <w:numPr>
        <w:ilvl w:val="4"/>
        <w:numId w:val="6"/>
      </w:numPr>
      <w:spacing w:before="200" w:after="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semiHidden/>
    <w:unhideWhenUsed/>
    <w:qFormat/>
    <w:rsid w:val="00931F0B"/>
    <w:pPr>
      <w:keepNext/>
      <w:keepLines/>
      <w:numPr>
        <w:ilvl w:val="5"/>
        <w:numId w:val="6"/>
      </w:numPr>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931F0B"/>
    <w:pPr>
      <w:keepNext/>
      <w:keepLines/>
      <w:numPr>
        <w:ilvl w:val="6"/>
        <w:numId w:val="6"/>
      </w:numPr>
      <w:spacing w:before="200" w:after="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rsid w:val="00931F0B"/>
    <w:pPr>
      <w:keepNext/>
      <w:keepLines/>
      <w:numPr>
        <w:ilvl w:val="7"/>
        <w:numId w:val="6"/>
      </w:numPr>
      <w:spacing w:before="200" w:after="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931F0B"/>
    <w:pPr>
      <w:keepNext/>
      <w:keepLines/>
      <w:numPr>
        <w:ilvl w:val="8"/>
        <w:numId w:val="6"/>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AD12A9"/>
    <w:rPr>
      <w:rFonts w:asciiTheme="majorHAnsi" w:eastAsiaTheme="majorEastAsia" w:hAnsiTheme="majorHAnsi" w:cstheme="majorBidi"/>
      <w:b/>
      <w:bCs/>
      <w:color w:val="365F91" w:themeColor="accent1" w:themeShade="BF"/>
      <w:sz w:val="36"/>
      <w:szCs w:val="28"/>
    </w:rPr>
  </w:style>
  <w:style w:type="paragraph" w:styleId="Odstavecseseznamem">
    <w:name w:val="List Paragraph"/>
    <w:aliases w:val="Odstavec_muj,Nad,Odstavec cíl se seznamem,Odstavec se seznamem5,název výzvy,Název grafu,nad 1,Odstavec se seznamem1,List Paragraph1,Odstavec_muj1,Odstavec_muj2,Odstavec_muj3,Nad1,Odstavec_muj4,Nad2,List Paragraph2,List Paragraph"/>
    <w:basedOn w:val="Normln"/>
    <w:link w:val="OdstavecseseznamemChar"/>
    <w:uiPriority w:val="34"/>
    <w:qFormat/>
    <w:rsid w:val="000822A0"/>
    <w:pPr>
      <w:ind w:left="720"/>
      <w:contextualSpacing/>
    </w:pPr>
  </w:style>
  <w:style w:type="paragraph" w:styleId="Zhlav">
    <w:name w:val="header"/>
    <w:basedOn w:val="Normln"/>
    <w:link w:val="ZhlavChar"/>
    <w:uiPriority w:val="99"/>
    <w:unhideWhenUsed/>
    <w:rsid w:val="00D1434E"/>
    <w:pPr>
      <w:tabs>
        <w:tab w:val="center" w:pos="4536"/>
        <w:tab w:val="right" w:pos="9072"/>
      </w:tabs>
      <w:spacing w:after="0" w:line="240" w:lineRule="auto"/>
      <w:jc w:val="right"/>
    </w:pPr>
    <w:rPr>
      <w:sz w:val="24"/>
    </w:rPr>
  </w:style>
  <w:style w:type="character" w:customStyle="1" w:styleId="ZhlavChar">
    <w:name w:val="Záhlaví Char"/>
    <w:basedOn w:val="Standardnpsmoodstavce"/>
    <w:link w:val="Zhlav"/>
    <w:uiPriority w:val="99"/>
    <w:rsid w:val="00D1434E"/>
    <w:rPr>
      <w:sz w:val="24"/>
    </w:rPr>
  </w:style>
  <w:style w:type="paragraph" w:styleId="Zpat">
    <w:name w:val="footer"/>
    <w:basedOn w:val="Normln"/>
    <w:link w:val="ZpatChar"/>
    <w:uiPriority w:val="99"/>
    <w:unhideWhenUsed/>
    <w:rsid w:val="00F24F99"/>
    <w:pPr>
      <w:tabs>
        <w:tab w:val="center" w:pos="4536"/>
        <w:tab w:val="right" w:pos="9072"/>
      </w:tabs>
      <w:spacing w:after="0" w:line="240" w:lineRule="auto"/>
      <w:jc w:val="center"/>
    </w:pPr>
  </w:style>
  <w:style w:type="character" w:customStyle="1" w:styleId="ZpatChar">
    <w:name w:val="Zápatí Char"/>
    <w:basedOn w:val="Standardnpsmoodstavce"/>
    <w:link w:val="Zpat"/>
    <w:uiPriority w:val="99"/>
    <w:rsid w:val="00F24F99"/>
  </w:style>
  <w:style w:type="character" w:styleId="Hypertextovodkaz">
    <w:name w:val="Hyperlink"/>
    <w:basedOn w:val="Standardnpsmoodstavce"/>
    <w:uiPriority w:val="99"/>
    <w:unhideWhenUsed/>
    <w:rsid w:val="00956D00"/>
    <w:rPr>
      <w:rFonts w:ascii="Arial" w:hAnsi="Arial"/>
      <w:strike w:val="0"/>
      <w:dstrike w:val="0"/>
      <w:color w:val="00559A"/>
      <w:u w:val="none"/>
      <w:effect w:val="none"/>
    </w:rPr>
  </w:style>
  <w:style w:type="paragraph" w:styleId="Podnadpis">
    <w:name w:val="Subtitle"/>
    <w:aliases w:val="nadpis 2"/>
    <w:basedOn w:val="Normln"/>
    <w:next w:val="Normln"/>
    <w:link w:val="PodnadpisChar"/>
    <w:uiPriority w:val="11"/>
    <w:qFormat/>
    <w:rsid w:val="000822A0"/>
    <w:pPr>
      <w:keepNext/>
      <w:numPr>
        <w:ilvl w:val="1"/>
        <w:numId w:val="2"/>
      </w:numPr>
      <w:spacing w:before="120" w:after="120" w:line="240" w:lineRule="auto"/>
    </w:pPr>
    <w:rPr>
      <w:rFonts w:asciiTheme="majorHAnsi" w:eastAsiaTheme="majorEastAsia" w:hAnsiTheme="majorHAnsi" w:cstheme="majorBidi"/>
      <w:b/>
      <w:iCs/>
      <w:spacing w:val="15"/>
      <w:sz w:val="24"/>
      <w:szCs w:val="24"/>
      <w:lang w:eastAsia="cs-CZ"/>
    </w:rPr>
  </w:style>
  <w:style w:type="character" w:customStyle="1" w:styleId="PodnadpisChar">
    <w:name w:val="Podnadpis Char"/>
    <w:aliases w:val="nadpis 2 Char"/>
    <w:basedOn w:val="Standardnpsmoodstavce"/>
    <w:link w:val="Podnadpis"/>
    <w:uiPriority w:val="11"/>
    <w:rsid w:val="000822A0"/>
    <w:rPr>
      <w:rFonts w:asciiTheme="majorHAnsi" w:eastAsiaTheme="majorEastAsia" w:hAnsiTheme="majorHAnsi" w:cstheme="majorBidi"/>
      <w:b/>
      <w:iCs/>
      <w:spacing w:val="15"/>
      <w:sz w:val="24"/>
      <w:szCs w:val="24"/>
      <w:lang w:eastAsia="cs-CZ"/>
    </w:rPr>
  </w:style>
  <w:style w:type="paragraph" w:styleId="Nzev">
    <w:name w:val="Title"/>
    <w:basedOn w:val="Normln"/>
    <w:next w:val="Normln"/>
    <w:link w:val="NzevChar"/>
    <w:qFormat/>
    <w:rsid w:val="00011DB4"/>
    <w:pPr>
      <w:pBdr>
        <w:bottom w:val="single" w:sz="8" w:space="4" w:color="4F81BD" w:themeColor="accent1"/>
      </w:pBdr>
      <w:spacing w:before="4000" w:after="300" w:line="240" w:lineRule="auto"/>
      <w:contextualSpacing/>
      <w:jc w:val="center"/>
    </w:pPr>
    <w:rPr>
      <w:rFonts w:asciiTheme="majorHAnsi" w:eastAsiaTheme="majorEastAsia" w:hAnsiTheme="majorHAnsi" w:cstheme="majorBidi"/>
      <w:smallCaps/>
      <w:color w:val="17365D" w:themeColor="text2" w:themeShade="BF"/>
      <w:spacing w:val="5"/>
      <w:kern w:val="28"/>
      <w:sz w:val="52"/>
      <w:szCs w:val="52"/>
      <w:lang w:eastAsia="cs-CZ"/>
    </w:rPr>
  </w:style>
  <w:style w:type="character" w:customStyle="1" w:styleId="NzevChar">
    <w:name w:val="Název Char"/>
    <w:basedOn w:val="Standardnpsmoodstavce"/>
    <w:link w:val="Nzev"/>
    <w:rsid w:val="00011DB4"/>
    <w:rPr>
      <w:rFonts w:asciiTheme="majorHAnsi" w:eastAsiaTheme="majorEastAsia" w:hAnsiTheme="majorHAnsi" w:cstheme="majorBidi"/>
      <w:smallCaps/>
      <w:color w:val="17365D" w:themeColor="text2" w:themeShade="BF"/>
      <w:spacing w:val="5"/>
      <w:kern w:val="28"/>
      <w:sz w:val="52"/>
      <w:szCs w:val="52"/>
      <w:lang w:eastAsia="cs-CZ"/>
    </w:rPr>
  </w:style>
  <w:style w:type="paragraph" w:styleId="Textpoznpodarou">
    <w:name w:val="footnote text"/>
    <w:aliases w:val="Schriftart: 9 pt,Schriftart: 10 pt,Schriftart: 8 pt,Text poznámky pod čiarou 007,Footnote,Fußnotentextf,Geneva 9,Font: Geneva 9,Boston 10,f,pozn. pod čarou,Char,Text pozn. pod čarou1,Char Char Char1,Char Char1,Footnote Text Char1,o"/>
    <w:basedOn w:val="Normln"/>
    <w:link w:val="TextpoznpodarouChar"/>
    <w:uiPriority w:val="99"/>
    <w:qFormat/>
    <w:rsid w:val="00F24F99"/>
    <w:pPr>
      <w:spacing w:after="0" w:line="360" w:lineRule="auto"/>
      <w:contextualSpacing/>
      <w:jc w:val="both"/>
    </w:pPr>
    <w:rPr>
      <w:rFonts w:eastAsia="Times New Roman" w:cs="Times New Roman"/>
      <w:sz w:val="18"/>
      <w:szCs w:val="20"/>
      <w:lang w:eastAsia="cs-CZ"/>
    </w:rPr>
  </w:style>
  <w:style w:type="character" w:customStyle="1" w:styleId="TextpoznpodarouChar">
    <w:name w:val="Text pozn. pod čarou Char"/>
    <w:aliases w:val="Schriftart: 9 pt Char,Schriftart: 10 pt Char,Schriftart: 8 pt Char,Text poznámky pod čiarou 007 Char,Footnote Char,Fußnotentextf Char,Geneva 9 Char,Font: Geneva 9 Char,Boston 10 Char,f Char,pozn. pod čarou Char,Char Char,o Char"/>
    <w:basedOn w:val="Standardnpsmoodstavce"/>
    <w:link w:val="Textpoznpodarou"/>
    <w:uiPriority w:val="99"/>
    <w:qFormat/>
    <w:rsid w:val="00F24F99"/>
    <w:rPr>
      <w:rFonts w:ascii="Arial" w:eastAsia="Times New Roman" w:hAnsi="Arial" w:cs="Times New Roman"/>
      <w:sz w:val="18"/>
      <w:szCs w:val="20"/>
      <w:lang w:eastAsia="cs-CZ"/>
    </w:rPr>
  </w:style>
  <w:style w:type="character" w:styleId="Znakapoznpodarou">
    <w:name w:val="footnote reference"/>
    <w:aliases w:val="BVI fnr,Footnote symbol,Footnote Reference Superscript,Appel note de bas de p,Appel note de bas de page,Légende,Char Car Car Car Car,Voetnootverwijzing,PGI Fußnote Ziffer,Footnote Reference Number,Légende.Char Car Car Car Car,Ref"/>
    <w:basedOn w:val="Standardnpsmoodstavce"/>
    <w:link w:val="stylishCar"/>
    <w:uiPriority w:val="99"/>
    <w:qFormat/>
    <w:rsid w:val="000822A0"/>
    <w:rPr>
      <w:vertAlign w:val="superscript"/>
    </w:rPr>
  </w:style>
  <w:style w:type="paragraph" w:styleId="Textbubliny">
    <w:name w:val="Balloon Text"/>
    <w:basedOn w:val="Normln"/>
    <w:link w:val="TextbublinyChar"/>
    <w:uiPriority w:val="99"/>
    <w:semiHidden/>
    <w:unhideWhenUsed/>
    <w:rsid w:val="000822A0"/>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822A0"/>
    <w:rPr>
      <w:rFonts w:ascii="Tahoma" w:hAnsi="Tahoma" w:cs="Tahoma"/>
      <w:sz w:val="16"/>
      <w:szCs w:val="16"/>
    </w:rPr>
  </w:style>
  <w:style w:type="paragraph" w:styleId="Normlnweb">
    <w:name w:val="Normal (Web)"/>
    <w:basedOn w:val="Normln"/>
    <w:uiPriority w:val="99"/>
    <w:unhideWhenUsed/>
    <w:rsid w:val="000822A0"/>
    <w:rPr>
      <w:rFonts w:ascii="Times New Roman" w:hAnsi="Times New Roman" w:cs="Times New Roman"/>
      <w:sz w:val="24"/>
      <w:szCs w:val="24"/>
    </w:rPr>
  </w:style>
  <w:style w:type="character" w:styleId="Odkaznakoment">
    <w:name w:val="annotation reference"/>
    <w:basedOn w:val="Standardnpsmoodstavce"/>
    <w:uiPriority w:val="99"/>
    <w:rsid w:val="00C41DE7"/>
    <w:rPr>
      <w:sz w:val="16"/>
      <w:szCs w:val="16"/>
    </w:rPr>
  </w:style>
  <w:style w:type="paragraph" w:styleId="Textkomente">
    <w:name w:val="annotation text"/>
    <w:basedOn w:val="Normln"/>
    <w:link w:val="TextkomenteChar"/>
    <w:uiPriority w:val="99"/>
    <w:rsid w:val="00C41DE7"/>
    <w:pPr>
      <w:spacing w:after="0" w:line="240" w:lineRule="auto"/>
    </w:pPr>
    <w:rPr>
      <w:rFonts w:ascii="Times New Roman" w:eastAsia="Times New Roman" w:hAnsi="Times New Roman" w:cs="Times New Roman"/>
      <w:sz w:val="20"/>
      <w:szCs w:val="20"/>
      <w:lang w:eastAsia="cs-CZ"/>
    </w:rPr>
  </w:style>
  <w:style w:type="character" w:customStyle="1" w:styleId="TextkomenteChar">
    <w:name w:val="Text komentáře Char"/>
    <w:basedOn w:val="Standardnpsmoodstavce"/>
    <w:link w:val="Textkomente"/>
    <w:uiPriority w:val="99"/>
    <w:rsid w:val="00C41DE7"/>
    <w:rPr>
      <w:rFonts w:ascii="Times New Roman" w:eastAsia="Times New Roman" w:hAnsi="Times New Roman" w:cs="Times New Roman"/>
      <w:sz w:val="20"/>
      <w:szCs w:val="20"/>
      <w:lang w:eastAsia="cs-CZ"/>
    </w:rPr>
  </w:style>
  <w:style w:type="paragraph" w:styleId="Pedmtkomente">
    <w:name w:val="annotation subject"/>
    <w:basedOn w:val="Textkomente"/>
    <w:next w:val="Textkomente"/>
    <w:link w:val="PedmtkomenteChar"/>
    <w:uiPriority w:val="99"/>
    <w:semiHidden/>
    <w:unhideWhenUsed/>
    <w:rsid w:val="006A04BF"/>
    <w:pPr>
      <w:spacing w:after="200"/>
    </w:pPr>
    <w:rPr>
      <w:rFonts w:asciiTheme="minorHAnsi" w:eastAsiaTheme="minorHAnsi" w:hAnsiTheme="minorHAnsi" w:cstheme="minorBidi"/>
      <w:b/>
      <w:bCs/>
      <w:lang w:eastAsia="en-US"/>
    </w:rPr>
  </w:style>
  <w:style w:type="character" w:customStyle="1" w:styleId="PedmtkomenteChar">
    <w:name w:val="Předmět komentáře Char"/>
    <w:basedOn w:val="TextkomenteChar"/>
    <w:link w:val="Pedmtkomente"/>
    <w:uiPriority w:val="99"/>
    <w:semiHidden/>
    <w:rsid w:val="006A04BF"/>
    <w:rPr>
      <w:rFonts w:ascii="Times New Roman" w:eastAsia="Times New Roman" w:hAnsi="Times New Roman" w:cs="Times New Roman"/>
      <w:b/>
      <w:bCs/>
      <w:sz w:val="20"/>
      <w:szCs w:val="20"/>
      <w:lang w:eastAsia="cs-CZ"/>
    </w:rPr>
  </w:style>
  <w:style w:type="paragraph" w:styleId="Revize">
    <w:name w:val="Revision"/>
    <w:hidden/>
    <w:uiPriority w:val="99"/>
    <w:semiHidden/>
    <w:rsid w:val="006A04BF"/>
    <w:pPr>
      <w:spacing w:after="0" w:line="240" w:lineRule="auto"/>
    </w:pPr>
  </w:style>
  <w:style w:type="paragraph" w:customStyle="1" w:styleId="Obrzek-nadpis">
    <w:name w:val="Obrázek - nadpis"/>
    <w:basedOn w:val="Normln"/>
    <w:qFormat/>
    <w:rsid w:val="005C2975"/>
    <w:pPr>
      <w:keepNext/>
      <w:spacing w:before="120" w:after="240" w:line="240" w:lineRule="auto"/>
      <w:jc w:val="both"/>
    </w:pPr>
    <w:rPr>
      <w:rFonts w:eastAsia="Times New Roman" w:cs="Times New Roman"/>
      <w:b/>
      <w:szCs w:val="24"/>
      <w:lang w:eastAsia="cs-CZ"/>
    </w:rPr>
  </w:style>
  <w:style w:type="paragraph" w:customStyle="1" w:styleId="Zdroj">
    <w:name w:val="Zdroj"/>
    <w:basedOn w:val="Normln"/>
    <w:qFormat/>
    <w:rsid w:val="00AD6656"/>
    <w:pPr>
      <w:spacing w:before="120" w:after="120" w:line="240" w:lineRule="auto"/>
    </w:pPr>
    <w:rPr>
      <w:rFonts w:eastAsia="Times New Roman" w:cs="Times New Roman"/>
      <w:i/>
      <w:sz w:val="18"/>
      <w:szCs w:val="24"/>
      <w:lang w:eastAsia="cs-CZ"/>
    </w:rPr>
  </w:style>
  <w:style w:type="paragraph" w:customStyle="1" w:styleId="komentzaobrzkem">
    <w:name w:val="komentář za obrázkem"/>
    <w:basedOn w:val="Normln"/>
    <w:qFormat/>
    <w:rsid w:val="00055617"/>
    <w:pPr>
      <w:spacing w:after="60" w:line="240" w:lineRule="auto"/>
      <w:jc w:val="both"/>
    </w:pPr>
    <w:rPr>
      <w:rFonts w:eastAsia="Times New Roman" w:cs="Times New Roman"/>
      <w:i/>
      <w:sz w:val="18"/>
      <w:szCs w:val="24"/>
      <w:lang w:eastAsia="cs-CZ"/>
    </w:rPr>
  </w:style>
  <w:style w:type="paragraph" w:customStyle="1" w:styleId="komentzaobrzkem-odrky">
    <w:name w:val="komentář za obrázkem - odrážky"/>
    <w:basedOn w:val="komentzaobrzkem"/>
    <w:qFormat/>
    <w:rsid w:val="00055617"/>
    <w:pPr>
      <w:numPr>
        <w:ilvl w:val="2"/>
        <w:numId w:val="1"/>
      </w:numPr>
      <w:spacing w:after="0"/>
    </w:pPr>
  </w:style>
  <w:style w:type="paragraph" w:customStyle="1" w:styleId="NadpisurovenI">
    <w:name w:val="Nadpis_uroven_I"/>
    <w:basedOn w:val="Normln"/>
    <w:qFormat/>
    <w:rsid w:val="00DA646C"/>
    <w:pPr>
      <w:keepNext/>
      <w:keepLines/>
      <w:spacing w:before="240" w:after="240" w:line="240" w:lineRule="auto"/>
      <w:outlineLvl w:val="0"/>
    </w:pPr>
    <w:rPr>
      <w:rFonts w:asciiTheme="majorHAnsi" w:eastAsiaTheme="majorEastAsia" w:hAnsiTheme="majorHAnsi" w:cstheme="majorBidi"/>
      <w:b/>
      <w:bCs/>
      <w:color w:val="365F91" w:themeColor="accent1" w:themeShade="BF"/>
      <w:sz w:val="28"/>
      <w:szCs w:val="28"/>
      <w:lang w:eastAsia="cs-CZ"/>
    </w:rPr>
  </w:style>
  <w:style w:type="paragraph" w:customStyle="1" w:styleId="NadpisurovemII">
    <w:name w:val="Nadpis_urovem_II"/>
    <w:basedOn w:val="NadpisurovenI"/>
    <w:qFormat/>
    <w:rsid w:val="000C142B"/>
    <w:pPr>
      <w:spacing w:before="120" w:after="120"/>
    </w:pPr>
    <w:rPr>
      <w:sz w:val="24"/>
    </w:rPr>
  </w:style>
  <w:style w:type="paragraph" w:customStyle="1" w:styleId="Platformanadpis">
    <w:name w:val="Platforma_nadpis"/>
    <w:basedOn w:val="Normln"/>
    <w:qFormat/>
    <w:rsid w:val="00613032"/>
    <w:pPr>
      <w:spacing w:before="120" w:after="120" w:line="240" w:lineRule="auto"/>
      <w:jc w:val="both"/>
    </w:pPr>
    <w:rPr>
      <w:rFonts w:eastAsia="Times New Roman" w:cs="Arial"/>
      <w:b/>
      <w:lang w:eastAsia="cs-CZ"/>
    </w:rPr>
  </w:style>
  <w:style w:type="paragraph" w:styleId="Nadpisobsahu">
    <w:name w:val="TOC Heading"/>
    <w:next w:val="Normln"/>
    <w:uiPriority w:val="39"/>
    <w:unhideWhenUsed/>
    <w:qFormat/>
    <w:rsid w:val="00011DB4"/>
    <w:pPr>
      <w:outlineLvl w:val="0"/>
    </w:pPr>
    <w:rPr>
      <w:rFonts w:asciiTheme="majorHAnsi" w:eastAsiaTheme="majorEastAsia" w:hAnsiTheme="majorHAnsi" w:cstheme="majorBidi"/>
      <w:b/>
      <w:bCs/>
      <w:smallCaps/>
      <w:color w:val="365F91" w:themeColor="accent1" w:themeShade="BF"/>
      <w:sz w:val="36"/>
      <w:szCs w:val="28"/>
      <w:lang w:eastAsia="cs-CZ"/>
    </w:rPr>
  </w:style>
  <w:style w:type="paragraph" w:styleId="Obsah1">
    <w:name w:val="toc 1"/>
    <w:basedOn w:val="Normln"/>
    <w:next w:val="Normln"/>
    <w:autoRedefine/>
    <w:uiPriority w:val="39"/>
    <w:unhideWhenUsed/>
    <w:qFormat/>
    <w:rsid w:val="00E33AC1"/>
    <w:pPr>
      <w:tabs>
        <w:tab w:val="right" w:leader="dot" w:pos="9639"/>
        <w:tab w:val="right" w:pos="10206"/>
      </w:tabs>
      <w:spacing w:after="0"/>
      <w:ind w:left="680" w:right="-2" w:hanging="680"/>
      <w:jc w:val="both"/>
    </w:pPr>
    <w:rPr>
      <w:noProof/>
    </w:rPr>
  </w:style>
  <w:style w:type="paragraph" w:styleId="Obsah2">
    <w:name w:val="toc 2"/>
    <w:basedOn w:val="Normln"/>
    <w:next w:val="Normln"/>
    <w:autoRedefine/>
    <w:uiPriority w:val="39"/>
    <w:unhideWhenUsed/>
    <w:qFormat/>
    <w:rsid w:val="00C23C23"/>
    <w:pPr>
      <w:tabs>
        <w:tab w:val="left" w:pos="1100"/>
        <w:tab w:val="right" w:leader="dot" w:pos="9639"/>
      </w:tabs>
      <w:spacing w:after="0"/>
      <w:ind w:left="851" w:hanging="426"/>
    </w:pPr>
    <w:rPr>
      <w:rFonts w:eastAsiaTheme="minorEastAsia"/>
      <w:sz w:val="20"/>
      <w:lang w:eastAsia="cs-CZ"/>
    </w:rPr>
  </w:style>
  <w:style w:type="paragraph" w:styleId="Obsah3">
    <w:name w:val="toc 3"/>
    <w:basedOn w:val="Normln"/>
    <w:next w:val="Normln"/>
    <w:autoRedefine/>
    <w:uiPriority w:val="39"/>
    <w:unhideWhenUsed/>
    <w:qFormat/>
    <w:rsid w:val="00956D00"/>
    <w:pPr>
      <w:spacing w:after="100"/>
      <w:ind w:left="440"/>
    </w:pPr>
    <w:rPr>
      <w:rFonts w:eastAsiaTheme="minorEastAsia"/>
      <w:lang w:eastAsia="cs-CZ"/>
    </w:rPr>
  </w:style>
  <w:style w:type="character" w:customStyle="1" w:styleId="Nadpis2Char">
    <w:name w:val="Nadpis 2 Char"/>
    <w:basedOn w:val="Standardnpsmoodstavce"/>
    <w:link w:val="Nadpis2"/>
    <w:uiPriority w:val="9"/>
    <w:rsid w:val="007C31D3"/>
    <w:rPr>
      <w:rFonts w:asciiTheme="majorHAnsi" w:eastAsiaTheme="majorEastAsia" w:hAnsiTheme="majorHAnsi" w:cstheme="majorBidi"/>
      <w:b/>
      <w:bCs/>
      <w:color w:val="4F81BD" w:themeColor="accent1"/>
      <w:sz w:val="32"/>
      <w:szCs w:val="26"/>
    </w:rPr>
  </w:style>
  <w:style w:type="character" w:customStyle="1" w:styleId="Nadpis3Char">
    <w:name w:val="Nadpis 3 Char"/>
    <w:basedOn w:val="Standardnpsmoodstavce"/>
    <w:link w:val="Nadpis3"/>
    <w:uiPriority w:val="9"/>
    <w:rsid w:val="007C31D3"/>
    <w:rPr>
      <w:rFonts w:asciiTheme="majorHAnsi" w:eastAsiaTheme="majorEastAsia" w:hAnsiTheme="majorHAnsi" w:cstheme="majorBidi"/>
      <w:b/>
      <w:bCs/>
      <w:color w:val="4F81BD" w:themeColor="accent1"/>
      <w:sz w:val="24"/>
    </w:rPr>
  </w:style>
  <w:style w:type="character" w:styleId="Zstupntext">
    <w:name w:val="Placeholder Text"/>
    <w:basedOn w:val="Standardnpsmoodstavce"/>
    <w:uiPriority w:val="99"/>
    <w:semiHidden/>
    <w:rsid w:val="006338C7"/>
    <w:rPr>
      <w:color w:val="808080"/>
    </w:rPr>
  </w:style>
  <w:style w:type="paragraph" w:styleId="Bezmezer">
    <w:name w:val="No Spacing"/>
    <w:link w:val="BezmezerChar"/>
    <w:uiPriority w:val="1"/>
    <w:qFormat/>
    <w:rsid w:val="006338C7"/>
    <w:pPr>
      <w:spacing w:after="0" w:line="240" w:lineRule="auto"/>
    </w:pPr>
  </w:style>
  <w:style w:type="paragraph" w:styleId="Textvysvtlivek">
    <w:name w:val="endnote text"/>
    <w:basedOn w:val="Normln"/>
    <w:link w:val="TextvysvtlivekChar"/>
    <w:uiPriority w:val="99"/>
    <w:unhideWhenUsed/>
    <w:rsid w:val="006338C7"/>
    <w:pPr>
      <w:spacing w:after="0" w:line="240" w:lineRule="auto"/>
    </w:pPr>
    <w:rPr>
      <w:sz w:val="20"/>
      <w:szCs w:val="20"/>
    </w:rPr>
  </w:style>
  <w:style w:type="character" w:customStyle="1" w:styleId="TextvysvtlivekChar">
    <w:name w:val="Text vysvětlivek Char"/>
    <w:basedOn w:val="Standardnpsmoodstavce"/>
    <w:link w:val="Textvysvtlivek"/>
    <w:uiPriority w:val="99"/>
    <w:rsid w:val="006338C7"/>
    <w:rPr>
      <w:sz w:val="20"/>
      <w:szCs w:val="20"/>
    </w:rPr>
  </w:style>
  <w:style w:type="table" w:styleId="Mkatabulky">
    <w:name w:val="Table Grid"/>
    <w:basedOn w:val="Normlntabulka"/>
    <w:uiPriority w:val="39"/>
    <w:rsid w:val="00D33F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1">
    <w:name w:val="st1"/>
    <w:rsid w:val="00AD7092"/>
  </w:style>
  <w:style w:type="paragraph" w:customStyle="1" w:styleId="Default">
    <w:name w:val="Default"/>
    <w:basedOn w:val="Normln"/>
    <w:rsid w:val="00A247C0"/>
    <w:pPr>
      <w:spacing w:after="0" w:line="360" w:lineRule="auto"/>
      <w:ind w:firstLine="709"/>
      <w:jc w:val="both"/>
    </w:pPr>
    <w:rPr>
      <w:rFonts w:eastAsia="Times New Roman" w:cs="Arial"/>
      <w:lang w:eastAsia="cs-CZ"/>
    </w:rPr>
  </w:style>
  <w:style w:type="character" w:customStyle="1" w:styleId="xsptextcomputedfield">
    <w:name w:val="xsptextcomputedfield"/>
    <w:basedOn w:val="Standardnpsmoodstavce"/>
    <w:rsid w:val="00085631"/>
  </w:style>
  <w:style w:type="paragraph" w:customStyle="1" w:styleId="Souhrnnadpis">
    <w:name w:val="_Souhrn_nadpis"/>
    <w:qFormat/>
    <w:rsid w:val="00F826C4"/>
    <w:pPr>
      <w:pageBreakBefore/>
      <w:jc w:val="both"/>
      <w:outlineLvl w:val="1"/>
    </w:pPr>
    <w:rPr>
      <w:rFonts w:ascii="Arial" w:eastAsia="Times New Roman" w:hAnsi="Arial" w:cs="Arial"/>
      <w:b/>
      <w:smallCaps/>
      <w:color w:val="1F497D" w:themeColor="text2"/>
      <w:sz w:val="28"/>
      <w:szCs w:val="24"/>
      <w:lang w:eastAsia="cs-CZ"/>
    </w:rPr>
  </w:style>
  <w:style w:type="paragraph" w:customStyle="1" w:styleId="Doporuennadpis">
    <w:name w:val="_Doporučení_nadpis"/>
    <w:qFormat/>
    <w:rsid w:val="00A6662C"/>
    <w:rPr>
      <w:rFonts w:ascii="Arial" w:eastAsia="Times New Roman" w:hAnsi="Arial" w:cs="Arial"/>
      <w:b/>
      <w:smallCaps/>
      <w:color w:val="1F497D" w:themeColor="text2"/>
      <w:sz w:val="28"/>
      <w:szCs w:val="24"/>
      <w:lang w:eastAsia="cs-CZ"/>
    </w:rPr>
  </w:style>
  <w:style w:type="paragraph" w:styleId="Seznamobrzk">
    <w:name w:val="table of figures"/>
    <w:basedOn w:val="Normln"/>
    <w:next w:val="Normln"/>
    <w:uiPriority w:val="99"/>
    <w:unhideWhenUsed/>
    <w:rsid w:val="00DD02F3"/>
    <w:pPr>
      <w:spacing w:after="0"/>
    </w:pPr>
  </w:style>
  <w:style w:type="paragraph" w:styleId="Zkladntext">
    <w:name w:val="Body Text"/>
    <w:basedOn w:val="Normln"/>
    <w:link w:val="ZkladntextChar"/>
    <w:rsid w:val="00DD02F3"/>
    <w:pPr>
      <w:spacing w:after="140" w:line="288" w:lineRule="auto"/>
    </w:pPr>
    <w:rPr>
      <w:color w:val="00000A"/>
    </w:rPr>
  </w:style>
  <w:style w:type="character" w:customStyle="1" w:styleId="ZkladntextChar">
    <w:name w:val="Základní text Char"/>
    <w:basedOn w:val="Standardnpsmoodstavce"/>
    <w:link w:val="Zkladntext"/>
    <w:rsid w:val="00DD02F3"/>
    <w:rPr>
      <w:color w:val="00000A"/>
    </w:rPr>
  </w:style>
  <w:style w:type="table" w:styleId="Svtlstnovn">
    <w:name w:val="Light Shading"/>
    <w:basedOn w:val="Normlntabulka"/>
    <w:uiPriority w:val="60"/>
    <w:rsid w:val="004314A8"/>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Sledovanodkaz">
    <w:name w:val="FollowedHyperlink"/>
    <w:basedOn w:val="Standardnpsmoodstavce"/>
    <w:uiPriority w:val="99"/>
    <w:semiHidden/>
    <w:unhideWhenUsed/>
    <w:rsid w:val="00A747ED"/>
    <w:rPr>
      <w:color w:val="800080" w:themeColor="followedHyperlink"/>
      <w:u w:val="single"/>
    </w:rPr>
  </w:style>
  <w:style w:type="paragraph" w:customStyle="1" w:styleId="Obrzek">
    <w:name w:val="Obrázek"/>
    <w:basedOn w:val="Normln"/>
    <w:qFormat/>
    <w:rsid w:val="005C2975"/>
    <w:pPr>
      <w:keepNext/>
      <w:spacing w:before="120" w:after="240" w:line="240" w:lineRule="auto"/>
      <w:jc w:val="center"/>
    </w:pPr>
    <w:rPr>
      <w:rFonts w:eastAsia="Times New Roman" w:cs="Times New Roman"/>
      <w:szCs w:val="24"/>
      <w:lang w:eastAsia="cs-CZ"/>
    </w:rPr>
  </w:style>
  <w:style w:type="paragraph" w:customStyle="1" w:styleId="Text">
    <w:name w:val="Text"/>
    <w:basedOn w:val="Normln"/>
    <w:qFormat/>
    <w:rsid w:val="008E7867"/>
    <w:pPr>
      <w:spacing w:after="0" w:line="360" w:lineRule="auto"/>
      <w:ind w:firstLine="405"/>
      <w:jc w:val="both"/>
    </w:pPr>
    <w:rPr>
      <w:rFonts w:eastAsia="Times New Roman" w:cs="Arial"/>
      <w:lang w:eastAsia="cs-CZ"/>
    </w:rPr>
  </w:style>
  <w:style w:type="paragraph" w:customStyle="1" w:styleId="Zdrojapoznmka">
    <w:name w:val="Zdroj a poznámka"/>
    <w:basedOn w:val="Normln"/>
    <w:qFormat/>
    <w:rsid w:val="00D1434E"/>
    <w:pPr>
      <w:spacing w:before="120" w:after="240" w:line="288" w:lineRule="auto"/>
      <w:contextualSpacing/>
      <w:jc w:val="both"/>
    </w:pPr>
    <w:rPr>
      <w:rFonts w:eastAsia="Times New Roman" w:cs="Times New Roman"/>
      <w:i/>
      <w:sz w:val="18"/>
      <w:szCs w:val="24"/>
      <w:lang w:eastAsia="cs-CZ"/>
    </w:rPr>
  </w:style>
  <w:style w:type="paragraph" w:customStyle="1" w:styleId="Souhrn">
    <w:name w:val="_Souhrn"/>
    <w:next w:val="Normln"/>
    <w:qFormat/>
    <w:rsid w:val="00F826C4"/>
    <w:pPr>
      <w:keepNext/>
      <w:pageBreakBefore/>
      <w:spacing w:after="120" w:line="240" w:lineRule="auto"/>
      <w:outlineLvl w:val="0"/>
    </w:pPr>
    <w:rPr>
      <w:rFonts w:asciiTheme="majorHAnsi" w:eastAsiaTheme="majorEastAsia" w:hAnsiTheme="majorHAnsi" w:cstheme="majorBidi"/>
      <w:b/>
      <w:bCs/>
      <w:smallCaps/>
      <w:color w:val="365F91" w:themeColor="accent1" w:themeShade="BF"/>
      <w:sz w:val="36"/>
      <w:szCs w:val="28"/>
    </w:rPr>
  </w:style>
  <w:style w:type="character" w:customStyle="1" w:styleId="Nadpis4Char">
    <w:name w:val="Nadpis 4 Char"/>
    <w:basedOn w:val="Standardnpsmoodstavce"/>
    <w:link w:val="Nadpis4"/>
    <w:uiPriority w:val="9"/>
    <w:rsid w:val="00931F0B"/>
    <w:rPr>
      <w:rFonts w:asciiTheme="majorHAnsi" w:eastAsiaTheme="majorEastAsia" w:hAnsiTheme="majorHAnsi" w:cstheme="majorBidi"/>
      <w:b/>
      <w:bCs/>
      <w:i/>
      <w:iCs/>
      <w:color w:val="4F81BD" w:themeColor="accent1"/>
    </w:rPr>
  </w:style>
  <w:style w:type="character" w:customStyle="1" w:styleId="Nadpis5Char">
    <w:name w:val="Nadpis 5 Char"/>
    <w:basedOn w:val="Standardnpsmoodstavce"/>
    <w:link w:val="Nadpis5"/>
    <w:uiPriority w:val="9"/>
    <w:rsid w:val="00931F0B"/>
    <w:rPr>
      <w:rFonts w:asciiTheme="majorHAnsi" w:eastAsiaTheme="majorEastAsia" w:hAnsiTheme="majorHAnsi" w:cstheme="majorBidi"/>
      <w:color w:val="243F60" w:themeColor="accent1" w:themeShade="7F"/>
    </w:rPr>
  </w:style>
  <w:style w:type="character" w:customStyle="1" w:styleId="Nadpis6Char">
    <w:name w:val="Nadpis 6 Char"/>
    <w:basedOn w:val="Standardnpsmoodstavce"/>
    <w:link w:val="Nadpis6"/>
    <w:uiPriority w:val="9"/>
    <w:semiHidden/>
    <w:rsid w:val="00931F0B"/>
    <w:rPr>
      <w:rFonts w:asciiTheme="majorHAnsi" w:eastAsiaTheme="majorEastAsia" w:hAnsiTheme="majorHAnsi" w:cstheme="majorBidi"/>
      <w:i/>
      <w:iCs/>
      <w:color w:val="243F60" w:themeColor="accent1" w:themeShade="7F"/>
    </w:rPr>
  </w:style>
  <w:style w:type="character" w:customStyle="1" w:styleId="Nadpis7Char">
    <w:name w:val="Nadpis 7 Char"/>
    <w:basedOn w:val="Standardnpsmoodstavce"/>
    <w:link w:val="Nadpis7"/>
    <w:uiPriority w:val="9"/>
    <w:semiHidden/>
    <w:rsid w:val="00931F0B"/>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semiHidden/>
    <w:rsid w:val="00931F0B"/>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semiHidden/>
    <w:rsid w:val="00931F0B"/>
    <w:rPr>
      <w:rFonts w:asciiTheme="majorHAnsi" w:eastAsiaTheme="majorEastAsia" w:hAnsiTheme="majorHAnsi" w:cstheme="majorBidi"/>
      <w:i/>
      <w:iCs/>
      <w:color w:val="404040" w:themeColor="text1" w:themeTint="BF"/>
      <w:sz w:val="20"/>
      <w:szCs w:val="20"/>
    </w:rPr>
  </w:style>
  <w:style w:type="paragraph" w:customStyle="1" w:styleId="Plohanadpis">
    <w:name w:val="_Příloha_nadpis"/>
    <w:next w:val="Normln"/>
    <w:qFormat/>
    <w:rsid w:val="00A6662C"/>
    <w:pPr>
      <w:keepNext/>
      <w:spacing w:before="240" w:after="240" w:line="240" w:lineRule="auto"/>
      <w:jc w:val="both"/>
      <w:outlineLvl w:val="1"/>
    </w:pPr>
    <w:rPr>
      <w:rFonts w:ascii="Arial" w:eastAsia="Times New Roman" w:hAnsi="Arial" w:cs="Arial"/>
      <w:b/>
      <w:color w:val="1F497D" w:themeColor="text2"/>
      <w:sz w:val="28"/>
      <w:szCs w:val="24"/>
      <w:lang w:eastAsia="cs-CZ"/>
    </w:rPr>
  </w:style>
  <w:style w:type="table" w:customStyle="1" w:styleId="Mkatabulky1">
    <w:name w:val="Mřížka tabulky1"/>
    <w:basedOn w:val="Normlntabulka"/>
    <w:next w:val="Mkatabulky"/>
    <w:uiPriority w:val="39"/>
    <w:rsid w:val="0095145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dstavecseseznamemChar">
    <w:name w:val="Odstavec se seznamem Char"/>
    <w:aliases w:val="Odstavec_muj Char,Nad Char,Odstavec cíl se seznamem Char,Odstavec se seznamem5 Char,název výzvy Char,Název grafu Char,nad 1 Char,Odstavec se seznamem1 Char,List Paragraph1 Char,Odstavec_muj1 Char,Odstavec_muj2 Char,Nad1 Char"/>
    <w:basedOn w:val="Standardnpsmoodstavce"/>
    <w:link w:val="Odstavecseseznamem"/>
    <w:uiPriority w:val="34"/>
    <w:qFormat/>
    <w:rsid w:val="00951450"/>
  </w:style>
  <w:style w:type="paragraph" w:customStyle="1" w:styleId="textodstavec">
    <w:name w:val="_text_odstavec"/>
    <w:basedOn w:val="Normln"/>
    <w:uiPriority w:val="99"/>
    <w:qFormat/>
    <w:rsid w:val="006B7BB4"/>
    <w:pPr>
      <w:jc w:val="both"/>
    </w:pPr>
    <w:rPr>
      <w:rFonts w:cs="Arial"/>
    </w:rPr>
  </w:style>
  <w:style w:type="paragraph" w:styleId="Titulek">
    <w:name w:val="caption"/>
    <w:aliases w:val="~Caption"/>
    <w:basedOn w:val="Normln"/>
    <w:next w:val="Normln"/>
    <w:link w:val="TitulekChar"/>
    <w:autoRedefine/>
    <w:uiPriority w:val="35"/>
    <w:qFormat/>
    <w:rsid w:val="00D504B2"/>
    <w:pPr>
      <w:keepNext/>
      <w:spacing w:after="120"/>
    </w:pPr>
    <w:rPr>
      <w:rFonts w:eastAsia="Times New Roman" w:cs="Arial"/>
      <w:b/>
      <w:bCs/>
      <w:lang w:eastAsia="cs-CZ"/>
    </w:rPr>
  </w:style>
  <w:style w:type="character" w:customStyle="1" w:styleId="TitulekChar">
    <w:name w:val="Titulek Char"/>
    <w:aliases w:val="~Caption Char"/>
    <w:link w:val="Titulek"/>
    <w:uiPriority w:val="35"/>
    <w:qFormat/>
    <w:rsid w:val="00D504B2"/>
    <w:rPr>
      <w:rFonts w:ascii="Arial" w:eastAsia="Times New Roman" w:hAnsi="Arial" w:cs="Arial"/>
      <w:b/>
      <w:bCs/>
      <w:lang w:eastAsia="cs-CZ"/>
    </w:rPr>
  </w:style>
  <w:style w:type="table" w:styleId="Svtlstnovnzvraznn5">
    <w:name w:val="Light Shading Accent 5"/>
    <w:basedOn w:val="Normlntabulka"/>
    <w:uiPriority w:val="60"/>
    <w:rsid w:val="006E1B10"/>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character" w:styleId="Zdraznn">
    <w:name w:val="Emphasis"/>
    <w:basedOn w:val="Standardnpsmoodstavce"/>
    <w:uiPriority w:val="20"/>
    <w:qFormat/>
    <w:rsid w:val="006E1B10"/>
    <w:rPr>
      <w:i/>
      <w:iCs/>
    </w:rPr>
  </w:style>
  <w:style w:type="paragraph" w:customStyle="1" w:styleId="Pa17">
    <w:name w:val="Pa17"/>
    <w:basedOn w:val="Normln"/>
    <w:next w:val="Normln"/>
    <w:uiPriority w:val="99"/>
    <w:rsid w:val="006E1B10"/>
    <w:pPr>
      <w:autoSpaceDE w:val="0"/>
      <w:autoSpaceDN w:val="0"/>
      <w:adjustRightInd w:val="0"/>
      <w:spacing w:after="0" w:line="141" w:lineRule="atLeast"/>
    </w:pPr>
    <w:rPr>
      <w:rFonts w:ascii="StradaPro-Semibd" w:hAnsi="StradaPro-Semibd"/>
      <w:sz w:val="24"/>
      <w:szCs w:val="24"/>
    </w:rPr>
  </w:style>
  <w:style w:type="paragraph" w:customStyle="1" w:styleId="Pa22">
    <w:name w:val="Pa22"/>
    <w:basedOn w:val="Normln"/>
    <w:next w:val="Normln"/>
    <w:uiPriority w:val="99"/>
    <w:rsid w:val="006E1B10"/>
    <w:pPr>
      <w:autoSpaceDE w:val="0"/>
      <w:autoSpaceDN w:val="0"/>
      <w:adjustRightInd w:val="0"/>
      <w:spacing w:after="0" w:line="141" w:lineRule="atLeast"/>
    </w:pPr>
    <w:rPr>
      <w:rFonts w:ascii="StradaPro-Semibd" w:hAnsi="StradaPro-Semibd"/>
      <w:sz w:val="24"/>
      <w:szCs w:val="24"/>
    </w:rPr>
  </w:style>
  <w:style w:type="table" w:styleId="Svtlstnovnzvraznn1">
    <w:name w:val="Light Shading Accent 1"/>
    <w:basedOn w:val="Normlntabulka"/>
    <w:uiPriority w:val="60"/>
    <w:rsid w:val="006E1B10"/>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Stednstnovn1zvraznn1">
    <w:name w:val="Medium Shading 1 Accent 1"/>
    <w:basedOn w:val="Normlntabulka"/>
    <w:uiPriority w:val="63"/>
    <w:rsid w:val="006E1B10"/>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articleperex">
    <w:name w:val="article_perex"/>
    <w:basedOn w:val="Normln"/>
    <w:rsid w:val="006E1B10"/>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styleId="Siln">
    <w:name w:val="Strong"/>
    <w:basedOn w:val="Standardnpsmoodstavce"/>
    <w:uiPriority w:val="22"/>
    <w:qFormat/>
    <w:rsid w:val="006E1B10"/>
    <w:rPr>
      <w:b/>
      <w:bCs/>
    </w:rPr>
  </w:style>
  <w:style w:type="character" w:styleId="Zdraznnjemn">
    <w:name w:val="Subtle Emphasis"/>
    <w:basedOn w:val="Standardnpsmoodstavce"/>
    <w:uiPriority w:val="19"/>
    <w:qFormat/>
    <w:rsid w:val="006E1B10"/>
    <w:rPr>
      <w:i/>
      <w:iCs/>
      <w:color w:val="808080" w:themeColor="text1" w:themeTint="7F"/>
    </w:rPr>
  </w:style>
  <w:style w:type="table" w:styleId="Svtlseznamzvraznn1">
    <w:name w:val="Light List Accent 1"/>
    <w:basedOn w:val="Normlntabulka"/>
    <w:uiPriority w:val="61"/>
    <w:rsid w:val="00845C76"/>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Styl1">
    <w:name w:val="Styl1"/>
    <w:basedOn w:val="Normln"/>
    <w:qFormat/>
    <w:rsid w:val="00BA543E"/>
    <w:rPr>
      <w:rFonts w:asciiTheme="majorHAnsi" w:hAnsiTheme="majorHAnsi"/>
      <w:b/>
      <w:smallCaps/>
      <w:color w:val="24AA26"/>
      <w:sz w:val="32"/>
    </w:rPr>
  </w:style>
  <w:style w:type="paragraph" w:customStyle="1" w:styleId="Bezmezer1">
    <w:name w:val="Bez mezer1"/>
    <w:uiPriority w:val="99"/>
    <w:qFormat/>
    <w:rsid w:val="002739B9"/>
    <w:pPr>
      <w:spacing w:after="0" w:line="240" w:lineRule="auto"/>
    </w:pPr>
    <w:rPr>
      <w:rFonts w:ascii="Calibri" w:eastAsia="Times New Roman" w:hAnsi="Calibri" w:cs="Times New Roman"/>
    </w:rPr>
  </w:style>
  <w:style w:type="character" w:customStyle="1" w:styleId="BezmezerChar">
    <w:name w:val="Bez mezer Char"/>
    <w:basedOn w:val="Standardnpsmoodstavce"/>
    <w:link w:val="Bezmezer"/>
    <w:uiPriority w:val="1"/>
    <w:qFormat/>
    <w:rsid w:val="002739B9"/>
  </w:style>
  <w:style w:type="table" w:customStyle="1" w:styleId="Svtlmkatabulky1">
    <w:name w:val="Světlá mřížka tabulky1"/>
    <w:basedOn w:val="Normlntabulka"/>
    <w:uiPriority w:val="40"/>
    <w:rsid w:val="002739B9"/>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Text0">
    <w:name w:val="_Text"/>
    <w:basedOn w:val="Normln"/>
    <w:uiPriority w:val="99"/>
    <w:qFormat/>
    <w:rsid w:val="0048026B"/>
    <w:pPr>
      <w:keepNext/>
      <w:spacing w:after="120"/>
      <w:jc w:val="both"/>
    </w:pPr>
    <w:rPr>
      <w:rFonts w:cs="Arial"/>
      <w:szCs w:val="24"/>
    </w:rPr>
  </w:style>
  <w:style w:type="character" w:customStyle="1" w:styleId="A12">
    <w:name w:val="A12"/>
    <w:uiPriority w:val="99"/>
    <w:rsid w:val="001E7386"/>
    <w:rPr>
      <w:rFonts w:cs="HelveticaNeueLT Pro 65 Md"/>
      <w:color w:val="000000"/>
      <w:sz w:val="11"/>
      <w:szCs w:val="11"/>
    </w:rPr>
  </w:style>
  <w:style w:type="character" w:customStyle="1" w:styleId="A10">
    <w:name w:val="A10"/>
    <w:uiPriority w:val="99"/>
    <w:rsid w:val="001E7386"/>
    <w:rPr>
      <w:rFonts w:cs="HelveticaNeueLT Pro 55 Roman"/>
      <w:b/>
      <w:bCs/>
      <w:color w:val="000000"/>
      <w:sz w:val="15"/>
      <w:szCs w:val="15"/>
    </w:rPr>
  </w:style>
  <w:style w:type="paragraph" w:customStyle="1" w:styleId="stylishCar">
    <w:name w:val="stylish Car"/>
    <w:aliases w:val="Footnote Refernece Car,BVI fnr Car,Fußnotenzeichen_Raxen Car,callout Car,Footnote Reference Number Car,Footnote Reference Superscript Car,Footnote symbol Car,Footnote reference number Car,Footnotemark Car,FR Car,FR1 C"/>
    <w:basedOn w:val="Normln"/>
    <w:link w:val="Znakapoznpodarou"/>
    <w:uiPriority w:val="99"/>
    <w:rsid w:val="003635C4"/>
    <w:pPr>
      <w:spacing w:after="160" w:line="240" w:lineRule="exact"/>
      <w:jc w:val="both"/>
    </w:pPr>
    <w:rPr>
      <w:vertAlign w:val="superscript"/>
    </w:rPr>
  </w:style>
  <w:style w:type="paragraph" w:customStyle="1" w:styleId="Nadpisbezstranky">
    <w:name w:val="Nadpis_bez_stranky"/>
    <w:basedOn w:val="Nadpis3"/>
    <w:uiPriority w:val="99"/>
    <w:rsid w:val="0069673A"/>
    <w:pPr>
      <w:spacing w:before="240" w:after="240" w:line="240" w:lineRule="auto"/>
    </w:pPr>
    <w:rPr>
      <w:rFonts w:eastAsia="Times New Roman" w:cs="Arial"/>
      <w:smallCaps/>
      <w:color w:val="365F91"/>
      <w:sz w:val="30"/>
      <w:lang w:eastAsia="cs-CZ"/>
    </w:rPr>
  </w:style>
  <w:style w:type="paragraph" w:customStyle="1" w:styleId="nadpisuvnitr">
    <w:name w:val="nadpis_uvnitr"/>
    <w:basedOn w:val="Nadpis3"/>
    <w:qFormat/>
    <w:rsid w:val="00080930"/>
    <w:pPr>
      <w:ind w:left="431" w:hanging="431"/>
    </w:pPr>
    <w:rPr>
      <w:rFonts w:eastAsia="Times New Roman"/>
      <w:sz w:val="28"/>
      <w:lang w:eastAsia="cs-CZ"/>
    </w:rPr>
  </w:style>
  <w:style w:type="character" w:customStyle="1" w:styleId="Nevyeenzmnka1">
    <w:name w:val="Nevyřešená zmínka1"/>
    <w:basedOn w:val="Standardnpsmoodstavce"/>
    <w:uiPriority w:val="99"/>
    <w:semiHidden/>
    <w:unhideWhenUsed/>
    <w:rsid w:val="002F20C9"/>
    <w:rPr>
      <w:color w:val="605E5C"/>
      <w:shd w:val="clear" w:color="auto" w:fill="E1DFDD"/>
    </w:rPr>
  </w:style>
  <w:style w:type="character" w:customStyle="1" w:styleId="Nevyeenzmnka2">
    <w:name w:val="Nevyřešená zmínka2"/>
    <w:basedOn w:val="Standardnpsmoodstavce"/>
    <w:uiPriority w:val="99"/>
    <w:semiHidden/>
    <w:unhideWhenUsed/>
    <w:rsid w:val="00113B6B"/>
    <w:rPr>
      <w:color w:val="605E5C"/>
      <w:shd w:val="clear" w:color="auto" w:fill="E1DFDD"/>
    </w:rPr>
  </w:style>
  <w:style w:type="character" w:customStyle="1" w:styleId="Nevyeenzmnka3">
    <w:name w:val="Nevyřešená zmínka3"/>
    <w:basedOn w:val="Standardnpsmoodstavce"/>
    <w:uiPriority w:val="99"/>
    <w:semiHidden/>
    <w:unhideWhenUsed/>
    <w:rsid w:val="004A436F"/>
    <w:rPr>
      <w:color w:val="605E5C"/>
      <w:shd w:val="clear" w:color="auto" w:fill="E1DFDD"/>
    </w:rPr>
  </w:style>
  <w:style w:type="character" w:styleId="Nevyeenzmnka">
    <w:name w:val="Unresolved Mention"/>
    <w:basedOn w:val="Standardnpsmoodstavce"/>
    <w:uiPriority w:val="99"/>
    <w:semiHidden/>
    <w:unhideWhenUsed/>
    <w:rsid w:val="00751ED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1350951">
      <w:bodyDiv w:val="1"/>
      <w:marLeft w:val="0"/>
      <w:marRight w:val="0"/>
      <w:marTop w:val="0"/>
      <w:marBottom w:val="0"/>
      <w:divBdr>
        <w:top w:val="none" w:sz="0" w:space="0" w:color="auto"/>
        <w:left w:val="none" w:sz="0" w:space="0" w:color="auto"/>
        <w:bottom w:val="none" w:sz="0" w:space="0" w:color="auto"/>
        <w:right w:val="none" w:sz="0" w:space="0" w:color="auto"/>
      </w:divBdr>
    </w:div>
    <w:div w:id="32846607">
      <w:bodyDiv w:val="1"/>
      <w:marLeft w:val="0"/>
      <w:marRight w:val="0"/>
      <w:marTop w:val="0"/>
      <w:marBottom w:val="0"/>
      <w:divBdr>
        <w:top w:val="none" w:sz="0" w:space="0" w:color="auto"/>
        <w:left w:val="none" w:sz="0" w:space="0" w:color="auto"/>
        <w:bottom w:val="none" w:sz="0" w:space="0" w:color="auto"/>
        <w:right w:val="none" w:sz="0" w:space="0" w:color="auto"/>
      </w:divBdr>
    </w:div>
    <w:div w:id="38868324">
      <w:bodyDiv w:val="1"/>
      <w:marLeft w:val="0"/>
      <w:marRight w:val="0"/>
      <w:marTop w:val="0"/>
      <w:marBottom w:val="0"/>
      <w:divBdr>
        <w:top w:val="none" w:sz="0" w:space="0" w:color="auto"/>
        <w:left w:val="none" w:sz="0" w:space="0" w:color="auto"/>
        <w:bottom w:val="none" w:sz="0" w:space="0" w:color="auto"/>
        <w:right w:val="none" w:sz="0" w:space="0" w:color="auto"/>
      </w:divBdr>
    </w:div>
    <w:div w:id="87045648">
      <w:bodyDiv w:val="1"/>
      <w:marLeft w:val="0"/>
      <w:marRight w:val="0"/>
      <w:marTop w:val="0"/>
      <w:marBottom w:val="0"/>
      <w:divBdr>
        <w:top w:val="none" w:sz="0" w:space="0" w:color="auto"/>
        <w:left w:val="none" w:sz="0" w:space="0" w:color="auto"/>
        <w:bottom w:val="none" w:sz="0" w:space="0" w:color="auto"/>
        <w:right w:val="none" w:sz="0" w:space="0" w:color="auto"/>
      </w:divBdr>
    </w:div>
    <w:div w:id="99376794">
      <w:bodyDiv w:val="1"/>
      <w:marLeft w:val="0"/>
      <w:marRight w:val="0"/>
      <w:marTop w:val="0"/>
      <w:marBottom w:val="0"/>
      <w:divBdr>
        <w:top w:val="none" w:sz="0" w:space="0" w:color="auto"/>
        <w:left w:val="none" w:sz="0" w:space="0" w:color="auto"/>
        <w:bottom w:val="none" w:sz="0" w:space="0" w:color="auto"/>
        <w:right w:val="none" w:sz="0" w:space="0" w:color="auto"/>
      </w:divBdr>
    </w:div>
    <w:div w:id="106121003">
      <w:bodyDiv w:val="1"/>
      <w:marLeft w:val="0"/>
      <w:marRight w:val="0"/>
      <w:marTop w:val="0"/>
      <w:marBottom w:val="0"/>
      <w:divBdr>
        <w:top w:val="none" w:sz="0" w:space="0" w:color="auto"/>
        <w:left w:val="none" w:sz="0" w:space="0" w:color="auto"/>
        <w:bottom w:val="none" w:sz="0" w:space="0" w:color="auto"/>
        <w:right w:val="none" w:sz="0" w:space="0" w:color="auto"/>
      </w:divBdr>
    </w:div>
    <w:div w:id="112596306">
      <w:bodyDiv w:val="1"/>
      <w:marLeft w:val="0"/>
      <w:marRight w:val="0"/>
      <w:marTop w:val="0"/>
      <w:marBottom w:val="0"/>
      <w:divBdr>
        <w:top w:val="none" w:sz="0" w:space="0" w:color="auto"/>
        <w:left w:val="none" w:sz="0" w:space="0" w:color="auto"/>
        <w:bottom w:val="none" w:sz="0" w:space="0" w:color="auto"/>
        <w:right w:val="none" w:sz="0" w:space="0" w:color="auto"/>
      </w:divBdr>
    </w:div>
    <w:div w:id="120459216">
      <w:bodyDiv w:val="1"/>
      <w:marLeft w:val="0"/>
      <w:marRight w:val="0"/>
      <w:marTop w:val="0"/>
      <w:marBottom w:val="0"/>
      <w:divBdr>
        <w:top w:val="none" w:sz="0" w:space="0" w:color="auto"/>
        <w:left w:val="none" w:sz="0" w:space="0" w:color="auto"/>
        <w:bottom w:val="none" w:sz="0" w:space="0" w:color="auto"/>
        <w:right w:val="none" w:sz="0" w:space="0" w:color="auto"/>
      </w:divBdr>
    </w:div>
    <w:div w:id="137113002">
      <w:bodyDiv w:val="1"/>
      <w:marLeft w:val="0"/>
      <w:marRight w:val="0"/>
      <w:marTop w:val="0"/>
      <w:marBottom w:val="0"/>
      <w:divBdr>
        <w:top w:val="none" w:sz="0" w:space="0" w:color="auto"/>
        <w:left w:val="none" w:sz="0" w:space="0" w:color="auto"/>
        <w:bottom w:val="none" w:sz="0" w:space="0" w:color="auto"/>
        <w:right w:val="none" w:sz="0" w:space="0" w:color="auto"/>
      </w:divBdr>
    </w:div>
    <w:div w:id="140656404">
      <w:bodyDiv w:val="1"/>
      <w:marLeft w:val="0"/>
      <w:marRight w:val="0"/>
      <w:marTop w:val="0"/>
      <w:marBottom w:val="0"/>
      <w:divBdr>
        <w:top w:val="none" w:sz="0" w:space="0" w:color="auto"/>
        <w:left w:val="none" w:sz="0" w:space="0" w:color="auto"/>
        <w:bottom w:val="none" w:sz="0" w:space="0" w:color="auto"/>
        <w:right w:val="none" w:sz="0" w:space="0" w:color="auto"/>
      </w:divBdr>
    </w:div>
    <w:div w:id="159976242">
      <w:bodyDiv w:val="1"/>
      <w:marLeft w:val="0"/>
      <w:marRight w:val="0"/>
      <w:marTop w:val="0"/>
      <w:marBottom w:val="0"/>
      <w:divBdr>
        <w:top w:val="none" w:sz="0" w:space="0" w:color="auto"/>
        <w:left w:val="none" w:sz="0" w:space="0" w:color="auto"/>
        <w:bottom w:val="none" w:sz="0" w:space="0" w:color="auto"/>
        <w:right w:val="none" w:sz="0" w:space="0" w:color="auto"/>
      </w:divBdr>
    </w:div>
    <w:div w:id="234165753">
      <w:bodyDiv w:val="1"/>
      <w:marLeft w:val="0"/>
      <w:marRight w:val="0"/>
      <w:marTop w:val="0"/>
      <w:marBottom w:val="0"/>
      <w:divBdr>
        <w:top w:val="none" w:sz="0" w:space="0" w:color="auto"/>
        <w:left w:val="none" w:sz="0" w:space="0" w:color="auto"/>
        <w:bottom w:val="none" w:sz="0" w:space="0" w:color="auto"/>
        <w:right w:val="none" w:sz="0" w:space="0" w:color="auto"/>
      </w:divBdr>
    </w:div>
    <w:div w:id="235437391">
      <w:bodyDiv w:val="1"/>
      <w:marLeft w:val="0"/>
      <w:marRight w:val="0"/>
      <w:marTop w:val="0"/>
      <w:marBottom w:val="0"/>
      <w:divBdr>
        <w:top w:val="none" w:sz="0" w:space="0" w:color="auto"/>
        <w:left w:val="none" w:sz="0" w:space="0" w:color="auto"/>
        <w:bottom w:val="none" w:sz="0" w:space="0" w:color="auto"/>
        <w:right w:val="none" w:sz="0" w:space="0" w:color="auto"/>
      </w:divBdr>
    </w:div>
    <w:div w:id="240648775">
      <w:bodyDiv w:val="1"/>
      <w:marLeft w:val="0"/>
      <w:marRight w:val="0"/>
      <w:marTop w:val="0"/>
      <w:marBottom w:val="0"/>
      <w:divBdr>
        <w:top w:val="none" w:sz="0" w:space="0" w:color="auto"/>
        <w:left w:val="none" w:sz="0" w:space="0" w:color="auto"/>
        <w:bottom w:val="none" w:sz="0" w:space="0" w:color="auto"/>
        <w:right w:val="none" w:sz="0" w:space="0" w:color="auto"/>
      </w:divBdr>
    </w:div>
    <w:div w:id="259610417">
      <w:bodyDiv w:val="1"/>
      <w:marLeft w:val="0"/>
      <w:marRight w:val="0"/>
      <w:marTop w:val="0"/>
      <w:marBottom w:val="0"/>
      <w:divBdr>
        <w:top w:val="none" w:sz="0" w:space="0" w:color="auto"/>
        <w:left w:val="none" w:sz="0" w:space="0" w:color="auto"/>
        <w:bottom w:val="none" w:sz="0" w:space="0" w:color="auto"/>
        <w:right w:val="none" w:sz="0" w:space="0" w:color="auto"/>
      </w:divBdr>
    </w:div>
    <w:div w:id="296180486">
      <w:bodyDiv w:val="1"/>
      <w:marLeft w:val="0"/>
      <w:marRight w:val="0"/>
      <w:marTop w:val="0"/>
      <w:marBottom w:val="0"/>
      <w:divBdr>
        <w:top w:val="none" w:sz="0" w:space="0" w:color="auto"/>
        <w:left w:val="none" w:sz="0" w:space="0" w:color="auto"/>
        <w:bottom w:val="none" w:sz="0" w:space="0" w:color="auto"/>
        <w:right w:val="none" w:sz="0" w:space="0" w:color="auto"/>
      </w:divBdr>
    </w:div>
    <w:div w:id="296423751">
      <w:bodyDiv w:val="1"/>
      <w:marLeft w:val="0"/>
      <w:marRight w:val="0"/>
      <w:marTop w:val="0"/>
      <w:marBottom w:val="0"/>
      <w:divBdr>
        <w:top w:val="none" w:sz="0" w:space="0" w:color="auto"/>
        <w:left w:val="none" w:sz="0" w:space="0" w:color="auto"/>
        <w:bottom w:val="none" w:sz="0" w:space="0" w:color="auto"/>
        <w:right w:val="none" w:sz="0" w:space="0" w:color="auto"/>
      </w:divBdr>
    </w:div>
    <w:div w:id="307169141">
      <w:bodyDiv w:val="1"/>
      <w:marLeft w:val="0"/>
      <w:marRight w:val="0"/>
      <w:marTop w:val="0"/>
      <w:marBottom w:val="0"/>
      <w:divBdr>
        <w:top w:val="none" w:sz="0" w:space="0" w:color="auto"/>
        <w:left w:val="none" w:sz="0" w:space="0" w:color="auto"/>
        <w:bottom w:val="none" w:sz="0" w:space="0" w:color="auto"/>
        <w:right w:val="none" w:sz="0" w:space="0" w:color="auto"/>
      </w:divBdr>
    </w:div>
    <w:div w:id="325935135">
      <w:bodyDiv w:val="1"/>
      <w:marLeft w:val="0"/>
      <w:marRight w:val="0"/>
      <w:marTop w:val="0"/>
      <w:marBottom w:val="0"/>
      <w:divBdr>
        <w:top w:val="none" w:sz="0" w:space="0" w:color="auto"/>
        <w:left w:val="none" w:sz="0" w:space="0" w:color="auto"/>
        <w:bottom w:val="none" w:sz="0" w:space="0" w:color="auto"/>
        <w:right w:val="none" w:sz="0" w:space="0" w:color="auto"/>
      </w:divBdr>
    </w:div>
    <w:div w:id="405224708">
      <w:bodyDiv w:val="1"/>
      <w:marLeft w:val="0"/>
      <w:marRight w:val="0"/>
      <w:marTop w:val="0"/>
      <w:marBottom w:val="0"/>
      <w:divBdr>
        <w:top w:val="none" w:sz="0" w:space="0" w:color="auto"/>
        <w:left w:val="none" w:sz="0" w:space="0" w:color="auto"/>
        <w:bottom w:val="none" w:sz="0" w:space="0" w:color="auto"/>
        <w:right w:val="none" w:sz="0" w:space="0" w:color="auto"/>
      </w:divBdr>
    </w:div>
    <w:div w:id="463472490">
      <w:bodyDiv w:val="1"/>
      <w:marLeft w:val="0"/>
      <w:marRight w:val="0"/>
      <w:marTop w:val="0"/>
      <w:marBottom w:val="0"/>
      <w:divBdr>
        <w:top w:val="none" w:sz="0" w:space="0" w:color="auto"/>
        <w:left w:val="none" w:sz="0" w:space="0" w:color="auto"/>
        <w:bottom w:val="none" w:sz="0" w:space="0" w:color="auto"/>
        <w:right w:val="none" w:sz="0" w:space="0" w:color="auto"/>
      </w:divBdr>
    </w:div>
    <w:div w:id="492113238">
      <w:bodyDiv w:val="1"/>
      <w:marLeft w:val="0"/>
      <w:marRight w:val="0"/>
      <w:marTop w:val="0"/>
      <w:marBottom w:val="0"/>
      <w:divBdr>
        <w:top w:val="none" w:sz="0" w:space="0" w:color="auto"/>
        <w:left w:val="none" w:sz="0" w:space="0" w:color="auto"/>
        <w:bottom w:val="none" w:sz="0" w:space="0" w:color="auto"/>
        <w:right w:val="none" w:sz="0" w:space="0" w:color="auto"/>
      </w:divBdr>
    </w:div>
    <w:div w:id="500316302">
      <w:bodyDiv w:val="1"/>
      <w:marLeft w:val="0"/>
      <w:marRight w:val="0"/>
      <w:marTop w:val="0"/>
      <w:marBottom w:val="0"/>
      <w:divBdr>
        <w:top w:val="none" w:sz="0" w:space="0" w:color="auto"/>
        <w:left w:val="none" w:sz="0" w:space="0" w:color="auto"/>
        <w:bottom w:val="none" w:sz="0" w:space="0" w:color="auto"/>
        <w:right w:val="none" w:sz="0" w:space="0" w:color="auto"/>
      </w:divBdr>
    </w:div>
    <w:div w:id="512259714">
      <w:bodyDiv w:val="1"/>
      <w:marLeft w:val="0"/>
      <w:marRight w:val="0"/>
      <w:marTop w:val="0"/>
      <w:marBottom w:val="0"/>
      <w:divBdr>
        <w:top w:val="none" w:sz="0" w:space="0" w:color="auto"/>
        <w:left w:val="none" w:sz="0" w:space="0" w:color="auto"/>
        <w:bottom w:val="none" w:sz="0" w:space="0" w:color="auto"/>
        <w:right w:val="none" w:sz="0" w:space="0" w:color="auto"/>
      </w:divBdr>
    </w:div>
    <w:div w:id="542866968">
      <w:bodyDiv w:val="1"/>
      <w:marLeft w:val="0"/>
      <w:marRight w:val="0"/>
      <w:marTop w:val="0"/>
      <w:marBottom w:val="0"/>
      <w:divBdr>
        <w:top w:val="none" w:sz="0" w:space="0" w:color="auto"/>
        <w:left w:val="none" w:sz="0" w:space="0" w:color="auto"/>
        <w:bottom w:val="none" w:sz="0" w:space="0" w:color="auto"/>
        <w:right w:val="none" w:sz="0" w:space="0" w:color="auto"/>
      </w:divBdr>
    </w:div>
    <w:div w:id="562831562">
      <w:bodyDiv w:val="1"/>
      <w:marLeft w:val="0"/>
      <w:marRight w:val="0"/>
      <w:marTop w:val="0"/>
      <w:marBottom w:val="0"/>
      <w:divBdr>
        <w:top w:val="none" w:sz="0" w:space="0" w:color="auto"/>
        <w:left w:val="none" w:sz="0" w:space="0" w:color="auto"/>
        <w:bottom w:val="none" w:sz="0" w:space="0" w:color="auto"/>
        <w:right w:val="none" w:sz="0" w:space="0" w:color="auto"/>
      </w:divBdr>
    </w:div>
    <w:div w:id="564604416">
      <w:bodyDiv w:val="1"/>
      <w:marLeft w:val="0"/>
      <w:marRight w:val="0"/>
      <w:marTop w:val="0"/>
      <w:marBottom w:val="0"/>
      <w:divBdr>
        <w:top w:val="none" w:sz="0" w:space="0" w:color="auto"/>
        <w:left w:val="none" w:sz="0" w:space="0" w:color="auto"/>
        <w:bottom w:val="none" w:sz="0" w:space="0" w:color="auto"/>
        <w:right w:val="none" w:sz="0" w:space="0" w:color="auto"/>
      </w:divBdr>
    </w:div>
    <w:div w:id="570654174">
      <w:bodyDiv w:val="1"/>
      <w:marLeft w:val="0"/>
      <w:marRight w:val="0"/>
      <w:marTop w:val="0"/>
      <w:marBottom w:val="0"/>
      <w:divBdr>
        <w:top w:val="none" w:sz="0" w:space="0" w:color="auto"/>
        <w:left w:val="none" w:sz="0" w:space="0" w:color="auto"/>
        <w:bottom w:val="none" w:sz="0" w:space="0" w:color="auto"/>
        <w:right w:val="none" w:sz="0" w:space="0" w:color="auto"/>
      </w:divBdr>
    </w:div>
    <w:div w:id="634677118">
      <w:bodyDiv w:val="1"/>
      <w:marLeft w:val="0"/>
      <w:marRight w:val="0"/>
      <w:marTop w:val="0"/>
      <w:marBottom w:val="0"/>
      <w:divBdr>
        <w:top w:val="none" w:sz="0" w:space="0" w:color="auto"/>
        <w:left w:val="none" w:sz="0" w:space="0" w:color="auto"/>
        <w:bottom w:val="none" w:sz="0" w:space="0" w:color="auto"/>
        <w:right w:val="none" w:sz="0" w:space="0" w:color="auto"/>
      </w:divBdr>
    </w:div>
    <w:div w:id="670332944">
      <w:bodyDiv w:val="1"/>
      <w:marLeft w:val="0"/>
      <w:marRight w:val="0"/>
      <w:marTop w:val="0"/>
      <w:marBottom w:val="0"/>
      <w:divBdr>
        <w:top w:val="none" w:sz="0" w:space="0" w:color="auto"/>
        <w:left w:val="none" w:sz="0" w:space="0" w:color="auto"/>
        <w:bottom w:val="none" w:sz="0" w:space="0" w:color="auto"/>
        <w:right w:val="none" w:sz="0" w:space="0" w:color="auto"/>
      </w:divBdr>
    </w:div>
    <w:div w:id="678042185">
      <w:bodyDiv w:val="1"/>
      <w:marLeft w:val="0"/>
      <w:marRight w:val="0"/>
      <w:marTop w:val="0"/>
      <w:marBottom w:val="0"/>
      <w:divBdr>
        <w:top w:val="none" w:sz="0" w:space="0" w:color="auto"/>
        <w:left w:val="none" w:sz="0" w:space="0" w:color="auto"/>
        <w:bottom w:val="none" w:sz="0" w:space="0" w:color="auto"/>
        <w:right w:val="none" w:sz="0" w:space="0" w:color="auto"/>
      </w:divBdr>
    </w:div>
    <w:div w:id="679937720">
      <w:bodyDiv w:val="1"/>
      <w:marLeft w:val="0"/>
      <w:marRight w:val="0"/>
      <w:marTop w:val="0"/>
      <w:marBottom w:val="0"/>
      <w:divBdr>
        <w:top w:val="none" w:sz="0" w:space="0" w:color="auto"/>
        <w:left w:val="none" w:sz="0" w:space="0" w:color="auto"/>
        <w:bottom w:val="none" w:sz="0" w:space="0" w:color="auto"/>
        <w:right w:val="none" w:sz="0" w:space="0" w:color="auto"/>
      </w:divBdr>
    </w:div>
    <w:div w:id="682585621">
      <w:bodyDiv w:val="1"/>
      <w:marLeft w:val="0"/>
      <w:marRight w:val="0"/>
      <w:marTop w:val="0"/>
      <w:marBottom w:val="0"/>
      <w:divBdr>
        <w:top w:val="none" w:sz="0" w:space="0" w:color="auto"/>
        <w:left w:val="none" w:sz="0" w:space="0" w:color="auto"/>
        <w:bottom w:val="none" w:sz="0" w:space="0" w:color="auto"/>
        <w:right w:val="none" w:sz="0" w:space="0" w:color="auto"/>
      </w:divBdr>
    </w:div>
    <w:div w:id="708997011">
      <w:bodyDiv w:val="1"/>
      <w:marLeft w:val="0"/>
      <w:marRight w:val="0"/>
      <w:marTop w:val="0"/>
      <w:marBottom w:val="0"/>
      <w:divBdr>
        <w:top w:val="none" w:sz="0" w:space="0" w:color="auto"/>
        <w:left w:val="none" w:sz="0" w:space="0" w:color="auto"/>
        <w:bottom w:val="none" w:sz="0" w:space="0" w:color="auto"/>
        <w:right w:val="none" w:sz="0" w:space="0" w:color="auto"/>
      </w:divBdr>
    </w:div>
    <w:div w:id="733553170">
      <w:bodyDiv w:val="1"/>
      <w:marLeft w:val="0"/>
      <w:marRight w:val="0"/>
      <w:marTop w:val="0"/>
      <w:marBottom w:val="0"/>
      <w:divBdr>
        <w:top w:val="none" w:sz="0" w:space="0" w:color="auto"/>
        <w:left w:val="none" w:sz="0" w:space="0" w:color="auto"/>
        <w:bottom w:val="none" w:sz="0" w:space="0" w:color="auto"/>
        <w:right w:val="none" w:sz="0" w:space="0" w:color="auto"/>
      </w:divBdr>
      <w:divsChild>
        <w:div w:id="278538611">
          <w:marLeft w:val="547"/>
          <w:marRight w:val="0"/>
          <w:marTop w:val="0"/>
          <w:marBottom w:val="0"/>
          <w:divBdr>
            <w:top w:val="none" w:sz="0" w:space="0" w:color="auto"/>
            <w:left w:val="none" w:sz="0" w:space="0" w:color="auto"/>
            <w:bottom w:val="none" w:sz="0" w:space="0" w:color="auto"/>
            <w:right w:val="none" w:sz="0" w:space="0" w:color="auto"/>
          </w:divBdr>
        </w:div>
      </w:divsChild>
    </w:div>
    <w:div w:id="735010786">
      <w:bodyDiv w:val="1"/>
      <w:marLeft w:val="0"/>
      <w:marRight w:val="0"/>
      <w:marTop w:val="0"/>
      <w:marBottom w:val="0"/>
      <w:divBdr>
        <w:top w:val="none" w:sz="0" w:space="0" w:color="auto"/>
        <w:left w:val="none" w:sz="0" w:space="0" w:color="auto"/>
        <w:bottom w:val="none" w:sz="0" w:space="0" w:color="auto"/>
        <w:right w:val="none" w:sz="0" w:space="0" w:color="auto"/>
      </w:divBdr>
    </w:div>
    <w:div w:id="776213383">
      <w:bodyDiv w:val="1"/>
      <w:marLeft w:val="0"/>
      <w:marRight w:val="0"/>
      <w:marTop w:val="0"/>
      <w:marBottom w:val="0"/>
      <w:divBdr>
        <w:top w:val="none" w:sz="0" w:space="0" w:color="auto"/>
        <w:left w:val="none" w:sz="0" w:space="0" w:color="auto"/>
        <w:bottom w:val="none" w:sz="0" w:space="0" w:color="auto"/>
        <w:right w:val="none" w:sz="0" w:space="0" w:color="auto"/>
      </w:divBdr>
    </w:div>
    <w:div w:id="820150200">
      <w:bodyDiv w:val="1"/>
      <w:marLeft w:val="0"/>
      <w:marRight w:val="0"/>
      <w:marTop w:val="0"/>
      <w:marBottom w:val="0"/>
      <w:divBdr>
        <w:top w:val="none" w:sz="0" w:space="0" w:color="auto"/>
        <w:left w:val="none" w:sz="0" w:space="0" w:color="auto"/>
        <w:bottom w:val="none" w:sz="0" w:space="0" w:color="auto"/>
        <w:right w:val="none" w:sz="0" w:space="0" w:color="auto"/>
      </w:divBdr>
    </w:div>
    <w:div w:id="830217627">
      <w:bodyDiv w:val="1"/>
      <w:marLeft w:val="0"/>
      <w:marRight w:val="0"/>
      <w:marTop w:val="0"/>
      <w:marBottom w:val="0"/>
      <w:divBdr>
        <w:top w:val="none" w:sz="0" w:space="0" w:color="auto"/>
        <w:left w:val="none" w:sz="0" w:space="0" w:color="auto"/>
        <w:bottom w:val="none" w:sz="0" w:space="0" w:color="auto"/>
        <w:right w:val="none" w:sz="0" w:space="0" w:color="auto"/>
      </w:divBdr>
    </w:div>
    <w:div w:id="858007557">
      <w:bodyDiv w:val="1"/>
      <w:marLeft w:val="0"/>
      <w:marRight w:val="0"/>
      <w:marTop w:val="0"/>
      <w:marBottom w:val="0"/>
      <w:divBdr>
        <w:top w:val="none" w:sz="0" w:space="0" w:color="auto"/>
        <w:left w:val="none" w:sz="0" w:space="0" w:color="auto"/>
        <w:bottom w:val="none" w:sz="0" w:space="0" w:color="auto"/>
        <w:right w:val="none" w:sz="0" w:space="0" w:color="auto"/>
      </w:divBdr>
    </w:div>
    <w:div w:id="858857940">
      <w:bodyDiv w:val="1"/>
      <w:marLeft w:val="0"/>
      <w:marRight w:val="0"/>
      <w:marTop w:val="0"/>
      <w:marBottom w:val="0"/>
      <w:divBdr>
        <w:top w:val="none" w:sz="0" w:space="0" w:color="auto"/>
        <w:left w:val="none" w:sz="0" w:space="0" w:color="auto"/>
        <w:bottom w:val="none" w:sz="0" w:space="0" w:color="auto"/>
        <w:right w:val="none" w:sz="0" w:space="0" w:color="auto"/>
      </w:divBdr>
    </w:div>
    <w:div w:id="877355929">
      <w:bodyDiv w:val="1"/>
      <w:marLeft w:val="0"/>
      <w:marRight w:val="0"/>
      <w:marTop w:val="0"/>
      <w:marBottom w:val="0"/>
      <w:divBdr>
        <w:top w:val="none" w:sz="0" w:space="0" w:color="auto"/>
        <w:left w:val="none" w:sz="0" w:space="0" w:color="auto"/>
        <w:bottom w:val="none" w:sz="0" w:space="0" w:color="auto"/>
        <w:right w:val="none" w:sz="0" w:space="0" w:color="auto"/>
      </w:divBdr>
    </w:div>
    <w:div w:id="913274201">
      <w:bodyDiv w:val="1"/>
      <w:marLeft w:val="0"/>
      <w:marRight w:val="0"/>
      <w:marTop w:val="0"/>
      <w:marBottom w:val="0"/>
      <w:divBdr>
        <w:top w:val="none" w:sz="0" w:space="0" w:color="auto"/>
        <w:left w:val="none" w:sz="0" w:space="0" w:color="auto"/>
        <w:bottom w:val="none" w:sz="0" w:space="0" w:color="auto"/>
        <w:right w:val="none" w:sz="0" w:space="0" w:color="auto"/>
      </w:divBdr>
    </w:div>
    <w:div w:id="924069032">
      <w:bodyDiv w:val="1"/>
      <w:marLeft w:val="0"/>
      <w:marRight w:val="0"/>
      <w:marTop w:val="0"/>
      <w:marBottom w:val="0"/>
      <w:divBdr>
        <w:top w:val="none" w:sz="0" w:space="0" w:color="auto"/>
        <w:left w:val="none" w:sz="0" w:space="0" w:color="auto"/>
        <w:bottom w:val="none" w:sz="0" w:space="0" w:color="auto"/>
        <w:right w:val="none" w:sz="0" w:space="0" w:color="auto"/>
      </w:divBdr>
    </w:div>
    <w:div w:id="935019398">
      <w:bodyDiv w:val="1"/>
      <w:marLeft w:val="0"/>
      <w:marRight w:val="0"/>
      <w:marTop w:val="0"/>
      <w:marBottom w:val="0"/>
      <w:divBdr>
        <w:top w:val="none" w:sz="0" w:space="0" w:color="auto"/>
        <w:left w:val="none" w:sz="0" w:space="0" w:color="auto"/>
        <w:bottom w:val="none" w:sz="0" w:space="0" w:color="auto"/>
        <w:right w:val="none" w:sz="0" w:space="0" w:color="auto"/>
      </w:divBdr>
    </w:div>
    <w:div w:id="956570626">
      <w:bodyDiv w:val="1"/>
      <w:marLeft w:val="0"/>
      <w:marRight w:val="0"/>
      <w:marTop w:val="0"/>
      <w:marBottom w:val="0"/>
      <w:divBdr>
        <w:top w:val="none" w:sz="0" w:space="0" w:color="auto"/>
        <w:left w:val="none" w:sz="0" w:space="0" w:color="auto"/>
        <w:bottom w:val="none" w:sz="0" w:space="0" w:color="auto"/>
        <w:right w:val="none" w:sz="0" w:space="0" w:color="auto"/>
      </w:divBdr>
      <w:divsChild>
        <w:div w:id="645354343">
          <w:marLeft w:val="547"/>
          <w:marRight w:val="0"/>
          <w:marTop w:val="0"/>
          <w:marBottom w:val="0"/>
          <w:divBdr>
            <w:top w:val="none" w:sz="0" w:space="0" w:color="auto"/>
            <w:left w:val="none" w:sz="0" w:space="0" w:color="auto"/>
            <w:bottom w:val="none" w:sz="0" w:space="0" w:color="auto"/>
            <w:right w:val="none" w:sz="0" w:space="0" w:color="auto"/>
          </w:divBdr>
        </w:div>
      </w:divsChild>
    </w:div>
    <w:div w:id="977956208">
      <w:bodyDiv w:val="1"/>
      <w:marLeft w:val="0"/>
      <w:marRight w:val="0"/>
      <w:marTop w:val="0"/>
      <w:marBottom w:val="0"/>
      <w:divBdr>
        <w:top w:val="none" w:sz="0" w:space="0" w:color="auto"/>
        <w:left w:val="none" w:sz="0" w:space="0" w:color="auto"/>
        <w:bottom w:val="none" w:sz="0" w:space="0" w:color="auto"/>
        <w:right w:val="none" w:sz="0" w:space="0" w:color="auto"/>
      </w:divBdr>
    </w:div>
    <w:div w:id="996952924">
      <w:bodyDiv w:val="1"/>
      <w:marLeft w:val="0"/>
      <w:marRight w:val="0"/>
      <w:marTop w:val="0"/>
      <w:marBottom w:val="0"/>
      <w:divBdr>
        <w:top w:val="none" w:sz="0" w:space="0" w:color="auto"/>
        <w:left w:val="none" w:sz="0" w:space="0" w:color="auto"/>
        <w:bottom w:val="none" w:sz="0" w:space="0" w:color="auto"/>
        <w:right w:val="none" w:sz="0" w:space="0" w:color="auto"/>
      </w:divBdr>
    </w:div>
    <w:div w:id="1023895243">
      <w:bodyDiv w:val="1"/>
      <w:marLeft w:val="0"/>
      <w:marRight w:val="0"/>
      <w:marTop w:val="0"/>
      <w:marBottom w:val="0"/>
      <w:divBdr>
        <w:top w:val="none" w:sz="0" w:space="0" w:color="auto"/>
        <w:left w:val="none" w:sz="0" w:space="0" w:color="auto"/>
        <w:bottom w:val="none" w:sz="0" w:space="0" w:color="auto"/>
        <w:right w:val="none" w:sz="0" w:space="0" w:color="auto"/>
      </w:divBdr>
    </w:div>
    <w:div w:id="1028606032">
      <w:bodyDiv w:val="1"/>
      <w:marLeft w:val="0"/>
      <w:marRight w:val="0"/>
      <w:marTop w:val="0"/>
      <w:marBottom w:val="0"/>
      <w:divBdr>
        <w:top w:val="none" w:sz="0" w:space="0" w:color="auto"/>
        <w:left w:val="none" w:sz="0" w:space="0" w:color="auto"/>
        <w:bottom w:val="none" w:sz="0" w:space="0" w:color="auto"/>
        <w:right w:val="none" w:sz="0" w:space="0" w:color="auto"/>
      </w:divBdr>
    </w:div>
    <w:div w:id="1039891816">
      <w:bodyDiv w:val="1"/>
      <w:marLeft w:val="0"/>
      <w:marRight w:val="0"/>
      <w:marTop w:val="0"/>
      <w:marBottom w:val="0"/>
      <w:divBdr>
        <w:top w:val="none" w:sz="0" w:space="0" w:color="auto"/>
        <w:left w:val="none" w:sz="0" w:space="0" w:color="auto"/>
        <w:bottom w:val="none" w:sz="0" w:space="0" w:color="auto"/>
        <w:right w:val="none" w:sz="0" w:space="0" w:color="auto"/>
      </w:divBdr>
    </w:div>
    <w:div w:id="1050499122">
      <w:bodyDiv w:val="1"/>
      <w:marLeft w:val="0"/>
      <w:marRight w:val="0"/>
      <w:marTop w:val="0"/>
      <w:marBottom w:val="0"/>
      <w:divBdr>
        <w:top w:val="none" w:sz="0" w:space="0" w:color="auto"/>
        <w:left w:val="none" w:sz="0" w:space="0" w:color="auto"/>
        <w:bottom w:val="none" w:sz="0" w:space="0" w:color="auto"/>
        <w:right w:val="none" w:sz="0" w:space="0" w:color="auto"/>
      </w:divBdr>
    </w:div>
    <w:div w:id="1050574412">
      <w:bodyDiv w:val="1"/>
      <w:marLeft w:val="0"/>
      <w:marRight w:val="0"/>
      <w:marTop w:val="0"/>
      <w:marBottom w:val="0"/>
      <w:divBdr>
        <w:top w:val="none" w:sz="0" w:space="0" w:color="auto"/>
        <w:left w:val="none" w:sz="0" w:space="0" w:color="auto"/>
        <w:bottom w:val="none" w:sz="0" w:space="0" w:color="auto"/>
        <w:right w:val="none" w:sz="0" w:space="0" w:color="auto"/>
      </w:divBdr>
    </w:div>
    <w:div w:id="1090153636">
      <w:bodyDiv w:val="1"/>
      <w:marLeft w:val="0"/>
      <w:marRight w:val="0"/>
      <w:marTop w:val="0"/>
      <w:marBottom w:val="0"/>
      <w:divBdr>
        <w:top w:val="none" w:sz="0" w:space="0" w:color="auto"/>
        <w:left w:val="none" w:sz="0" w:space="0" w:color="auto"/>
        <w:bottom w:val="none" w:sz="0" w:space="0" w:color="auto"/>
        <w:right w:val="none" w:sz="0" w:space="0" w:color="auto"/>
      </w:divBdr>
    </w:div>
    <w:div w:id="1099058580">
      <w:bodyDiv w:val="1"/>
      <w:marLeft w:val="0"/>
      <w:marRight w:val="0"/>
      <w:marTop w:val="0"/>
      <w:marBottom w:val="0"/>
      <w:divBdr>
        <w:top w:val="none" w:sz="0" w:space="0" w:color="auto"/>
        <w:left w:val="none" w:sz="0" w:space="0" w:color="auto"/>
        <w:bottom w:val="none" w:sz="0" w:space="0" w:color="auto"/>
        <w:right w:val="none" w:sz="0" w:space="0" w:color="auto"/>
      </w:divBdr>
    </w:div>
    <w:div w:id="1101802817">
      <w:bodyDiv w:val="1"/>
      <w:marLeft w:val="0"/>
      <w:marRight w:val="0"/>
      <w:marTop w:val="0"/>
      <w:marBottom w:val="0"/>
      <w:divBdr>
        <w:top w:val="none" w:sz="0" w:space="0" w:color="auto"/>
        <w:left w:val="none" w:sz="0" w:space="0" w:color="auto"/>
        <w:bottom w:val="none" w:sz="0" w:space="0" w:color="auto"/>
        <w:right w:val="none" w:sz="0" w:space="0" w:color="auto"/>
      </w:divBdr>
    </w:div>
    <w:div w:id="1103261608">
      <w:bodyDiv w:val="1"/>
      <w:marLeft w:val="0"/>
      <w:marRight w:val="0"/>
      <w:marTop w:val="0"/>
      <w:marBottom w:val="0"/>
      <w:divBdr>
        <w:top w:val="none" w:sz="0" w:space="0" w:color="auto"/>
        <w:left w:val="none" w:sz="0" w:space="0" w:color="auto"/>
        <w:bottom w:val="none" w:sz="0" w:space="0" w:color="auto"/>
        <w:right w:val="none" w:sz="0" w:space="0" w:color="auto"/>
      </w:divBdr>
    </w:div>
    <w:div w:id="1187479274">
      <w:bodyDiv w:val="1"/>
      <w:marLeft w:val="0"/>
      <w:marRight w:val="0"/>
      <w:marTop w:val="0"/>
      <w:marBottom w:val="0"/>
      <w:divBdr>
        <w:top w:val="none" w:sz="0" w:space="0" w:color="auto"/>
        <w:left w:val="none" w:sz="0" w:space="0" w:color="auto"/>
        <w:bottom w:val="none" w:sz="0" w:space="0" w:color="auto"/>
        <w:right w:val="none" w:sz="0" w:space="0" w:color="auto"/>
      </w:divBdr>
    </w:div>
    <w:div w:id="1211721786">
      <w:bodyDiv w:val="1"/>
      <w:marLeft w:val="0"/>
      <w:marRight w:val="0"/>
      <w:marTop w:val="0"/>
      <w:marBottom w:val="0"/>
      <w:divBdr>
        <w:top w:val="none" w:sz="0" w:space="0" w:color="auto"/>
        <w:left w:val="none" w:sz="0" w:space="0" w:color="auto"/>
        <w:bottom w:val="none" w:sz="0" w:space="0" w:color="auto"/>
        <w:right w:val="none" w:sz="0" w:space="0" w:color="auto"/>
      </w:divBdr>
    </w:div>
    <w:div w:id="1213539165">
      <w:bodyDiv w:val="1"/>
      <w:marLeft w:val="0"/>
      <w:marRight w:val="0"/>
      <w:marTop w:val="0"/>
      <w:marBottom w:val="0"/>
      <w:divBdr>
        <w:top w:val="none" w:sz="0" w:space="0" w:color="auto"/>
        <w:left w:val="none" w:sz="0" w:space="0" w:color="auto"/>
        <w:bottom w:val="none" w:sz="0" w:space="0" w:color="auto"/>
        <w:right w:val="none" w:sz="0" w:space="0" w:color="auto"/>
      </w:divBdr>
    </w:div>
    <w:div w:id="1216966586">
      <w:bodyDiv w:val="1"/>
      <w:marLeft w:val="0"/>
      <w:marRight w:val="0"/>
      <w:marTop w:val="0"/>
      <w:marBottom w:val="0"/>
      <w:divBdr>
        <w:top w:val="none" w:sz="0" w:space="0" w:color="auto"/>
        <w:left w:val="none" w:sz="0" w:space="0" w:color="auto"/>
        <w:bottom w:val="none" w:sz="0" w:space="0" w:color="auto"/>
        <w:right w:val="none" w:sz="0" w:space="0" w:color="auto"/>
      </w:divBdr>
    </w:div>
    <w:div w:id="1218052781">
      <w:bodyDiv w:val="1"/>
      <w:marLeft w:val="0"/>
      <w:marRight w:val="0"/>
      <w:marTop w:val="0"/>
      <w:marBottom w:val="0"/>
      <w:divBdr>
        <w:top w:val="none" w:sz="0" w:space="0" w:color="auto"/>
        <w:left w:val="none" w:sz="0" w:space="0" w:color="auto"/>
        <w:bottom w:val="none" w:sz="0" w:space="0" w:color="auto"/>
        <w:right w:val="none" w:sz="0" w:space="0" w:color="auto"/>
      </w:divBdr>
    </w:div>
    <w:div w:id="1237277295">
      <w:bodyDiv w:val="1"/>
      <w:marLeft w:val="0"/>
      <w:marRight w:val="0"/>
      <w:marTop w:val="0"/>
      <w:marBottom w:val="0"/>
      <w:divBdr>
        <w:top w:val="none" w:sz="0" w:space="0" w:color="auto"/>
        <w:left w:val="none" w:sz="0" w:space="0" w:color="auto"/>
        <w:bottom w:val="none" w:sz="0" w:space="0" w:color="auto"/>
        <w:right w:val="none" w:sz="0" w:space="0" w:color="auto"/>
      </w:divBdr>
    </w:div>
    <w:div w:id="1276327640">
      <w:bodyDiv w:val="1"/>
      <w:marLeft w:val="0"/>
      <w:marRight w:val="0"/>
      <w:marTop w:val="0"/>
      <w:marBottom w:val="0"/>
      <w:divBdr>
        <w:top w:val="none" w:sz="0" w:space="0" w:color="auto"/>
        <w:left w:val="none" w:sz="0" w:space="0" w:color="auto"/>
        <w:bottom w:val="none" w:sz="0" w:space="0" w:color="auto"/>
        <w:right w:val="none" w:sz="0" w:space="0" w:color="auto"/>
      </w:divBdr>
    </w:div>
    <w:div w:id="1343314180">
      <w:bodyDiv w:val="1"/>
      <w:marLeft w:val="0"/>
      <w:marRight w:val="0"/>
      <w:marTop w:val="0"/>
      <w:marBottom w:val="0"/>
      <w:divBdr>
        <w:top w:val="none" w:sz="0" w:space="0" w:color="auto"/>
        <w:left w:val="none" w:sz="0" w:space="0" w:color="auto"/>
        <w:bottom w:val="none" w:sz="0" w:space="0" w:color="auto"/>
        <w:right w:val="none" w:sz="0" w:space="0" w:color="auto"/>
      </w:divBdr>
    </w:div>
    <w:div w:id="1374764731">
      <w:bodyDiv w:val="1"/>
      <w:marLeft w:val="0"/>
      <w:marRight w:val="0"/>
      <w:marTop w:val="0"/>
      <w:marBottom w:val="0"/>
      <w:divBdr>
        <w:top w:val="none" w:sz="0" w:space="0" w:color="auto"/>
        <w:left w:val="none" w:sz="0" w:space="0" w:color="auto"/>
        <w:bottom w:val="none" w:sz="0" w:space="0" w:color="auto"/>
        <w:right w:val="none" w:sz="0" w:space="0" w:color="auto"/>
      </w:divBdr>
    </w:div>
    <w:div w:id="1377583260">
      <w:bodyDiv w:val="1"/>
      <w:marLeft w:val="0"/>
      <w:marRight w:val="0"/>
      <w:marTop w:val="0"/>
      <w:marBottom w:val="0"/>
      <w:divBdr>
        <w:top w:val="none" w:sz="0" w:space="0" w:color="auto"/>
        <w:left w:val="none" w:sz="0" w:space="0" w:color="auto"/>
        <w:bottom w:val="none" w:sz="0" w:space="0" w:color="auto"/>
        <w:right w:val="none" w:sz="0" w:space="0" w:color="auto"/>
      </w:divBdr>
    </w:div>
    <w:div w:id="1414739053">
      <w:bodyDiv w:val="1"/>
      <w:marLeft w:val="0"/>
      <w:marRight w:val="0"/>
      <w:marTop w:val="0"/>
      <w:marBottom w:val="0"/>
      <w:divBdr>
        <w:top w:val="none" w:sz="0" w:space="0" w:color="auto"/>
        <w:left w:val="none" w:sz="0" w:space="0" w:color="auto"/>
        <w:bottom w:val="none" w:sz="0" w:space="0" w:color="auto"/>
        <w:right w:val="none" w:sz="0" w:space="0" w:color="auto"/>
      </w:divBdr>
      <w:divsChild>
        <w:div w:id="697894638">
          <w:marLeft w:val="547"/>
          <w:marRight w:val="0"/>
          <w:marTop w:val="0"/>
          <w:marBottom w:val="0"/>
          <w:divBdr>
            <w:top w:val="none" w:sz="0" w:space="0" w:color="auto"/>
            <w:left w:val="none" w:sz="0" w:space="0" w:color="auto"/>
            <w:bottom w:val="none" w:sz="0" w:space="0" w:color="auto"/>
            <w:right w:val="none" w:sz="0" w:space="0" w:color="auto"/>
          </w:divBdr>
        </w:div>
      </w:divsChild>
    </w:div>
    <w:div w:id="1419669760">
      <w:bodyDiv w:val="1"/>
      <w:marLeft w:val="0"/>
      <w:marRight w:val="0"/>
      <w:marTop w:val="0"/>
      <w:marBottom w:val="0"/>
      <w:divBdr>
        <w:top w:val="none" w:sz="0" w:space="0" w:color="auto"/>
        <w:left w:val="none" w:sz="0" w:space="0" w:color="auto"/>
        <w:bottom w:val="none" w:sz="0" w:space="0" w:color="auto"/>
        <w:right w:val="none" w:sz="0" w:space="0" w:color="auto"/>
      </w:divBdr>
    </w:div>
    <w:div w:id="1426537762">
      <w:bodyDiv w:val="1"/>
      <w:marLeft w:val="0"/>
      <w:marRight w:val="0"/>
      <w:marTop w:val="0"/>
      <w:marBottom w:val="0"/>
      <w:divBdr>
        <w:top w:val="none" w:sz="0" w:space="0" w:color="auto"/>
        <w:left w:val="none" w:sz="0" w:space="0" w:color="auto"/>
        <w:bottom w:val="none" w:sz="0" w:space="0" w:color="auto"/>
        <w:right w:val="none" w:sz="0" w:space="0" w:color="auto"/>
      </w:divBdr>
      <w:divsChild>
        <w:div w:id="1287472619">
          <w:marLeft w:val="1800"/>
          <w:marRight w:val="0"/>
          <w:marTop w:val="100"/>
          <w:marBottom w:val="0"/>
          <w:divBdr>
            <w:top w:val="none" w:sz="0" w:space="0" w:color="auto"/>
            <w:left w:val="none" w:sz="0" w:space="0" w:color="auto"/>
            <w:bottom w:val="none" w:sz="0" w:space="0" w:color="auto"/>
            <w:right w:val="none" w:sz="0" w:space="0" w:color="auto"/>
          </w:divBdr>
        </w:div>
      </w:divsChild>
    </w:div>
    <w:div w:id="1448701375">
      <w:bodyDiv w:val="1"/>
      <w:marLeft w:val="0"/>
      <w:marRight w:val="0"/>
      <w:marTop w:val="0"/>
      <w:marBottom w:val="0"/>
      <w:divBdr>
        <w:top w:val="none" w:sz="0" w:space="0" w:color="auto"/>
        <w:left w:val="none" w:sz="0" w:space="0" w:color="auto"/>
        <w:bottom w:val="none" w:sz="0" w:space="0" w:color="auto"/>
        <w:right w:val="none" w:sz="0" w:space="0" w:color="auto"/>
      </w:divBdr>
    </w:div>
    <w:div w:id="1470173577">
      <w:bodyDiv w:val="1"/>
      <w:marLeft w:val="0"/>
      <w:marRight w:val="0"/>
      <w:marTop w:val="0"/>
      <w:marBottom w:val="0"/>
      <w:divBdr>
        <w:top w:val="none" w:sz="0" w:space="0" w:color="auto"/>
        <w:left w:val="none" w:sz="0" w:space="0" w:color="auto"/>
        <w:bottom w:val="none" w:sz="0" w:space="0" w:color="auto"/>
        <w:right w:val="none" w:sz="0" w:space="0" w:color="auto"/>
      </w:divBdr>
    </w:div>
    <w:div w:id="1503159808">
      <w:bodyDiv w:val="1"/>
      <w:marLeft w:val="0"/>
      <w:marRight w:val="0"/>
      <w:marTop w:val="0"/>
      <w:marBottom w:val="0"/>
      <w:divBdr>
        <w:top w:val="none" w:sz="0" w:space="0" w:color="auto"/>
        <w:left w:val="none" w:sz="0" w:space="0" w:color="auto"/>
        <w:bottom w:val="none" w:sz="0" w:space="0" w:color="auto"/>
        <w:right w:val="none" w:sz="0" w:space="0" w:color="auto"/>
      </w:divBdr>
    </w:div>
    <w:div w:id="1515417047">
      <w:bodyDiv w:val="1"/>
      <w:marLeft w:val="0"/>
      <w:marRight w:val="0"/>
      <w:marTop w:val="0"/>
      <w:marBottom w:val="0"/>
      <w:divBdr>
        <w:top w:val="none" w:sz="0" w:space="0" w:color="auto"/>
        <w:left w:val="none" w:sz="0" w:space="0" w:color="auto"/>
        <w:bottom w:val="none" w:sz="0" w:space="0" w:color="auto"/>
        <w:right w:val="none" w:sz="0" w:space="0" w:color="auto"/>
      </w:divBdr>
    </w:div>
    <w:div w:id="1518615926">
      <w:bodyDiv w:val="1"/>
      <w:marLeft w:val="0"/>
      <w:marRight w:val="0"/>
      <w:marTop w:val="0"/>
      <w:marBottom w:val="0"/>
      <w:divBdr>
        <w:top w:val="none" w:sz="0" w:space="0" w:color="auto"/>
        <w:left w:val="none" w:sz="0" w:space="0" w:color="auto"/>
        <w:bottom w:val="none" w:sz="0" w:space="0" w:color="auto"/>
        <w:right w:val="none" w:sz="0" w:space="0" w:color="auto"/>
      </w:divBdr>
    </w:div>
    <w:div w:id="1528761479">
      <w:bodyDiv w:val="1"/>
      <w:marLeft w:val="0"/>
      <w:marRight w:val="0"/>
      <w:marTop w:val="0"/>
      <w:marBottom w:val="0"/>
      <w:divBdr>
        <w:top w:val="none" w:sz="0" w:space="0" w:color="auto"/>
        <w:left w:val="none" w:sz="0" w:space="0" w:color="auto"/>
        <w:bottom w:val="none" w:sz="0" w:space="0" w:color="auto"/>
        <w:right w:val="none" w:sz="0" w:space="0" w:color="auto"/>
      </w:divBdr>
    </w:div>
    <w:div w:id="1538200065">
      <w:bodyDiv w:val="1"/>
      <w:marLeft w:val="0"/>
      <w:marRight w:val="0"/>
      <w:marTop w:val="0"/>
      <w:marBottom w:val="0"/>
      <w:divBdr>
        <w:top w:val="none" w:sz="0" w:space="0" w:color="auto"/>
        <w:left w:val="none" w:sz="0" w:space="0" w:color="auto"/>
        <w:bottom w:val="none" w:sz="0" w:space="0" w:color="auto"/>
        <w:right w:val="none" w:sz="0" w:space="0" w:color="auto"/>
      </w:divBdr>
    </w:div>
    <w:div w:id="1580947548">
      <w:bodyDiv w:val="1"/>
      <w:marLeft w:val="0"/>
      <w:marRight w:val="0"/>
      <w:marTop w:val="0"/>
      <w:marBottom w:val="0"/>
      <w:divBdr>
        <w:top w:val="none" w:sz="0" w:space="0" w:color="auto"/>
        <w:left w:val="none" w:sz="0" w:space="0" w:color="auto"/>
        <w:bottom w:val="none" w:sz="0" w:space="0" w:color="auto"/>
        <w:right w:val="none" w:sz="0" w:space="0" w:color="auto"/>
      </w:divBdr>
    </w:div>
    <w:div w:id="1607689609">
      <w:bodyDiv w:val="1"/>
      <w:marLeft w:val="0"/>
      <w:marRight w:val="0"/>
      <w:marTop w:val="0"/>
      <w:marBottom w:val="0"/>
      <w:divBdr>
        <w:top w:val="none" w:sz="0" w:space="0" w:color="auto"/>
        <w:left w:val="none" w:sz="0" w:space="0" w:color="auto"/>
        <w:bottom w:val="none" w:sz="0" w:space="0" w:color="auto"/>
        <w:right w:val="none" w:sz="0" w:space="0" w:color="auto"/>
      </w:divBdr>
    </w:div>
    <w:div w:id="1635673236">
      <w:bodyDiv w:val="1"/>
      <w:marLeft w:val="0"/>
      <w:marRight w:val="0"/>
      <w:marTop w:val="0"/>
      <w:marBottom w:val="0"/>
      <w:divBdr>
        <w:top w:val="none" w:sz="0" w:space="0" w:color="auto"/>
        <w:left w:val="none" w:sz="0" w:space="0" w:color="auto"/>
        <w:bottom w:val="none" w:sz="0" w:space="0" w:color="auto"/>
        <w:right w:val="none" w:sz="0" w:space="0" w:color="auto"/>
      </w:divBdr>
    </w:div>
    <w:div w:id="1646086086">
      <w:bodyDiv w:val="1"/>
      <w:marLeft w:val="0"/>
      <w:marRight w:val="0"/>
      <w:marTop w:val="0"/>
      <w:marBottom w:val="0"/>
      <w:divBdr>
        <w:top w:val="none" w:sz="0" w:space="0" w:color="auto"/>
        <w:left w:val="none" w:sz="0" w:space="0" w:color="auto"/>
        <w:bottom w:val="none" w:sz="0" w:space="0" w:color="auto"/>
        <w:right w:val="none" w:sz="0" w:space="0" w:color="auto"/>
      </w:divBdr>
    </w:div>
    <w:div w:id="1656369942">
      <w:bodyDiv w:val="1"/>
      <w:marLeft w:val="0"/>
      <w:marRight w:val="0"/>
      <w:marTop w:val="0"/>
      <w:marBottom w:val="0"/>
      <w:divBdr>
        <w:top w:val="none" w:sz="0" w:space="0" w:color="auto"/>
        <w:left w:val="none" w:sz="0" w:space="0" w:color="auto"/>
        <w:bottom w:val="none" w:sz="0" w:space="0" w:color="auto"/>
        <w:right w:val="none" w:sz="0" w:space="0" w:color="auto"/>
      </w:divBdr>
    </w:div>
    <w:div w:id="1657610177">
      <w:bodyDiv w:val="1"/>
      <w:marLeft w:val="0"/>
      <w:marRight w:val="0"/>
      <w:marTop w:val="0"/>
      <w:marBottom w:val="0"/>
      <w:divBdr>
        <w:top w:val="none" w:sz="0" w:space="0" w:color="auto"/>
        <w:left w:val="none" w:sz="0" w:space="0" w:color="auto"/>
        <w:bottom w:val="none" w:sz="0" w:space="0" w:color="auto"/>
        <w:right w:val="none" w:sz="0" w:space="0" w:color="auto"/>
      </w:divBdr>
    </w:div>
    <w:div w:id="1662349288">
      <w:bodyDiv w:val="1"/>
      <w:marLeft w:val="0"/>
      <w:marRight w:val="0"/>
      <w:marTop w:val="0"/>
      <w:marBottom w:val="0"/>
      <w:divBdr>
        <w:top w:val="none" w:sz="0" w:space="0" w:color="auto"/>
        <w:left w:val="none" w:sz="0" w:space="0" w:color="auto"/>
        <w:bottom w:val="none" w:sz="0" w:space="0" w:color="auto"/>
        <w:right w:val="none" w:sz="0" w:space="0" w:color="auto"/>
      </w:divBdr>
    </w:div>
    <w:div w:id="1687056066">
      <w:bodyDiv w:val="1"/>
      <w:marLeft w:val="0"/>
      <w:marRight w:val="0"/>
      <w:marTop w:val="0"/>
      <w:marBottom w:val="0"/>
      <w:divBdr>
        <w:top w:val="none" w:sz="0" w:space="0" w:color="auto"/>
        <w:left w:val="none" w:sz="0" w:space="0" w:color="auto"/>
        <w:bottom w:val="none" w:sz="0" w:space="0" w:color="auto"/>
        <w:right w:val="none" w:sz="0" w:space="0" w:color="auto"/>
      </w:divBdr>
    </w:div>
    <w:div w:id="1706171952">
      <w:bodyDiv w:val="1"/>
      <w:marLeft w:val="0"/>
      <w:marRight w:val="0"/>
      <w:marTop w:val="0"/>
      <w:marBottom w:val="0"/>
      <w:divBdr>
        <w:top w:val="none" w:sz="0" w:space="0" w:color="auto"/>
        <w:left w:val="none" w:sz="0" w:space="0" w:color="auto"/>
        <w:bottom w:val="none" w:sz="0" w:space="0" w:color="auto"/>
        <w:right w:val="none" w:sz="0" w:space="0" w:color="auto"/>
      </w:divBdr>
    </w:div>
    <w:div w:id="1717850830">
      <w:bodyDiv w:val="1"/>
      <w:marLeft w:val="0"/>
      <w:marRight w:val="0"/>
      <w:marTop w:val="0"/>
      <w:marBottom w:val="0"/>
      <w:divBdr>
        <w:top w:val="none" w:sz="0" w:space="0" w:color="auto"/>
        <w:left w:val="none" w:sz="0" w:space="0" w:color="auto"/>
        <w:bottom w:val="none" w:sz="0" w:space="0" w:color="auto"/>
        <w:right w:val="none" w:sz="0" w:space="0" w:color="auto"/>
      </w:divBdr>
    </w:div>
    <w:div w:id="1721827437">
      <w:bodyDiv w:val="1"/>
      <w:marLeft w:val="0"/>
      <w:marRight w:val="0"/>
      <w:marTop w:val="0"/>
      <w:marBottom w:val="0"/>
      <w:divBdr>
        <w:top w:val="none" w:sz="0" w:space="0" w:color="auto"/>
        <w:left w:val="none" w:sz="0" w:space="0" w:color="auto"/>
        <w:bottom w:val="none" w:sz="0" w:space="0" w:color="auto"/>
        <w:right w:val="none" w:sz="0" w:space="0" w:color="auto"/>
      </w:divBdr>
    </w:div>
    <w:div w:id="1722097648">
      <w:bodyDiv w:val="1"/>
      <w:marLeft w:val="0"/>
      <w:marRight w:val="0"/>
      <w:marTop w:val="0"/>
      <w:marBottom w:val="0"/>
      <w:divBdr>
        <w:top w:val="none" w:sz="0" w:space="0" w:color="auto"/>
        <w:left w:val="none" w:sz="0" w:space="0" w:color="auto"/>
        <w:bottom w:val="none" w:sz="0" w:space="0" w:color="auto"/>
        <w:right w:val="none" w:sz="0" w:space="0" w:color="auto"/>
      </w:divBdr>
    </w:div>
    <w:div w:id="1730615113">
      <w:bodyDiv w:val="1"/>
      <w:marLeft w:val="0"/>
      <w:marRight w:val="0"/>
      <w:marTop w:val="0"/>
      <w:marBottom w:val="0"/>
      <w:divBdr>
        <w:top w:val="none" w:sz="0" w:space="0" w:color="auto"/>
        <w:left w:val="none" w:sz="0" w:space="0" w:color="auto"/>
        <w:bottom w:val="none" w:sz="0" w:space="0" w:color="auto"/>
        <w:right w:val="none" w:sz="0" w:space="0" w:color="auto"/>
      </w:divBdr>
    </w:div>
    <w:div w:id="1741974266">
      <w:bodyDiv w:val="1"/>
      <w:marLeft w:val="0"/>
      <w:marRight w:val="0"/>
      <w:marTop w:val="0"/>
      <w:marBottom w:val="0"/>
      <w:divBdr>
        <w:top w:val="none" w:sz="0" w:space="0" w:color="auto"/>
        <w:left w:val="none" w:sz="0" w:space="0" w:color="auto"/>
        <w:bottom w:val="none" w:sz="0" w:space="0" w:color="auto"/>
        <w:right w:val="none" w:sz="0" w:space="0" w:color="auto"/>
      </w:divBdr>
    </w:div>
    <w:div w:id="1753775779">
      <w:bodyDiv w:val="1"/>
      <w:marLeft w:val="0"/>
      <w:marRight w:val="0"/>
      <w:marTop w:val="0"/>
      <w:marBottom w:val="0"/>
      <w:divBdr>
        <w:top w:val="none" w:sz="0" w:space="0" w:color="auto"/>
        <w:left w:val="none" w:sz="0" w:space="0" w:color="auto"/>
        <w:bottom w:val="none" w:sz="0" w:space="0" w:color="auto"/>
        <w:right w:val="none" w:sz="0" w:space="0" w:color="auto"/>
      </w:divBdr>
    </w:div>
    <w:div w:id="1758938448">
      <w:bodyDiv w:val="1"/>
      <w:marLeft w:val="0"/>
      <w:marRight w:val="0"/>
      <w:marTop w:val="0"/>
      <w:marBottom w:val="0"/>
      <w:divBdr>
        <w:top w:val="none" w:sz="0" w:space="0" w:color="auto"/>
        <w:left w:val="none" w:sz="0" w:space="0" w:color="auto"/>
        <w:bottom w:val="none" w:sz="0" w:space="0" w:color="auto"/>
        <w:right w:val="none" w:sz="0" w:space="0" w:color="auto"/>
      </w:divBdr>
      <w:divsChild>
        <w:div w:id="1131829494">
          <w:marLeft w:val="547"/>
          <w:marRight w:val="0"/>
          <w:marTop w:val="0"/>
          <w:marBottom w:val="0"/>
          <w:divBdr>
            <w:top w:val="none" w:sz="0" w:space="0" w:color="auto"/>
            <w:left w:val="none" w:sz="0" w:space="0" w:color="auto"/>
            <w:bottom w:val="none" w:sz="0" w:space="0" w:color="auto"/>
            <w:right w:val="none" w:sz="0" w:space="0" w:color="auto"/>
          </w:divBdr>
        </w:div>
      </w:divsChild>
    </w:div>
    <w:div w:id="1802379525">
      <w:bodyDiv w:val="1"/>
      <w:marLeft w:val="0"/>
      <w:marRight w:val="0"/>
      <w:marTop w:val="0"/>
      <w:marBottom w:val="0"/>
      <w:divBdr>
        <w:top w:val="none" w:sz="0" w:space="0" w:color="auto"/>
        <w:left w:val="none" w:sz="0" w:space="0" w:color="auto"/>
        <w:bottom w:val="none" w:sz="0" w:space="0" w:color="auto"/>
        <w:right w:val="none" w:sz="0" w:space="0" w:color="auto"/>
      </w:divBdr>
    </w:div>
    <w:div w:id="1819568088">
      <w:bodyDiv w:val="1"/>
      <w:marLeft w:val="0"/>
      <w:marRight w:val="0"/>
      <w:marTop w:val="0"/>
      <w:marBottom w:val="0"/>
      <w:divBdr>
        <w:top w:val="none" w:sz="0" w:space="0" w:color="auto"/>
        <w:left w:val="none" w:sz="0" w:space="0" w:color="auto"/>
        <w:bottom w:val="none" w:sz="0" w:space="0" w:color="auto"/>
        <w:right w:val="none" w:sz="0" w:space="0" w:color="auto"/>
      </w:divBdr>
    </w:div>
    <w:div w:id="1861967138">
      <w:bodyDiv w:val="1"/>
      <w:marLeft w:val="0"/>
      <w:marRight w:val="0"/>
      <w:marTop w:val="0"/>
      <w:marBottom w:val="0"/>
      <w:divBdr>
        <w:top w:val="none" w:sz="0" w:space="0" w:color="auto"/>
        <w:left w:val="none" w:sz="0" w:space="0" w:color="auto"/>
        <w:bottom w:val="none" w:sz="0" w:space="0" w:color="auto"/>
        <w:right w:val="none" w:sz="0" w:space="0" w:color="auto"/>
      </w:divBdr>
    </w:div>
    <w:div w:id="1891728783">
      <w:bodyDiv w:val="1"/>
      <w:marLeft w:val="0"/>
      <w:marRight w:val="0"/>
      <w:marTop w:val="0"/>
      <w:marBottom w:val="0"/>
      <w:divBdr>
        <w:top w:val="none" w:sz="0" w:space="0" w:color="auto"/>
        <w:left w:val="none" w:sz="0" w:space="0" w:color="auto"/>
        <w:bottom w:val="none" w:sz="0" w:space="0" w:color="auto"/>
        <w:right w:val="none" w:sz="0" w:space="0" w:color="auto"/>
      </w:divBdr>
    </w:div>
    <w:div w:id="1895577369">
      <w:bodyDiv w:val="1"/>
      <w:marLeft w:val="0"/>
      <w:marRight w:val="0"/>
      <w:marTop w:val="0"/>
      <w:marBottom w:val="0"/>
      <w:divBdr>
        <w:top w:val="none" w:sz="0" w:space="0" w:color="auto"/>
        <w:left w:val="none" w:sz="0" w:space="0" w:color="auto"/>
        <w:bottom w:val="none" w:sz="0" w:space="0" w:color="auto"/>
        <w:right w:val="none" w:sz="0" w:space="0" w:color="auto"/>
      </w:divBdr>
    </w:div>
    <w:div w:id="1898778067">
      <w:bodyDiv w:val="1"/>
      <w:marLeft w:val="0"/>
      <w:marRight w:val="0"/>
      <w:marTop w:val="0"/>
      <w:marBottom w:val="0"/>
      <w:divBdr>
        <w:top w:val="none" w:sz="0" w:space="0" w:color="auto"/>
        <w:left w:val="none" w:sz="0" w:space="0" w:color="auto"/>
        <w:bottom w:val="none" w:sz="0" w:space="0" w:color="auto"/>
        <w:right w:val="none" w:sz="0" w:space="0" w:color="auto"/>
      </w:divBdr>
    </w:div>
    <w:div w:id="1908756452">
      <w:bodyDiv w:val="1"/>
      <w:marLeft w:val="0"/>
      <w:marRight w:val="0"/>
      <w:marTop w:val="0"/>
      <w:marBottom w:val="0"/>
      <w:divBdr>
        <w:top w:val="none" w:sz="0" w:space="0" w:color="auto"/>
        <w:left w:val="none" w:sz="0" w:space="0" w:color="auto"/>
        <w:bottom w:val="none" w:sz="0" w:space="0" w:color="auto"/>
        <w:right w:val="none" w:sz="0" w:space="0" w:color="auto"/>
      </w:divBdr>
    </w:div>
    <w:div w:id="1908807474">
      <w:bodyDiv w:val="1"/>
      <w:marLeft w:val="0"/>
      <w:marRight w:val="0"/>
      <w:marTop w:val="0"/>
      <w:marBottom w:val="0"/>
      <w:divBdr>
        <w:top w:val="none" w:sz="0" w:space="0" w:color="auto"/>
        <w:left w:val="none" w:sz="0" w:space="0" w:color="auto"/>
        <w:bottom w:val="none" w:sz="0" w:space="0" w:color="auto"/>
        <w:right w:val="none" w:sz="0" w:space="0" w:color="auto"/>
      </w:divBdr>
    </w:div>
    <w:div w:id="1915358619">
      <w:bodyDiv w:val="1"/>
      <w:marLeft w:val="0"/>
      <w:marRight w:val="0"/>
      <w:marTop w:val="0"/>
      <w:marBottom w:val="0"/>
      <w:divBdr>
        <w:top w:val="none" w:sz="0" w:space="0" w:color="auto"/>
        <w:left w:val="none" w:sz="0" w:space="0" w:color="auto"/>
        <w:bottom w:val="none" w:sz="0" w:space="0" w:color="auto"/>
        <w:right w:val="none" w:sz="0" w:space="0" w:color="auto"/>
      </w:divBdr>
    </w:div>
    <w:div w:id="1924291975">
      <w:bodyDiv w:val="1"/>
      <w:marLeft w:val="0"/>
      <w:marRight w:val="0"/>
      <w:marTop w:val="0"/>
      <w:marBottom w:val="0"/>
      <w:divBdr>
        <w:top w:val="none" w:sz="0" w:space="0" w:color="auto"/>
        <w:left w:val="none" w:sz="0" w:space="0" w:color="auto"/>
        <w:bottom w:val="none" w:sz="0" w:space="0" w:color="auto"/>
        <w:right w:val="none" w:sz="0" w:space="0" w:color="auto"/>
      </w:divBdr>
    </w:div>
    <w:div w:id="1952125403">
      <w:bodyDiv w:val="1"/>
      <w:marLeft w:val="0"/>
      <w:marRight w:val="0"/>
      <w:marTop w:val="0"/>
      <w:marBottom w:val="0"/>
      <w:divBdr>
        <w:top w:val="none" w:sz="0" w:space="0" w:color="auto"/>
        <w:left w:val="none" w:sz="0" w:space="0" w:color="auto"/>
        <w:bottom w:val="none" w:sz="0" w:space="0" w:color="auto"/>
        <w:right w:val="none" w:sz="0" w:space="0" w:color="auto"/>
      </w:divBdr>
    </w:div>
    <w:div w:id="1958372086">
      <w:bodyDiv w:val="1"/>
      <w:marLeft w:val="0"/>
      <w:marRight w:val="0"/>
      <w:marTop w:val="0"/>
      <w:marBottom w:val="0"/>
      <w:divBdr>
        <w:top w:val="none" w:sz="0" w:space="0" w:color="auto"/>
        <w:left w:val="none" w:sz="0" w:space="0" w:color="auto"/>
        <w:bottom w:val="none" w:sz="0" w:space="0" w:color="auto"/>
        <w:right w:val="none" w:sz="0" w:space="0" w:color="auto"/>
      </w:divBdr>
    </w:div>
    <w:div w:id="1960144872">
      <w:bodyDiv w:val="1"/>
      <w:marLeft w:val="0"/>
      <w:marRight w:val="0"/>
      <w:marTop w:val="0"/>
      <w:marBottom w:val="0"/>
      <w:divBdr>
        <w:top w:val="none" w:sz="0" w:space="0" w:color="auto"/>
        <w:left w:val="none" w:sz="0" w:space="0" w:color="auto"/>
        <w:bottom w:val="none" w:sz="0" w:space="0" w:color="auto"/>
        <w:right w:val="none" w:sz="0" w:space="0" w:color="auto"/>
      </w:divBdr>
    </w:div>
    <w:div w:id="1990553950">
      <w:bodyDiv w:val="1"/>
      <w:marLeft w:val="0"/>
      <w:marRight w:val="0"/>
      <w:marTop w:val="0"/>
      <w:marBottom w:val="0"/>
      <w:divBdr>
        <w:top w:val="none" w:sz="0" w:space="0" w:color="auto"/>
        <w:left w:val="none" w:sz="0" w:space="0" w:color="auto"/>
        <w:bottom w:val="none" w:sz="0" w:space="0" w:color="auto"/>
        <w:right w:val="none" w:sz="0" w:space="0" w:color="auto"/>
      </w:divBdr>
    </w:div>
    <w:div w:id="1992441928">
      <w:bodyDiv w:val="1"/>
      <w:marLeft w:val="0"/>
      <w:marRight w:val="0"/>
      <w:marTop w:val="0"/>
      <w:marBottom w:val="0"/>
      <w:divBdr>
        <w:top w:val="none" w:sz="0" w:space="0" w:color="auto"/>
        <w:left w:val="none" w:sz="0" w:space="0" w:color="auto"/>
        <w:bottom w:val="none" w:sz="0" w:space="0" w:color="auto"/>
        <w:right w:val="none" w:sz="0" w:space="0" w:color="auto"/>
      </w:divBdr>
      <w:divsChild>
        <w:div w:id="987973003">
          <w:marLeft w:val="547"/>
          <w:marRight w:val="0"/>
          <w:marTop w:val="0"/>
          <w:marBottom w:val="0"/>
          <w:divBdr>
            <w:top w:val="none" w:sz="0" w:space="0" w:color="auto"/>
            <w:left w:val="none" w:sz="0" w:space="0" w:color="auto"/>
            <w:bottom w:val="none" w:sz="0" w:space="0" w:color="auto"/>
            <w:right w:val="none" w:sz="0" w:space="0" w:color="auto"/>
          </w:divBdr>
        </w:div>
      </w:divsChild>
    </w:div>
    <w:div w:id="1994554101">
      <w:bodyDiv w:val="1"/>
      <w:marLeft w:val="0"/>
      <w:marRight w:val="0"/>
      <w:marTop w:val="0"/>
      <w:marBottom w:val="0"/>
      <w:divBdr>
        <w:top w:val="none" w:sz="0" w:space="0" w:color="auto"/>
        <w:left w:val="none" w:sz="0" w:space="0" w:color="auto"/>
        <w:bottom w:val="none" w:sz="0" w:space="0" w:color="auto"/>
        <w:right w:val="none" w:sz="0" w:space="0" w:color="auto"/>
      </w:divBdr>
    </w:div>
    <w:div w:id="2042779521">
      <w:bodyDiv w:val="1"/>
      <w:marLeft w:val="0"/>
      <w:marRight w:val="0"/>
      <w:marTop w:val="0"/>
      <w:marBottom w:val="0"/>
      <w:divBdr>
        <w:top w:val="none" w:sz="0" w:space="0" w:color="auto"/>
        <w:left w:val="none" w:sz="0" w:space="0" w:color="auto"/>
        <w:bottom w:val="none" w:sz="0" w:space="0" w:color="auto"/>
        <w:right w:val="none" w:sz="0" w:space="0" w:color="auto"/>
      </w:divBdr>
    </w:div>
    <w:div w:id="2045327215">
      <w:bodyDiv w:val="1"/>
      <w:marLeft w:val="0"/>
      <w:marRight w:val="0"/>
      <w:marTop w:val="0"/>
      <w:marBottom w:val="0"/>
      <w:divBdr>
        <w:top w:val="none" w:sz="0" w:space="0" w:color="auto"/>
        <w:left w:val="none" w:sz="0" w:space="0" w:color="auto"/>
        <w:bottom w:val="none" w:sz="0" w:space="0" w:color="auto"/>
        <w:right w:val="none" w:sz="0" w:space="0" w:color="auto"/>
      </w:divBdr>
    </w:div>
    <w:div w:id="2045864376">
      <w:bodyDiv w:val="1"/>
      <w:marLeft w:val="0"/>
      <w:marRight w:val="0"/>
      <w:marTop w:val="0"/>
      <w:marBottom w:val="0"/>
      <w:divBdr>
        <w:top w:val="none" w:sz="0" w:space="0" w:color="auto"/>
        <w:left w:val="none" w:sz="0" w:space="0" w:color="auto"/>
        <w:bottom w:val="none" w:sz="0" w:space="0" w:color="auto"/>
        <w:right w:val="none" w:sz="0" w:space="0" w:color="auto"/>
      </w:divBdr>
    </w:div>
    <w:div w:id="2054883633">
      <w:bodyDiv w:val="1"/>
      <w:marLeft w:val="0"/>
      <w:marRight w:val="0"/>
      <w:marTop w:val="0"/>
      <w:marBottom w:val="0"/>
      <w:divBdr>
        <w:top w:val="none" w:sz="0" w:space="0" w:color="auto"/>
        <w:left w:val="none" w:sz="0" w:space="0" w:color="auto"/>
        <w:bottom w:val="none" w:sz="0" w:space="0" w:color="auto"/>
        <w:right w:val="none" w:sz="0" w:space="0" w:color="auto"/>
      </w:divBdr>
    </w:div>
    <w:div w:id="2102137863">
      <w:bodyDiv w:val="1"/>
      <w:marLeft w:val="0"/>
      <w:marRight w:val="0"/>
      <w:marTop w:val="0"/>
      <w:marBottom w:val="0"/>
      <w:divBdr>
        <w:top w:val="none" w:sz="0" w:space="0" w:color="auto"/>
        <w:left w:val="none" w:sz="0" w:space="0" w:color="auto"/>
        <w:bottom w:val="none" w:sz="0" w:space="0" w:color="auto"/>
        <w:right w:val="none" w:sz="0" w:space="0" w:color="auto"/>
      </w:divBdr>
    </w:div>
    <w:div w:id="212264852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5.svg"/><Relationship Id="rId117" Type="http://schemas.openxmlformats.org/officeDocument/2006/relationships/chart" Target="charts/chart15.xml"/><Relationship Id="rId21" Type="http://schemas.openxmlformats.org/officeDocument/2006/relationships/footer" Target="footer5.xml"/><Relationship Id="rId42" Type="http://schemas.openxmlformats.org/officeDocument/2006/relationships/header" Target="header15.xml"/><Relationship Id="rId47" Type="http://schemas.openxmlformats.org/officeDocument/2006/relationships/header" Target="header17.xml"/><Relationship Id="rId63" Type="http://schemas.openxmlformats.org/officeDocument/2006/relationships/image" Target="media/image25.png"/><Relationship Id="rId68" Type="http://schemas.openxmlformats.org/officeDocument/2006/relationships/chart" Target="charts/chart9.xml"/><Relationship Id="rId84" Type="http://schemas.openxmlformats.org/officeDocument/2006/relationships/image" Target="media/image30.png"/><Relationship Id="rId89" Type="http://schemas.openxmlformats.org/officeDocument/2006/relationships/diagramLayout" Target="diagrams/layout1.xml"/><Relationship Id="rId112" Type="http://schemas.openxmlformats.org/officeDocument/2006/relationships/image" Target="media/image39.png"/><Relationship Id="rId16" Type="http://schemas.openxmlformats.org/officeDocument/2006/relationships/header" Target="header5.xml"/><Relationship Id="rId107" Type="http://schemas.openxmlformats.org/officeDocument/2006/relationships/header" Target="header34.xml"/><Relationship Id="rId11" Type="http://schemas.openxmlformats.org/officeDocument/2006/relationships/footer" Target="footer1.xml"/><Relationship Id="rId32" Type="http://schemas.openxmlformats.org/officeDocument/2006/relationships/image" Target="media/image11.svg"/><Relationship Id="rId37" Type="http://schemas.openxmlformats.org/officeDocument/2006/relationships/header" Target="header11.xml"/><Relationship Id="rId53" Type="http://schemas.openxmlformats.org/officeDocument/2006/relationships/image" Target="media/image19.png"/><Relationship Id="rId58" Type="http://schemas.openxmlformats.org/officeDocument/2006/relationships/image" Target="media/image21.emf"/><Relationship Id="rId74" Type="http://schemas.openxmlformats.org/officeDocument/2006/relationships/chart" Target="charts/chart10.xml"/><Relationship Id="rId79" Type="http://schemas.openxmlformats.org/officeDocument/2006/relationships/header" Target="header24.xml"/><Relationship Id="rId102" Type="http://schemas.openxmlformats.org/officeDocument/2006/relationships/header" Target="header33.xml"/><Relationship Id="rId123" Type="http://schemas.openxmlformats.org/officeDocument/2006/relationships/header" Target="header38.xml"/><Relationship Id="rId128" Type="http://schemas.openxmlformats.org/officeDocument/2006/relationships/theme" Target="theme/theme1.xml"/><Relationship Id="rId5" Type="http://schemas.openxmlformats.org/officeDocument/2006/relationships/webSettings" Target="webSettings.xml"/><Relationship Id="rId90" Type="http://schemas.openxmlformats.org/officeDocument/2006/relationships/diagramQuickStyle" Target="diagrams/quickStyle1.xml"/><Relationship Id="rId95" Type="http://schemas.openxmlformats.org/officeDocument/2006/relationships/hyperlink" Target="https://www.avcr.cz/export/sites/avcr.cz/.content/galerie-souboru/akademicky-snem/XLIX-Koncepce_rozvoje_cinnosti_Akademie_ved_Ceske_republiky.pdf" TargetMode="External"/><Relationship Id="rId22" Type="http://schemas.openxmlformats.org/officeDocument/2006/relationships/header" Target="header9.xml"/><Relationship Id="rId27" Type="http://schemas.openxmlformats.org/officeDocument/2006/relationships/image" Target="media/image6.png"/><Relationship Id="rId43" Type="http://schemas.openxmlformats.org/officeDocument/2006/relationships/footer" Target="footer6.xml"/><Relationship Id="rId48" Type="http://schemas.openxmlformats.org/officeDocument/2006/relationships/header" Target="header18.xml"/><Relationship Id="rId64" Type="http://schemas.openxmlformats.org/officeDocument/2006/relationships/image" Target="media/image26.png"/><Relationship Id="rId69" Type="http://schemas.openxmlformats.org/officeDocument/2006/relationships/header" Target="header19.xml"/><Relationship Id="rId113" Type="http://schemas.openxmlformats.org/officeDocument/2006/relationships/image" Target="media/image40.png"/><Relationship Id="rId118" Type="http://schemas.openxmlformats.org/officeDocument/2006/relationships/image" Target="media/image41.png"/><Relationship Id="rId80" Type="http://schemas.openxmlformats.org/officeDocument/2006/relationships/header" Target="header25.xml"/><Relationship Id="rId85" Type="http://schemas.openxmlformats.org/officeDocument/2006/relationships/image" Target="media/image31.emf"/><Relationship Id="rId12" Type="http://schemas.openxmlformats.org/officeDocument/2006/relationships/footer" Target="footer2.xml"/><Relationship Id="rId17" Type="http://schemas.openxmlformats.org/officeDocument/2006/relationships/footer" Target="footer4.xml"/><Relationship Id="rId33" Type="http://schemas.openxmlformats.org/officeDocument/2006/relationships/image" Target="media/image12.png"/><Relationship Id="rId38" Type="http://schemas.openxmlformats.org/officeDocument/2006/relationships/header" Target="header12.xml"/><Relationship Id="rId59" Type="http://schemas.openxmlformats.org/officeDocument/2006/relationships/chart" Target="charts/chart7.xml"/><Relationship Id="rId103" Type="http://schemas.openxmlformats.org/officeDocument/2006/relationships/footer" Target="footer11.xml"/><Relationship Id="rId108" Type="http://schemas.openxmlformats.org/officeDocument/2006/relationships/header" Target="header35.xml"/><Relationship Id="rId124" Type="http://schemas.openxmlformats.org/officeDocument/2006/relationships/header" Target="header39.xml"/><Relationship Id="rId54" Type="http://schemas.openxmlformats.org/officeDocument/2006/relationships/chart" Target="charts/chart4.xml"/><Relationship Id="rId70" Type="http://schemas.openxmlformats.org/officeDocument/2006/relationships/header" Target="header20.xml"/><Relationship Id="rId75" Type="http://schemas.openxmlformats.org/officeDocument/2006/relationships/chart" Target="charts/chart11.xml"/><Relationship Id="rId91" Type="http://schemas.openxmlformats.org/officeDocument/2006/relationships/diagramColors" Target="diagrams/colors1.xml"/><Relationship Id="rId96" Type="http://schemas.openxmlformats.org/officeDocument/2006/relationships/header" Target="header28.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2.png"/><Relationship Id="rId28" Type="http://schemas.openxmlformats.org/officeDocument/2006/relationships/image" Target="media/image7.svg"/><Relationship Id="rId49" Type="http://schemas.openxmlformats.org/officeDocument/2006/relationships/chart" Target="charts/chart2.xml"/><Relationship Id="rId114" Type="http://schemas.openxmlformats.org/officeDocument/2006/relationships/chart" Target="charts/chart12.xml"/><Relationship Id="rId119" Type="http://schemas.openxmlformats.org/officeDocument/2006/relationships/chart" Target="charts/chart16.xml"/><Relationship Id="rId44" Type="http://schemas.openxmlformats.org/officeDocument/2006/relationships/chart" Target="charts/chart1.xml"/><Relationship Id="rId60" Type="http://schemas.openxmlformats.org/officeDocument/2006/relationships/image" Target="media/image22.png"/><Relationship Id="rId65" Type="http://schemas.openxmlformats.org/officeDocument/2006/relationships/image" Target="media/image27.png"/><Relationship Id="rId81" Type="http://schemas.openxmlformats.org/officeDocument/2006/relationships/header" Target="header26.xml"/><Relationship Id="rId86" Type="http://schemas.openxmlformats.org/officeDocument/2006/relationships/image" Target="media/image32.png"/><Relationship Id="rId13" Type="http://schemas.openxmlformats.org/officeDocument/2006/relationships/header" Target="header3.xml"/><Relationship Id="rId18" Type="http://schemas.openxmlformats.org/officeDocument/2006/relationships/header" Target="header6.xml"/><Relationship Id="rId39" Type="http://schemas.openxmlformats.org/officeDocument/2006/relationships/image" Target="media/image15.png"/><Relationship Id="rId109" Type="http://schemas.openxmlformats.org/officeDocument/2006/relationships/header" Target="header36.xml"/><Relationship Id="rId34" Type="http://schemas.openxmlformats.org/officeDocument/2006/relationships/image" Target="media/image13.svg"/><Relationship Id="rId50" Type="http://schemas.openxmlformats.org/officeDocument/2006/relationships/chart" Target="charts/chart3.xml"/><Relationship Id="rId55" Type="http://schemas.openxmlformats.org/officeDocument/2006/relationships/chart" Target="charts/chart5.xml"/><Relationship Id="rId76" Type="http://schemas.openxmlformats.org/officeDocument/2006/relationships/header" Target="header22.xml"/><Relationship Id="rId97" Type="http://schemas.openxmlformats.org/officeDocument/2006/relationships/header" Target="header29.xml"/><Relationship Id="rId104" Type="http://schemas.openxmlformats.org/officeDocument/2006/relationships/image" Target="media/image35.png"/><Relationship Id="rId120" Type="http://schemas.openxmlformats.org/officeDocument/2006/relationships/chart" Target="charts/chart17.xml"/><Relationship Id="rId125" Type="http://schemas.openxmlformats.org/officeDocument/2006/relationships/image" Target="media/image43.png"/><Relationship Id="rId7" Type="http://schemas.openxmlformats.org/officeDocument/2006/relationships/endnotes" Target="endnotes.xml"/><Relationship Id="rId71" Type="http://schemas.openxmlformats.org/officeDocument/2006/relationships/header" Target="header21.xml"/><Relationship Id="rId92" Type="http://schemas.microsoft.com/office/2007/relationships/diagramDrawing" Target="diagrams/drawing1.xml"/><Relationship Id="rId2" Type="http://schemas.openxmlformats.org/officeDocument/2006/relationships/numbering" Target="numbering.xml"/><Relationship Id="rId29" Type="http://schemas.openxmlformats.org/officeDocument/2006/relationships/image" Target="media/image8.png"/><Relationship Id="rId24" Type="http://schemas.openxmlformats.org/officeDocument/2006/relationships/image" Target="media/image3.svg"/><Relationship Id="rId40" Type="http://schemas.openxmlformats.org/officeDocument/2006/relationships/header" Target="header13.xml"/><Relationship Id="rId45" Type="http://schemas.openxmlformats.org/officeDocument/2006/relationships/image" Target="media/image16.png"/><Relationship Id="rId66" Type="http://schemas.openxmlformats.org/officeDocument/2006/relationships/chart" Target="charts/chart8.xml"/><Relationship Id="rId87" Type="http://schemas.openxmlformats.org/officeDocument/2006/relationships/image" Target="media/image33.emf"/><Relationship Id="rId110" Type="http://schemas.openxmlformats.org/officeDocument/2006/relationships/footer" Target="footer12.xml"/><Relationship Id="rId115" Type="http://schemas.openxmlformats.org/officeDocument/2006/relationships/chart" Target="charts/chart13.xml"/><Relationship Id="rId61" Type="http://schemas.openxmlformats.org/officeDocument/2006/relationships/image" Target="media/image23.png"/><Relationship Id="rId82" Type="http://schemas.openxmlformats.org/officeDocument/2006/relationships/footer" Target="footer9.xml"/><Relationship Id="rId19" Type="http://schemas.openxmlformats.org/officeDocument/2006/relationships/header" Target="header7.xml"/><Relationship Id="rId14" Type="http://schemas.openxmlformats.org/officeDocument/2006/relationships/footer" Target="footer3.xml"/><Relationship Id="rId30" Type="http://schemas.openxmlformats.org/officeDocument/2006/relationships/image" Target="media/image9.svg"/><Relationship Id="rId35" Type="http://schemas.openxmlformats.org/officeDocument/2006/relationships/image" Target="media/image14.png"/><Relationship Id="rId56" Type="http://schemas.openxmlformats.org/officeDocument/2006/relationships/image" Target="media/image20.png"/><Relationship Id="rId77" Type="http://schemas.openxmlformats.org/officeDocument/2006/relationships/header" Target="header23.xml"/><Relationship Id="rId100" Type="http://schemas.openxmlformats.org/officeDocument/2006/relationships/header" Target="header31.xml"/><Relationship Id="rId105" Type="http://schemas.openxmlformats.org/officeDocument/2006/relationships/image" Target="media/image36.png"/><Relationship Id="rId126" Type="http://schemas.openxmlformats.org/officeDocument/2006/relationships/chart" Target="charts/chart18.xml"/><Relationship Id="rId8" Type="http://schemas.openxmlformats.org/officeDocument/2006/relationships/image" Target="media/image1.png"/><Relationship Id="rId51" Type="http://schemas.openxmlformats.org/officeDocument/2006/relationships/image" Target="media/image17.png"/><Relationship Id="rId72" Type="http://schemas.openxmlformats.org/officeDocument/2006/relationships/footer" Target="footer7.xml"/><Relationship Id="rId93" Type="http://schemas.openxmlformats.org/officeDocument/2006/relationships/image" Target="media/image34.emf"/><Relationship Id="rId98" Type="http://schemas.openxmlformats.org/officeDocument/2006/relationships/header" Target="header30.xml"/><Relationship Id="rId121" Type="http://schemas.openxmlformats.org/officeDocument/2006/relationships/image" Target="media/image42.png"/><Relationship Id="rId3" Type="http://schemas.openxmlformats.org/officeDocument/2006/relationships/styles" Target="styles.xml"/><Relationship Id="rId25" Type="http://schemas.openxmlformats.org/officeDocument/2006/relationships/image" Target="media/image4.png"/><Relationship Id="rId46" Type="http://schemas.openxmlformats.org/officeDocument/2006/relationships/header" Target="header16.xml"/><Relationship Id="rId67" Type="http://schemas.openxmlformats.org/officeDocument/2006/relationships/image" Target="media/image28.png"/><Relationship Id="rId116" Type="http://schemas.openxmlformats.org/officeDocument/2006/relationships/chart" Target="charts/chart14.xml"/><Relationship Id="rId20" Type="http://schemas.openxmlformats.org/officeDocument/2006/relationships/header" Target="header8.xml"/><Relationship Id="rId41" Type="http://schemas.openxmlformats.org/officeDocument/2006/relationships/header" Target="header14.xml"/><Relationship Id="rId62" Type="http://schemas.openxmlformats.org/officeDocument/2006/relationships/image" Target="media/image24.png"/><Relationship Id="rId83" Type="http://schemas.openxmlformats.org/officeDocument/2006/relationships/header" Target="header27.xml"/><Relationship Id="rId88" Type="http://schemas.openxmlformats.org/officeDocument/2006/relationships/diagramData" Target="diagrams/data1.xml"/><Relationship Id="rId111" Type="http://schemas.openxmlformats.org/officeDocument/2006/relationships/image" Target="media/image38.png"/><Relationship Id="rId15" Type="http://schemas.openxmlformats.org/officeDocument/2006/relationships/header" Target="header4.xml"/><Relationship Id="rId36" Type="http://schemas.openxmlformats.org/officeDocument/2006/relationships/header" Target="header10.xml"/><Relationship Id="rId57" Type="http://schemas.openxmlformats.org/officeDocument/2006/relationships/chart" Target="charts/chart6.xml"/><Relationship Id="rId106" Type="http://schemas.openxmlformats.org/officeDocument/2006/relationships/image" Target="media/image37.png"/><Relationship Id="rId127" Type="http://schemas.openxmlformats.org/officeDocument/2006/relationships/fontTable" Target="fontTable.xml"/><Relationship Id="rId10" Type="http://schemas.openxmlformats.org/officeDocument/2006/relationships/header" Target="header2.xml"/><Relationship Id="rId31" Type="http://schemas.openxmlformats.org/officeDocument/2006/relationships/image" Target="media/image10.png"/><Relationship Id="rId52" Type="http://schemas.openxmlformats.org/officeDocument/2006/relationships/image" Target="media/image18.png"/><Relationship Id="rId73" Type="http://schemas.openxmlformats.org/officeDocument/2006/relationships/image" Target="media/image29.png"/><Relationship Id="rId78" Type="http://schemas.openxmlformats.org/officeDocument/2006/relationships/footer" Target="footer8.xml"/><Relationship Id="rId94" Type="http://schemas.openxmlformats.org/officeDocument/2006/relationships/hyperlink" Target="https://tacr.gov.cz/dokums_raw/urednideska/strata2020.pdf" TargetMode="External"/><Relationship Id="rId99" Type="http://schemas.openxmlformats.org/officeDocument/2006/relationships/footer" Target="footer10.xml"/><Relationship Id="rId101" Type="http://schemas.openxmlformats.org/officeDocument/2006/relationships/header" Target="header32.xml"/><Relationship Id="rId122" Type="http://schemas.openxmlformats.org/officeDocument/2006/relationships/header" Target="header37.xml"/><Relationship Id="rId4" Type="http://schemas.openxmlformats.org/officeDocument/2006/relationships/settings" Target="settings.xml"/><Relationship Id="rId9" Type="http://schemas.openxmlformats.org/officeDocument/2006/relationships/header" Target="header1.xml"/></Relationships>
</file>

<file path=word/_rels/footnotes.xml.rels><?xml version="1.0" encoding="UTF-8" standalone="yes"?>
<Relationships xmlns="http://schemas.openxmlformats.org/package/2006/relationships"><Relationship Id="rId8" Type="http://schemas.openxmlformats.org/officeDocument/2006/relationships/hyperlink" Target="https://publications.jrc.ec.europa.eu/repository/handle/JRC137117" TargetMode="External"/><Relationship Id="rId3" Type="http://schemas.openxmlformats.org/officeDocument/2006/relationships/hyperlink" Target="https://publications.jrc.ec.europa.eu/repository/handle/JRC140129" TargetMode="External"/><Relationship Id="rId7" Type="http://schemas.openxmlformats.org/officeDocument/2006/relationships/hyperlink" Target="https://www.wipo.int/en/web/global-innovation-index" TargetMode="External"/><Relationship Id="rId2" Type="http://schemas.openxmlformats.org/officeDocument/2006/relationships/hyperlink" Target="https://op.europa.eu/en/web/eu-law-and-publications/publication-detail/-/publication/b7148f59-3ce5-11ef-ab8f-01aa75ed71a1" TargetMode="External"/><Relationship Id="rId1" Type="http://schemas.openxmlformats.org/officeDocument/2006/relationships/hyperlink" Target="https://csu.gov.cz/produkty/mimoradna-revize-narodnich-uctu" TargetMode="External"/><Relationship Id="rId6" Type="http://schemas.openxmlformats.org/officeDocument/2006/relationships/hyperlink" Target="https://op.europa.eu/en/publication-detail/-/publication/afe9989d-95ac-11ef-a130-01aa75ed71a1/language-en" TargetMode="External"/><Relationship Id="rId5" Type="http://schemas.openxmlformats.org/officeDocument/2006/relationships/hyperlink" Target="https://data.europa.eu/doi/10.2777/70412" TargetMode="External"/><Relationship Id="rId4" Type="http://schemas.openxmlformats.org/officeDocument/2006/relationships/hyperlink" Target="https://data.europa.eu/doi/10.2777/779689"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Fs\rvv\Oddeleni%20analyz%20a%20koordinace%20vedy\_Spolecne\Anal&#253;za%20VaVaI_2024\A_SYSTEM_VaVaI\A3_Proces_pripravy_statniho_rozpoctu\_kap_A2_g01_2024.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file:///\\fs\RVV\Oddeleni%20analyz%20a%20koordinace%20vedy\_Spolecne\Anal&#253;za%20VaVaI_2024\B_FINANCE\B2_Financni_toky\Grafy\B2_g1.xlsx" TargetMode="Externa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file:///\\Fs\rvv\Oddeleni%20analyz%20a%20koordinace%20vedy\_Spolecne\Anal&#253;za%20VaVaI_2024\B_FINANCE\B2_Financni_toky\2024_B2_g2.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fs\RVV\Oddeleni%20analyz%20a%20koordinace%20vedy\_Spolecne\Anal&#253;za%20VaVaI_2024\B_FINANCE\B3_Prima_verejna_podpora\grafy\graf_01_aktul.xlsx" TargetMode="External"/></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Microsoft_Excel_Worksheet.xlsx"/></Relationships>
</file>

<file path=word/charts/_rels/chart6.xml.rels><?xml version="1.0" encoding="UTF-8" standalone="yes"?>
<Relationships xmlns="http://schemas.openxmlformats.org/package/2006/relationships"><Relationship Id="rId1" Type="http://schemas.openxmlformats.org/officeDocument/2006/relationships/oleObject" Target="file:///\\fs\RVV\Oddeleni%20analyz%20a%20koordinace%20vedy\_Spolecne\Anal&#253;za%20VaVaI_2024\B_FINANCE\B3_Prima_verejna_podpora\grafy\graf_04_aktul.xlsx" TargetMode="External"/></Relationships>
</file>

<file path=word/charts/_rels/chart7.xml.rels><?xml version="1.0" encoding="UTF-8" standalone="yes"?>
<Relationships xmlns="http://schemas.openxmlformats.org/package/2006/relationships"><Relationship Id="rId3" Type="http://schemas.openxmlformats.org/officeDocument/2006/relationships/oleObject" Target="file:///\\fs\RVV\Oddeleni%20analyz%20a%20koordinace%20vedy\_Spolecne\Anal&#253;za%20VaVaI_2024\B_FINANCE\B3_Prima_verejna_podpora\grafy\graf_06_aktul.xlsx" TargetMode="External"/><Relationship Id="rId2" Type="http://schemas.microsoft.com/office/2011/relationships/chartColorStyle" Target="colors5.xml"/><Relationship Id="rId1" Type="http://schemas.microsoft.com/office/2011/relationships/chartStyle" Target="style5.xml"/></Relationships>
</file>

<file path=word/charts/_rels/chart8.xml.rels><?xml version="1.0" encoding="UTF-8" standalone="yes"?>
<Relationships xmlns="http://schemas.openxmlformats.org/package/2006/relationships"><Relationship Id="rId3" Type="http://schemas.openxmlformats.org/officeDocument/2006/relationships/oleObject" Target="file:///C:\Users\Kurekova\Documents\E1_vysledky_disk_C\E1_grafy_C\_kap_Vysledky_g3_J_2024.xlsx" TargetMode="External"/><Relationship Id="rId2" Type="http://schemas.microsoft.com/office/2011/relationships/chartColorStyle" Target="colors6.xml"/><Relationship Id="rId1" Type="http://schemas.microsoft.com/office/2011/relationships/chartStyle" Target="style6.xml"/></Relationships>
</file>

<file path=word/charts/_rels/chart9.xml.rels><?xml version="1.0" encoding="UTF-8" standalone="yes"?>
<Relationships xmlns="http://schemas.openxmlformats.org/package/2006/relationships"><Relationship Id="rId3" Type="http://schemas.openxmlformats.org/officeDocument/2006/relationships/oleObject" Target="file:///C:\Users\Kurekova\Documents\E1_vysledky_disk_C\E1_grafy_C\_kap_Vysledky_g5_ford_2024.xlsx" TargetMode="External"/><Relationship Id="rId2" Type="http://schemas.microsoft.com/office/2011/relationships/chartColorStyle" Target="colors7.xml"/><Relationship Id="rId1" Type="http://schemas.microsoft.com/office/2011/relationships/chartStyle" Target="style7.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4.xml"/></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package" Target="../embeddings/Microsoft_Excel_Worksheet2.xlsx"/></Relationships>
</file>

<file path=word/charts/_rels/chart12.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oleObject" Target="file:///C:\Users\Kurekova\Documents\E1_vysledky_disk_C\E1_grafy_C\Priloha_g14_Q_data_g10_H_SUM\_kap_07_gXX_01.xlsx" TargetMode="External"/></Relationships>
</file>

<file path=word/charts/_rels/chart13.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oleObject" Target="file:///C:\Users\Kurekova\Documents\E1_vysledky_disk_C\E1_grafy_C\Priloha_g14_Q_data_g10_H_SUM\_kap_07_gXX_02.xlsx" TargetMode="External"/></Relationships>
</file>

<file path=word/charts/_rels/chart14.xml.rels><?xml version="1.0" encoding="UTF-8" standalone="yes"?>
<Relationships xmlns="http://schemas.openxmlformats.org/package/2006/relationships"><Relationship Id="rId3" Type="http://schemas.openxmlformats.org/officeDocument/2006/relationships/themeOverride" Target="../theme/themeOverride8.xml"/><Relationship Id="rId2" Type="http://schemas.microsoft.com/office/2011/relationships/chartColorStyle" Target="colors11.xml"/><Relationship Id="rId1" Type="http://schemas.microsoft.com/office/2011/relationships/chartStyle" Target="style11.xml"/><Relationship Id="rId4" Type="http://schemas.openxmlformats.org/officeDocument/2006/relationships/oleObject" Target="file:///C:\Users\Kurekova\Documents\E1_vysledky_disk_C\E1_grafy_C\Priloha_g14_Q_data_g10_H_SUM\_kap_07_gXX_03.xlsx" TargetMode="External"/></Relationships>
</file>

<file path=word/charts/_rels/chart15.xml.rels><?xml version="1.0" encoding="UTF-8" standalone="yes"?>
<Relationships xmlns="http://schemas.openxmlformats.org/package/2006/relationships"><Relationship Id="rId3" Type="http://schemas.openxmlformats.org/officeDocument/2006/relationships/themeOverride" Target="../theme/themeOverride9.xml"/><Relationship Id="rId2" Type="http://schemas.microsoft.com/office/2011/relationships/chartColorStyle" Target="colors12.xml"/><Relationship Id="rId1" Type="http://schemas.microsoft.com/office/2011/relationships/chartStyle" Target="style12.xml"/><Relationship Id="rId4" Type="http://schemas.openxmlformats.org/officeDocument/2006/relationships/oleObject" Target="file:///C:\Users\Kurekova\Documents\E1_vysledky_disk_C\E1_grafy_C\Priloha_g14_Q_data_g10_H_SUM\_kap_07_gXX_04.xlsx" TargetMode="External"/></Relationships>
</file>

<file path=word/charts/_rels/chart16.xml.rels><?xml version="1.0" encoding="UTF-8" standalone="yes"?>
<Relationships xmlns="http://schemas.openxmlformats.org/package/2006/relationships"><Relationship Id="rId3" Type="http://schemas.openxmlformats.org/officeDocument/2006/relationships/themeOverride" Target="../theme/themeOverride10.xml"/><Relationship Id="rId2" Type="http://schemas.microsoft.com/office/2011/relationships/chartColorStyle" Target="colors13.xml"/><Relationship Id="rId1" Type="http://schemas.microsoft.com/office/2011/relationships/chartStyle" Target="style13.xml"/><Relationship Id="rId4" Type="http://schemas.openxmlformats.org/officeDocument/2006/relationships/oleObject" Target="file:///C:\Users\Kurekova\Documents\E1_vysledky_disk_C\E1_grafy_C\Priloha_g14_Q_data_g10_H_SUM\_kap_07_gXX_05.xlsx" TargetMode="External"/></Relationships>
</file>

<file path=word/charts/_rels/chart17.xml.rels><?xml version="1.0" encoding="UTF-8" standalone="yes"?>
<Relationships xmlns="http://schemas.openxmlformats.org/package/2006/relationships"><Relationship Id="rId3" Type="http://schemas.openxmlformats.org/officeDocument/2006/relationships/themeOverride" Target="../theme/themeOverride11.xml"/><Relationship Id="rId2" Type="http://schemas.microsoft.com/office/2011/relationships/chartColorStyle" Target="colors14.xml"/><Relationship Id="rId1" Type="http://schemas.microsoft.com/office/2011/relationships/chartStyle" Target="style14.xml"/><Relationship Id="rId4" Type="http://schemas.openxmlformats.org/officeDocument/2006/relationships/oleObject" Target="file:///C:\Users\Kurekova\Documents\E1_vysledky_disk_C\E1_grafy_C\Priloha_g14_Q_data_g10_H_SUM\_kap_07_gXX_06.xlsx" TargetMode="External"/></Relationships>
</file>

<file path=word/charts/_rels/chart18.xml.rels><?xml version="1.0" encoding="UTF-8" standalone="yes"?>
<Relationships xmlns="http://schemas.openxmlformats.org/package/2006/relationships"><Relationship Id="rId3" Type="http://schemas.openxmlformats.org/officeDocument/2006/relationships/oleObject" Target="file:///\\FS\RVV\Oddeleni%20analyz%20a%20koordinace%20vedy\_Spolecne\Anal&#253;za%20VaVaI_2023\E_VYKONNOST_A_EFEKTIVITA\E4_Transfer_technologii_a_znalosti\Data\Graf%20P.E4.C.xlsx" TargetMode="External"/><Relationship Id="rId2" Type="http://schemas.microsoft.com/office/2011/relationships/chartColorStyle" Target="colors15.xml"/><Relationship Id="rId1" Type="http://schemas.microsoft.com/office/2011/relationships/chartStyle" Target="style15.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8"/>
    </mc:Choice>
    <mc:Fallback>
      <c:style val="8"/>
    </mc:Fallback>
  </mc:AlternateContent>
  <c:chart>
    <c:autoTitleDeleted val="1"/>
    <c:plotArea>
      <c:layout/>
      <c:barChart>
        <c:barDir val="col"/>
        <c:grouping val="stacked"/>
        <c:varyColors val="0"/>
        <c:ser>
          <c:idx val="1"/>
          <c:order val="0"/>
          <c:tx>
            <c:strRef>
              <c:f>DATA!$A$7</c:f>
              <c:strCache>
                <c:ptCount val="1"/>
                <c:pt idx="0">
                  <c:v>Schválené výdaje SR na VaVaI</c:v>
                </c:pt>
              </c:strCache>
            </c:strRef>
          </c:tx>
          <c:spPr>
            <a:solidFill>
              <a:schemeClr val="bg1">
                <a:lumMod val="75000"/>
              </a:schemeClr>
            </a:solidFill>
            <a:ln>
              <a:noFill/>
            </a:ln>
            <a:effectLst/>
          </c:spPr>
          <c:invertIfNegative val="0"/>
          <c:dPt>
            <c:idx val="5"/>
            <c:invertIfNegative val="0"/>
            <c:bubble3D val="0"/>
            <c:extLst>
              <c:ext xmlns:c16="http://schemas.microsoft.com/office/drawing/2014/chart" uri="{C3380CC4-5D6E-409C-BE32-E72D297353CC}">
                <c16:uniqueId val="{00000000-B034-46E1-A6F8-2BCBDDDD9095}"/>
              </c:ext>
            </c:extLst>
          </c:dPt>
          <c:dPt>
            <c:idx val="6"/>
            <c:invertIfNegative val="0"/>
            <c:bubble3D val="0"/>
            <c:extLst>
              <c:ext xmlns:c16="http://schemas.microsoft.com/office/drawing/2014/chart" uri="{C3380CC4-5D6E-409C-BE32-E72D297353CC}">
                <c16:uniqueId val="{00000001-B034-46E1-A6F8-2BCBDDDD9095}"/>
              </c:ext>
            </c:extLst>
          </c:dPt>
          <c:dPt>
            <c:idx val="7"/>
            <c:invertIfNegative val="0"/>
            <c:bubble3D val="0"/>
            <c:extLst>
              <c:ext xmlns:c16="http://schemas.microsoft.com/office/drawing/2014/chart" uri="{C3380CC4-5D6E-409C-BE32-E72D297353CC}">
                <c16:uniqueId val="{00000002-B034-46E1-A6F8-2BCBDDDD9095}"/>
              </c:ext>
            </c:extLst>
          </c:dPt>
          <c:dPt>
            <c:idx val="8"/>
            <c:invertIfNegative val="0"/>
            <c:bubble3D val="0"/>
            <c:extLst>
              <c:ext xmlns:c16="http://schemas.microsoft.com/office/drawing/2014/chart" uri="{C3380CC4-5D6E-409C-BE32-E72D297353CC}">
                <c16:uniqueId val="{00000003-B034-46E1-A6F8-2BCBDDDD9095}"/>
              </c:ext>
            </c:extLst>
          </c:dPt>
          <c:dLbls>
            <c:dLbl>
              <c:idx val="0"/>
              <c:layout>
                <c:manualLayout>
                  <c:x val="-2.3518518518518519E-3"/>
                  <c:y val="-0.2994107271466582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B034-46E1-A6F8-2BCBDDDD9095}"/>
                </c:ext>
              </c:extLst>
            </c:dLbl>
            <c:dLbl>
              <c:idx val="1"/>
              <c:layout>
                <c:manualLayout>
                  <c:x val="7.0555555555555554E-3"/>
                  <c:y val="-0.3459536625949757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B034-46E1-A6F8-2BCBDDDD9095}"/>
                </c:ext>
              </c:extLst>
            </c:dLbl>
            <c:dLbl>
              <c:idx val="2"/>
              <c:layout>
                <c:manualLayout>
                  <c:x val="-4.7037037037037039E-3"/>
                  <c:y val="-0.34482324526259511"/>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B034-46E1-A6F8-2BCBDDDD9095}"/>
                </c:ext>
              </c:extLst>
            </c:dLbl>
            <c:dLbl>
              <c:idx val="3"/>
              <c:layout>
                <c:manualLayout>
                  <c:x val="-2.3518518518518519E-3"/>
                  <c:y val="-0.36282771041105799"/>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B034-46E1-A6F8-2BCBDDDD9095}"/>
                </c:ext>
              </c:extLst>
            </c:dLbl>
            <c:dLbl>
              <c:idx val="4"/>
              <c:layout>
                <c:manualLayout>
                  <c:x val="0"/>
                  <c:y val="-0.3733548645483140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B034-46E1-A6F8-2BCBDDDD9095}"/>
                </c:ext>
              </c:extLst>
            </c:dLbl>
            <c:dLbl>
              <c:idx val="5"/>
              <c:layout>
                <c:manualLayout>
                  <c:x val="0"/>
                  <c:y val="-0.39044072288475651"/>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B034-46E1-A6F8-2BCBDDDD9095}"/>
                </c:ext>
              </c:extLst>
            </c:dLbl>
            <c:dLbl>
              <c:idx val="6"/>
              <c:layout>
                <c:manualLayout>
                  <c:x val="0"/>
                  <c:y val="-0.40282849827768358"/>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034-46E1-A6F8-2BCBDDDD9095}"/>
                </c:ext>
              </c:extLst>
            </c:dLbl>
            <c:dLbl>
              <c:idx val="7"/>
              <c:layout>
                <c:manualLayout>
                  <c:x val="-2.3518518518518519E-3"/>
                  <c:y val="-0.39908099354548832"/>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B034-46E1-A6F8-2BCBDDDD9095}"/>
                </c:ext>
              </c:extLst>
            </c:dLbl>
            <c:dLbl>
              <c:idx val="8"/>
              <c:layout>
                <c:manualLayout>
                  <c:x val="4.7037037037037039E-3"/>
                  <c:y val="-0.40960814768274439"/>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034-46E1-A6F8-2BCBDDDD9095}"/>
                </c:ext>
              </c:extLst>
            </c:dLbl>
            <c:dLbl>
              <c:idx val="9"/>
              <c:layout>
                <c:manualLayout>
                  <c:x val="0"/>
                  <c:y val="-0.412192692765414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B034-46E1-A6F8-2BCBDDDD9095}"/>
                </c:ext>
              </c:extLst>
            </c:dLbl>
            <c:dLbl>
              <c:idx val="10"/>
              <c:layout>
                <c:manualLayout>
                  <c:x val="2.3518518518518519E-3"/>
                  <c:y val="-0.4015810427871524"/>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B034-46E1-A6F8-2BCBDDDD9095}"/>
                </c:ext>
              </c:extLst>
            </c:dLbl>
            <c:numFmt formatCode="#,##0.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DATA!$J$4:$S$4</c:f>
              <c:numCache>
                <c:formatCode>General</c:formatCode>
                <c:ptCount val="10"/>
                <c:pt idx="0">
                  <c:v>2015</c:v>
                </c:pt>
                <c:pt idx="1">
                  <c:v>2016</c:v>
                </c:pt>
                <c:pt idx="2">
                  <c:v>2017</c:v>
                </c:pt>
                <c:pt idx="3">
                  <c:v>2018</c:v>
                </c:pt>
                <c:pt idx="4">
                  <c:v>2019</c:v>
                </c:pt>
                <c:pt idx="5">
                  <c:v>2020</c:v>
                </c:pt>
                <c:pt idx="6">
                  <c:v>2021</c:v>
                </c:pt>
                <c:pt idx="7">
                  <c:v>2022</c:v>
                </c:pt>
                <c:pt idx="8">
                  <c:v>2023</c:v>
                </c:pt>
                <c:pt idx="9">
                  <c:v>2024</c:v>
                </c:pt>
              </c:numCache>
              <c:extLst/>
            </c:numRef>
          </c:cat>
          <c:val>
            <c:numRef>
              <c:f>DATA!$J$7:$S$7</c:f>
              <c:numCache>
                <c:formatCode>#,##0</c:formatCode>
                <c:ptCount val="10"/>
                <c:pt idx="0">
                  <c:v>26905375532</c:v>
                </c:pt>
                <c:pt idx="1">
                  <c:v>29092232145</c:v>
                </c:pt>
                <c:pt idx="2">
                  <c:v>32661390457</c:v>
                </c:pt>
                <c:pt idx="3">
                  <c:v>34796915784</c:v>
                </c:pt>
                <c:pt idx="4">
                  <c:v>35964598087</c:v>
                </c:pt>
                <c:pt idx="5">
                  <c:v>36247693204</c:v>
                </c:pt>
                <c:pt idx="6">
                  <c:v>37468053204</c:v>
                </c:pt>
                <c:pt idx="7">
                  <c:v>39074073819</c:v>
                </c:pt>
                <c:pt idx="8">
                  <c:v>40190167144</c:v>
                </c:pt>
                <c:pt idx="9">
                  <c:v>40220167144</c:v>
                </c:pt>
              </c:numCache>
              <c:extLst/>
            </c:numRef>
          </c:val>
          <c:extLst>
            <c:ext xmlns:c16="http://schemas.microsoft.com/office/drawing/2014/chart" uri="{C3380CC4-5D6E-409C-BE32-E72D297353CC}">
              <c16:uniqueId val="{0000000B-B034-46E1-A6F8-2BCBDDDD9095}"/>
            </c:ext>
          </c:extLst>
        </c:ser>
        <c:dLbls>
          <c:showLegendKey val="0"/>
          <c:showVal val="0"/>
          <c:showCatName val="0"/>
          <c:showSerName val="0"/>
          <c:showPercent val="0"/>
          <c:showBubbleSize val="0"/>
        </c:dLbls>
        <c:gapWidth val="150"/>
        <c:overlap val="100"/>
        <c:axId val="259007327"/>
        <c:axId val="1"/>
      </c:barChart>
      <c:lineChart>
        <c:grouping val="stacked"/>
        <c:varyColors val="0"/>
        <c:ser>
          <c:idx val="0"/>
          <c:order val="1"/>
          <c:tx>
            <c:strRef>
              <c:f>DATA!$A$16</c:f>
              <c:strCache>
                <c:ptCount val="1"/>
                <c:pt idx="0">
                  <c:v>DK RVO dle zák.</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numFmt formatCode="#,##0.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DATA!$J$4:$R$4</c:f>
              <c:numCache>
                <c:formatCode>General</c:formatCode>
                <c:ptCount val="9"/>
                <c:pt idx="0">
                  <c:v>2015</c:v>
                </c:pt>
                <c:pt idx="1">
                  <c:v>2016</c:v>
                </c:pt>
                <c:pt idx="2">
                  <c:v>2017</c:v>
                </c:pt>
                <c:pt idx="3">
                  <c:v>2018</c:v>
                </c:pt>
                <c:pt idx="4">
                  <c:v>2019</c:v>
                </c:pt>
                <c:pt idx="5">
                  <c:v>2020</c:v>
                </c:pt>
                <c:pt idx="6">
                  <c:v>2021</c:v>
                </c:pt>
                <c:pt idx="7">
                  <c:v>2022</c:v>
                </c:pt>
                <c:pt idx="8">
                  <c:v>2023</c:v>
                </c:pt>
              </c:numCache>
              <c:extLst/>
            </c:numRef>
          </c:cat>
          <c:val>
            <c:numRef>
              <c:f>DATA!$J$16:$S$16</c:f>
              <c:numCache>
                <c:formatCode>#,##0</c:formatCode>
                <c:ptCount val="10"/>
                <c:pt idx="0">
                  <c:v>9519552000</c:v>
                </c:pt>
                <c:pt idx="1">
                  <c:v>10647455000</c:v>
                </c:pt>
                <c:pt idx="2">
                  <c:v>11129369000</c:v>
                </c:pt>
                <c:pt idx="3">
                  <c:v>12645137144</c:v>
                </c:pt>
                <c:pt idx="4">
                  <c:v>13130924428</c:v>
                </c:pt>
                <c:pt idx="5">
                  <c:v>14698945755</c:v>
                </c:pt>
                <c:pt idx="6">
                  <c:v>15758562865</c:v>
                </c:pt>
                <c:pt idx="7">
                  <c:v>17195583109</c:v>
                </c:pt>
                <c:pt idx="8">
                  <c:v>17092353888</c:v>
                </c:pt>
                <c:pt idx="9">
                  <c:v>17502417366</c:v>
                </c:pt>
              </c:numCache>
              <c:extLst/>
            </c:numRef>
          </c:val>
          <c:smooth val="0"/>
          <c:extLst>
            <c:ext xmlns:c16="http://schemas.microsoft.com/office/drawing/2014/chart" uri="{C3380CC4-5D6E-409C-BE32-E72D297353CC}">
              <c16:uniqueId val="{0000000C-B034-46E1-A6F8-2BCBDDDD9095}"/>
            </c:ext>
          </c:extLst>
        </c:ser>
        <c:dLbls>
          <c:showLegendKey val="0"/>
          <c:showVal val="0"/>
          <c:showCatName val="0"/>
          <c:showSerName val="0"/>
          <c:showPercent val="0"/>
          <c:showBubbleSize val="0"/>
        </c:dLbls>
        <c:marker val="1"/>
        <c:smooth val="0"/>
        <c:axId val="840983103"/>
        <c:axId val="840984767"/>
      </c:lineChart>
      <c:catAx>
        <c:axId val="25900732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
        <c:crosses val="autoZero"/>
        <c:auto val="1"/>
        <c:lblAlgn val="ctr"/>
        <c:lblOffset val="100"/>
        <c:noMultiLvlLbl val="0"/>
      </c:catAx>
      <c:valAx>
        <c:axId val="1"/>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0"/>
        <c:majorTickMark val="none"/>
        <c:minorTickMark val="none"/>
        <c:tickLblPos val="nextTo"/>
        <c:spPr>
          <a:noFill/>
          <a:ln>
            <a:noFill/>
          </a:ln>
          <a:effectLst/>
        </c:spPr>
        <c:txPr>
          <a:bodyPr rot="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259007327"/>
        <c:crosses val="autoZero"/>
        <c:crossBetween val="between"/>
        <c:dispUnits>
          <c:builtInUnit val="billions"/>
          <c:dispUnitsLbl>
            <c:layout>
              <c:manualLayout>
                <c:xMode val="edge"/>
                <c:yMode val="edge"/>
                <c:x val="2.1166666666666667E-2"/>
                <c:y val="0.36253283134430314"/>
              </c:manualLayout>
            </c:layout>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a:t>Mld. Kč</a:t>
                  </a:r>
                </a:p>
              </c:rich>
            </c:tx>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dispUnitsLbl>
        </c:dispUnits>
      </c:valAx>
      <c:valAx>
        <c:axId val="840984767"/>
        <c:scaling>
          <c:orientation val="minMax"/>
          <c:max val="40000000000"/>
        </c:scaling>
        <c:delete val="0"/>
        <c:axPos val="r"/>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840983103"/>
        <c:crosses val="max"/>
        <c:crossBetween val="between"/>
        <c:dispUnits>
          <c:builtInUnit val="billions"/>
        </c:dispUnits>
      </c:valAx>
      <c:catAx>
        <c:axId val="840983103"/>
        <c:scaling>
          <c:orientation val="minMax"/>
        </c:scaling>
        <c:delete val="1"/>
        <c:axPos val="b"/>
        <c:numFmt formatCode="General" sourceLinked="1"/>
        <c:majorTickMark val="none"/>
        <c:minorTickMark val="none"/>
        <c:tickLblPos val="nextTo"/>
        <c:crossAx val="840984767"/>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noFill/>
      <a:round/>
    </a:ln>
    <a:effectLst/>
  </c:spPr>
  <c:txPr>
    <a:bodyPr/>
    <a:lstStyle/>
    <a:p>
      <a:pPr>
        <a:defRPr/>
      </a:pPr>
      <a:endParaRPr lang="cs-CZ"/>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8809162197198857E-2"/>
          <c:y val="6.4149395118713606E-2"/>
          <c:w val="0.84156875142980592"/>
          <c:h val="0.753727335807162"/>
        </c:manualLayout>
      </c:layout>
      <c:barChart>
        <c:barDir val="col"/>
        <c:grouping val="stacked"/>
        <c:varyColors val="0"/>
        <c:ser>
          <c:idx val="2"/>
          <c:order val="0"/>
          <c:tx>
            <c:strRef>
              <c:f>B2_g1!$A$9</c:f>
              <c:strCache>
                <c:ptCount val="1"/>
                <c:pt idx="0">
                  <c:v>Veřejné národní</c:v>
                </c:pt>
              </c:strCache>
            </c:strRef>
          </c:tx>
          <c:spPr>
            <a:solidFill>
              <a:schemeClr val="accent6">
                <a:lumMod val="40000"/>
                <a:lumOff val="60000"/>
              </a:schemeClr>
            </a:solidFill>
            <a:ln>
              <a:noFill/>
            </a:ln>
            <a:effectLst/>
          </c:spPr>
          <c:invertIfNegative val="0"/>
          <c:cat>
            <c:numRef>
              <c:f>B2_g1!$P$7:$Z$7</c:f>
              <c:numCache>
                <c:formatCode>General</c:formatCode>
                <c:ptCount val="11"/>
                <c:pt idx="0">
                  <c:v>2014</c:v>
                </c:pt>
                <c:pt idx="1">
                  <c:v>2015</c:v>
                </c:pt>
                <c:pt idx="2">
                  <c:v>2016</c:v>
                </c:pt>
                <c:pt idx="3">
                  <c:v>2017</c:v>
                </c:pt>
                <c:pt idx="4">
                  <c:v>2018</c:v>
                </c:pt>
                <c:pt idx="5">
                  <c:v>2019</c:v>
                </c:pt>
                <c:pt idx="6">
                  <c:v>2020</c:v>
                </c:pt>
                <c:pt idx="7">
                  <c:v>2021</c:v>
                </c:pt>
                <c:pt idx="8">
                  <c:v>2022</c:v>
                </c:pt>
                <c:pt idx="9">
                  <c:v>2023</c:v>
                </c:pt>
                <c:pt idx="10">
                  <c:v>2024</c:v>
                </c:pt>
              </c:numCache>
            </c:numRef>
          </c:cat>
          <c:val>
            <c:numRef>
              <c:f>B2_g1!$P$9:$Z$9</c:f>
              <c:numCache>
                <c:formatCode>#,##0" "</c:formatCode>
                <c:ptCount val="11"/>
                <c:pt idx="0">
                  <c:v>28034.480449999999</c:v>
                </c:pt>
                <c:pt idx="1">
                  <c:v>28562.501870000011</c:v>
                </c:pt>
                <c:pt idx="2">
                  <c:v>28534.980418193358</c:v>
                </c:pt>
                <c:pt idx="3">
                  <c:v>31232.402071476445</c:v>
                </c:pt>
                <c:pt idx="4">
                  <c:v>35036.515198448724</c:v>
                </c:pt>
                <c:pt idx="5">
                  <c:v>37580.898000000008</c:v>
                </c:pt>
                <c:pt idx="6">
                  <c:v>38568.942999999999</c:v>
                </c:pt>
                <c:pt idx="7">
                  <c:v>39406.282332316383</c:v>
                </c:pt>
                <c:pt idx="8">
                  <c:v>40401.495999999985</c:v>
                </c:pt>
                <c:pt idx="9">
                  <c:v>41829.30799999999</c:v>
                </c:pt>
                <c:pt idx="10">
                  <c:v>43115.93299999999</c:v>
                </c:pt>
              </c:numCache>
            </c:numRef>
          </c:val>
          <c:extLst>
            <c:ext xmlns:c16="http://schemas.microsoft.com/office/drawing/2014/chart" uri="{C3380CC4-5D6E-409C-BE32-E72D297353CC}">
              <c16:uniqueId val="{00000000-CC38-47DE-8FCD-F3E6A2455982}"/>
            </c:ext>
          </c:extLst>
        </c:ser>
        <c:ser>
          <c:idx val="3"/>
          <c:order val="1"/>
          <c:tx>
            <c:strRef>
              <c:f>B2_g1!$A$10</c:f>
              <c:strCache>
                <c:ptCount val="1"/>
                <c:pt idx="0">
                  <c:v>EU</c:v>
                </c:pt>
              </c:strCache>
            </c:strRef>
          </c:tx>
          <c:spPr>
            <a:solidFill>
              <a:schemeClr val="accent1">
                <a:lumMod val="40000"/>
                <a:lumOff val="60000"/>
              </a:schemeClr>
            </a:solidFill>
            <a:ln>
              <a:noFill/>
            </a:ln>
            <a:effectLst/>
          </c:spPr>
          <c:invertIfNegative val="0"/>
          <c:cat>
            <c:numRef>
              <c:f>B2_g1!$P$7:$Z$7</c:f>
              <c:numCache>
                <c:formatCode>General</c:formatCode>
                <c:ptCount val="11"/>
                <c:pt idx="0">
                  <c:v>2014</c:v>
                </c:pt>
                <c:pt idx="1">
                  <c:v>2015</c:v>
                </c:pt>
                <c:pt idx="2">
                  <c:v>2016</c:v>
                </c:pt>
                <c:pt idx="3">
                  <c:v>2017</c:v>
                </c:pt>
                <c:pt idx="4">
                  <c:v>2018</c:v>
                </c:pt>
                <c:pt idx="5">
                  <c:v>2019</c:v>
                </c:pt>
                <c:pt idx="6">
                  <c:v>2020</c:v>
                </c:pt>
                <c:pt idx="7">
                  <c:v>2021</c:v>
                </c:pt>
                <c:pt idx="8">
                  <c:v>2022</c:v>
                </c:pt>
                <c:pt idx="9">
                  <c:v>2023</c:v>
                </c:pt>
                <c:pt idx="10">
                  <c:v>2024</c:v>
                </c:pt>
              </c:numCache>
            </c:numRef>
          </c:cat>
          <c:val>
            <c:numRef>
              <c:f>B2_g1!$P$10:$Z$10</c:f>
              <c:numCache>
                <c:formatCode>#,##0" "</c:formatCode>
                <c:ptCount val="11"/>
                <c:pt idx="0">
                  <c:v>13132.098190000002</c:v>
                </c:pt>
                <c:pt idx="1">
                  <c:v>13523.926730000001</c:v>
                </c:pt>
                <c:pt idx="2">
                  <c:v>2316.9812901295331</c:v>
                </c:pt>
                <c:pt idx="3">
                  <c:v>3994.5347100193171</c:v>
                </c:pt>
                <c:pt idx="4">
                  <c:v>6308.9448514748556</c:v>
                </c:pt>
                <c:pt idx="5">
                  <c:v>7697.1810061500018</c:v>
                </c:pt>
                <c:pt idx="6">
                  <c:v>6829.9747984393553</c:v>
                </c:pt>
                <c:pt idx="7">
                  <c:v>7808.3739620829137</c:v>
                </c:pt>
                <c:pt idx="8">
                  <c:v>8828.7288097962337</c:v>
                </c:pt>
                <c:pt idx="9">
                  <c:v>7537.5030503660819</c:v>
                </c:pt>
                <c:pt idx="10">
                  <c:v>9204.6956757014832</c:v>
                </c:pt>
              </c:numCache>
            </c:numRef>
          </c:val>
          <c:extLst>
            <c:ext xmlns:c16="http://schemas.microsoft.com/office/drawing/2014/chart" uri="{C3380CC4-5D6E-409C-BE32-E72D297353CC}">
              <c16:uniqueId val="{00000001-CC38-47DE-8FCD-F3E6A2455982}"/>
            </c:ext>
          </c:extLst>
        </c:ser>
        <c:ser>
          <c:idx val="1"/>
          <c:order val="2"/>
          <c:tx>
            <c:strRef>
              <c:f>B2_g1!$A$8</c:f>
              <c:strCache>
                <c:ptCount val="1"/>
                <c:pt idx="0">
                  <c:v>Podnikové</c:v>
                </c:pt>
              </c:strCache>
            </c:strRef>
          </c:tx>
          <c:spPr>
            <a:solidFill>
              <a:schemeClr val="accent2">
                <a:lumMod val="60000"/>
                <a:lumOff val="40000"/>
              </a:schemeClr>
            </a:solidFill>
            <a:ln>
              <a:noFill/>
            </a:ln>
            <a:effectLst/>
          </c:spPr>
          <c:invertIfNegative val="0"/>
          <c:cat>
            <c:numRef>
              <c:f>B2_g1!$P$7:$Z$7</c:f>
              <c:numCache>
                <c:formatCode>General</c:formatCode>
                <c:ptCount val="11"/>
                <c:pt idx="0">
                  <c:v>2014</c:v>
                </c:pt>
                <c:pt idx="1">
                  <c:v>2015</c:v>
                </c:pt>
                <c:pt idx="2">
                  <c:v>2016</c:v>
                </c:pt>
                <c:pt idx="3">
                  <c:v>2017</c:v>
                </c:pt>
                <c:pt idx="4">
                  <c:v>2018</c:v>
                </c:pt>
                <c:pt idx="5">
                  <c:v>2019</c:v>
                </c:pt>
                <c:pt idx="6">
                  <c:v>2020</c:v>
                </c:pt>
                <c:pt idx="7">
                  <c:v>2021</c:v>
                </c:pt>
                <c:pt idx="8">
                  <c:v>2022</c:v>
                </c:pt>
                <c:pt idx="9">
                  <c:v>2023</c:v>
                </c:pt>
                <c:pt idx="10">
                  <c:v>2024</c:v>
                </c:pt>
              </c:numCache>
            </c:numRef>
          </c:cat>
          <c:val>
            <c:numRef>
              <c:f>B2_g1!$P$8:$Z$8</c:f>
              <c:numCache>
                <c:formatCode>#,##0" "</c:formatCode>
                <c:ptCount val="11"/>
                <c:pt idx="0">
                  <c:v>43262.481299999941</c:v>
                </c:pt>
                <c:pt idx="1">
                  <c:v>45606.931269999965</c:v>
                </c:pt>
                <c:pt idx="2">
                  <c:v>48216.793418811583</c:v>
                </c:pt>
                <c:pt idx="3">
                  <c:v>53838.753012773843</c:v>
                </c:pt>
                <c:pt idx="4">
                  <c:v>59946.624939610985</c:v>
                </c:pt>
                <c:pt idx="5">
                  <c:v>64735.662536227494</c:v>
                </c:pt>
                <c:pt idx="6">
                  <c:v>66086.176781938033</c:v>
                </c:pt>
                <c:pt idx="7">
                  <c:v>72833.366280904142</c:v>
                </c:pt>
                <c:pt idx="8">
                  <c:v>81723.509764167931</c:v>
                </c:pt>
                <c:pt idx="9">
                  <c:v>87586.702063114717</c:v>
                </c:pt>
                <c:pt idx="10">
                  <c:v>93075.373699494114</c:v>
                </c:pt>
              </c:numCache>
            </c:numRef>
          </c:val>
          <c:extLst>
            <c:ext xmlns:c16="http://schemas.microsoft.com/office/drawing/2014/chart" uri="{C3380CC4-5D6E-409C-BE32-E72D297353CC}">
              <c16:uniqueId val="{00000002-CC38-47DE-8FCD-F3E6A2455982}"/>
            </c:ext>
          </c:extLst>
        </c:ser>
        <c:ser>
          <c:idx val="4"/>
          <c:order val="3"/>
          <c:tx>
            <c:strRef>
              <c:f>B2_g1!$A$11</c:f>
              <c:strCache>
                <c:ptCount val="1"/>
                <c:pt idx="0">
                  <c:v>Ostatní</c:v>
                </c:pt>
              </c:strCache>
            </c:strRef>
          </c:tx>
          <c:spPr>
            <a:solidFill>
              <a:schemeClr val="accent4">
                <a:lumMod val="40000"/>
                <a:lumOff val="60000"/>
              </a:schemeClr>
            </a:solidFill>
            <a:ln>
              <a:noFill/>
            </a:ln>
            <a:effectLst/>
          </c:spPr>
          <c:invertIfNegative val="0"/>
          <c:cat>
            <c:numRef>
              <c:f>B2_g1!$P$7:$Z$7</c:f>
              <c:numCache>
                <c:formatCode>General</c:formatCode>
                <c:ptCount val="11"/>
                <c:pt idx="0">
                  <c:v>2014</c:v>
                </c:pt>
                <c:pt idx="1">
                  <c:v>2015</c:v>
                </c:pt>
                <c:pt idx="2">
                  <c:v>2016</c:v>
                </c:pt>
                <c:pt idx="3">
                  <c:v>2017</c:v>
                </c:pt>
                <c:pt idx="4">
                  <c:v>2018</c:v>
                </c:pt>
                <c:pt idx="5">
                  <c:v>2019</c:v>
                </c:pt>
                <c:pt idx="6">
                  <c:v>2020</c:v>
                </c:pt>
                <c:pt idx="7">
                  <c:v>2021</c:v>
                </c:pt>
                <c:pt idx="8">
                  <c:v>2022</c:v>
                </c:pt>
                <c:pt idx="9">
                  <c:v>2023</c:v>
                </c:pt>
                <c:pt idx="10">
                  <c:v>2024</c:v>
                </c:pt>
              </c:numCache>
            </c:numRef>
          </c:cat>
          <c:val>
            <c:numRef>
              <c:f>B2_g1!$P$11:$Z$11</c:f>
              <c:numCache>
                <c:formatCode>#,##0" "</c:formatCode>
                <c:ptCount val="11"/>
                <c:pt idx="0">
                  <c:v>675.40696000000014</c:v>
                </c:pt>
                <c:pt idx="1">
                  <c:v>970.02972000000034</c:v>
                </c:pt>
                <c:pt idx="2">
                  <c:v>1040.4021409970744</c:v>
                </c:pt>
                <c:pt idx="3">
                  <c:v>1320.3349877072849</c:v>
                </c:pt>
                <c:pt idx="4">
                  <c:v>1461.6444858170789</c:v>
                </c:pt>
                <c:pt idx="5">
                  <c:v>1608.305277035176</c:v>
                </c:pt>
                <c:pt idx="6">
                  <c:v>1897.4108984024317</c:v>
                </c:pt>
                <c:pt idx="7">
                  <c:v>1882.3437838986363</c:v>
                </c:pt>
                <c:pt idx="8">
                  <c:v>2351.3152890784199</c:v>
                </c:pt>
                <c:pt idx="9">
                  <c:v>2746.4829792350242</c:v>
                </c:pt>
                <c:pt idx="10">
                  <c:v>1481.2441821066764</c:v>
                </c:pt>
              </c:numCache>
            </c:numRef>
          </c:val>
          <c:extLst>
            <c:ext xmlns:c16="http://schemas.microsoft.com/office/drawing/2014/chart" uri="{C3380CC4-5D6E-409C-BE32-E72D297353CC}">
              <c16:uniqueId val="{00000003-CC38-47DE-8FCD-F3E6A2455982}"/>
            </c:ext>
          </c:extLst>
        </c:ser>
        <c:dLbls>
          <c:showLegendKey val="0"/>
          <c:showVal val="0"/>
          <c:showCatName val="0"/>
          <c:showSerName val="0"/>
          <c:showPercent val="0"/>
          <c:showBubbleSize val="0"/>
        </c:dLbls>
        <c:gapWidth val="120"/>
        <c:overlap val="100"/>
        <c:axId val="130068480"/>
        <c:axId val="130070016"/>
      </c:barChart>
      <c:scatterChart>
        <c:scatterStyle val="smoothMarker"/>
        <c:varyColors val="0"/>
        <c:ser>
          <c:idx val="0"/>
          <c:order val="4"/>
          <c:tx>
            <c:strRef>
              <c:f>B2_g1!$A$4</c:f>
              <c:strCache>
                <c:ptCount val="1"/>
                <c:pt idx="0">
                  <c:v>% HDP</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dLbls>
            <c:dLbl>
              <c:idx val="2"/>
              <c:layout>
                <c:manualLayout>
                  <c:x val="-2.9589041095890448E-2"/>
                  <c:y val="-3.526854445207772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C38-47DE-8FCD-F3E6A2455982}"/>
                </c:ext>
              </c:extLst>
            </c:dLbl>
            <c:dLbl>
              <c:idx val="9"/>
              <c:layout>
                <c:manualLayout>
                  <c:x val="-5.0836665234235218E-2"/>
                  <c:y val="-6.224032340784986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CC38-47DE-8FCD-F3E6A2455982}"/>
                </c:ext>
              </c:extLst>
            </c:dLbl>
            <c:dLbl>
              <c:idx val="10"/>
              <c:layout>
                <c:manualLayout>
                  <c:x val="-5.2640594660917008E-2"/>
                  <c:y val="-6.0790356969453882E-2"/>
                </c:manualLayout>
              </c:layout>
              <c:numFmt formatCode="#,##0.00" sourceLinked="0"/>
              <c:spPr>
                <a:noFill/>
                <a:ln>
                  <a:noFill/>
                </a:ln>
                <a:effectLst/>
              </c:spPr>
              <c:txPr>
                <a:bodyPr rot="0" spcFirstLastPara="1" vertOverflow="ellipsis" vert="horz" wrap="square" lIns="38100" tIns="19050" rIns="38100" bIns="19050" anchor="ctr" anchorCtr="1">
                  <a:no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r"/>
              <c:showLegendKey val="0"/>
              <c:showVal val="1"/>
              <c:showCatName val="0"/>
              <c:showSerName val="0"/>
              <c:showPercent val="0"/>
              <c:showBubbleSize val="0"/>
              <c:extLst>
                <c:ext xmlns:c15="http://schemas.microsoft.com/office/drawing/2012/chart" uri="{CE6537A1-D6FC-4f65-9D91-7224C49458BB}">
                  <c15:layout>
                    <c:manualLayout>
                      <c:w val="4.7520559203807759E-2"/>
                      <c:h val="4.9969227984432978E-2"/>
                    </c:manualLayout>
                  </c15:layout>
                </c:ext>
                <c:ext xmlns:c16="http://schemas.microsoft.com/office/drawing/2014/chart" uri="{C3380CC4-5D6E-409C-BE32-E72D297353CC}">
                  <c16:uniqueId val="{00000006-CC38-47DE-8FCD-F3E6A2455982}"/>
                </c:ext>
              </c:extLst>
            </c:dLbl>
            <c:numFmt formatCode="#,##0.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yVal>
            <c:numRef>
              <c:f>B2_g1!$P$4:$Z$4</c:f>
              <c:numCache>
                <c:formatCode>General</c:formatCode>
                <c:ptCount val="11"/>
                <c:pt idx="0">
                  <c:v>1.94</c:v>
                </c:pt>
                <c:pt idx="1">
                  <c:v>1.91</c:v>
                </c:pt>
                <c:pt idx="2" formatCode="0.00">
                  <c:v>1.6500000000000001</c:v>
                </c:pt>
                <c:pt idx="3" formatCode="0.00">
                  <c:v>1.7500000000000002</c:v>
                </c:pt>
                <c:pt idx="4" formatCode="0.00">
                  <c:v>1.8800000000000001</c:v>
                </c:pt>
                <c:pt idx="5" formatCode="0.00">
                  <c:v>1.9</c:v>
                </c:pt>
                <c:pt idx="6" formatCode="0.00">
                  <c:v>1.95</c:v>
                </c:pt>
                <c:pt idx="7" formatCode="0.00">
                  <c:v>1.9300000000000002</c:v>
                </c:pt>
                <c:pt idx="8" formatCode="0.00">
                  <c:v>1.8900000000000001</c:v>
                </c:pt>
                <c:pt idx="9" formatCode="0.00">
                  <c:v>1.82</c:v>
                </c:pt>
                <c:pt idx="10" formatCode="0.00">
                  <c:v>1.82</c:v>
                </c:pt>
              </c:numCache>
            </c:numRef>
          </c:yVal>
          <c:smooth val="1"/>
          <c:extLst>
            <c:ext xmlns:c16="http://schemas.microsoft.com/office/drawing/2014/chart" uri="{C3380CC4-5D6E-409C-BE32-E72D297353CC}">
              <c16:uniqueId val="{00000007-CC38-47DE-8FCD-F3E6A2455982}"/>
            </c:ext>
          </c:extLst>
        </c:ser>
        <c:dLbls>
          <c:showLegendKey val="0"/>
          <c:showVal val="0"/>
          <c:showCatName val="0"/>
          <c:showSerName val="0"/>
          <c:showPercent val="0"/>
          <c:showBubbleSize val="0"/>
        </c:dLbls>
        <c:axId val="130078592"/>
        <c:axId val="130076672"/>
      </c:scatterChart>
      <c:catAx>
        <c:axId val="1300684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30070016"/>
        <c:crosses val="autoZero"/>
        <c:auto val="1"/>
        <c:lblAlgn val="ctr"/>
        <c:lblOffset val="100"/>
        <c:noMultiLvlLbl val="0"/>
      </c:catAx>
      <c:valAx>
        <c:axId val="130070016"/>
        <c:scaling>
          <c:orientation val="minMax"/>
          <c:max val="160000"/>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a:t> mil.</a:t>
                </a:r>
                <a:r>
                  <a:rPr lang="cs-CZ" baseline="0"/>
                  <a:t> Kč v běžných cenách</a:t>
                </a:r>
                <a:endParaRPr lang="cs-CZ"/>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30068480"/>
        <c:crosses val="autoZero"/>
        <c:crossBetween val="between"/>
        <c:majorUnit val="20000"/>
        <c:dispUnits>
          <c:builtInUnit val="thousands"/>
        </c:dispUnits>
      </c:valAx>
      <c:valAx>
        <c:axId val="130076672"/>
        <c:scaling>
          <c:orientation val="minMax"/>
          <c:max val="2.1"/>
          <c:min val="0"/>
        </c:scaling>
        <c:delete val="0"/>
        <c:axPos val="r"/>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a:t>%</a:t>
                </a:r>
                <a:r>
                  <a:rPr lang="cs-CZ" baseline="0"/>
                  <a:t> HDP</a:t>
                </a:r>
                <a:endParaRPr lang="cs-CZ"/>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30078592"/>
        <c:crosses val="max"/>
        <c:crossBetween val="midCat"/>
        <c:majorUnit val="0.4"/>
        <c:minorUnit val="0.1"/>
      </c:valAx>
      <c:valAx>
        <c:axId val="130078592"/>
        <c:scaling>
          <c:orientation val="minMax"/>
        </c:scaling>
        <c:delete val="1"/>
        <c:axPos val="b"/>
        <c:majorTickMark val="none"/>
        <c:minorTickMark val="none"/>
        <c:tickLblPos val="nextTo"/>
        <c:crossAx val="130076672"/>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noFill/>
      <a:round/>
    </a:ln>
    <a:effectLst/>
  </c:spPr>
  <c:txPr>
    <a:bodyPr/>
    <a:lstStyle/>
    <a:p>
      <a:pPr>
        <a:defRPr/>
      </a:pPr>
      <a:endParaRPr lang="cs-CZ"/>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1"/>
          <c:order val="0"/>
          <c:tx>
            <c:strRef>
              <c:f>Modelování!$O$1</c:f>
              <c:strCache>
                <c:ptCount val="1"/>
                <c:pt idx="0">
                  <c:v>veřejné národní</c:v>
                </c:pt>
              </c:strCache>
            </c:strRef>
          </c:tx>
          <c:spPr>
            <a:solidFill>
              <a:schemeClr val="accent6">
                <a:lumMod val="40000"/>
                <a:lumOff val="60000"/>
              </a:schemeClr>
            </a:solidFill>
            <a:ln>
              <a:noFill/>
            </a:ln>
            <a:effectLst/>
          </c:spPr>
          <c:invertIfNegative val="0"/>
          <c:cat>
            <c:strRef>
              <c:f>Modelování!$M$2:$M$29</c:f>
              <c:strCache>
                <c:ptCount val="28"/>
                <c:pt idx="0">
                  <c:v>SE</c:v>
                </c:pt>
                <c:pt idx="1">
                  <c:v>BE</c:v>
                </c:pt>
                <c:pt idx="2">
                  <c:v>AU</c:v>
                </c:pt>
                <c:pt idx="3">
                  <c:v>DE</c:v>
                </c:pt>
                <c:pt idx="4">
                  <c:v>FI</c:v>
                </c:pt>
                <c:pt idx="5">
                  <c:v>DK</c:v>
                </c:pt>
                <c:pt idx="6">
                  <c:v>NL</c:v>
                </c:pt>
                <c:pt idx="7">
                  <c:v>EU27</c:v>
                </c:pt>
                <c:pt idx="8">
                  <c:v>FR</c:v>
                </c:pt>
                <c:pt idx="9">
                  <c:v>SL</c:v>
                </c:pt>
                <c:pt idx="10">
                  <c:v>EE</c:v>
                </c:pt>
                <c:pt idx="11">
                  <c:v>CZ</c:v>
                </c:pt>
                <c:pt idx="12">
                  <c:v>PT</c:v>
                </c:pt>
                <c:pt idx="13">
                  <c:v>PL</c:v>
                </c:pt>
                <c:pt idx="14">
                  <c:v>IR</c:v>
                </c:pt>
                <c:pt idx="15">
                  <c:v>EL</c:v>
                </c:pt>
                <c:pt idx="16">
                  <c:v>ES</c:v>
                </c:pt>
                <c:pt idx="17">
                  <c:v>HR</c:v>
                </c:pt>
                <c:pt idx="18">
                  <c:v>IT</c:v>
                </c:pt>
                <c:pt idx="19">
                  <c:v>HU</c:v>
                </c:pt>
                <c:pt idx="20">
                  <c:v>LU</c:v>
                </c:pt>
                <c:pt idx="21">
                  <c:v>LT</c:v>
                </c:pt>
                <c:pt idx="22">
                  <c:v>SK</c:v>
                </c:pt>
                <c:pt idx="23">
                  <c:v>LV</c:v>
                </c:pt>
                <c:pt idx="24">
                  <c:v>BG</c:v>
                </c:pt>
                <c:pt idx="25">
                  <c:v>CY</c:v>
                </c:pt>
                <c:pt idx="26">
                  <c:v>MT</c:v>
                </c:pt>
                <c:pt idx="27">
                  <c:v>RO</c:v>
                </c:pt>
              </c:strCache>
            </c:strRef>
          </c:cat>
          <c:val>
            <c:numRef>
              <c:f>Modelování!$O$2:$O$29</c:f>
              <c:numCache>
                <c:formatCode>General</c:formatCode>
                <c:ptCount val="28"/>
                <c:pt idx="0">
                  <c:v>0.85000000000000009</c:v>
                </c:pt>
                <c:pt idx="1">
                  <c:v>0.66999999999999993</c:v>
                </c:pt>
                <c:pt idx="2">
                  <c:v>0.97</c:v>
                </c:pt>
                <c:pt idx="3">
                  <c:v>0.93</c:v>
                </c:pt>
                <c:pt idx="4">
                  <c:v>0.82000000000000006</c:v>
                </c:pt>
                <c:pt idx="5">
                  <c:v>0.84</c:v>
                </c:pt>
                <c:pt idx="6">
                  <c:v>0.67</c:v>
                </c:pt>
                <c:pt idx="7">
                  <c:v>0.71000000000000008</c:v>
                </c:pt>
                <c:pt idx="8">
                  <c:v>0.79</c:v>
                </c:pt>
                <c:pt idx="9">
                  <c:v>0.6</c:v>
                </c:pt>
                <c:pt idx="10">
                  <c:v>0.67</c:v>
                </c:pt>
                <c:pt idx="11">
                  <c:v>0.57000000000000006</c:v>
                </c:pt>
                <c:pt idx="12">
                  <c:v>0.61</c:v>
                </c:pt>
                <c:pt idx="13">
                  <c:v>0.55000000000000004</c:v>
                </c:pt>
                <c:pt idx="14">
                  <c:v>0.19</c:v>
                </c:pt>
                <c:pt idx="15">
                  <c:v>0.66</c:v>
                </c:pt>
                <c:pt idx="16">
                  <c:v>0.62999999999999989</c:v>
                </c:pt>
                <c:pt idx="17">
                  <c:v>0.5</c:v>
                </c:pt>
                <c:pt idx="18">
                  <c:v>0.52</c:v>
                </c:pt>
                <c:pt idx="19">
                  <c:v>0.43</c:v>
                </c:pt>
                <c:pt idx="20">
                  <c:v>0.54</c:v>
                </c:pt>
                <c:pt idx="21">
                  <c:v>0.44</c:v>
                </c:pt>
                <c:pt idx="22">
                  <c:v>0.37</c:v>
                </c:pt>
                <c:pt idx="23">
                  <c:v>0.32</c:v>
                </c:pt>
                <c:pt idx="24">
                  <c:v>0.21</c:v>
                </c:pt>
                <c:pt idx="25">
                  <c:v>0.27</c:v>
                </c:pt>
                <c:pt idx="26">
                  <c:v>0.23</c:v>
                </c:pt>
                <c:pt idx="27">
                  <c:v>0.15</c:v>
                </c:pt>
              </c:numCache>
            </c:numRef>
          </c:val>
          <c:extLst>
            <c:ext xmlns:c16="http://schemas.microsoft.com/office/drawing/2014/chart" uri="{C3380CC4-5D6E-409C-BE32-E72D297353CC}">
              <c16:uniqueId val="{00000000-1B45-4DE8-AC6C-897330AEFB63}"/>
            </c:ext>
          </c:extLst>
        </c:ser>
        <c:ser>
          <c:idx val="2"/>
          <c:order val="1"/>
          <c:tx>
            <c:strRef>
              <c:f>Modelování!$P$1</c:f>
              <c:strCache>
                <c:ptCount val="1"/>
                <c:pt idx="0">
                  <c:v>zahraniční</c:v>
                </c:pt>
              </c:strCache>
            </c:strRef>
          </c:tx>
          <c:spPr>
            <a:solidFill>
              <a:schemeClr val="accent1">
                <a:lumMod val="40000"/>
                <a:lumOff val="60000"/>
              </a:schemeClr>
            </a:solidFill>
            <a:ln>
              <a:noFill/>
            </a:ln>
            <a:effectLst/>
          </c:spPr>
          <c:invertIfNegative val="0"/>
          <c:cat>
            <c:strRef>
              <c:f>Modelování!$M$2:$M$29</c:f>
              <c:strCache>
                <c:ptCount val="28"/>
                <c:pt idx="0">
                  <c:v>SE</c:v>
                </c:pt>
                <c:pt idx="1">
                  <c:v>BE</c:v>
                </c:pt>
                <c:pt idx="2">
                  <c:v>AU</c:v>
                </c:pt>
                <c:pt idx="3">
                  <c:v>DE</c:v>
                </c:pt>
                <c:pt idx="4">
                  <c:v>FI</c:v>
                </c:pt>
                <c:pt idx="5">
                  <c:v>DK</c:v>
                </c:pt>
                <c:pt idx="6">
                  <c:v>NL</c:v>
                </c:pt>
                <c:pt idx="7">
                  <c:v>EU27</c:v>
                </c:pt>
                <c:pt idx="8">
                  <c:v>FR</c:v>
                </c:pt>
                <c:pt idx="9">
                  <c:v>SL</c:v>
                </c:pt>
                <c:pt idx="10">
                  <c:v>EE</c:v>
                </c:pt>
                <c:pt idx="11">
                  <c:v>CZ</c:v>
                </c:pt>
                <c:pt idx="12">
                  <c:v>PT</c:v>
                </c:pt>
                <c:pt idx="13">
                  <c:v>PL</c:v>
                </c:pt>
                <c:pt idx="14">
                  <c:v>IR</c:v>
                </c:pt>
                <c:pt idx="15">
                  <c:v>EL</c:v>
                </c:pt>
                <c:pt idx="16">
                  <c:v>ES</c:v>
                </c:pt>
                <c:pt idx="17">
                  <c:v>HR</c:v>
                </c:pt>
                <c:pt idx="18">
                  <c:v>IT</c:v>
                </c:pt>
                <c:pt idx="19">
                  <c:v>HU</c:v>
                </c:pt>
                <c:pt idx="20">
                  <c:v>LU</c:v>
                </c:pt>
                <c:pt idx="21">
                  <c:v>LT</c:v>
                </c:pt>
                <c:pt idx="22">
                  <c:v>SK</c:v>
                </c:pt>
                <c:pt idx="23">
                  <c:v>LV</c:v>
                </c:pt>
                <c:pt idx="24">
                  <c:v>BG</c:v>
                </c:pt>
                <c:pt idx="25">
                  <c:v>CY</c:v>
                </c:pt>
                <c:pt idx="26">
                  <c:v>MT</c:v>
                </c:pt>
                <c:pt idx="27">
                  <c:v>RO</c:v>
                </c:pt>
              </c:strCache>
            </c:strRef>
          </c:cat>
          <c:val>
            <c:numRef>
              <c:f>Modelování!$P$2:$P$29</c:f>
              <c:numCache>
                <c:formatCode>General</c:formatCode>
                <c:ptCount val="28"/>
                <c:pt idx="0">
                  <c:v>0.05</c:v>
                </c:pt>
                <c:pt idx="1">
                  <c:v>0.1</c:v>
                </c:pt>
                <c:pt idx="2">
                  <c:v>7.0000000000000007E-2</c:v>
                </c:pt>
                <c:pt idx="3">
                  <c:v>0.05</c:v>
                </c:pt>
                <c:pt idx="4">
                  <c:v>0.14000000000000001</c:v>
                </c:pt>
                <c:pt idx="5">
                  <c:v>9.0000000000000011E-2</c:v>
                </c:pt>
                <c:pt idx="6">
                  <c:v>0.08</c:v>
                </c:pt>
                <c:pt idx="7">
                  <c:v>6.9999999999999993E-2</c:v>
                </c:pt>
                <c:pt idx="8">
                  <c:v>0.06</c:v>
                </c:pt>
                <c:pt idx="9">
                  <c:v>0.13</c:v>
                </c:pt>
                <c:pt idx="10">
                  <c:v>0.16999999999999998</c:v>
                </c:pt>
                <c:pt idx="11">
                  <c:v>0.11</c:v>
                </c:pt>
                <c:pt idx="12">
                  <c:v>0.08</c:v>
                </c:pt>
                <c:pt idx="13">
                  <c:v>0.13</c:v>
                </c:pt>
                <c:pt idx="14">
                  <c:v>0.03</c:v>
                </c:pt>
                <c:pt idx="15">
                  <c:v>0.18</c:v>
                </c:pt>
                <c:pt idx="16">
                  <c:v>0.08</c:v>
                </c:pt>
                <c:pt idx="17">
                  <c:v>0.15</c:v>
                </c:pt>
                <c:pt idx="18">
                  <c:v>0.05</c:v>
                </c:pt>
                <c:pt idx="19">
                  <c:v>0.02</c:v>
                </c:pt>
                <c:pt idx="20">
                  <c:v>0.03</c:v>
                </c:pt>
                <c:pt idx="21">
                  <c:v>0.22</c:v>
                </c:pt>
                <c:pt idx="22">
                  <c:v>0.12000000000000001</c:v>
                </c:pt>
                <c:pt idx="23">
                  <c:v>0.17</c:v>
                </c:pt>
                <c:pt idx="24">
                  <c:v>0.05</c:v>
                </c:pt>
                <c:pt idx="25">
                  <c:v>0.13</c:v>
                </c:pt>
                <c:pt idx="26">
                  <c:v>0.04</c:v>
                </c:pt>
                <c:pt idx="27">
                  <c:v>0.04</c:v>
                </c:pt>
              </c:numCache>
            </c:numRef>
          </c:val>
          <c:extLst>
            <c:ext xmlns:c16="http://schemas.microsoft.com/office/drawing/2014/chart" uri="{C3380CC4-5D6E-409C-BE32-E72D297353CC}">
              <c16:uniqueId val="{00000001-1B45-4DE8-AC6C-897330AEFB63}"/>
            </c:ext>
          </c:extLst>
        </c:ser>
        <c:ser>
          <c:idx val="0"/>
          <c:order val="2"/>
          <c:tx>
            <c:strRef>
              <c:f>Modelování!$N$1</c:f>
              <c:strCache>
                <c:ptCount val="1"/>
                <c:pt idx="0">
                  <c:v>podnikové</c:v>
                </c:pt>
              </c:strCache>
            </c:strRef>
          </c:tx>
          <c:spPr>
            <a:solidFill>
              <a:schemeClr val="accent2">
                <a:lumMod val="60000"/>
                <a:lumOff val="40000"/>
              </a:schemeClr>
            </a:solidFill>
            <a:ln>
              <a:noFill/>
            </a:ln>
            <a:effectLst/>
          </c:spPr>
          <c:invertIfNegative val="0"/>
          <c:cat>
            <c:strRef>
              <c:f>Modelování!$M$2:$M$29</c:f>
              <c:strCache>
                <c:ptCount val="28"/>
                <c:pt idx="0">
                  <c:v>SE</c:v>
                </c:pt>
                <c:pt idx="1">
                  <c:v>BE</c:v>
                </c:pt>
                <c:pt idx="2">
                  <c:v>AU</c:v>
                </c:pt>
                <c:pt idx="3">
                  <c:v>DE</c:v>
                </c:pt>
                <c:pt idx="4">
                  <c:v>FI</c:v>
                </c:pt>
                <c:pt idx="5">
                  <c:v>DK</c:v>
                </c:pt>
                <c:pt idx="6">
                  <c:v>NL</c:v>
                </c:pt>
                <c:pt idx="7">
                  <c:v>EU27</c:v>
                </c:pt>
                <c:pt idx="8">
                  <c:v>FR</c:v>
                </c:pt>
                <c:pt idx="9">
                  <c:v>SL</c:v>
                </c:pt>
                <c:pt idx="10">
                  <c:v>EE</c:v>
                </c:pt>
                <c:pt idx="11">
                  <c:v>CZ</c:v>
                </c:pt>
                <c:pt idx="12">
                  <c:v>PT</c:v>
                </c:pt>
                <c:pt idx="13">
                  <c:v>PL</c:v>
                </c:pt>
                <c:pt idx="14">
                  <c:v>IR</c:v>
                </c:pt>
                <c:pt idx="15">
                  <c:v>EL</c:v>
                </c:pt>
                <c:pt idx="16">
                  <c:v>ES</c:v>
                </c:pt>
                <c:pt idx="17">
                  <c:v>HR</c:v>
                </c:pt>
                <c:pt idx="18">
                  <c:v>IT</c:v>
                </c:pt>
                <c:pt idx="19">
                  <c:v>HU</c:v>
                </c:pt>
                <c:pt idx="20">
                  <c:v>LU</c:v>
                </c:pt>
                <c:pt idx="21">
                  <c:v>LT</c:v>
                </c:pt>
                <c:pt idx="22">
                  <c:v>SK</c:v>
                </c:pt>
                <c:pt idx="23">
                  <c:v>LV</c:v>
                </c:pt>
                <c:pt idx="24">
                  <c:v>BG</c:v>
                </c:pt>
                <c:pt idx="25">
                  <c:v>CY</c:v>
                </c:pt>
                <c:pt idx="26">
                  <c:v>MT</c:v>
                </c:pt>
                <c:pt idx="27">
                  <c:v>RO</c:v>
                </c:pt>
              </c:strCache>
            </c:strRef>
          </c:cat>
          <c:val>
            <c:numRef>
              <c:f>Modelování!$N$2:$N$29</c:f>
              <c:numCache>
                <c:formatCode>General</c:formatCode>
                <c:ptCount val="28"/>
                <c:pt idx="0">
                  <c:v>2.5700000000000003</c:v>
                </c:pt>
                <c:pt idx="1">
                  <c:v>2.48</c:v>
                </c:pt>
                <c:pt idx="2">
                  <c:v>2.17</c:v>
                </c:pt>
                <c:pt idx="3">
                  <c:v>2.11</c:v>
                </c:pt>
                <c:pt idx="4">
                  <c:v>2.0499999999999998</c:v>
                </c:pt>
                <c:pt idx="5">
                  <c:v>1.8499999999999999</c:v>
                </c:pt>
                <c:pt idx="6">
                  <c:v>1.4900000000000002</c:v>
                </c:pt>
                <c:pt idx="7">
                  <c:v>1.44</c:v>
                </c:pt>
                <c:pt idx="8">
                  <c:v>1.29</c:v>
                </c:pt>
                <c:pt idx="9">
                  <c:v>1.38</c:v>
                </c:pt>
                <c:pt idx="10">
                  <c:v>0.95000000000000007</c:v>
                </c:pt>
                <c:pt idx="11">
                  <c:v>1.1499999999999999</c:v>
                </c:pt>
                <c:pt idx="12">
                  <c:v>0.97</c:v>
                </c:pt>
                <c:pt idx="13">
                  <c:v>0.86</c:v>
                </c:pt>
                <c:pt idx="14">
                  <c:v>1.2999999999999998</c:v>
                </c:pt>
                <c:pt idx="15">
                  <c:v>0.64</c:v>
                </c:pt>
                <c:pt idx="16">
                  <c:v>0.77</c:v>
                </c:pt>
                <c:pt idx="17">
                  <c:v>0.72</c:v>
                </c:pt>
                <c:pt idx="18">
                  <c:v>0.78999999999999992</c:v>
                </c:pt>
                <c:pt idx="19">
                  <c:v>0.91</c:v>
                </c:pt>
                <c:pt idx="20">
                  <c:v>0.46</c:v>
                </c:pt>
                <c:pt idx="21">
                  <c:v>0.38</c:v>
                </c:pt>
                <c:pt idx="22">
                  <c:v>0.53</c:v>
                </c:pt>
                <c:pt idx="23">
                  <c:v>0.31999999999999995</c:v>
                </c:pt>
                <c:pt idx="24">
                  <c:v>0.53</c:v>
                </c:pt>
                <c:pt idx="25">
                  <c:v>0.25</c:v>
                </c:pt>
                <c:pt idx="26">
                  <c:v>0.36000000000000004</c:v>
                </c:pt>
                <c:pt idx="27">
                  <c:v>0.31999999999999995</c:v>
                </c:pt>
              </c:numCache>
            </c:numRef>
          </c:val>
          <c:extLst>
            <c:ext xmlns:c16="http://schemas.microsoft.com/office/drawing/2014/chart" uri="{C3380CC4-5D6E-409C-BE32-E72D297353CC}">
              <c16:uniqueId val="{00000002-1B45-4DE8-AC6C-897330AEFB63}"/>
            </c:ext>
          </c:extLst>
        </c:ser>
        <c:ser>
          <c:idx val="3"/>
          <c:order val="3"/>
          <c:tx>
            <c:strRef>
              <c:f>Modelování!$Q$1</c:f>
              <c:strCache>
                <c:ptCount val="1"/>
                <c:pt idx="0">
                  <c:v>ostatní zdroje</c:v>
                </c:pt>
              </c:strCache>
            </c:strRef>
          </c:tx>
          <c:spPr>
            <a:solidFill>
              <a:schemeClr val="accent4">
                <a:lumMod val="40000"/>
                <a:lumOff val="60000"/>
              </a:schemeClr>
            </a:solidFill>
            <a:ln>
              <a:noFill/>
            </a:ln>
            <a:effectLst/>
          </c:spPr>
          <c:invertIfNegative val="0"/>
          <c:cat>
            <c:strRef>
              <c:f>Modelování!$M$2:$M$29</c:f>
              <c:strCache>
                <c:ptCount val="28"/>
                <c:pt idx="0">
                  <c:v>SE</c:v>
                </c:pt>
                <c:pt idx="1">
                  <c:v>BE</c:v>
                </c:pt>
                <c:pt idx="2">
                  <c:v>AU</c:v>
                </c:pt>
                <c:pt idx="3">
                  <c:v>DE</c:v>
                </c:pt>
                <c:pt idx="4">
                  <c:v>FI</c:v>
                </c:pt>
                <c:pt idx="5">
                  <c:v>DK</c:v>
                </c:pt>
                <c:pt idx="6">
                  <c:v>NL</c:v>
                </c:pt>
                <c:pt idx="7">
                  <c:v>EU27</c:v>
                </c:pt>
                <c:pt idx="8">
                  <c:v>FR</c:v>
                </c:pt>
                <c:pt idx="9">
                  <c:v>SL</c:v>
                </c:pt>
                <c:pt idx="10">
                  <c:v>EE</c:v>
                </c:pt>
                <c:pt idx="11">
                  <c:v>CZ</c:v>
                </c:pt>
                <c:pt idx="12">
                  <c:v>PT</c:v>
                </c:pt>
                <c:pt idx="13">
                  <c:v>PL</c:v>
                </c:pt>
                <c:pt idx="14">
                  <c:v>IR</c:v>
                </c:pt>
                <c:pt idx="15">
                  <c:v>EL</c:v>
                </c:pt>
                <c:pt idx="16">
                  <c:v>ES</c:v>
                </c:pt>
                <c:pt idx="17">
                  <c:v>HR</c:v>
                </c:pt>
                <c:pt idx="18">
                  <c:v>IT</c:v>
                </c:pt>
                <c:pt idx="19">
                  <c:v>HU</c:v>
                </c:pt>
                <c:pt idx="20">
                  <c:v>LU</c:v>
                </c:pt>
                <c:pt idx="21">
                  <c:v>LT</c:v>
                </c:pt>
                <c:pt idx="22">
                  <c:v>SK</c:v>
                </c:pt>
                <c:pt idx="23">
                  <c:v>LV</c:v>
                </c:pt>
                <c:pt idx="24">
                  <c:v>BG</c:v>
                </c:pt>
                <c:pt idx="25">
                  <c:v>CY</c:v>
                </c:pt>
                <c:pt idx="26">
                  <c:v>MT</c:v>
                </c:pt>
                <c:pt idx="27">
                  <c:v>RO</c:v>
                </c:pt>
              </c:strCache>
            </c:strRef>
          </c:cat>
          <c:val>
            <c:numRef>
              <c:f>Modelování!$Q$2:$Q$29</c:f>
              <c:numCache>
                <c:formatCode>General</c:formatCode>
                <c:ptCount val="28"/>
                <c:pt idx="0">
                  <c:v>0.16999999999999993</c:v>
                </c:pt>
                <c:pt idx="1">
                  <c:v>2.0000000000000018E-2</c:v>
                </c:pt>
                <c:pt idx="2">
                  <c:v>5.0000000000000266E-2</c:v>
                </c:pt>
                <c:pt idx="3">
                  <c:v>4.0000000000000036E-2</c:v>
                </c:pt>
                <c:pt idx="4">
                  <c:v>7.9999999999999627E-2</c:v>
                </c:pt>
                <c:pt idx="5">
                  <c:v>0.29000000000000004</c:v>
                </c:pt>
                <c:pt idx="6">
                  <c:v>5.9999999999999609E-2</c:v>
                </c:pt>
                <c:pt idx="7">
                  <c:v>4.0000000000000036E-2</c:v>
                </c:pt>
                <c:pt idx="8">
                  <c:v>4.0000000000000036E-2</c:v>
                </c:pt>
                <c:pt idx="9">
                  <c:v>2.0000000000000018E-2</c:v>
                </c:pt>
                <c:pt idx="10">
                  <c:v>4.0000000000000036E-2</c:v>
                </c:pt>
                <c:pt idx="11">
                  <c:v>-1.0000000000000009E-2</c:v>
                </c:pt>
                <c:pt idx="12">
                  <c:v>2.9999999999999805E-2</c:v>
                </c:pt>
                <c:pt idx="13">
                  <c:v>2.0000000000000018E-2</c:v>
                </c:pt>
                <c:pt idx="14">
                  <c:v>2.000000000000024E-2</c:v>
                </c:pt>
                <c:pt idx="15">
                  <c:v>1.0000000000000009E-2</c:v>
                </c:pt>
                <c:pt idx="16">
                  <c:v>1.0000000000000009E-2</c:v>
                </c:pt>
                <c:pt idx="17">
                  <c:v>2.0000000000000018E-2</c:v>
                </c:pt>
                <c:pt idx="18">
                  <c:v>1.9999999999999796E-2</c:v>
                </c:pt>
                <c:pt idx="19">
                  <c:v>1.9999999999999796E-2</c:v>
                </c:pt>
                <c:pt idx="20">
                  <c:v>3.0000000000000027E-2</c:v>
                </c:pt>
                <c:pt idx="21">
                  <c:v>1.0000000000000009E-2</c:v>
                </c:pt>
                <c:pt idx="22">
                  <c:v>1.0000000000000009E-2</c:v>
                </c:pt>
                <c:pt idx="23">
                  <c:v>1.0000000000000009E-2</c:v>
                </c:pt>
                <c:pt idx="24">
                  <c:v>0</c:v>
                </c:pt>
                <c:pt idx="25">
                  <c:v>3.0000000000000027E-2</c:v>
                </c:pt>
                <c:pt idx="26">
                  <c:v>9.9999999999998979E-3</c:v>
                </c:pt>
                <c:pt idx="27">
                  <c:v>1.0000000000000009E-2</c:v>
                </c:pt>
              </c:numCache>
            </c:numRef>
          </c:val>
          <c:extLst>
            <c:ext xmlns:c16="http://schemas.microsoft.com/office/drawing/2014/chart" uri="{C3380CC4-5D6E-409C-BE32-E72D297353CC}">
              <c16:uniqueId val="{00000003-1B45-4DE8-AC6C-897330AEFB63}"/>
            </c:ext>
          </c:extLst>
        </c:ser>
        <c:dLbls>
          <c:showLegendKey val="0"/>
          <c:showVal val="0"/>
          <c:showCatName val="0"/>
          <c:showSerName val="0"/>
          <c:showPercent val="0"/>
          <c:showBubbleSize val="0"/>
        </c:dLbls>
        <c:gapWidth val="100"/>
        <c:overlap val="100"/>
        <c:axId val="1146492063"/>
        <c:axId val="1146512703"/>
      </c:barChart>
      <c:lineChart>
        <c:grouping val="stacked"/>
        <c:varyColors val="0"/>
        <c:ser>
          <c:idx val="4"/>
          <c:order val="4"/>
          <c:tx>
            <c:strRef>
              <c:f>Modelování!$R$1</c:f>
              <c:strCache>
                <c:ptCount val="1"/>
                <c:pt idx="0">
                  <c:v>2017</c:v>
                </c:pt>
              </c:strCache>
            </c:strRef>
          </c:tx>
          <c:spPr>
            <a:ln w="28575" cap="rnd">
              <a:noFill/>
              <a:round/>
            </a:ln>
            <a:effectLst/>
          </c:spPr>
          <c:marker>
            <c:symbol val="triangle"/>
            <c:size val="7"/>
            <c:spPr>
              <a:solidFill>
                <a:schemeClr val="bg2">
                  <a:lumMod val="75000"/>
                </a:schemeClr>
              </a:solidFill>
              <a:ln w="9525">
                <a:solidFill>
                  <a:schemeClr val="tx1"/>
                </a:solidFill>
              </a:ln>
              <a:effectLst/>
            </c:spPr>
          </c:marker>
          <c:cat>
            <c:strRef>
              <c:f>Modelování!$M$2:$M$29</c:f>
              <c:strCache>
                <c:ptCount val="28"/>
                <c:pt idx="0">
                  <c:v>SE</c:v>
                </c:pt>
                <c:pt idx="1">
                  <c:v>BE</c:v>
                </c:pt>
                <c:pt idx="2">
                  <c:v>AU</c:v>
                </c:pt>
                <c:pt idx="3">
                  <c:v>DE</c:v>
                </c:pt>
                <c:pt idx="4">
                  <c:v>FI</c:v>
                </c:pt>
                <c:pt idx="5">
                  <c:v>DK</c:v>
                </c:pt>
                <c:pt idx="6">
                  <c:v>NL</c:v>
                </c:pt>
                <c:pt idx="7">
                  <c:v>EU27</c:v>
                </c:pt>
                <c:pt idx="8">
                  <c:v>FR</c:v>
                </c:pt>
                <c:pt idx="9">
                  <c:v>SL</c:v>
                </c:pt>
                <c:pt idx="10">
                  <c:v>EE</c:v>
                </c:pt>
                <c:pt idx="11">
                  <c:v>CZ</c:v>
                </c:pt>
                <c:pt idx="12">
                  <c:v>PT</c:v>
                </c:pt>
                <c:pt idx="13">
                  <c:v>PL</c:v>
                </c:pt>
                <c:pt idx="14">
                  <c:v>IR</c:v>
                </c:pt>
                <c:pt idx="15">
                  <c:v>EL</c:v>
                </c:pt>
                <c:pt idx="16">
                  <c:v>ES</c:v>
                </c:pt>
                <c:pt idx="17">
                  <c:v>HR</c:v>
                </c:pt>
                <c:pt idx="18">
                  <c:v>IT</c:v>
                </c:pt>
                <c:pt idx="19">
                  <c:v>HU</c:v>
                </c:pt>
                <c:pt idx="20">
                  <c:v>LU</c:v>
                </c:pt>
                <c:pt idx="21">
                  <c:v>LT</c:v>
                </c:pt>
                <c:pt idx="22">
                  <c:v>SK</c:v>
                </c:pt>
                <c:pt idx="23">
                  <c:v>LV</c:v>
                </c:pt>
                <c:pt idx="24">
                  <c:v>BG</c:v>
                </c:pt>
                <c:pt idx="25">
                  <c:v>CY</c:v>
                </c:pt>
                <c:pt idx="26">
                  <c:v>MT</c:v>
                </c:pt>
                <c:pt idx="27">
                  <c:v>RO</c:v>
                </c:pt>
              </c:strCache>
            </c:strRef>
          </c:cat>
          <c:val>
            <c:numRef>
              <c:f>Modelování!$R$2:$R$29</c:f>
              <c:numCache>
                <c:formatCode>General</c:formatCode>
                <c:ptCount val="28"/>
                <c:pt idx="0">
                  <c:v>3.4</c:v>
                </c:pt>
                <c:pt idx="1">
                  <c:v>2.68</c:v>
                </c:pt>
                <c:pt idx="2">
                  <c:v>3.07</c:v>
                </c:pt>
                <c:pt idx="3">
                  <c:v>2.99</c:v>
                </c:pt>
                <c:pt idx="4">
                  <c:v>2.75</c:v>
                </c:pt>
                <c:pt idx="5">
                  <c:v>2.94</c:v>
                </c:pt>
                <c:pt idx="6">
                  <c:v>2.14</c:v>
                </c:pt>
                <c:pt idx="7">
                  <c:v>2.14</c:v>
                </c:pt>
                <c:pt idx="8">
                  <c:v>2.2000000000000002</c:v>
                </c:pt>
                <c:pt idx="9">
                  <c:v>1.88</c:v>
                </c:pt>
                <c:pt idx="10">
                  <c:v>1.25</c:v>
                </c:pt>
                <c:pt idx="11">
                  <c:v>1.75</c:v>
                </c:pt>
                <c:pt idx="12">
                  <c:v>1.32</c:v>
                </c:pt>
                <c:pt idx="13">
                  <c:v>1.03</c:v>
                </c:pt>
                <c:pt idx="14">
                  <c:v>1.21</c:v>
                </c:pt>
                <c:pt idx="15">
                  <c:v>1.1499999999999999</c:v>
                </c:pt>
                <c:pt idx="16">
                  <c:v>1.2</c:v>
                </c:pt>
                <c:pt idx="17">
                  <c:v>0.84</c:v>
                </c:pt>
                <c:pt idx="18">
                  <c:v>1.36</c:v>
                </c:pt>
                <c:pt idx="19">
                  <c:v>1.31</c:v>
                </c:pt>
                <c:pt idx="20">
                  <c:v>1.24</c:v>
                </c:pt>
                <c:pt idx="21">
                  <c:v>0.9</c:v>
                </c:pt>
                <c:pt idx="22">
                  <c:v>0.88</c:v>
                </c:pt>
                <c:pt idx="23">
                  <c:v>0.53</c:v>
                </c:pt>
                <c:pt idx="24">
                  <c:v>0.74</c:v>
                </c:pt>
                <c:pt idx="25">
                  <c:v>0.54</c:v>
                </c:pt>
                <c:pt idx="26">
                  <c:v>0.53</c:v>
                </c:pt>
                <c:pt idx="27">
                  <c:v>0.51</c:v>
                </c:pt>
              </c:numCache>
            </c:numRef>
          </c:val>
          <c:smooth val="0"/>
          <c:extLst>
            <c:ext xmlns:c16="http://schemas.microsoft.com/office/drawing/2014/chart" uri="{C3380CC4-5D6E-409C-BE32-E72D297353CC}">
              <c16:uniqueId val="{00000004-1B45-4DE8-AC6C-897330AEFB63}"/>
            </c:ext>
          </c:extLst>
        </c:ser>
        <c:dLbls>
          <c:showLegendKey val="0"/>
          <c:showVal val="0"/>
          <c:showCatName val="0"/>
          <c:showSerName val="0"/>
          <c:showPercent val="0"/>
          <c:showBubbleSize val="0"/>
        </c:dLbls>
        <c:marker val="1"/>
        <c:smooth val="0"/>
        <c:axId val="1146492063"/>
        <c:axId val="1146512703"/>
      </c:lineChart>
      <c:catAx>
        <c:axId val="114649206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146512703"/>
        <c:crosses val="autoZero"/>
        <c:auto val="1"/>
        <c:lblAlgn val="ctr"/>
        <c:lblOffset val="100"/>
        <c:noMultiLvlLbl val="0"/>
      </c:catAx>
      <c:valAx>
        <c:axId val="1146512703"/>
        <c:scaling>
          <c:orientation val="minMax"/>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sz="1000" b="0" i="0" u="none" strike="noStrike" kern="1200" baseline="0">
                    <a:solidFill>
                      <a:sysClr val="windowText" lastClr="000000"/>
                    </a:solidFill>
                  </a:rPr>
                  <a:t>Podíl výdajů na VaV jako % HDP </a:t>
                </a:r>
                <a:endParaRPr lang="en-GB" sz="1000" b="0" i="0" u="none" strike="noStrike" kern="1200" baseline="0">
                  <a:solidFill>
                    <a:sysClr val="windowText" lastClr="000000"/>
                  </a:solidFill>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GB"/>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146492063"/>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noFill/>
      <a:round/>
    </a:ln>
    <a:effectLst/>
  </c:spPr>
  <c:txPr>
    <a:bodyPr/>
    <a:lstStyle/>
    <a:p>
      <a:pPr>
        <a:defRPr/>
      </a:pPr>
      <a:endParaRPr lang="cs-CZ"/>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0038705161854768"/>
          <c:y val="5.1764705882352942E-2"/>
          <c:w val="0.84273070866141719"/>
          <c:h val="0.83906697545159792"/>
        </c:manualLayout>
      </c:layout>
      <c:barChart>
        <c:barDir val="col"/>
        <c:grouping val="clustered"/>
        <c:varyColors val="0"/>
        <c:ser>
          <c:idx val="0"/>
          <c:order val="0"/>
          <c:tx>
            <c:strRef>
              <c:f>List1!$A$10</c:f>
              <c:strCache>
                <c:ptCount val="1"/>
                <c:pt idx="0">
                  <c:v>Institucionální výdaje</c:v>
                </c:pt>
              </c:strCache>
            </c:strRef>
          </c:tx>
          <c:spPr>
            <a:solidFill>
              <a:schemeClr val="accent2">
                <a:lumMod val="40000"/>
                <a:lumOff val="60000"/>
                <a:alpha val="70000"/>
              </a:schemeClr>
            </a:solidFill>
            <a:ln>
              <a:solidFill>
                <a:schemeClr val="accent2">
                  <a:lumMod val="75000"/>
                </a:schemeClr>
              </a:solidFill>
            </a:ln>
            <a:effectLst/>
          </c:spPr>
          <c:invertIfNegative val="0"/>
          <c:trendline>
            <c:spPr>
              <a:ln>
                <a:solidFill>
                  <a:schemeClr val="accent2">
                    <a:lumMod val="60000"/>
                    <a:lumOff val="40000"/>
                  </a:schemeClr>
                </a:solidFill>
              </a:ln>
            </c:spPr>
            <c:trendlineType val="poly"/>
            <c:order val="3"/>
            <c:dispRSqr val="0"/>
            <c:dispEq val="0"/>
          </c:trendline>
          <c:cat>
            <c:numRef>
              <c:f>List1!$B$9:$P$9</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List1!$B$10:$P$10</c:f>
              <c:numCache>
                <c:formatCode>#,##0</c:formatCode>
                <c:ptCount val="15"/>
                <c:pt idx="0">
                  <c:v>13586817000</c:v>
                </c:pt>
                <c:pt idx="1">
                  <c:v>13453929000</c:v>
                </c:pt>
                <c:pt idx="2">
                  <c:v>13536352000</c:v>
                </c:pt>
                <c:pt idx="3">
                  <c:v>13094586000</c:v>
                </c:pt>
                <c:pt idx="4">
                  <c:v>12929721220</c:v>
                </c:pt>
                <c:pt idx="5">
                  <c:v>13264668792</c:v>
                </c:pt>
                <c:pt idx="6">
                  <c:v>14674670530</c:v>
                </c:pt>
                <c:pt idx="7">
                  <c:v>16421359227</c:v>
                </c:pt>
                <c:pt idx="8">
                  <c:v>17256008337</c:v>
                </c:pt>
                <c:pt idx="9">
                  <c:v>17904467063</c:v>
                </c:pt>
                <c:pt idx="10">
                  <c:v>18934712525</c:v>
                </c:pt>
                <c:pt idx="11">
                  <c:v>20312402691</c:v>
                </c:pt>
                <c:pt idx="12">
                  <c:v>21750804881</c:v>
                </c:pt>
                <c:pt idx="13">
                  <c:v>22372346894</c:v>
                </c:pt>
                <c:pt idx="14">
                  <c:v>23132053047</c:v>
                </c:pt>
              </c:numCache>
            </c:numRef>
          </c:val>
          <c:extLst>
            <c:ext xmlns:c16="http://schemas.microsoft.com/office/drawing/2014/chart" uri="{C3380CC4-5D6E-409C-BE32-E72D297353CC}">
              <c16:uniqueId val="{00000001-9E13-4D8B-B793-5EEA85111B93}"/>
            </c:ext>
          </c:extLst>
        </c:ser>
        <c:ser>
          <c:idx val="1"/>
          <c:order val="1"/>
          <c:tx>
            <c:strRef>
              <c:f>List1!$A$11</c:f>
              <c:strCache>
                <c:ptCount val="1"/>
                <c:pt idx="0">
                  <c:v>Účelové výdaje</c:v>
                </c:pt>
              </c:strCache>
            </c:strRef>
          </c:tx>
          <c:spPr>
            <a:solidFill>
              <a:srgbClr val="00CC66">
                <a:alpha val="70000"/>
              </a:srgbClr>
            </a:solidFill>
            <a:ln>
              <a:solidFill>
                <a:srgbClr val="00B050"/>
              </a:solidFill>
            </a:ln>
            <a:effectLst/>
          </c:spPr>
          <c:invertIfNegative val="0"/>
          <c:trendline>
            <c:spPr>
              <a:ln>
                <a:solidFill>
                  <a:srgbClr val="6CA62C"/>
                </a:solidFill>
              </a:ln>
            </c:spPr>
            <c:trendlineType val="poly"/>
            <c:order val="3"/>
            <c:dispRSqr val="0"/>
            <c:dispEq val="0"/>
          </c:trendline>
          <c:cat>
            <c:numRef>
              <c:f>List1!$B$9:$P$9</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List1!$B$11:$P$11</c:f>
              <c:numCache>
                <c:formatCode>#,##0</c:formatCode>
                <c:ptCount val="15"/>
                <c:pt idx="0">
                  <c:v>11805224000</c:v>
                </c:pt>
                <c:pt idx="1">
                  <c:v>12463845000</c:v>
                </c:pt>
                <c:pt idx="2">
                  <c:v>13083342000</c:v>
                </c:pt>
                <c:pt idx="3">
                  <c:v>13023188000</c:v>
                </c:pt>
                <c:pt idx="4">
                  <c:v>13705585000</c:v>
                </c:pt>
                <c:pt idx="5">
                  <c:v>13640706740</c:v>
                </c:pt>
                <c:pt idx="6">
                  <c:v>14417561615</c:v>
                </c:pt>
                <c:pt idx="7">
                  <c:v>16240031230</c:v>
                </c:pt>
                <c:pt idx="8">
                  <c:v>17540907447</c:v>
                </c:pt>
                <c:pt idx="9">
                  <c:v>18060131024</c:v>
                </c:pt>
                <c:pt idx="10">
                  <c:v>17312980679</c:v>
                </c:pt>
                <c:pt idx="11">
                  <c:v>17155650513</c:v>
                </c:pt>
                <c:pt idx="12">
                  <c:v>17323268938</c:v>
                </c:pt>
                <c:pt idx="13">
                  <c:v>17817820250</c:v>
                </c:pt>
                <c:pt idx="14">
                  <c:v>17088114097</c:v>
                </c:pt>
              </c:numCache>
            </c:numRef>
          </c:val>
          <c:extLst>
            <c:ext xmlns:c16="http://schemas.microsoft.com/office/drawing/2014/chart" uri="{C3380CC4-5D6E-409C-BE32-E72D297353CC}">
              <c16:uniqueId val="{00000003-9E13-4D8B-B793-5EEA85111B93}"/>
            </c:ext>
          </c:extLst>
        </c:ser>
        <c:dLbls>
          <c:showLegendKey val="0"/>
          <c:showVal val="0"/>
          <c:showCatName val="0"/>
          <c:showSerName val="0"/>
          <c:showPercent val="0"/>
          <c:showBubbleSize val="0"/>
        </c:dLbls>
        <c:gapWidth val="219"/>
        <c:overlap val="-27"/>
        <c:axId val="1966325007"/>
        <c:axId val="1"/>
      </c:barChart>
      <c:catAx>
        <c:axId val="196632500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
        <c:crosses val="autoZero"/>
        <c:auto val="1"/>
        <c:lblAlgn val="ctr"/>
        <c:lblOffset val="100"/>
        <c:noMultiLvlLbl val="0"/>
      </c:catAx>
      <c:valAx>
        <c:axId val="1"/>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966325007"/>
        <c:crosses val="autoZero"/>
        <c:crossBetween val="between"/>
        <c:majorUnit val="5000000000"/>
        <c:dispUnits>
          <c:builtInUnit val="billions"/>
          <c:dispUnitsLbl>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a:t>Mld. Kč</a:t>
                  </a:r>
                </a:p>
              </c:rich>
            </c:tx>
            <c:spPr>
              <a:noFill/>
              <a:ln>
                <a:noFill/>
              </a:ln>
              <a:effectLst/>
            </c:spPr>
          </c:dispUnitsLbl>
        </c:dispUnits>
      </c:valAx>
      <c:spPr>
        <a:noFill/>
        <a:ln w="25400">
          <a:noFill/>
        </a:ln>
      </c:spPr>
    </c:plotArea>
    <c:legend>
      <c:legendPos val="r"/>
      <c:legendEntry>
        <c:idx val="2"/>
        <c:delete val="1"/>
      </c:legendEntry>
      <c:legendEntry>
        <c:idx val="3"/>
        <c:delete val="1"/>
      </c:legendEntry>
      <c:layout>
        <c:manualLayout>
          <c:xMode val="edge"/>
          <c:yMode val="edge"/>
          <c:x val="0.13778227689387509"/>
          <c:y val="6.1178460610255087E-2"/>
          <c:w val="0.77112440944881888"/>
          <c:h val="7.7649584620708381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noFill/>
    <a:ln w="9525" cap="flat" cmpd="sng" algn="ctr">
      <a:noFill/>
      <a:round/>
    </a:ln>
    <a:effectLst/>
  </c:spPr>
  <c:txPr>
    <a:bodyPr/>
    <a:lstStyle/>
    <a:p>
      <a:pPr>
        <a:defRPr/>
      </a:pPr>
      <a:endParaRPr lang="cs-CZ"/>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087952089158256"/>
          <c:y val="4.1506309079520687E-2"/>
          <c:w val="0.87909639179335508"/>
          <c:h val="0.86184703548600394"/>
        </c:manualLayout>
      </c:layout>
      <c:barChart>
        <c:barDir val="col"/>
        <c:grouping val="clustered"/>
        <c:varyColors val="0"/>
        <c:ser>
          <c:idx val="0"/>
          <c:order val="0"/>
          <c:tx>
            <c:strRef>
              <c:f>ANA_2024!$U$4</c:f>
              <c:strCache>
                <c:ptCount val="1"/>
                <c:pt idx="0">
                  <c:v>2018</c:v>
                </c:pt>
              </c:strCache>
            </c:strRef>
          </c:tx>
          <c:spPr>
            <a:solidFill>
              <a:srgbClr val="034EA2">
                <a:alpha val="69804"/>
              </a:srgbClr>
            </a:solidFill>
            <a:ln w="12700">
              <a:solidFill>
                <a:schemeClr val="accent1"/>
              </a:solidFill>
            </a:ln>
            <a:effectLst/>
          </c:spPr>
          <c:invertIfNegative val="0"/>
          <c:dPt>
            <c:idx val="12"/>
            <c:invertIfNegative val="0"/>
            <c:bubble3D val="0"/>
            <c:spPr>
              <a:solidFill>
                <a:schemeClr val="accent6">
                  <a:lumMod val="75000"/>
                  <a:alpha val="69804"/>
                </a:schemeClr>
              </a:solidFill>
              <a:ln w="12700">
                <a:solidFill>
                  <a:schemeClr val="accent6">
                    <a:lumMod val="50000"/>
                  </a:schemeClr>
                </a:solidFill>
              </a:ln>
              <a:effectLst/>
            </c:spPr>
            <c:extLst>
              <c:ext xmlns:c16="http://schemas.microsoft.com/office/drawing/2014/chart" uri="{C3380CC4-5D6E-409C-BE32-E72D297353CC}">
                <c16:uniqueId val="{00000001-DF57-41CC-A7CE-A21C7DC73D7A}"/>
              </c:ext>
            </c:extLst>
          </c:dPt>
          <c:dPt>
            <c:idx val="13"/>
            <c:invertIfNegative val="0"/>
            <c:bubble3D val="0"/>
            <c:spPr>
              <a:solidFill>
                <a:srgbClr val="034EA2">
                  <a:alpha val="69804"/>
                </a:srgbClr>
              </a:solidFill>
              <a:ln w="12700">
                <a:solidFill>
                  <a:schemeClr val="accent1"/>
                </a:solidFill>
              </a:ln>
              <a:effectLst/>
            </c:spPr>
            <c:extLst>
              <c:ext xmlns:c16="http://schemas.microsoft.com/office/drawing/2014/chart" uri="{C3380CC4-5D6E-409C-BE32-E72D297353CC}">
                <c16:uniqueId val="{00000003-DF57-41CC-A7CE-A21C7DC73D7A}"/>
              </c:ext>
            </c:extLst>
          </c:dPt>
          <c:dLbls>
            <c:delete val="1"/>
          </c:dLbls>
          <c:cat>
            <c:strRef>
              <c:f>ANA_2024!$T$6:$T$32</c:f>
              <c:strCache>
                <c:ptCount val="27"/>
                <c:pt idx="0">
                  <c:v>LV</c:v>
                </c:pt>
                <c:pt idx="1">
                  <c:v>LT</c:v>
                </c:pt>
                <c:pt idx="2">
                  <c:v>CY</c:v>
                </c:pt>
                <c:pt idx="3">
                  <c:v>SK</c:v>
                </c:pt>
                <c:pt idx="4">
                  <c:v>HR</c:v>
                </c:pt>
                <c:pt idx="5">
                  <c:v>RO</c:v>
                </c:pt>
                <c:pt idx="6">
                  <c:v>EL</c:v>
                </c:pt>
                <c:pt idx="7">
                  <c:v>EE</c:v>
                </c:pt>
                <c:pt idx="8">
                  <c:v>BG</c:v>
                </c:pt>
                <c:pt idx="9">
                  <c:v>PL</c:v>
                </c:pt>
                <c:pt idx="10">
                  <c:v>SI</c:v>
                </c:pt>
                <c:pt idx="11">
                  <c:v>IE</c:v>
                </c:pt>
                <c:pt idx="12">
                  <c:v>CZ</c:v>
                </c:pt>
                <c:pt idx="13">
                  <c:v>FI</c:v>
                </c:pt>
                <c:pt idx="14">
                  <c:v>BE</c:v>
                </c:pt>
                <c:pt idx="15">
                  <c:v>MT</c:v>
                </c:pt>
                <c:pt idx="16">
                  <c:v>PT</c:v>
                </c:pt>
                <c:pt idx="17">
                  <c:v>NL</c:v>
                </c:pt>
                <c:pt idx="18">
                  <c:v>ES</c:v>
                </c:pt>
                <c:pt idx="19">
                  <c:v>DK</c:v>
                </c:pt>
                <c:pt idx="20">
                  <c:v>IT</c:v>
                </c:pt>
                <c:pt idx="21">
                  <c:v>AT</c:v>
                </c:pt>
                <c:pt idx="22">
                  <c:v>FR</c:v>
                </c:pt>
                <c:pt idx="23">
                  <c:v>LU</c:v>
                </c:pt>
                <c:pt idx="24">
                  <c:v>SE</c:v>
                </c:pt>
                <c:pt idx="25">
                  <c:v>HU</c:v>
                </c:pt>
                <c:pt idx="26">
                  <c:v>DE</c:v>
                </c:pt>
              </c:strCache>
            </c:strRef>
          </c:cat>
          <c:val>
            <c:numRef>
              <c:f>ANA_2024!$U$6:$U$32</c:f>
              <c:numCache>
                <c:formatCode>0.00</c:formatCode>
                <c:ptCount val="27"/>
                <c:pt idx="0">
                  <c:v>49.39849624060151</c:v>
                </c:pt>
                <c:pt idx="1">
                  <c:v>39.777182824146323</c:v>
                </c:pt>
                <c:pt idx="2">
                  <c:v>37.913844881880188</c:v>
                </c:pt>
                <c:pt idx="3">
                  <c:v>13.536623593744556</c:v>
                </c:pt>
                <c:pt idx="4">
                  <c:v>9.6927738570113533</c:v>
                </c:pt>
                <c:pt idx="5">
                  <c:v>16.028377395100655</c:v>
                </c:pt>
                <c:pt idx="6">
                  <c:v>21.998884379387945</c:v>
                </c:pt>
                <c:pt idx="7">
                  <c:v>20.456782831266</c:v>
                </c:pt>
                <c:pt idx="8">
                  <c:v>15.857564157815126</c:v>
                </c:pt>
                <c:pt idx="9">
                  <c:v>9.9159265497019362</c:v>
                </c:pt>
                <c:pt idx="10">
                  <c:v>18.138073408421622</c:v>
                </c:pt>
                <c:pt idx="11">
                  <c:v>10.946913125278819</c:v>
                </c:pt>
                <c:pt idx="12">
                  <c:v>15.209073937190167</c:v>
                </c:pt>
                <c:pt idx="13">
                  <c:v>11.755732468894504</c:v>
                </c:pt>
                <c:pt idx="14">
                  <c:v>12.774412680804131</c:v>
                </c:pt>
                <c:pt idx="15">
                  <c:v>17.052414186013387</c:v>
                </c:pt>
                <c:pt idx="16">
                  <c:v>9.6626779898361832</c:v>
                </c:pt>
                <c:pt idx="17">
                  <c:v>11.77312578278762</c:v>
                </c:pt>
                <c:pt idx="18">
                  <c:v>10.388682480708773</c:v>
                </c:pt>
                <c:pt idx="19">
                  <c:v>7.9057915266970635</c:v>
                </c:pt>
                <c:pt idx="20">
                  <c:v>9.5288648674814311</c:v>
                </c:pt>
                <c:pt idx="21">
                  <c:v>6.6395728664433076</c:v>
                </c:pt>
                <c:pt idx="22">
                  <c:v>8.0229175960493446</c:v>
                </c:pt>
                <c:pt idx="23">
                  <c:v>4.5020870602265948</c:v>
                </c:pt>
                <c:pt idx="24">
                  <c:v>5.714347120293314</c:v>
                </c:pt>
                <c:pt idx="25">
                  <c:v>8.393743899694762</c:v>
                </c:pt>
                <c:pt idx="26">
                  <c:v>5.5658235560528064</c:v>
                </c:pt>
              </c:numCache>
            </c:numRef>
          </c:val>
          <c:extLst>
            <c:ext xmlns:c16="http://schemas.microsoft.com/office/drawing/2014/chart" uri="{C3380CC4-5D6E-409C-BE32-E72D297353CC}">
              <c16:uniqueId val="{00000004-DF57-41CC-A7CE-A21C7DC73D7A}"/>
            </c:ext>
          </c:extLst>
        </c:ser>
        <c:ser>
          <c:idx val="1"/>
          <c:order val="1"/>
          <c:tx>
            <c:strRef>
              <c:f>ANA_2024!$V$4</c:f>
              <c:strCache>
                <c:ptCount val="1"/>
                <c:pt idx="0">
                  <c:v>2023</c:v>
                </c:pt>
              </c:strCache>
            </c:strRef>
          </c:tx>
          <c:spPr>
            <a:solidFill>
              <a:schemeClr val="accent2"/>
            </a:solidFill>
            <a:ln w="12700">
              <a:solidFill>
                <a:schemeClr val="accent2">
                  <a:lumMod val="75000"/>
                </a:schemeClr>
              </a:solidFill>
            </a:ln>
            <a:effectLst/>
          </c:spPr>
          <c:invertIfNegative val="0"/>
          <c:dPt>
            <c:idx val="12"/>
            <c:invertIfNegative val="0"/>
            <c:bubble3D val="0"/>
            <c:spPr>
              <a:solidFill>
                <a:schemeClr val="accent6">
                  <a:lumMod val="60000"/>
                  <a:lumOff val="40000"/>
                </a:schemeClr>
              </a:solidFill>
              <a:ln w="12700">
                <a:solidFill>
                  <a:schemeClr val="accent6">
                    <a:lumMod val="75000"/>
                  </a:schemeClr>
                </a:solidFill>
              </a:ln>
              <a:effectLst/>
            </c:spPr>
            <c:extLst>
              <c:ext xmlns:c16="http://schemas.microsoft.com/office/drawing/2014/chart" uri="{C3380CC4-5D6E-409C-BE32-E72D297353CC}">
                <c16:uniqueId val="{00000006-DF57-41CC-A7CE-A21C7DC73D7A}"/>
              </c:ext>
            </c:extLst>
          </c:dPt>
          <c:dPt>
            <c:idx val="13"/>
            <c:invertIfNegative val="0"/>
            <c:bubble3D val="0"/>
            <c:spPr>
              <a:solidFill>
                <a:schemeClr val="accent2"/>
              </a:solidFill>
              <a:ln w="12700">
                <a:solidFill>
                  <a:schemeClr val="accent2">
                    <a:lumMod val="75000"/>
                  </a:schemeClr>
                </a:solidFill>
              </a:ln>
              <a:effectLst/>
            </c:spPr>
            <c:extLst>
              <c:ext xmlns:c16="http://schemas.microsoft.com/office/drawing/2014/chart" uri="{C3380CC4-5D6E-409C-BE32-E72D297353CC}">
                <c16:uniqueId val="{00000008-DF57-41CC-A7CE-A21C7DC73D7A}"/>
              </c:ext>
            </c:extLst>
          </c:dPt>
          <c:dLbls>
            <c:delete val="1"/>
          </c:dLbls>
          <c:trendline>
            <c:spPr>
              <a:ln w="19050" cap="rnd">
                <a:solidFill>
                  <a:schemeClr val="accent2"/>
                </a:solidFill>
                <a:prstDash val="sysDot"/>
              </a:ln>
              <a:effectLst/>
            </c:spPr>
            <c:trendlineType val="exp"/>
            <c:dispRSqr val="0"/>
            <c:dispEq val="0"/>
          </c:trendline>
          <c:cat>
            <c:strRef>
              <c:f>ANA_2024!$T$6:$T$32</c:f>
              <c:strCache>
                <c:ptCount val="27"/>
                <c:pt idx="0">
                  <c:v>LV</c:v>
                </c:pt>
                <c:pt idx="1">
                  <c:v>LT</c:v>
                </c:pt>
                <c:pt idx="2">
                  <c:v>CY</c:v>
                </c:pt>
                <c:pt idx="3">
                  <c:v>SK</c:v>
                </c:pt>
                <c:pt idx="4">
                  <c:v>HR</c:v>
                </c:pt>
                <c:pt idx="5">
                  <c:v>RO</c:v>
                </c:pt>
                <c:pt idx="6">
                  <c:v>EL</c:v>
                </c:pt>
                <c:pt idx="7">
                  <c:v>EE</c:v>
                </c:pt>
                <c:pt idx="8">
                  <c:v>BG</c:v>
                </c:pt>
                <c:pt idx="9">
                  <c:v>PL</c:v>
                </c:pt>
                <c:pt idx="10">
                  <c:v>SI</c:v>
                </c:pt>
                <c:pt idx="11">
                  <c:v>IE</c:v>
                </c:pt>
                <c:pt idx="12">
                  <c:v>CZ</c:v>
                </c:pt>
                <c:pt idx="13">
                  <c:v>FI</c:v>
                </c:pt>
                <c:pt idx="14">
                  <c:v>BE</c:v>
                </c:pt>
                <c:pt idx="15">
                  <c:v>MT</c:v>
                </c:pt>
                <c:pt idx="16">
                  <c:v>PT</c:v>
                </c:pt>
                <c:pt idx="17">
                  <c:v>NL</c:v>
                </c:pt>
                <c:pt idx="18">
                  <c:v>ES</c:v>
                </c:pt>
                <c:pt idx="19">
                  <c:v>DK</c:v>
                </c:pt>
                <c:pt idx="20">
                  <c:v>IT</c:v>
                </c:pt>
                <c:pt idx="21">
                  <c:v>AT</c:v>
                </c:pt>
                <c:pt idx="22">
                  <c:v>FR</c:v>
                </c:pt>
                <c:pt idx="23">
                  <c:v>LU</c:v>
                </c:pt>
                <c:pt idx="24">
                  <c:v>SE</c:v>
                </c:pt>
                <c:pt idx="25">
                  <c:v>HU</c:v>
                </c:pt>
                <c:pt idx="26">
                  <c:v>DE</c:v>
                </c:pt>
              </c:strCache>
            </c:strRef>
          </c:cat>
          <c:val>
            <c:numRef>
              <c:f>ANA_2024!$V$6:$V$32</c:f>
              <c:numCache>
                <c:formatCode>0.00</c:formatCode>
                <c:ptCount val="27"/>
                <c:pt idx="0">
                  <c:v>34.575649769298892</c:v>
                </c:pt>
                <c:pt idx="1">
                  <c:v>33.380165919199364</c:v>
                </c:pt>
                <c:pt idx="2">
                  <c:v>33.030030197518862</c:v>
                </c:pt>
                <c:pt idx="3">
                  <c:v>24.4667187849006</c:v>
                </c:pt>
                <c:pt idx="4">
                  <c:v>23.507644140138371</c:v>
                </c:pt>
                <c:pt idx="5">
                  <c:v>22.589265889591918</c:v>
                </c:pt>
                <c:pt idx="6">
                  <c:v>22.025521816401479</c:v>
                </c:pt>
                <c:pt idx="7">
                  <c:v>20.030312575040774</c:v>
                </c:pt>
                <c:pt idx="8">
                  <c:v>19.296352601874844</c:v>
                </c:pt>
                <c:pt idx="9">
                  <c:v>19.124382827156484</c:v>
                </c:pt>
                <c:pt idx="10">
                  <c:v>17.721298485553383</c:v>
                </c:pt>
                <c:pt idx="11">
                  <c:v>15.356111159628009</c:v>
                </c:pt>
                <c:pt idx="12">
                  <c:v>15.353302054334705</c:v>
                </c:pt>
                <c:pt idx="13">
                  <c:v>14.068991041313735</c:v>
                </c:pt>
                <c:pt idx="14">
                  <c:v>13.660217049835785</c:v>
                </c:pt>
                <c:pt idx="15">
                  <c:v>12.810794145916828</c:v>
                </c:pt>
                <c:pt idx="16">
                  <c:v>12.29688656143548</c:v>
                </c:pt>
                <c:pt idx="17">
                  <c:v>11.231439766211933</c:v>
                </c:pt>
                <c:pt idx="18">
                  <c:v>10.846971454194422</c:v>
                </c:pt>
                <c:pt idx="19">
                  <c:v>9.2270414176167765</c:v>
                </c:pt>
                <c:pt idx="20">
                  <c:v>8.1017960665298769</c:v>
                </c:pt>
                <c:pt idx="21">
                  <c:v>7.0652141141473113</c:v>
                </c:pt>
                <c:pt idx="22">
                  <c:v>6.7815638195317218</c:v>
                </c:pt>
                <c:pt idx="23">
                  <c:v>6.5078279662483602</c:v>
                </c:pt>
                <c:pt idx="24">
                  <c:v>6.1706156931101281</c:v>
                </c:pt>
                <c:pt idx="25">
                  <c:v>6.0419711334546138</c:v>
                </c:pt>
                <c:pt idx="26">
                  <c:v>5.5184254626711127</c:v>
                </c:pt>
              </c:numCache>
            </c:numRef>
          </c:val>
          <c:extLst>
            <c:ext xmlns:c16="http://schemas.microsoft.com/office/drawing/2014/chart" uri="{C3380CC4-5D6E-409C-BE32-E72D297353CC}">
              <c16:uniqueId val="{0000000A-DF57-41CC-A7CE-A21C7DC73D7A}"/>
            </c:ext>
          </c:extLst>
        </c:ser>
        <c:dLbls>
          <c:dLblPos val="outEnd"/>
          <c:showLegendKey val="0"/>
          <c:showVal val="1"/>
          <c:showCatName val="0"/>
          <c:showSerName val="0"/>
          <c:showPercent val="0"/>
          <c:showBubbleSize val="0"/>
        </c:dLbls>
        <c:gapWidth val="100"/>
        <c:overlap val="-27"/>
        <c:axId val="1598947087"/>
        <c:axId val="1598937103"/>
      </c:barChart>
      <c:catAx>
        <c:axId val="1598947087"/>
        <c:scaling>
          <c:orientation val="minMax"/>
        </c:scaling>
        <c:delete val="0"/>
        <c:axPos val="b"/>
        <c:numFmt formatCode="General" sourceLinked="1"/>
        <c:majorTickMark val="none"/>
        <c:minorTickMark val="none"/>
        <c:tickLblPos val="nextTo"/>
        <c:spPr>
          <a:noFill/>
          <a:ln w="9525" cap="flat" cmpd="sng" algn="ctr">
            <a:solidFill>
              <a:schemeClr val="tx1"/>
            </a:solidFill>
            <a:round/>
          </a:ln>
          <a:effectLst/>
        </c:spPr>
        <c:txPr>
          <a:bodyPr rot="-3000000" spcFirstLastPara="1" vertOverflow="ellipsis" wrap="square" anchor="ctr" anchorCtr="1"/>
          <a:lstStyle/>
          <a:p>
            <a:pPr>
              <a:defRPr sz="7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598937103"/>
        <c:crosses val="autoZero"/>
        <c:auto val="1"/>
        <c:lblAlgn val="ctr"/>
        <c:lblOffset val="100"/>
        <c:noMultiLvlLbl val="0"/>
      </c:catAx>
      <c:valAx>
        <c:axId val="1598937103"/>
        <c:scaling>
          <c:orientation val="minMax"/>
        </c:scaling>
        <c:delete val="0"/>
        <c:axPos val="l"/>
        <c:majorGridlines>
          <c:spPr>
            <a:ln w="6350" cap="flat" cmpd="sng" algn="ctr">
              <a:noFill/>
              <a:prstDash val="lgDash"/>
              <a:miter lim="800000"/>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cs-CZ" sz="800" b="0"/>
                  <a:t>Podíl veřejné podpory na VaV</a:t>
                </a:r>
                <a:r>
                  <a:rPr lang="cs-CZ" sz="800" b="0" baseline="0"/>
                  <a:t> ze zahraničí na celkové veřejné podpoře (%)</a:t>
                </a:r>
                <a:endParaRPr lang="cs-CZ" sz="800" b="0"/>
              </a:p>
            </c:rich>
          </c:tx>
          <c:layout>
            <c:manualLayout>
              <c:xMode val="edge"/>
              <c:yMode val="edge"/>
              <c:x val="1.5636111687224569E-3"/>
              <c:y val="9.3841242817620768E-2"/>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598947087"/>
        <c:crosses val="autoZero"/>
        <c:crossBetween val="between"/>
      </c:valAx>
      <c:spPr>
        <a:noFill/>
        <a:ln>
          <a:noFill/>
        </a:ln>
        <a:effectLst/>
      </c:spPr>
    </c:plotArea>
    <c:legend>
      <c:legendPos val="r"/>
      <c:legendEntry>
        <c:idx val="2"/>
        <c:delete val="1"/>
      </c:legendEntry>
      <c:layout>
        <c:manualLayout>
          <c:xMode val="edge"/>
          <c:yMode val="edge"/>
          <c:x val="0.8143101944552672"/>
          <c:y val="0.37709457488985049"/>
          <c:w val="0.13571660045119247"/>
          <c:h val="0.23456369323697551"/>
        </c:manualLayout>
      </c:layout>
      <c:overlay val="0"/>
      <c:spPr>
        <a:solidFill>
          <a:schemeClr val="bg1"/>
        </a:solid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noFill/>
    <a:ln w="9525" cap="flat" cmpd="sng" algn="ctr">
      <a:noFill/>
      <a:round/>
    </a:ln>
    <a:effectLst/>
  </c:spPr>
  <c:txPr>
    <a:bodyPr/>
    <a:lstStyle/>
    <a:p>
      <a:pPr>
        <a:defRPr sz="900" b="1">
          <a:solidFill>
            <a:sysClr val="windowText" lastClr="000000"/>
          </a:solidFill>
          <a:latin typeface="Arial" panose="020B0604020202020204" pitchFamily="34" charset="0"/>
          <a:cs typeface="Arial" panose="020B0604020202020204" pitchFamily="34" charset="0"/>
        </a:defRPr>
      </a:pPr>
      <a:endParaRPr lang="cs-CZ"/>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7.1510772691875057E-2"/>
          <c:y val="5.1389862181733241E-2"/>
          <c:w val="0.88085882293559459"/>
          <c:h val="0.80860837025547072"/>
        </c:manualLayout>
      </c:layout>
      <c:barChart>
        <c:barDir val="bar"/>
        <c:grouping val="stacked"/>
        <c:varyColors val="0"/>
        <c:ser>
          <c:idx val="0"/>
          <c:order val="0"/>
          <c:tx>
            <c:strRef>
              <c:f>obr_2.2!$A$4</c:f>
              <c:strCache>
                <c:ptCount val="1"/>
                <c:pt idx="0">
                  <c:v>Účelové</c:v>
                </c:pt>
              </c:strCache>
            </c:strRef>
          </c:tx>
          <c:spPr>
            <a:solidFill>
              <a:srgbClr val="1FA81F">
                <a:alpha val="73725"/>
              </a:srgbClr>
            </a:solidFill>
            <a:ln w="19050">
              <a:solidFill>
                <a:srgbClr val="1FA81F"/>
              </a:solidFill>
            </a:ln>
          </c:spPr>
          <c:invertIfNegative val="0"/>
          <c:dLbls>
            <c:spPr>
              <a:noFill/>
              <a:ln>
                <a:noFill/>
              </a:ln>
              <a:effectLst/>
            </c:spPr>
            <c:txPr>
              <a:bodyPr wrap="square" lIns="38100" tIns="19050" rIns="38100" bIns="19050" anchor="ctr">
                <a:spAutoFit/>
              </a:bodyPr>
              <a:lstStyle/>
              <a:p>
                <a:pPr>
                  <a:defRPr sz="900"/>
                </a:pPr>
                <a:endParaRPr lang="cs-CZ"/>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obr_2.2!$B$3:$E$3</c:f>
              <c:strCache>
                <c:ptCount val="4"/>
                <c:pt idx="0">
                  <c:v>AV</c:v>
                </c:pt>
                <c:pt idx="1">
                  <c:v>PF</c:v>
                </c:pt>
                <c:pt idx="2">
                  <c:v>SP</c:v>
                </c:pt>
                <c:pt idx="3">
                  <c:v>VŠ</c:v>
                </c:pt>
              </c:strCache>
            </c:strRef>
          </c:cat>
          <c:val>
            <c:numRef>
              <c:f>obr_2.2!$G$4:$J$4</c:f>
              <c:numCache>
                <c:formatCode>#,##0</c:formatCode>
                <c:ptCount val="4"/>
                <c:pt idx="0">
                  <c:v>3685.2891974600002</c:v>
                </c:pt>
                <c:pt idx="1">
                  <c:v>4463.4151737600005</c:v>
                </c:pt>
                <c:pt idx="2">
                  <c:v>2244.0091870899996</c:v>
                </c:pt>
                <c:pt idx="3">
                  <c:v>9174.5500108100005</c:v>
                </c:pt>
              </c:numCache>
            </c:numRef>
          </c:val>
          <c:extLst>
            <c:ext xmlns:c16="http://schemas.microsoft.com/office/drawing/2014/chart" uri="{C3380CC4-5D6E-409C-BE32-E72D297353CC}">
              <c16:uniqueId val="{00000000-8CB1-494F-A708-2CCE623C2B32}"/>
            </c:ext>
          </c:extLst>
        </c:ser>
        <c:ser>
          <c:idx val="2"/>
          <c:order val="1"/>
          <c:tx>
            <c:strRef>
              <c:f>obr_2.2!$A$6</c:f>
              <c:strCache>
                <c:ptCount val="1"/>
                <c:pt idx="0">
                  <c:v>OP část EU</c:v>
                </c:pt>
              </c:strCache>
            </c:strRef>
          </c:tx>
          <c:spPr>
            <a:gradFill flip="none" rotWithShape="1">
              <a:gsLst>
                <a:gs pos="61000">
                  <a:srgbClr val="CBDCAC"/>
                </a:gs>
                <a:gs pos="37000">
                  <a:srgbClr val="DDA09F"/>
                </a:gs>
              </a:gsLst>
              <a:lin ang="9000000" scaled="0"/>
              <a:tileRect/>
            </a:gradFill>
            <a:ln w="19050">
              <a:gradFill>
                <a:gsLst>
                  <a:gs pos="34000">
                    <a:srgbClr val="DDA09F"/>
                  </a:gs>
                  <a:gs pos="74000">
                    <a:srgbClr val="1FA81F"/>
                  </a:gs>
                </a:gsLst>
                <a:lin ang="11400000" scaled="0"/>
              </a:gradFill>
            </a:ln>
          </c:spPr>
          <c:invertIfNegative val="0"/>
          <c:dLbls>
            <c:spPr>
              <a:noFill/>
              <a:ln>
                <a:noFill/>
              </a:ln>
              <a:effectLst/>
            </c:spPr>
            <c:txPr>
              <a:bodyPr wrap="square" lIns="38100" tIns="19050" rIns="38100" bIns="19050" anchor="ctr">
                <a:spAutoFit/>
              </a:bodyPr>
              <a:lstStyle/>
              <a:p>
                <a:pPr>
                  <a:defRPr sz="900"/>
                </a:pPr>
                <a:endParaRPr lang="cs-CZ"/>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obr_2.2!$B$3:$E$3</c:f>
              <c:strCache>
                <c:ptCount val="4"/>
                <c:pt idx="0">
                  <c:v>AV</c:v>
                </c:pt>
                <c:pt idx="1">
                  <c:v>PF</c:v>
                </c:pt>
                <c:pt idx="2">
                  <c:v>SP</c:v>
                </c:pt>
                <c:pt idx="3">
                  <c:v>VŠ</c:v>
                </c:pt>
              </c:strCache>
            </c:strRef>
          </c:cat>
          <c:val>
            <c:numRef>
              <c:f>obr_2.2!$G$6:$J$6</c:f>
              <c:numCache>
                <c:formatCode>#,##0</c:formatCode>
                <c:ptCount val="4"/>
                <c:pt idx="0">
                  <c:v>1461.3343480000008</c:v>
                </c:pt>
                <c:pt idx="1">
                  <c:v>1842.4002410000003</c:v>
                </c:pt>
                <c:pt idx="2">
                  <c:v>263.79313000000002</c:v>
                </c:pt>
                <c:pt idx="3">
                  <c:v>2688.8804769999983</c:v>
                </c:pt>
              </c:numCache>
            </c:numRef>
          </c:val>
          <c:extLst>
            <c:ext xmlns:c16="http://schemas.microsoft.com/office/drawing/2014/chart" uri="{C3380CC4-5D6E-409C-BE32-E72D297353CC}">
              <c16:uniqueId val="{00000001-8CB1-494F-A708-2CCE623C2B32}"/>
            </c:ext>
          </c:extLst>
        </c:ser>
        <c:ser>
          <c:idx val="1"/>
          <c:order val="2"/>
          <c:tx>
            <c:strRef>
              <c:f>obr_2.2!$A$5</c:f>
              <c:strCache>
                <c:ptCount val="1"/>
                <c:pt idx="0">
                  <c:v>Institucionální</c:v>
                </c:pt>
              </c:strCache>
            </c:strRef>
          </c:tx>
          <c:spPr>
            <a:solidFill>
              <a:srgbClr val="BE4949">
                <a:alpha val="90000"/>
              </a:srgbClr>
            </a:solidFill>
            <a:ln w="19050">
              <a:solidFill>
                <a:srgbClr val="BE4949"/>
              </a:solidFill>
            </a:ln>
          </c:spPr>
          <c:invertIfNegative val="0"/>
          <c:dLbls>
            <c:dLbl>
              <c:idx val="1"/>
              <c:layout>
                <c:manualLayout>
                  <c:x val="-1.7327500534610033E-3"/>
                  <c:y val="6.2027744133655912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CB1-494F-A708-2CCE623C2B32}"/>
                </c:ext>
              </c:extLst>
            </c:dLbl>
            <c:dLbl>
              <c:idx val="2"/>
              <c:layout>
                <c:manualLayout>
                  <c:x val="2.0682523267838678E-3"/>
                  <c:y val="-4.3086067091771538E-17"/>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CB1-494F-A708-2CCE623C2B32}"/>
                </c:ext>
              </c:extLst>
            </c:dLbl>
            <c:dLbl>
              <c:idx val="3"/>
              <c:layout>
                <c:manualLayout>
                  <c:x val="2.324709411323574E-3"/>
                  <c:y val="0"/>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8CB1-494F-A708-2CCE623C2B32}"/>
                </c:ext>
              </c:extLst>
            </c:dLbl>
            <c:spPr>
              <a:noFill/>
              <a:ln>
                <a:noFill/>
              </a:ln>
              <a:effectLst/>
            </c:spPr>
            <c:txPr>
              <a:bodyPr wrap="square" lIns="38100" tIns="19050" rIns="38100" bIns="19050" anchor="ctr">
                <a:spAutoFit/>
              </a:bodyPr>
              <a:lstStyle/>
              <a:p>
                <a:pPr>
                  <a:defRPr sz="900"/>
                </a:pPr>
                <a:endParaRPr lang="cs-CZ"/>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obr_2.2!$B$3:$E$3</c:f>
              <c:strCache>
                <c:ptCount val="4"/>
                <c:pt idx="0">
                  <c:v>AV</c:v>
                </c:pt>
                <c:pt idx="1">
                  <c:v>PF</c:v>
                </c:pt>
                <c:pt idx="2">
                  <c:v>SP</c:v>
                </c:pt>
                <c:pt idx="3">
                  <c:v>VŠ</c:v>
                </c:pt>
              </c:strCache>
            </c:strRef>
          </c:cat>
          <c:val>
            <c:numRef>
              <c:f>obr_2.2!$G$5:$J$5</c:f>
              <c:numCache>
                <c:formatCode>#,##0</c:formatCode>
                <c:ptCount val="4"/>
                <c:pt idx="0">
                  <c:v>7545.3011049899997</c:v>
                </c:pt>
                <c:pt idx="1">
                  <c:v>832.33730348999995</c:v>
                </c:pt>
                <c:pt idx="2">
                  <c:v>2048.8263598799999</c:v>
                </c:pt>
                <c:pt idx="3">
                  <c:v>10319.94518463</c:v>
                </c:pt>
              </c:numCache>
            </c:numRef>
          </c:val>
          <c:extLst>
            <c:ext xmlns:c16="http://schemas.microsoft.com/office/drawing/2014/chart" uri="{C3380CC4-5D6E-409C-BE32-E72D297353CC}">
              <c16:uniqueId val="{00000005-8CB1-494F-A708-2CCE623C2B32}"/>
            </c:ext>
          </c:extLst>
        </c:ser>
        <c:ser>
          <c:idx val="3"/>
          <c:order val="3"/>
          <c:tx>
            <c:strRef>
              <c:f>obr_2.2!$G$9</c:f>
              <c:strCache>
                <c:ptCount val="1"/>
                <c:pt idx="0">
                  <c:v>Náklady na činnost AV ČR (bez CAV)*</c:v>
                </c:pt>
              </c:strCache>
            </c:strRef>
          </c:tx>
          <c:spPr>
            <a:solidFill>
              <a:schemeClr val="bg1">
                <a:lumMod val="85000"/>
              </a:schemeClr>
            </a:solidFill>
            <a:ln w="19050">
              <a:solidFill>
                <a:schemeClr val="bg1">
                  <a:lumMod val="65000"/>
                </a:schemeClr>
              </a:solidFill>
            </a:ln>
          </c:spPr>
          <c:invertIfNegative val="0"/>
          <c:dLbls>
            <c:dLbl>
              <c:idx val="1"/>
              <c:delete val="1"/>
              <c:extLst>
                <c:ext xmlns:c15="http://schemas.microsoft.com/office/drawing/2012/chart" uri="{CE6537A1-D6FC-4f65-9D91-7224C49458BB}"/>
                <c:ext xmlns:c16="http://schemas.microsoft.com/office/drawing/2014/chart" uri="{C3380CC4-5D6E-409C-BE32-E72D297353CC}">
                  <c16:uniqueId val="{00000006-8CB1-494F-A708-2CCE623C2B32}"/>
                </c:ext>
              </c:extLst>
            </c:dLbl>
            <c:spPr>
              <a:noFill/>
              <a:ln>
                <a:noFill/>
              </a:ln>
              <a:effectLst/>
            </c:spPr>
            <c:txPr>
              <a:bodyPr wrap="square" lIns="38100" tIns="19050" rIns="38100" bIns="19050" anchor="ctr">
                <a:spAutoFit/>
              </a:bodyPr>
              <a:lstStyle/>
              <a:p>
                <a:pPr>
                  <a:defRPr sz="900"/>
                </a:pPr>
                <a:endParaRPr lang="cs-CZ"/>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val>
            <c:numRef>
              <c:f>obr_2.2!$G$8:$J$8</c:f>
              <c:numCache>
                <c:formatCode>General</c:formatCode>
                <c:ptCount val="4"/>
                <c:pt idx="0" formatCode="#,##0">
                  <c:v>665</c:v>
                </c:pt>
                <c:pt idx="1">
                  <c:v>0</c:v>
                </c:pt>
              </c:numCache>
            </c:numRef>
          </c:val>
          <c:extLst>
            <c:ext xmlns:c16="http://schemas.microsoft.com/office/drawing/2014/chart" uri="{C3380CC4-5D6E-409C-BE32-E72D297353CC}">
              <c16:uniqueId val="{00000007-8CB1-494F-A708-2CCE623C2B32}"/>
            </c:ext>
          </c:extLst>
        </c:ser>
        <c:dLbls>
          <c:showLegendKey val="0"/>
          <c:showVal val="0"/>
          <c:showCatName val="0"/>
          <c:showSerName val="0"/>
          <c:showPercent val="0"/>
          <c:showBubbleSize val="0"/>
        </c:dLbls>
        <c:gapWidth val="150"/>
        <c:overlap val="100"/>
        <c:axId val="145683584"/>
        <c:axId val="145685888"/>
      </c:barChart>
      <c:catAx>
        <c:axId val="145683584"/>
        <c:scaling>
          <c:orientation val="minMax"/>
        </c:scaling>
        <c:delete val="0"/>
        <c:axPos val="l"/>
        <c:numFmt formatCode="General" sourceLinked="1"/>
        <c:majorTickMark val="out"/>
        <c:minorTickMark val="none"/>
        <c:tickLblPos val="nextTo"/>
        <c:txPr>
          <a:bodyPr/>
          <a:lstStyle/>
          <a:p>
            <a:pPr>
              <a:defRPr sz="900" b="1"/>
            </a:pPr>
            <a:endParaRPr lang="cs-CZ"/>
          </a:p>
        </c:txPr>
        <c:crossAx val="145685888"/>
        <c:crosses val="autoZero"/>
        <c:auto val="1"/>
        <c:lblAlgn val="ctr"/>
        <c:lblOffset val="100"/>
        <c:noMultiLvlLbl val="0"/>
      </c:catAx>
      <c:valAx>
        <c:axId val="145685888"/>
        <c:scaling>
          <c:orientation val="minMax"/>
          <c:max val="22500"/>
          <c:min val="0"/>
        </c:scaling>
        <c:delete val="0"/>
        <c:axPos val="b"/>
        <c:majorGridlines>
          <c:spPr>
            <a:ln>
              <a:prstDash val="dash"/>
            </a:ln>
          </c:spPr>
        </c:majorGridlines>
        <c:title>
          <c:tx>
            <c:rich>
              <a:bodyPr/>
              <a:lstStyle/>
              <a:p>
                <a:pPr>
                  <a:defRPr/>
                </a:pPr>
                <a:r>
                  <a:rPr lang="en-US"/>
                  <a:t>mil. Kč</a:t>
                </a:r>
              </a:p>
            </c:rich>
          </c:tx>
          <c:overlay val="0"/>
        </c:title>
        <c:numFmt formatCode="#,##0" sourceLinked="1"/>
        <c:majorTickMark val="out"/>
        <c:minorTickMark val="none"/>
        <c:tickLblPos val="nextTo"/>
        <c:txPr>
          <a:bodyPr/>
          <a:lstStyle/>
          <a:p>
            <a:pPr>
              <a:defRPr sz="900"/>
            </a:pPr>
            <a:endParaRPr lang="cs-CZ"/>
          </a:p>
        </c:txPr>
        <c:crossAx val="145683584"/>
        <c:crosses val="autoZero"/>
        <c:crossBetween val="between"/>
        <c:majorUnit val="2500"/>
      </c:valAx>
    </c:plotArea>
    <c:legend>
      <c:legendPos val="r"/>
      <c:layout>
        <c:manualLayout>
          <c:xMode val="edge"/>
          <c:yMode val="edge"/>
          <c:x val="0.56838245614087646"/>
          <c:y val="0.26816002305678349"/>
          <c:w val="0.36663565550559452"/>
          <c:h val="0.34360871248067892"/>
        </c:manualLayout>
      </c:layout>
      <c:overlay val="1"/>
      <c:spPr>
        <a:solidFill>
          <a:sysClr val="window" lastClr="FFFFFF"/>
        </a:solidFill>
        <a:ln>
          <a:noFill/>
        </a:ln>
      </c:spPr>
      <c:txPr>
        <a:bodyPr/>
        <a:lstStyle/>
        <a:p>
          <a:pPr>
            <a:defRPr sz="1000"/>
          </a:pPr>
          <a:endParaRPr lang="cs-CZ"/>
        </a:p>
      </c:txPr>
    </c:legend>
    <c:plotVisOnly val="1"/>
    <c:dispBlanksAs val="gap"/>
    <c:showDLblsOverMax val="0"/>
  </c:chart>
  <c:spPr>
    <a:ln>
      <a:noFill/>
    </a:ln>
  </c:sp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percentStacked"/>
        <c:varyColors val="0"/>
        <c:ser>
          <c:idx val="0"/>
          <c:order val="0"/>
          <c:tx>
            <c:strRef>
              <c:f>FORD!$I$5</c:f>
              <c:strCache>
                <c:ptCount val="1"/>
                <c:pt idx="0">
                  <c:v>Přírodní vědy</c:v>
                </c:pt>
              </c:strCache>
            </c:strRef>
          </c:tx>
          <c:spPr>
            <a:solidFill>
              <a:srgbClr val="769B5D">
                <a:alpha val="70000"/>
              </a:srgbClr>
            </a:solidFill>
            <a:ln w="19050">
              <a:solidFill>
                <a:srgbClr val="769B5D"/>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FORD!$J$4:$M$4</c:f>
              <c:strCache>
                <c:ptCount val="4"/>
                <c:pt idx="0">
                  <c:v>Veřejné domácí                                    (43.1 mld. Kč)</c:v>
                </c:pt>
                <c:pt idx="1">
                  <c:v>EU
 (9.2 mld. Kč)</c:v>
                </c:pt>
                <c:pt idx="2">
                  <c:v>účelová podpora                                                                              PROJEKTY* (16,2 mld. Kč)</c:v>
                </c:pt>
                <c:pt idx="3">
                  <c:v>účelová podpora                                VVI (1,8 mld. Kč)</c:v>
                </c:pt>
              </c:strCache>
            </c:strRef>
          </c:cat>
          <c:val>
            <c:numRef>
              <c:f>FORD!$J$5:$M$5</c:f>
              <c:numCache>
                <c:formatCode>0.0%</c:formatCode>
                <c:ptCount val="4"/>
                <c:pt idx="0">
                  <c:v>0.48200432076930827</c:v>
                </c:pt>
                <c:pt idx="1">
                  <c:v>0.5247455987022055</c:v>
                </c:pt>
                <c:pt idx="2" formatCode="0%">
                  <c:v>0.35718883991884992</c:v>
                </c:pt>
                <c:pt idx="3" formatCode="0%">
                  <c:v>0.71545302581695425</c:v>
                </c:pt>
              </c:numCache>
            </c:numRef>
          </c:val>
          <c:extLst>
            <c:ext xmlns:c16="http://schemas.microsoft.com/office/drawing/2014/chart" uri="{C3380CC4-5D6E-409C-BE32-E72D297353CC}">
              <c16:uniqueId val="{00000000-6351-4664-BC98-014244E8DF7E}"/>
            </c:ext>
          </c:extLst>
        </c:ser>
        <c:ser>
          <c:idx val="1"/>
          <c:order val="1"/>
          <c:tx>
            <c:strRef>
              <c:f>FORD!$I$6</c:f>
              <c:strCache>
                <c:ptCount val="1"/>
                <c:pt idx="0">
                  <c:v>Technické vědy</c:v>
                </c:pt>
              </c:strCache>
            </c:strRef>
          </c:tx>
          <c:spPr>
            <a:solidFill>
              <a:srgbClr val="2D5396">
                <a:alpha val="70000"/>
              </a:srgbClr>
            </a:solidFill>
            <a:ln w="15875">
              <a:solidFill>
                <a:srgbClr val="2D5396"/>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FORD!$J$4:$M$4</c:f>
              <c:strCache>
                <c:ptCount val="4"/>
                <c:pt idx="0">
                  <c:v>Veřejné domácí                                    (43.1 mld. Kč)</c:v>
                </c:pt>
                <c:pt idx="1">
                  <c:v>EU
 (9.2 mld. Kč)</c:v>
                </c:pt>
                <c:pt idx="2">
                  <c:v>účelová podpora                                                                              PROJEKTY* (16,2 mld. Kč)</c:v>
                </c:pt>
                <c:pt idx="3">
                  <c:v>účelová podpora                                VVI (1,8 mld. Kč)</c:v>
                </c:pt>
              </c:strCache>
            </c:strRef>
          </c:cat>
          <c:val>
            <c:numRef>
              <c:f>FORD!$J$6:$M$6</c:f>
              <c:numCache>
                <c:formatCode>0.0%</c:formatCode>
                <c:ptCount val="4"/>
                <c:pt idx="0">
                  <c:v>0.20818920931155524</c:v>
                </c:pt>
                <c:pt idx="1">
                  <c:v>0.2731859931310428</c:v>
                </c:pt>
                <c:pt idx="2" formatCode="0%">
                  <c:v>0.33283163165394875</c:v>
                </c:pt>
                <c:pt idx="3" formatCode="0%">
                  <c:v>0.11504495842847622</c:v>
                </c:pt>
              </c:numCache>
            </c:numRef>
          </c:val>
          <c:extLst>
            <c:ext xmlns:c16="http://schemas.microsoft.com/office/drawing/2014/chart" uri="{C3380CC4-5D6E-409C-BE32-E72D297353CC}">
              <c16:uniqueId val="{00000001-6351-4664-BC98-014244E8DF7E}"/>
            </c:ext>
          </c:extLst>
        </c:ser>
        <c:ser>
          <c:idx val="2"/>
          <c:order val="2"/>
          <c:tx>
            <c:strRef>
              <c:f>FORD!$I$7</c:f>
              <c:strCache>
                <c:ptCount val="1"/>
                <c:pt idx="0">
                  <c:v>Lékařské vědy </c:v>
                </c:pt>
              </c:strCache>
            </c:strRef>
          </c:tx>
          <c:spPr>
            <a:solidFill>
              <a:srgbClr val="BC0000">
                <a:alpha val="70000"/>
              </a:srgbClr>
            </a:solidFill>
            <a:ln w="15875">
              <a:solidFill>
                <a:srgbClr val="BC000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FORD!$J$4:$M$4</c:f>
              <c:strCache>
                <c:ptCount val="4"/>
                <c:pt idx="0">
                  <c:v>Veřejné domácí                                    (43.1 mld. Kč)</c:v>
                </c:pt>
                <c:pt idx="1">
                  <c:v>EU
 (9.2 mld. Kč)</c:v>
                </c:pt>
                <c:pt idx="2">
                  <c:v>účelová podpora                                                                              PROJEKTY* (16,2 mld. Kč)</c:v>
                </c:pt>
                <c:pt idx="3">
                  <c:v>účelová podpora                                VVI (1,8 mld. Kč)</c:v>
                </c:pt>
              </c:strCache>
            </c:strRef>
          </c:cat>
          <c:val>
            <c:numRef>
              <c:f>FORD!$J$7:$M$7</c:f>
              <c:numCache>
                <c:formatCode>0.0%</c:formatCode>
                <c:ptCount val="4"/>
                <c:pt idx="0">
                  <c:v>0.10534899012854484</c:v>
                </c:pt>
                <c:pt idx="1">
                  <c:v>0.11228942665953275</c:v>
                </c:pt>
                <c:pt idx="2" formatCode="0%">
                  <c:v>0.15357809366135755</c:v>
                </c:pt>
                <c:pt idx="3" formatCode="0%">
                  <c:v>9.5314599744343323E-2</c:v>
                </c:pt>
              </c:numCache>
            </c:numRef>
          </c:val>
          <c:extLst>
            <c:ext xmlns:c16="http://schemas.microsoft.com/office/drawing/2014/chart" uri="{C3380CC4-5D6E-409C-BE32-E72D297353CC}">
              <c16:uniqueId val="{00000002-6351-4664-BC98-014244E8DF7E}"/>
            </c:ext>
          </c:extLst>
        </c:ser>
        <c:ser>
          <c:idx val="3"/>
          <c:order val="3"/>
          <c:tx>
            <c:strRef>
              <c:f>FORD!$I$8</c:f>
              <c:strCache>
                <c:ptCount val="1"/>
                <c:pt idx="0">
                  <c:v>Zemědělské vědy</c:v>
                </c:pt>
              </c:strCache>
            </c:strRef>
          </c:tx>
          <c:spPr>
            <a:solidFill>
              <a:srgbClr val="FFFF00">
                <a:alpha val="70000"/>
              </a:srgbClr>
            </a:solidFill>
            <a:ln w="15875">
              <a:solidFill>
                <a:srgbClr val="B8B40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FORD!$J$4:$M$4</c:f>
              <c:strCache>
                <c:ptCount val="4"/>
                <c:pt idx="0">
                  <c:v>Veřejné domácí                                    (43.1 mld. Kč)</c:v>
                </c:pt>
                <c:pt idx="1">
                  <c:v>EU
 (9.2 mld. Kč)</c:v>
                </c:pt>
                <c:pt idx="2">
                  <c:v>účelová podpora                                                                              PROJEKTY* (16,2 mld. Kč)</c:v>
                </c:pt>
                <c:pt idx="3">
                  <c:v>účelová podpora                                VVI (1,8 mld. Kč)</c:v>
                </c:pt>
              </c:strCache>
            </c:strRef>
          </c:cat>
          <c:val>
            <c:numRef>
              <c:f>FORD!$J$8:$M$8</c:f>
              <c:numCache>
                <c:formatCode>0.0%</c:formatCode>
                <c:ptCount val="4"/>
                <c:pt idx="0">
                  <c:v>5.5599121559076564E-2</c:v>
                </c:pt>
                <c:pt idx="1">
                  <c:v>2.1650579988872092E-2</c:v>
                </c:pt>
                <c:pt idx="2" formatCode="0%">
                  <c:v>4.8634142720852647E-2</c:v>
                </c:pt>
                <c:pt idx="3" formatCode="0%">
                  <c:v>1.2293917774694359E-2</c:v>
                </c:pt>
              </c:numCache>
            </c:numRef>
          </c:val>
          <c:extLst>
            <c:ext xmlns:c16="http://schemas.microsoft.com/office/drawing/2014/chart" uri="{C3380CC4-5D6E-409C-BE32-E72D297353CC}">
              <c16:uniqueId val="{00000003-6351-4664-BC98-014244E8DF7E}"/>
            </c:ext>
          </c:extLst>
        </c:ser>
        <c:ser>
          <c:idx val="4"/>
          <c:order val="4"/>
          <c:tx>
            <c:strRef>
              <c:f>FORD!$I$9</c:f>
              <c:strCache>
                <c:ptCount val="1"/>
                <c:pt idx="0">
                  <c:v>Sociální vědy</c:v>
                </c:pt>
              </c:strCache>
            </c:strRef>
          </c:tx>
          <c:spPr>
            <a:solidFill>
              <a:srgbClr val="CCCCFF">
                <a:alpha val="70000"/>
              </a:srgbClr>
            </a:solidFill>
            <a:ln w="15875">
              <a:solidFill>
                <a:srgbClr val="BDBDFF"/>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FORD!$J$4:$M$4</c:f>
              <c:strCache>
                <c:ptCount val="4"/>
                <c:pt idx="0">
                  <c:v>Veřejné domácí                                    (43.1 mld. Kč)</c:v>
                </c:pt>
                <c:pt idx="1">
                  <c:v>EU
 (9.2 mld. Kč)</c:v>
                </c:pt>
                <c:pt idx="2">
                  <c:v>účelová podpora                                                                              PROJEKTY* (16,2 mld. Kč)</c:v>
                </c:pt>
                <c:pt idx="3">
                  <c:v>účelová podpora                                VVI (1,8 mld. Kč)</c:v>
                </c:pt>
              </c:strCache>
            </c:strRef>
          </c:cat>
          <c:val>
            <c:numRef>
              <c:f>FORD!$J$9:$M$9</c:f>
              <c:numCache>
                <c:formatCode>0.0%</c:formatCode>
                <c:ptCount val="4"/>
                <c:pt idx="0">
                  <c:v>6.6069311314682702E-2</c:v>
                </c:pt>
                <c:pt idx="1">
                  <c:v>3.770610434381675E-2</c:v>
                </c:pt>
                <c:pt idx="2" formatCode="0%">
                  <c:v>6.6548569359114407E-2</c:v>
                </c:pt>
                <c:pt idx="3" formatCode="0%">
                  <c:v>9.9132515377639875E-3</c:v>
                </c:pt>
              </c:numCache>
            </c:numRef>
          </c:val>
          <c:extLst>
            <c:ext xmlns:c16="http://schemas.microsoft.com/office/drawing/2014/chart" uri="{C3380CC4-5D6E-409C-BE32-E72D297353CC}">
              <c16:uniqueId val="{00000004-6351-4664-BC98-014244E8DF7E}"/>
            </c:ext>
          </c:extLst>
        </c:ser>
        <c:ser>
          <c:idx val="5"/>
          <c:order val="5"/>
          <c:tx>
            <c:strRef>
              <c:f>FORD!$I$10</c:f>
              <c:strCache>
                <c:ptCount val="1"/>
                <c:pt idx="0">
                  <c:v>Humanitní vědy</c:v>
                </c:pt>
              </c:strCache>
            </c:strRef>
          </c:tx>
          <c:spPr>
            <a:solidFill>
              <a:srgbClr val="E36E10">
                <a:alpha val="70000"/>
              </a:srgbClr>
            </a:solidFill>
            <a:ln w="15875">
              <a:solidFill>
                <a:srgbClr val="E36E10"/>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FORD!$J$4:$M$4</c:f>
              <c:strCache>
                <c:ptCount val="4"/>
                <c:pt idx="0">
                  <c:v>Veřejné domácí                                    (43.1 mld. Kč)</c:v>
                </c:pt>
                <c:pt idx="1">
                  <c:v>EU
 (9.2 mld. Kč)</c:v>
                </c:pt>
                <c:pt idx="2">
                  <c:v>účelová podpora                                                                              PROJEKTY* (16,2 mld. Kč)</c:v>
                </c:pt>
                <c:pt idx="3">
                  <c:v>účelová podpora                                VVI (1,8 mld. Kč)</c:v>
                </c:pt>
              </c:strCache>
            </c:strRef>
          </c:cat>
          <c:val>
            <c:numRef>
              <c:f>FORD!$J$10:$M$10</c:f>
              <c:numCache>
                <c:formatCode>0.0%</c:formatCode>
                <c:ptCount val="4"/>
                <c:pt idx="0">
                  <c:v>8.2789046916832421E-2</c:v>
                </c:pt>
                <c:pt idx="1">
                  <c:v>3.0422297174530207E-2</c:v>
                </c:pt>
                <c:pt idx="2" formatCode="0%">
                  <c:v>4.1218722685876889E-2</c:v>
                </c:pt>
                <c:pt idx="3" formatCode="0%">
                  <c:v>5.1980246697767921E-2</c:v>
                </c:pt>
              </c:numCache>
            </c:numRef>
          </c:val>
          <c:extLst>
            <c:ext xmlns:c16="http://schemas.microsoft.com/office/drawing/2014/chart" uri="{C3380CC4-5D6E-409C-BE32-E72D297353CC}">
              <c16:uniqueId val="{00000005-6351-4664-BC98-014244E8DF7E}"/>
            </c:ext>
          </c:extLst>
        </c:ser>
        <c:dLbls>
          <c:dLblPos val="ctr"/>
          <c:showLegendKey val="0"/>
          <c:showVal val="1"/>
          <c:showCatName val="0"/>
          <c:showSerName val="0"/>
          <c:showPercent val="0"/>
          <c:showBubbleSize val="0"/>
        </c:dLbls>
        <c:gapWidth val="150"/>
        <c:overlap val="100"/>
        <c:axId val="546351728"/>
        <c:axId val="546352056"/>
      </c:barChart>
      <c:catAx>
        <c:axId val="54635172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546352056"/>
        <c:crosses val="autoZero"/>
        <c:auto val="1"/>
        <c:lblAlgn val="ctr"/>
        <c:lblOffset val="100"/>
        <c:noMultiLvlLbl val="0"/>
      </c:catAx>
      <c:valAx>
        <c:axId val="546352056"/>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546351728"/>
        <c:crosses val="autoZero"/>
        <c:crossBetween val="between"/>
        <c:majorUnit val="0.25"/>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noFill/>
    <a:ln w="9525" cap="flat" cmpd="sng" algn="ctr">
      <a:noFill/>
      <a:round/>
    </a:ln>
    <a:effectLst/>
  </c:spPr>
  <c:txPr>
    <a:bodyPr/>
    <a:lstStyle/>
    <a:p>
      <a:pPr>
        <a:defRPr/>
      </a:pPr>
      <a:endParaRPr lang="cs-CZ"/>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percentStacked"/>
        <c:varyColors val="0"/>
        <c:ser>
          <c:idx val="1"/>
          <c:order val="0"/>
          <c:tx>
            <c:strRef>
              <c:f>aktul_graf!$A$4</c:f>
              <c:strCache>
                <c:ptCount val="1"/>
                <c:pt idx="0">
                  <c:v>J/C</c:v>
                </c:pt>
              </c:strCache>
            </c:strRef>
          </c:tx>
          <c:spPr>
            <a:solidFill>
              <a:srgbClr val="3A5D9C">
                <a:alpha val="70000"/>
              </a:srgbClr>
            </a:solidFill>
            <a:ln w="19050">
              <a:solidFill>
                <a:srgbClr val="3A5D9C"/>
              </a:solidFill>
            </a:ln>
            <a:effectLst/>
          </c:spPr>
          <c:invertIfNegative val="0"/>
          <c:dPt>
            <c:idx val="1"/>
            <c:invertIfNegative val="0"/>
            <c:bubble3D val="0"/>
            <c:spPr>
              <a:solidFill>
                <a:srgbClr val="BE4949">
                  <a:alpha val="85000"/>
                </a:srgbClr>
              </a:solidFill>
              <a:ln w="19050">
                <a:solidFill>
                  <a:srgbClr val="BE4949"/>
                </a:solidFill>
              </a:ln>
              <a:effectLst/>
            </c:spPr>
            <c:extLst>
              <c:ext xmlns:c16="http://schemas.microsoft.com/office/drawing/2014/chart" uri="{C3380CC4-5D6E-409C-BE32-E72D297353CC}">
                <c16:uniqueId val="{00000001-0531-4DD3-8A21-3106FF67E329}"/>
              </c:ext>
            </c:extLst>
          </c:dPt>
          <c:dPt>
            <c:idx val="2"/>
            <c:invertIfNegative val="0"/>
            <c:bubble3D val="0"/>
            <c:spPr>
              <a:solidFill>
                <a:srgbClr val="E9933E">
                  <a:alpha val="70000"/>
                </a:srgbClr>
              </a:solidFill>
              <a:ln w="19050">
                <a:solidFill>
                  <a:srgbClr val="E9933E"/>
                </a:solidFill>
              </a:ln>
              <a:effectLst/>
            </c:spPr>
            <c:extLst>
              <c:ext xmlns:c16="http://schemas.microsoft.com/office/drawing/2014/chart" uri="{C3380CC4-5D6E-409C-BE32-E72D297353CC}">
                <c16:uniqueId val="{00000003-0531-4DD3-8A21-3106FF67E329}"/>
              </c:ext>
            </c:extLst>
          </c:dPt>
          <c:dPt>
            <c:idx val="3"/>
            <c:invertIfNegative val="0"/>
            <c:bubble3D val="0"/>
            <c:spPr>
              <a:solidFill>
                <a:srgbClr val="1FA81F">
                  <a:alpha val="70000"/>
                </a:srgbClr>
              </a:solidFill>
              <a:ln w="19050">
                <a:solidFill>
                  <a:srgbClr val="1FA81F"/>
                </a:solidFill>
              </a:ln>
              <a:effectLst/>
            </c:spPr>
            <c:extLst>
              <c:ext xmlns:c16="http://schemas.microsoft.com/office/drawing/2014/chart" uri="{C3380CC4-5D6E-409C-BE32-E72D297353CC}">
                <c16:uniqueId val="{00000005-0531-4DD3-8A21-3106FF67E329}"/>
              </c:ext>
            </c:extLst>
          </c:dPt>
          <c:dPt>
            <c:idx val="4"/>
            <c:invertIfNegative val="0"/>
            <c:bubble3D val="0"/>
            <c:spPr>
              <a:solidFill>
                <a:srgbClr val="FFFF00">
                  <a:alpha val="70000"/>
                </a:srgbClr>
              </a:solidFill>
              <a:ln w="19050">
                <a:solidFill>
                  <a:srgbClr val="FFFF00"/>
                </a:solidFill>
              </a:ln>
              <a:effectLst/>
            </c:spPr>
            <c:extLst>
              <c:ext xmlns:c16="http://schemas.microsoft.com/office/drawing/2014/chart" uri="{C3380CC4-5D6E-409C-BE32-E72D297353CC}">
                <c16:uniqueId val="{00000007-0531-4DD3-8A21-3106FF67E329}"/>
              </c:ext>
            </c:extLst>
          </c:dPt>
          <c:dLbls>
            <c:dLbl>
              <c:idx val="0"/>
              <c:delete val="1"/>
              <c:extLst>
                <c:ext xmlns:c15="http://schemas.microsoft.com/office/drawing/2012/chart" uri="{CE6537A1-D6FC-4f65-9D91-7224C49458BB}"/>
                <c:ext xmlns:c16="http://schemas.microsoft.com/office/drawing/2014/chart" uri="{C3380CC4-5D6E-409C-BE32-E72D297353CC}">
                  <c16:uniqueId val="{00000008-0531-4DD3-8A21-3106FF67E329}"/>
                </c:ext>
              </c:extLst>
            </c:dLbl>
            <c:dLbl>
              <c:idx val="1"/>
              <c:tx>
                <c:rich>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fld id="{36FB2204-D493-4471-8E9F-5486C474D736}" type="CELLRANGE">
                      <a:rPr lang="en-US">
                        <a:solidFill>
                          <a:schemeClr val="bg1"/>
                        </a:solidFill>
                      </a:rPr>
                      <a:pPr>
                        <a:defRPr>
                          <a:solidFill>
                            <a:schemeClr val="bg1"/>
                          </a:solidFill>
                        </a:defRPr>
                      </a:pPr>
                      <a:t>[OBLAST BUNĚK]</a:t>
                    </a:fld>
                    <a:endParaRPr lang="cs-CZ"/>
                  </a:p>
                </c:rich>
              </c:tx>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cs-CZ"/>
                </a:p>
              </c:txPr>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1-0531-4DD3-8A21-3106FF67E329}"/>
                </c:ext>
              </c:extLst>
            </c:dLbl>
            <c:dLbl>
              <c:idx val="2"/>
              <c:tx>
                <c:rich>
                  <a:bodyPr/>
                  <a:lstStyle/>
                  <a:p>
                    <a:fld id="{BDCF97D3-6E2C-48FC-B456-31169E9FAFBC}" type="CELLRANGE">
                      <a:rPr lang="cs-CZ"/>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3-0531-4DD3-8A21-3106FF67E329}"/>
                </c:ext>
              </c:extLst>
            </c:dLbl>
            <c:dLbl>
              <c:idx val="3"/>
              <c:tx>
                <c:rich>
                  <a:bodyPr/>
                  <a:lstStyle/>
                  <a:p>
                    <a:fld id="{9C112693-B658-4736-9DA7-2AE5C39D997B}" type="CELLRANGE">
                      <a:rPr lang="cs-CZ"/>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0531-4DD3-8A21-3106FF67E329}"/>
                </c:ext>
              </c:extLst>
            </c:dLbl>
            <c:dLbl>
              <c:idx val="4"/>
              <c:tx>
                <c:rich>
                  <a:bodyPr/>
                  <a:lstStyle/>
                  <a:p>
                    <a:fld id="{7727B29A-D1E7-4199-B964-EEB8C18114E3}" type="CELLRANGE">
                      <a:rPr lang="cs-CZ"/>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7-0531-4DD3-8A21-3106FF67E32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ct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cat>
            <c:strRef>
              <c:f>aktul_graf!$B$2:$F$2</c:f>
              <c:strCache>
                <c:ptCount val="5"/>
                <c:pt idx="0">
                  <c:v>AV (5.4 tis)</c:v>
                </c:pt>
                <c:pt idx="1">
                  <c:v>PF (0.4 tis)</c:v>
                </c:pt>
                <c:pt idx="2">
                  <c:v>SP (5.3 tis)</c:v>
                </c:pt>
                <c:pt idx="3">
                  <c:v>VŠ (21.1 tis)</c:v>
                </c:pt>
                <c:pt idx="4">
                  <c:v>Celkem                          (26.2 tis)</c:v>
                </c:pt>
              </c:strCache>
            </c:strRef>
          </c:cat>
          <c:val>
            <c:numRef>
              <c:f>aktul_graf!$B$4:$F$4</c:f>
              <c:numCache>
                <c:formatCode>General</c:formatCode>
                <c:ptCount val="5"/>
                <c:pt idx="0">
                  <c:v>275</c:v>
                </c:pt>
                <c:pt idx="1">
                  <c:v>153</c:v>
                </c:pt>
                <c:pt idx="2">
                  <c:v>896</c:v>
                </c:pt>
                <c:pt idx="3">
                  <c:v>2807</c:v>
                </c:pt>
                <c:pt idx="4">
                  <c:v>3901</c:v>
                </c:pt>
              </c:numCache>
            </c:numRef>
          </c:val>
          <c:extLst>
            <c:ext xmlns:c15="http://schemas.microsoft.com/office/drawing/2012/chart" uri="{02D57815-91ED-43cb-92C2-25804820EDAC}">
              <c15:datalabelsRange>
                <c15:f>aktul_graf!$B$12:$B$16</c15:f>
                <c15:dlblRangeCache>
                  <c:ptCount val="5"/>
                  <c:pt idx="0">
                    <c:v>rec.
ostatní</c:v>
                  </c:pt>
                  <c:pt idx="1">
                    <c:v>rec.
ostatní</c:v>
                  </c:pt>
                  <c:pt idx="2">
                    <c:v>rec.
ostatní</c:v>
                  </c:pt>
                  <c:pt idx="3">
                    <c:v>rec.
ostatní</c:v>
                  </c:pt>
                  <c:pt idx="4">
                    <c:v>rec.
ostatní</c:v>
                  </c:pt>
                </c15:dlblRangeCache>
              </c15:datalabelsRange>
            </c:ext>
            <c:ext xmlns:c16="http://schemas.microsoft.com/office/drawing/2014/chart" uri="{C3380CC4-5D6E-409C-BE32-E72D297353CC}">
              <c16:uniqueId val="{00000009-0531-4DD3-8A21-3106FF67E329}"/>
            </c:ext>
          </c:extLst>
        </c:ser>
        <c:ser>
          <c:idx val="0"/>
          <c:order val="1"/>
          <c:tx>
            <c:strRef>
              <c:f>aktul_graf!$A$3</c:f>
              <c:strCache>
                <c:ptCount val="1"/>
                <c:pt idx="0">
                  <c:v>J/A + J/B</c:v>
                </c:pt>
              </c:strCache>
            </c:strRef>
          </c:tx>
          <c:spPr>
            <a:solidFill>
              <a:schemeClr val="accent1"/>
            </a:solidFill>
            <a:ln w="19050">
              <a:solidFill>
                <a:srgbClr val="1FA81F"/>
              </a:solidFill>
            </a:ln>
            <a:effectLst/>
          </c:spPr>
          <c:invertIfNegative val="0"/>
          <c:dPt>
            <c:idx val="0"/>
            <c:invertIfNegative val="0"/>
            <c:bubble3D val="0"/>
            <c:spPr>
              <a:solidFill>
                <a:srgbClr val="D4DEEF"/>
              </a:solidFill>
              <a:ln w="19050">
                <a:solidFill>
                  <a:srgbClr val="3A5D9C"/>
                </a:solidFill>
              </a:ln>
              <a:effectLst/>
            </c:spPr>
            <c:extLst>
              <c:ext xmlns:c16="http://schemas.microsoft.com/office/drawing/2014/chart" uri="{C3380CC4-5D6E-409C-BE32-E72D297353CC}">
                <c16:uniqueId val="{0000000B-0531-4DD3-8A21-3106FF67E329}"/>
              </c:ext>
            </c:extLst>
          </c:dPt>
          <c:dPt>
            <c:idx val="1"/>
            <c:invertIfNegative val="0"/>
            <c:bubble3D val="0"/>
            <c:spPr>
              <a:solidFill>
                <a:srgbClr val="D78E8E"/>
              </a:solidFill>
              <a:ln w="19050">
                <a:solidFill>
                  <a:srgbClr val="BE4949"/>
                </a:solidFill>
              </a:ln>
              <a:effectLst/>
            </c:spPr>
            <c:extLst>
              <c:ext xmlns:c16="http://schemas.microsoft.com/office/drawing/2014/chart" uri="{C3380CC4-5D6E-409C-BE32-E72D297353CC}">
                <c16:uniqueId val="{0000000D-0531-4DD3-8A21-3106FF67E329}"/>
              </c:ext>
            </c:extLst>
          </c:dPt>
          <c:dPt>
            <c:idx val="2"/>
            <c:invertIfNegative val="0"/>
            <c:bubble3D val="0"/>
            <c:spPr>
              <a:solidFill>
                <a:srgbClr val="FAE6D3"/>
              </a:solidFill>
              <a:ln w="19050">
                <a:solidFill>
                  <a:srgbClr val="E9933E"/>
                </a:solidFill>
              </a:ln>
              <a:effectLst/>
            </c:spPr>
            <c:extLst>
              <c:ext xmlns:c16="http://schemas.microsoft.com/office/drawing/2014/chart" uri="{C3380CC4-5D6E-409C-BE32-E72D297353CC}">
                <c16:uniqueId val="{0000000F-0531-4DD3-8A21-3106FF67E329}"/>
              </c:ext>
            </c:extLst>
          </c:dPt>
          <c:dPt>
            <c:idx val="3"/>
            <c:invertIfNegative val="0"/>
            <c:bubble3D val="0"/>
            <c:spPr>
              <a:solidFill>
                <a:srgbClr val="9EE99E"/>
              </a:solidFill>
              <a:ln w="19050">
                <a:solidFill>
                  <a:srgbClr val="1FA81F"/>
                </a:solidFill>
              </a:ln>
              <a:effectLst/>
            </c:spPr>
            <c:extLst>
              <c:ext xmlns:c16="http://schemas.microsoft.com/office/drawing/2014/chart" uri="{C3380CC4-5D6E-409C-BE32-E72D297353CC}">
                <c16:uniqueId val="{00000011-0531-4DD3-8A21-3106FF67E329}"/>
              </c:ext>
            </c:extLst>
          </c:dPt>
          <c:dPt>
            <c:idx val="4"/>
            <c:invertIfNegative val="0"/>
            <c:bubble3D val="0"/>
            <c:spPr>
              <a:solidFill>
                <a:srgbClr val="FFFF87">
                  <a:alpha val="70000"/>
                </a:srgbClr>
              </a:solidFill>
              <a:ln w="19050">
                <a:solidFill>
                  <a:srgbClr val="FFFF00"/>
                </a:solidFill>
              </a:ln>
              <a:effectLst/>
            </c:spPr>
            <c:extLst>
              <c:ext xmlns:c16="http://schemas.microsoft.com/office/drawing/2014/chart" uri="{C3380CC4-5D6E-409C-BE32-E72D297353CC}">
                <c16:uniqueId val="{00000013-0531-4DD3-8A21-3106FF67E329}"/>
              </c:ext>
            </c:extLst>
          </c:dPt>
          <c:dLbls>
            <c:dLbl>
              <c:idx val="0"/>
              <c:tx>
                <c:rich>
                  <a:bodyPr/>
                  <a:lstStyle/>
                  <a:p>
                    <a:fld id="{A1668D4A-FA1F-4D77-8807-CE61F19B5A84}" type="CELLRANGE">
                      <a:rPr lang="en-US"/>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B-0531-4DD3-8A21-3106FF67E329}"/>
                </c:ext>
              </c:extLst>
            </c:dLbl>
            <c:dLbl>
              <c:idx val="1"/>
              <c:tx>
                <c:rich>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fld id="{4581BB30-4875-4198-95E3-FC494692065B}" type="CELLRANGE">
                      <a:rPr lang="cs-CZ"/>
                      <a:pPr>
                        <a:defRPr>
                          <a:solidFill>
                            <a:schemeClr val="bg1"/>
                          </a:solidFill>
                        </a:defRPr>
                      </a:pPr>
                      <a:t>[OBLAST BUNĚK]</a:t>
                    </a:fld>
                    <a:endParaRPr lang="cs-CZ"/>
                  </a:p>
                </c:rich>
              </c:tx>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cs-CZ"/>
                </a:p>
              </c:txPr>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D-0531-4DD3-8A21-3106FF67E329}"/>
                </c:ext>
              </c:extLst>
            </c:dLbl>
            <c:dLbl>
              <c:idx val="2"/>
              <c:tx>
                <c:rich>
                  <a:bodyPr/>
                  <a:lstStyle/>
                  <a:p>
                    <a:fld id="{0649C607-01F3-485B-8817-03EB3181EB9B}" type="CELLRANGE">
                      <a:rPr lang="cs-CZ"/>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F-0531-4DD3-8A21-3106FF67E329}"/>
                </c:ext>
              </c:extLst>
            </c:dLbl>
            <c:dLbl>
              <c:idx val="3"/>
              <c:tx>
                <c:rich>
                  <a:bodyPr/>
                  <a:lstStyle/>
                  <a:p>
                    <a:fld id="{407E6D92-30E5-4B2B-8FC7-50EE863B5F5F}" type="CELLRANGE">
                      <a:rPr lang="cs-CZ"/>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0531-4DD3-8A21-3106FF67E329}"/>
                </c:ext>
              </c:extLst>
            </c:dLbl>
            <c:dLbl>
              <c:idx val="4"/>
              <c:tx>
                <c:rich>
                  <a:bodyPr/>
                  <a:lstStyle/>
                  <a:p>
                    <a:fld id="{074FFBB0-C150-4FD9-96D9-846E296F2BC4}" type="CELLRANGE">
                      <a:rPr lang="cs-CZ"/>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3-0531-4DD3-8A21-3106FF67E32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ct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cat>
            <c:strRef>
              <c:f>aktul_graf!$B$2:$F$2</c:f>
              <c:strCache>
                <c:ptCount val="5"/>
                <c:pt idx="0">
                  <c:v>AV (5.4 tis)</c:v>
                </c:pt>
                <c:pt idx="1">
                  <c:v>PF (0.4 tis)</c:v>
                </c:pt>
                <c:pt idx="2">
                  <c:v>SP (5.3 tis)</c:v>
                </c:pt>
                <c:pt idx="3">
                  <c:v>VŠ (21.1 tis)</c:v>
                </c:pt>
                <c:pt idx="4">
                  <c:v>Celkem                          (26.2 tis)</c:v>
                </c:pt>
              </c:strCache>
            </c:strRef>
          </c:cat>
          <c:val>
            <c:numRef>
              <c:f>aktul_graf!$B$3:$F$3</c:f>
              <c:numCache>
                <c:formatCode>General</c:formatCode>
                <c:ptCount val="5"/>
                <c:pt idx="0">
                  <c:v>5105</c:v>
                </c:pt>
                <c:pt idx="1">
                  <c:v>272</c:v>
                </c:pt>
                <c:pt idx="2">
                  <c:v>4379</c:v>
                </c:pt>
                <c:pt idx="3">
                  <c:v>18270</c:v>
                </c:pt>
                <c:pt idx="4">
                  <c:v>22302</c:v>
                </c:pt>
              </c:numCache>
            </c:numRef>
          </c:val>
          <c:extLst>
            <c:ext xmlns:c15="http://schemas.microsoft.com/office/drawing/2012/chart" uri="{02D57815-91ED-43cb-92C2-25804820EDAC}">
              <c15:datalabelsRange>
                <c15:f>aktul_graf!$A$12:$A$16</c15:f>
                <c15:dlblRangeCache>
                  <c:ptCount val="5"/>
                  <c:pt idx="0">
                    <c:v>WoS /
 Scopus</c:v>
                  </c:pt>
                  <c:pt idx="1">
                    <c:v>WoS /
 Scopus</c:v>
                  </c:pt>
                  <c:pt idx="2">
                    <c:v>WoS /
 Scopus</c:v>
                  </c:pt>
                  <c:pt idx="3">
                    <c:v>WoS /
 Scopus</c:v>
                  </c:pt>
                  <c:pt idx="4">
                    <c:v>WoS /
 Scopus</c:v>
                  </c:pt>
                </c15:dlblRangeCache>
              </c15:datalabelsRange>
            </c:ext>
            <c:ext xmlns:c16="http://schemas.microsoft.com/office/drawing/2014/chart" uri="{C3380CC4-5D6E-409C-BE32-E72D297353CC}">
              <c16:uniqueId val="{00000014-0531-4DD3-8A21-3106FF67E329}"/>
            </c:ext>
          </c:extLst>
        </c:ser>
        <c:dLbls>
          <c:showLegendKey val="0"/>
          <c:showVal val="0"/>
          <c:showCatName val="0"/>
          <c:showSerName val="0"/>
          <c:showPercent val="0"/>
          <c:showBubbleSize val="0"/>
        </c:dLbls>
        <c:gapWidth val="150"/>
        <c:overlap val="100"/>
        <c:axId val="951621183"/>
        <c:axId val="951621599"/>
      </c:barChart>
      <c:catAx>
        <c:axId val="95162118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cs-CZ"/>
          </a:p>
        </c:txPr>
        <c:crossAx val="951621599"/>
        <c:crosses val="autoZero"/>
        <c:auto val="1"/>
        <c:lblAlgn val="ctr"/>
        <c:lblOffset val="100"/>
        <c:noMultiLvlLbl val="0"/>
      </c:catAx>
      <c:valAx>
        <c:axId val="951621599"/>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cs-CZ"/>
          </a:p>
        </c:txPr>
        <c:crossAx val="951621183"/>
        <c:crosses val="autoZero"/>
        <c:crossBetween val="between"/>
        <c:majorUnit val="0.25"/>
      </c:valAx>
      <c:spPr>
        <a:noFill/>
        <a:ln>
          <a:noFill/>
        </a:ln>
        <a:effectLst/>
      </c:spPr>
    </c:plotArea>
    <c:plotVisOnly val="1"/>
    <c:dispBlanksAs val="gap"/>
    <c:showDLblsOverMax val="0"/>
  </c:chart>
  <c:spPr>
    <a:noFill/>
    <a:ln w="9525" cap="flat" cmpd="sng" algn="ctr">
      <a:noFill/>
      <a:round/>
    </a:ln>
    <a:effectLst/>
  </c:spPr>
  <c:txPr>
    <a:bodyPr/>
    <a:lstStyle/>
    <a:p>
      <a:pPr>
        <a:defRPr/>
      </a:pPr>
      <a:endParaRPr lang="cs-CZ"/>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ivotFmts>
      <c:pivotFmt>
        <c:idx val="0"/>
        <c:spPr>
          <a:solidFill>
            <a:srgbClr val="769B5D"/>
          </a:solidFill>
          <a:ln w="25400">
            <a:solidFill>
              <a:srgbClr val="769B5D">
                <a:alpha val="60000"/>
              </a:srgbClr>
            </a:solidFill>
          </a:ln>
          <a:effectLst/>
        </c:spPr>
        <c:marker>
          <c:symbol val="none"/>
        </c:marker>
      </c:pivotFmt>
      <c:pivotFmt>
        <c:idx val="1"/>
        <c:spPr>
          <a:solidFill>
            <a:srgbClr val="769B5D">
              <a:alpha val="60000"/>
            </a:srgbClr>
          </a:solidFill>
          <a:ln>
            <a:noFill/>
          </a:ln>
          <a:effectLst/>
        </c:spPr>
        <c:marker>
          <c:symbol val="none"/>
        </c:marker>
      </c:pivotFmt>
    </c:pivotFmts>
    <c:plotArea>
      <c:layout>
        <c:manualLayout>
          <c:layoutTarget val="inner"/>
          <c:xMode val="edge"/>
          <c:yMode val="edge"/>
          <c:x val="9.4416789855291061E-2"/>
          <c:y val="5.0925925925925923E-2"/>
          <c:w val="0.88259470439758247"/>
          <c:h val="0.68910469524642748"/>
        </c:manualLayout>
      </c:layout>
      <c:barChart>
        <c:barDir val="col"/>
        <c:grouping val="percentStacked"/>
        <c:varyColors val="0"/>
        <c:ser>
          <c:idx val="0"/>
          <c:order val="0"/>
          <c:tx>
            <c:v>nepublikační</c:v>
          </c:tx>
          <c:spPr>
            <a:solidFill>
              <a:srgbClr val="769B5D"/>
            </a:solidFill>
            <a:ln w="25400">
              <a:solidFill>
                <a:srgbClr val="769B5D">
                  <a:alpha val="60000"/>
                </a:srgbClr>
              </a:solidFill>
            </a:ln>
            <a:effectLst/>
          </c:spPr>
          <c:invertIfNegative val="0"/>
          <c:dPt>
            <c:idx val="1"/>
            <c:invertIfNegative val="0"/>
            <c:bubble3D val="0"/>
            <c:spPr>
              <a:solidFill>
                <a:srgbClr val="338DCD"/>
              </a:solidFill>
              <a:ln w="25400">
                <a:solidFill>
                  <a:srgbClr val="338DCD">
                    <a:alpha val="60000"/>
                  </a:srgbClr>
                </a:solidFill>
              </a:ln>
              <a:effectLst/>
            </c:spPr>
            <c:extLst>
              <c:ext xmlns:c16="http://schemas.microsoft.com/office/drawing/2014/chart" uri="{C3380CC4-5D6E-409C-BE32-E72D297353CC}">
                <c16:uniqueId val="{00000001-685D-4938-AA85-50189DEA1819}"/>
              </c:ext>
            </c:extLst>
          </c:dPt>
          <c:dPt>
            <c:idx val="2"/>
            <c:invertIfNegative val="0"/>
            <c:bubble3D val="0"/>
            <c:spPr>
              <a:solidFill>
                <a:srgbClr val="CD3333"/>
              </a:solidFill>
              <a:ln w="25400">
                <a:solidFill>
                  <a:srgbClr val="CD3333">
                    <a:alpha val="60000"/>
                  </a:srgbClr>
                </a:solidFill>
              </a:ln>
              <a:effectLst/>
            </c:spPr>
            <c:extLst>
              <c:ext xmlns:c16="http://schemas.microsoft.com/office/drawing/2014/chart" uri="{C3380CC4-5D6E-409C-BE32-E72D297353CC}">
                <c16:uniqueId val="{00000003-685D-4938-AA85-50189DEA1819}"/>
              </c:ext>
            </c:extLst>
          </c:dPt>
          <c:dPt>
            <c:idx val="3"/>
            <c:invertIfNegative val="0"/>
            <c:bubble3D val="0"/>
            <c:spPr>
              <a:solidFill>
                <a:srgbClr val="FFFF00"/>
              </a:solidFill>
              <a:ln w="25400">
                <a:solidFill>
                  <a:srgbClr val="FFFF00">
                    <a:alpha val="60000"/>
                  </a:srgbClr>
                </a:solidFill>
              </a:ln>
              <a:effectLst/>
            </c:spPr>
            <c:extLst>
              <c:ext xmlns:c16="http://schemas.microsoft.com/office/drawing/2014/chart" uri="{C3380CC4-5D6E-409C-BE32-E72D297353CC}">
                <c16:uniqueId val="{00000005-685D-4938-AA85-50189DEA1819}"/>
              </c:ext>
            </c:extLst>
          </c:dPt>
          <c:dPt>
            <c:idx val="4"/>
            <c:invertIfNegative val="0"/>
            <c:bubble3D val="0"/>
            <c:spPr>
              <a:solidFill>
                <a:srgbClr val="CCCCFF"/>
              </a:solidFill>
              <a:ln w="25400">
                <a:solidFill>
                  <a:srgbClr val="CCCCFF">
                    <a:alpha val="60000"/>
                  </a:srgbClr>
                </a:solidFill>
              </a:ln>
              <a:effectLst/>
            </c:spPr>
            <c:extLst>
              <c:ext xmlns:c16="http://schemas.microsoft.com/office/drawing/2014/chart" uri="{C3380CC4-5D6E-409C-BE32-E72D297353CC}">
                <c16:uniqueId val="{00000007-685D-4938-AA85-50189DEA1819}"/>
              </c:ext>
            </c:extLst>
          </c:dPt>
          <c:dPt>
            <c:idx val="5"/>
            <c:invertIfNegative val="0"/>
            <c:bubble3D val="0"/>
            <c:spPr>
              <a:solidFill>
                <a:srgbClr val="E36E10"/>
              </a:solidFill>
              <a:ln w="25400">
                <a:solidFill>
                  <a:srgbClr val="E36E10">
                    <a:alpha val="60000"/>
                  </a:srgbClr>
                </a:solidFill>
              </a:ln>
              <a:effectLst/>
            </c:spPr>
            <c:extLst>
              <c:ext xmlns:c16="http://schemas.microsoft.com/office/drawing/2014/chart" uri="{C3380CC4-5D6E-409C-BE32-E72D297353CC}">
                <c16:uniqueId val="{00000009-685D-4938-AA85-50189DEA1819}"/>
              </c:ext>
            </c:extLst>
          </c:dPt>
          <c:dLbls>
            <c:dLbl>
              <c:idx val="0"/>
              <c:tx>
                <c:rich>
                  <a:bodyPr/>
                  <a:lstStyle/>
                  <a:p>
                    <a:fld id="{51856263-5CFA-4E4A-9636-61C0D61C4A66}" type="CELLRANGE">
                      <a:rPr lang="en-US"/>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685D-4938-AA85-50189DEA1819}"/>
                </c:ext>
              </c:extLst>
            </c:dLbl>
            <c:dLbl>
              <c:idx val="1"/>
              <c:tx>
                <c:rich>
                  <a:bodyPr/>
                  <a:lstStyle/>
                  <a:p>
                    <a:fld id="{81D7B40F-6D17-4773-BE2A-7DFB07FD409F}" type="CELLRANGE">
                      <a:rPr lang="cs-CZ"/>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1-685D-4938-AA85-50189DEA1819}"/>
                </c:ext>
              </c:extLst>
            </c:dLbl>
            <c:dLbl>
              <c:idx val="2"/>
              <c:tx>
                <c:rich>
                  <a:bodyPr/>
                  <a:lstStyle/>
                  <a:p>
                    <a:fld id="{99AAA609-D949-4AE0-A393-CCDFC5F54F42}" type="CELLRANGE">
                      <a:rPr lang="cs-CZ"/>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3-685D-4938-AA85-50189DEA1819}"/>
                </c:ext>
              </c:extLst>
            </c:dLbl>
            <c:dLbl>
              <c:idx val="3"/>
              <c:tx>
                <c:rich>
                  <a:bodyPr/>
                  <a:lstStyle/>
                  <a:p>
                    <a:fld id="{1BD68939-CF41-4DD2-BC2F-2C33E6B6FF55}" type="CELLRANGE">
                      <a:rPr lang="cs-CZ"/>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685D-4938-AA85-50189DEA1819}"/>
                </c:ext>
              </c:extLst>
            </c:dLbl>
            <c:dLbl>
              <c:idx val="4"/>
              <c:tx>
                <c:rich>
                  <a:bodyPr/>
                  <a:lstStyle/>
                  <a:p>
                    <a:fld id="{813C989B-1C56-4951-A695-C331C73B596C}" type="CELLRANGE">
                      <a:rPr lang="cs-CZ"/>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7-685D-4938-AA85-50189DEA1819}"/>
                </c:ext>
              </c:extLst>
            </c:dLbl>
            <c:dLbl>
              <c:idx val="5"/>
              <c:tx>
                <c:rich>
                  <a:bodyPr/>
                  <a:lstStyle/>
                  <a:p>
                    <a:fld id="{BB7D67BA-9D38-4B70-B07F-CE2B58A38A9D}" type="CELLRANGE">
                      <a:rPr lang="cs-CZ"/>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9-685D-4938-AA85-50189DEA181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ct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cat>
            <c:strRef>
              <c:f>graf!$B$6:$B$11</c:f>
              <c:strCache>
                <c:ptCount val="6"/>
                <c:pt idx="0">
                  <c:v>NATURAL SCIENCES               (14.9 tis.)</c:v>
                </c:pt>
                <c:pt idx="1">
                  <c:v>ENGINEERING 
AND TECHNOLOGY               (7.9 tis.)</c:v>
                </c:pt>
                <c:pt idx="2">
                  <c:v>MEDICAL 
AND HEALTH SCIENCES                                (5.9 tis.)</c:v>
                </c:pt>
                <c:pt idx="3">
                  <c:v>AGRICULTURAL 
AND VETERINARY SCIENCES                                                   (3.2 tis.)</c:v>
                </c:pt>
                <c:pt idx="4">
                  <c:v>SOCIAL SCIENCES                                                                                                                                                   (7.3 tis.)</c:v>
                </c:pt>
                <c:pt idx="5">
                  <c:v>HUMANITIES 
AND THE ARTS               (5.9 tis.)</c:v>
                </c:pt>
              </c:strCache>
            </c:strRef>
          </c:cat>
          <c:val>
            <c:numLit>
              <c:formatCode>General</c:formatCode>
              <c:ptCount val="6"/>
              <c:pt idx="0">
                <c:v>2284</c:v>
              </c:pt>
              <c:pt idx="1">
                <c:v>4086</c:v>
              </c:pt>
              <c:pt idx="2">
                <c:v>620</c:v>
              </c:pt>
              <c:pt idx="3">
                <c:v>1444</c:v>
              </c:pt>
              <c:pt idx="4">
                <c:v>2217</c:v>
              </c:pt>
              <c:pt idx="5">
                <c:v>1673</c:v>
              </c:pt>
            </c:numLit>
          </c:val>
          <c:extLst>
            <c:ext xmlns:c15="http://schemas.microsoft.com/office/drawing/2012/chart" uri="{02D57815-91ED-43cb-92C2-25804820EDAC}">
              <c15:datalabelsRange>
                <c15:f>graf!$C$20:$C$25</c15:f>
                <c15:dlblRangeCache>
                  <c:ptCount val="6"/>
                  <c:pt idx="0">
                    <c:v>nepublikační</c:v>
                  </c:pt>
                  <c:pt idx="1">
                    <c:v>nepublikační</c:v>
                  </c:pt>
                  <c:pt idx="2">
                    <c:v>nepublikační</c:v>
                  </c:pt>
                  <c:pt idx="3">
                    <c:v>nepublikační</c:v>
                  </c:pt>
                  <c:pt idx="4">
                    <c:v>nepublikační</c:v>
                  </c:pt>
                  <c:pt idx="5">
                    <c:v>nepublikační</c:v>
                  </c:pt>
                </c15:dlblRangeCache>
              </c15:datalabelsRange>
            </c:ext>
            <c:ext xmlns:c16="http://schemas.microsoft.com/office/drawing/2014/chart" uri="{C3380CC4-5D6E-409C-BE32-E72D297353CC}">
              <c16:uniqueId val="{0000000B-685D-4938-AA85-50189DEA1819}"/>
            </c:ext>
          </c:extLst>
        </c:ser>
        <c:ser>
          <c:idx val="1"/>
          <c:order val="1"/>
          <c:tx>
            <c:v>publikační</c:v>
          </c:tx>
          <c:spPr>
            <a:solidFill>
              <a:srgbClr val="769B5D">
                <a:alpha val="60000"/>
              </a:srgbClr>
            </a:solidFill>
            <a:ln>
              <a:noFill/>
            </a:ln>
            <a:effectLst/>
          </c:spPr>
          <c:invertIfNegative val="0"/>
          <c:dPt>
            <c:idx val="0"/>
            <c:invertIfNegative val="0"/>
            <c:bubble3D val="0"/>
            <c:spPr>
              <a:solidFill>
                <a:srgbClr val="769B5D">
                  <a:alpha val="60000"/>
                </a:srgbClr>
              </a:solidFill>
              <a:ln w="25400">
                <a:solidFill>
                  <a:srgbClr val="769B5D"/>
                </a:solidFill>
              </a:ln>
              <a:effectLst/>
            </c:spPr>
            <c:extLst>
              <c:ext xmlns:c16="http://schemas.microsoft.com/office/drawing/2014/chart" uri="{C3380CC4-5D6E-409C-BE32-E72D297353CC}">
                <c16:uniqueId val="{0000000D-685D-4938-AA85-50189DEA1819}"/>
              </c:ext>
            </c:extLst>
          </c:dPt>
          <c:dPt>
            <c:idx val="1"/>
            <c:invertIfNegative val="0"/>
            <c:bubble3D val="0"/>
            <c:spPr>
              <a:solidFill>
                <a:srgbClr val="338DCD">
                  <a:alpha val="60000"/>
                </a:srgbClr>
              </a:solidFill>
              <a:ln w="25400">
                <a:solidFill>
                  <a:srgbClr val="338DCD"/>
                </a:solidFill>
              </a:ln>
              <a:effectLst/>
            </c:spPr>
            <c:extLst>
              <c:ext xmlns:c16="http://schemas.microsoft.com/office/drawing/2014/chart" uri="{C3380CC4-5D6E-409C-BE32-E72D297353CC}">
                <c16:uniqueId val="{0000000F-685D-4938-AA85-50189DEA1819}"/>
              </c:ext>
            </c:extLst>
          </c:dPt>
          <c:dPt>
            <c:idx val="2"/>
            <c:invertIfNegative val="0"/>
            <c:bubble3D val="0"/>
            <c:spPr>
              <a:solidFill>
                <a:srgbClr val="CD3333">
                  <a:alpha val="60000"/>
                </a:srgbClr>
              </a:solidFill>
              <a:ln w="25400">
                <a:solidFill>
                  <a:srgbClr val="CD3333"/>
                </a:solidFill>
              </a:ln>
              <a:effectLst/>
            </c:spPr>
            <c:extLst>
              <c:ext xmlns:c16="http://schemas.microsoft.com/office/drawing/2014/chart" uri="{C3380CC4-5D6E-409C-BE32-E72D297353CC}">
                <c16:uniqueId val="{00000011-685D-4938-AA85-50189DEA1819}"/>
              </c:ext>
            </c:extLst>
          </c:dPt>
          <c:dPt>
            <c:idx val="3"/>
            <c:invertIfNegative val="0"/>
            <c:bubble3D val="0"/>
            <c:spPr>
              <a:solidFill>
                <a:srgbClr val="FFFF00">
                  <a:alpha val="20000"/>
                </a:srgbClr>
              </a:solidFill>
              <a:ln w="25400">
                <a:solidFill>
                  <a:srgbClr val="FFFF00"/>
                </a:solidFill>
              </a:ln>
              <a:effectLst/>
            </c:spPr>
            <c:extLst>
              <c:ext xmlns:c16="http://schemas.microsoft.com/office/drawing/2014/chart" uri="{C3380CC4-5D6E-409C-BE32-E72D297353CC}">
                <c16:uniqueId val="{00000013-685D-4938-AA85-50189DEA1819}"/>
              </c:ext>
            </c:extLst>
          </c:dPt>
          <c:dPt>
            <c:idx val="4"/>
            <c:invertIfNegative val="0"/>
            <c:bubble3D val="0"/>
            <c:spPr>
              <a:solidFill>
                <a:srgbClr val="CCCCFF">
                  <a:alpha val="60000"/>
                </a:srgbClr>
              </a:solidFill>
              <a:ln w="25400">
                <a:solidFill>
                  <a:srgbClr val="CCCCFF"/>
                </a:solidFill>
              </a:ln>
              <a:effectLst/>
            </c:spPr>
            <c:extLst>
              <c:ext xmlns:c16="http://schemas.microsoft.com/office/drawing/2014/chart" uri="{C3380CC4-5D6E-409C-BE32-E72D297353CC}">
                <c16:uniqueId val="{00000015-685D-4938-AA85-50189DEA1819}"/>
              </c:ext>
            </c:extLst>
          </c:dPt>
          <c:dPt>
            <c:idx val="5"/>
            <c:invertIfNegative val="0"/>
            <c:bubble3D val="0"/>
            <c:spPr>
              <a:solidFill>
                <a:srgbClr val="E36E10">
                  <a:alpha val="60000"/>
                </a:srgbClr>
              </a:solidFill>
              <a:ln w="25400">
                <a:solidFill>
                  <a:srgbClr val="E36E10"/>
                </a:solidFill>
              </a:ln>
              <a:effectLst/>
            </c:spPr>
            <c:extLst>
              <c:ext xmlns:c16="http://schemas.microsoft.com/office/drawing/2014/chart" uri="{C3380CC4-5D6E-409C-BE32-E72D297353CC}">
                <c16:uniqueId val="{00000017-685D-4938-AA85-50189DEA1819}"/>
              </c:ext>
            </c:extLst>
          </c:dPt>
          <c:dLbls>
            <c:dLbl>
              <c:idx val="0"/>
              <c:tx>
                <c:rich>
                  <a:bodyPr/>
                  <a:lstStyle/>
                  <a:p>
                    <a:fld id="{088D11FB-5E6A-41EA-A6D7-AFA3BC681F9E}" type="CELLRANGE">
                      <a:rPr lang="en-US"/>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D-685D-4938-AA85-50189DEA1819}"/>
                </c:ext>
              </c:extLst>
            </c:dLbl>
            <c:dLbl>
              <c:idx val="1"/>
              <c:tx>
                <c:rich>
                  <a:bodyPr/>
                  <a:lstStyle/>
                  <a:p>
                    <a:fld id="{F13475FE-2125-434D-8C24-673F50DD4043}" type="CELLRANGE">
                      <a:rPr lang="cs-CZ"/>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F-685D-4938-AA85-50189DEA1819}"/>
                </c:ext>
              </c:extLst>
            </c:dLbl>
            <c:dLbl>
              <c:idx val="2"/>
              <c:tx>
                <c:rich>
                  <a:bodyPr/>
                  <a:lstStyle/>
                  <a:p>
                    <a:fld id="{999E4D4B-7FDB-4110-B09F-97C43429C143}" type="CELLRANGE">
                      <a:rPr lang="cs-CZ"/>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685D-4938-AA85-50189DEA1819}"/>
                </c:ext>
              </c:extLst>
            </c:dLbl>
            <c:dLbl>
              <c:idx val="3"/>
              <c:tx>
                <c:rich>
                  <a:bodyPr/>
                  <a:lstStyle/>
                  <a:p>
                    <a:fld id="{1A3125F6-5556-4B6A-943F-7D6FED042360}" type="CELLRANGE">
                      <a:rPr lang="cs-CZ"/>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3-685D-4938-AA85-50189DEA1819}"/>
                </c:ext>
              </c:extLst>
            </c:dLbl>
            <c:dLbl>
              <c:idx val="4"/>
              <c:tx>
                <c:rich>
                  <a:bodyPr/>
                  <a:lstStyle/>
                  <a:p>
                    <a:fld id="{8DAADA0C-AC05-4D51-8A1A-1D691A1D5FD4}" type="CELLRANGE">
                      <a:rPr lang="cs-CZ"/>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5-685D-4938-AA85-50189DEA1819}"/>
                </c:ext>
              </c:extLst>
            </c:dLbl>
            <c:dLbl>
              <c:idx val="5"/>
              <c:tx>
                <c:rich>
                  <a:bodyPr/>
                  <a:lstStyle/>
                  <a:p>
                    <a:fld id="{6ADC4CE1-9BD9-49ED-B26F-8B9C7696D4E2}" type="CELLRANGE">
                      <a:rPr lang="cs-CZ"/>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685D-4938-AA85-50189DEA181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ct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cat>
            <c:strRef>
              <c:f>graf!$B$6:$B$11</c:f>
              <c:strCache>
                <c:ptCount val="6"/>
                <c:pt idx="0">
                  <c:v>NATURAL SCIENCES               (14.9 tis.)</c:v>
                </c:pt>
                <c:pt idx="1">
                  <c:v>ENGINEERING 
AND TECHNOLOGY               (7.9 tis.)</c:v>
                </c:pt>
                <c:pt idx="2">
                  <c:v>MEDICAL 
AND HEALTH SCIENCES                                (5.9 tis.)</c:v>
                </c:pt>
                <c:pt idx="3">
                  <c:v>AGRICULTURAL 
AND VETERINARY SCIENCES                                                   (3.2 tis.)</c:v>
                </c:pt>
                <c:pt idx="4">
                  <c:v>SOCIAL SCIENCES                                                                                                                                                   (7.3 tis.)</c:v>
                </c:pt>
                <c:pt idx="5">
                  <c:v>HUMANITIES 
AND THE ARTS               (5.9 tis.)</c:v>
                </c:pt>
              </c:strCache>
            </c:strRef>
          </c:cat>
          <c:val>
            <c:numLit>
              <c:formatCode>General</c:formatCode>
              <c:ptCount val="6"/>
              <c:pt idx="0">
                <c:v>12359</c:v>
              </c:pt>
              <c:pt idx="1">
                <c:v>7631</c:v>
              </c:pt>
              <c:pt idx="2">
                <c:v>5289</c:v>
              </c:pt>
              <c:pt idx="3">
                <c:v>1770</c:v>
              </c:pt>
              <c:pt idx="4">
                <c:v>5532</c:v>
              </c:pt>
              <c:pt idx="5">
                <c:v>7385</c:v>
              </c:pt>
            </c:numLit>
          </c:val>
          <c:extLst>
            <c:ext xmlns:c15="http://schemas.microsoft.com/office/drawing/2012/chart" uri="{02D57815-91ED-43cb-92C2-25804820EDAC}">
              <c15:datalabelsRange>
                <c15:f>graf!$B$20:$B$25</c15:f>
                <c15:dlblRangeCache>
                  <c:ptCount val="6"/>
                  <c:pt idx="0">
                    <c:v>publikační</c:v>
                  </c:pt>
                  <c:pt idx="1">
                    <c:v>publikační</c:v>
                  </c:pt>
                  <c:pt idx="2">
                    <c:v>publikační</c:v>
                  </c:pt>
                  <c:pt idx="3">
                    <c:v>publikační</c:v>
                  </c:pt>
                  <c:pt idx="4">
                    <c:v>publikační</c:v>
                  </c:pt>
                  <c:pt idx="5">
                    <c:v>publikační</c:v>
                  </c:pt>
                </c15:dlblRangeCache>
              </c15:datalabelsRange>
            </c:ext>
            <c:ext xmlns:c16="http://schemas.microsoft.com/office/drawing/2014/chart" uri="{C3380CC4-5D6E-409C-BE32-E72D297353CC}">
              <c16:uniqueId val="{00000018-685D-4938-AA85-50189DEA1819}"/>
            </c:ext>
          </c:extLst>
        </c:ser>
        <c:dLbls>
          <c:showLegendKey val="0"/>
          <c:showVal val="0"/>
          <c:showCatName val="0"/>
          <c:showSerName val="0"/>
          <c:showPercent val="0"/>
          <c:showBubbleSize val="0"/>
        </c:dLbls>
        <c:gapWidth val="35"/>
        <c:overlap val="100"/>
        <c:axId val="579027472"/>
        <c:axId val="579032048"/>
      </c:barChart>
      <c:catAx>
        <c:axId val="5790274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79032048"/>
        <c:crosses val="autoZero"/>
        <c:auto val="1"/>
        <c:lblAlgn val="ctr"/>
        <c:lblOffset val="100"/>
        <c:noMultiLvlLbl val="0"/>
      </c:catAx>
      <c:valAx>
        <c:axId val="579032048"/>
        <c:scaling>
          <c:orientation val="minMax"/>
          <c:max val="1"/>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79027472"/>
        <c:crosses val="autoZero"/>
        <c:crossBetween val="between"/>
        <c:majorUnit val="0.25"/>
      </c:valAx>
      <c:spPr>
        <a:noFill/>
        <a:ln>
          <a:noFill/>
        </a:ln>
        <a:effectLst/>
      </c:spPr>
    </c:plotArea>
    <c:plotVisOnly val="1"/>
    <c:dispBlanksAs val="gap"/>
    <c:showDLblsOverMax val="0"/>
  </c:chart>
  <c:spPr>
    <a:noFill/>
    <a:ln w="9525" cap="flat" cmpd="sng" algn="ctr">
      <a:noFill/>
      <a:round/>
    </a:ln>
    <a:effectLst/>
  </c:spPr>
  <c:txPr>
    <a:bodyPr/>
    <a:lstStyle/>
    <a:p>
      <a:pPr>
        <a:defRPr/>
      </a:pPr>
      <a:endParaRPr lang="en-US"/>
    </a:p>
  </c:txPr>
  <c:externalData r:id="rId3">
    <c:autoUpdate val="0"/>
  </c:externalData>
  <c:extLst/>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276929479476961"/>
          <c:y val="1.8749163423154348E-2"/>
          <c:w val="0.8511901239031936"/>
          <c:h val="0.88458159347220733"/>
        </c:manualLayout>
      </c:layout>
      <c:bubbleChart>
        <c:varyColors val="0"/>
        <c:ser>
          <c:idx val="0"/>
          <c:order val="0"/>
          <c:tx>
            <c:strRef>
              <c:f>graf_data_b!$I$4</c:f>
              <c:strCache>
                <c:ptCount val="1"/>
                <c:pt idx="0">
                  <c:v>1</c:v>
                </c:pt>
              </c:strCache>
            </c:strRef>
          </c:tx>
          <c:spPr>
            <a:solidFill>
              <a:schemeClr val="accent6">
                <a:lumMod val="75000"/>
                <a:alpha val="70000"/>
              </a:schemeClr>
            </a:solidFill>
            <a:ln w="12700">
              <a:solidFill>
                <a:schemeClr val="accent6">
                  <a:lumMod val="75000"/>
                </a:schemeClr>
              </a:solidFill>
            </a:ln>
            <a:effectLst>
              <a:outerShdw blurRad="57150" dist="19050" dir="5400000" algn="ctr" rotWithShape="0">
                <a:srgbClr val="000000">
                  <a:alpha val="63000"/>
                </a:srgbClr>
              </a:outerShdw>
            </a:effectLst>
          </c:spPr>
          <c:invertIfNegative val="0"/>
          <c:dLbls>
            <c:dLbl>
              <c:idx val="0"/>
              <c:tx>
                <c:rich>
                  <a:bodyPr/>
                  <a:lstStyle/>
                  <a:p>
                    <a:fld id="{36C41083-9BAF-43B0-B08B-275E3E638B67}" type="CELLRANGE">
                      <a:rPr lang="cs-CZ"/>
                      <a:pPr/>
                      <a:t>[OBLAST BUNĚK]</a:t>
                    </a:fld>
                    <a:endParaRPr lang="cs-CZ"/>
                  </a:p>
                </c:rich>
              </c:tx>
              <c:dLblPos val="ctr"/>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0-54B3-4612-A68C-B868A2891B08}"/>
                </c:ext>
              </c:extLst>
            </c:dLbl>
            <c:dLbl>
              <c:idx val="1"/>
              <c:layout>
                <c:manualLayout>
                  <c:x val="8.0259970900376579E-2"/>
                  <c:y val="1.9004476543552815E-3"/>
                </c:manualLayout>
              </c:layout>
              <c:tx>
                <c:rich>
                  <a:bodyPr/>
                  <a:lstStyle/>
                  <a:p>
                    <a:fld id="{0826E48B-D923-4CD2-BC86-751A6D3A6DE8}" type="CELLRANGE">
                      <a:rPr lang="en-US"/>
                      <a:pPr/>
                      <a:t>[OBLAST BUNĚK]</a:t>
                    </a:fld>
                    <a:endParaRPr lang="cs-CZ"/>
                  </a:p>
                </c:rich>
              </c:tx>
              <c:dLblPos val="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1-54B3-4612-A68C-B868A2891B08}"/>
                </c:ext>
              </c:extLst>
            </c:dLbl>
            <c:dLbl>
              <c:idx val="2"/>
              <c:layout>
                <c:manualLayout>
                  <c:x val="0.17075878847876411"/>
                  <c:y val="-0.24275153301957011"/>
                </c:manualLayout>
              </c:layout>
              <c:tx>
                <c:rich>
                  <a:bodyPr/>
                  <a:lstStyle/>
                  <a:p>
                    <a:fld id="{EA49F972-AC00-4FEA-AE7D-F7632BA89B5B}" type="CELLRANGE">
                      <a:rPr lang="en-US"/>
                      <a:pPr/>
                      <a:t>[OBLAST BUNĚK]</a:t>
                    </a:fld>
                    <a:endParaRPr lang="cs-CZ"/>
                  </a:p>
                </c:rich>
              </c:tx>
              <c:dLblPos val="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2-54B3-4612-A68C-B868A2891B08}"/>
                </c:ext>
              </c:extLst>
            </c:dLbl>
            <c:dLbl>
              <c:idx val="3"/>
              <c:layout>
                <c:manualLayout>
                  <c:x val="-0.27468065412787634"/>
                  <c:y val="9.7258385142830736E-2"/>
                </c:manualLayout>
              </c:layout>
              <c:tx>
                <c:rich>
                  <a:bodyPr/>
                  <a:lstStyle/>
                  <a:p>
                    <a:fld id="{BCA8C691-A295-4A44-8A0B-EB8C4AE2C11F}" type="CELLRANGE">
                      <a:rPr lang="en-US"/>
                      <a:pPr/>
                      <a:t>[OBLAST BUNĚK]</a:t>
                    </a:fld>
                    <a:endParaRPr lang="cs-CZ"/>
                  </a:p>
                </c:rich>
              </c:tx>
              <c:dLblPos val="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3-54B3-4612-A68C-B868A2891B08}"/>
                </c:ext>
              </c:extLst>
            </c:dLbl>
            <c:dLbl>
              <c:idx val="4"/>
              <c:layout>
                <c:manualLayout>
                  <c:x val="0.12050566222642284"/>
                  <c:y val="-0.31966084307782866"/>
                </c:manualLayout>
              </c:layout>
              <c:tx>
                <c:rich>
                  <a:bodyPr/>
                  <a:lstStyle/>
                  <a:p>
                    <a:fld id="{3ABFA5CB-5817-40C5-8CBB-5A658499BE20}" type="CELLRANGE">
                      <a:rPr lang="en-US"/>
                      <a:pPr/>
                      <a:t>[OBLAST BUNĚK]</a:t>
                    </a:fld>
                    <a:endParaRPr lang="cs-CZ"/>
                  </a:p>
                </c:rich>
              </c:tx>
              <c:dLblPos val="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4-54B3-4612-A68C-B868A2891B08}"/>
                </c:ext>
              </c:extLst>
            </c:dLbl>
            <c:dLbl>
              <c:idx val="5"/>
              <c:layout>
                <c:manualLayout>
                  <c:x val="-0.29035876472539796"/>
                  <c:y val="-0.28008235647372748"/>
                </c:manualLayout>
              </c:layout>
              <c:tx>
                <c:rich>
                  <a:bodyPr rot="0" spcFirstLastPara="1" vertOverflow="ellipsis" vert="horz" wrap="square" lIns="38100" tIns="19050" rIns="38100" bIns="19050" anchor="ctr" anchorCtr="1">
                    <a:noAutofit/>
                  </a:bodyPr>
                  <a:lstStyle/>
                  <a:p>
                    <a:pPr>
                      <a:defRPr sz="900" b="1" i="0" u="none" strike="noStrike" kern="1200" baseline="0">
                        <a:solidFill>
                          <a:schemeClr val="accent6">
                            <a:lumMod val="50000"/>
                          </a:schemeClr>
                        </a:solidFill>
                        <a:latin typeface="+mn-lt"/>
                        <a:ea typeface="+mn-ea"/>
                        <a:cs typeface="+mn-cs"/>
                      </a:defRPr>
                    </a:pPr>
                    <a:fld id="{4497634C-94C0-4094-85B9-18C4C71B8366}" type="CELLRANGE">
                      <a:rPr lang="en-US"/>
                      <a:pPr>
                        <a:defRPr sz="900" b="1" i="0" u="none" strike="noStrike" kern="1200" baseline="0">
                          <a:solidFill>
                            <a:schemeClr val="accent6">
                              <a:lumMod val="50000"/>
                            </a:schemeClr>
                          </a:solidFill>
                          <a:latin typeface="+mn-lt"/>
                          <a:ea typeface="+mn-ea"/>
                          <a:cs typeface="+mn-cs"/>
                        </a:defRPr>
                      </a:pPr>
                      <a:t>[OBLAST BUNĚK]</a:t>
                    </a:fld>
                    <a:endParaRPr lang="cs-CZ"/>
                  </a:p>
                </c:rich>
              </c:tx>
              <c:spPr>
                <a:noFill/>
                <a:ln>
                  <a:noFill/>
                </a:ln>
                <a:effectLst/>
              </c:spPr>
              <c:dLblPos val="r"/>
              <c:showLegendKey val="0"/>
              <c:showVal val="0"/>
              <c:showCatName val="0"/>
              <c:showSerName val="0"/>
              <c:showPercent val="0"/>
              <c:showBubbleSize val="0"/>
              <c:extLst>
                <c:ext xmlns:c15="http://schemas.microsoft.com/office/drawing/2012/chart" uri="{CE6537A1-D6FC-4f65-9D91-7224C49458BB}">
                  <c15:layout>
                    <c:manualLayout>
                      <c:w val="0.11697612732095489"/>
                      <c:h val="6.4835822075912819E-2"/>
                    </c:manualLayout>
                  </c15:layout>
                  <c15:dlblFieldTable/>
                  <c15:showDataLabelsRange val="1"/>
                </c:ext>
                <c:ext xmlns:c16="http://schemas.microsoft.com/office/drawing/2014/chart" uri="{C3380CC4-5D6E-409C-BE32-E72D297353CC}">
                  <c16:uniqueId val="{00000005-54B3-4612-A68C-B868A2891B08}"/>
                </c:ext>
              </c:extLst>
            </c:dLbl>
            <c:dLbl>
              <c:idx val="6"/>
              <c:layout>
                <c:manualLayout>
                  <c:x val="5.3240425238815954E-2"/>
                  <c:y val="-7.6564005448686009E-2"/>
                </c:manualLayout>
              </c:layout>
              <c:tx>
                <c:rich>
                  <a:bodyPr/>
                  <a:lstStyle/>
                  <a:p>
                    <a:fld id="{E095C730-3C3E-426C-8BB5-6938AA047103}" type="CELLRANGE">
                      <a:rPr lang="en-US"/>
                      <a:pPr/>
                      <a:t>[OBLAST BUNĚK]</a:t>
                    </a:fld>
                    <a:endParaRPr lang="cs-CZ"/>
                  </a:p>
                </c:rich>
              </c:tx>
              <c:dLblPos val="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54B3-4612-A68C-B868A2891B08}"/>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accent6">
                        <a:lumMod val="50000"/>
                      </a:schemeClr>
                    </a:solidFill>
                    <a:latin typeface="+mn-lt"/>
                    <a:ea typeface="+mn-ea"/>
                    <a:cs typeface="+mn-cs"/>
                  </a:defRPr>
                </a:pPr>
                <a:endParaRPr lang="cs-CZ"/>
              </a:p>
            </c:txPr>
            <c:dLblPos val="ct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rnd" cmpd="sng" algn="ctr">
                      <a:solidFill>
                        <a:schemeClr val="tx1">
                          <a:lumMod val="35000"/>
                          <a:lumOff val="65000"/>
                        </a:schemeClr>
                      </a:solidFill>
                      <a:round/>
                    </a:ln>
                    <a:effectLst>
                      <a:glow>
                        <a:schemeClr val="accent1">
                          <a:alpha val="40000"/>
                        </a:schemeClr>
                      </a:glow>
                      <a:softEdge rad="0"/>
                    </a:effectLst>
                  </c:spPr>
                </c15:leaderLines>
              </c:ext>
            </c:extLst>
          </c:dLbls>
          <c:xVal>
            <c:numRef>
              <c:f>graf_data_b!$E$2:$E$8</c:f>
              <c:numCache>
                <c:formatCode>General</c:formatCode>
                <c:ptCount val="7"/>
                <c:pt idx="0">
                  <c:v>-10.584343991179711</c:v>
                </c:pt>
                <c:pt idx="1">
                  <c:v>6.12582781456954</c:v>
                </c:pt>
                <c:pt idx="2">
                  <c:v>-7.2230538922155691</c:v>
                </c:pt>
                <c:pt idx="3">
                  <c:v>-18.116160096298529</c:v>
                </c:pt>
                <c:pt idx="4">
                  <c:v>-16.990533134030894</c:v>
                </c:pt>
                <c:pt idx="5">
                  <c:v>-13.356624563289444</c:v>
                </c:pt>
                <c:pt idx="6">
                  <c:v>0</c:v>
                </c:pt>
              </c:numCache>
            </c:numRef>
          </c:xVal>
          <c:yVal>
            <c:numRef>
              <c:f>graf_data_b!$F$2:$F$8</c:f>
              <c:numCache>
                <c:formatCode>#,##0.00</c:formatCode>
                <c:ptCount val="7"/>
                <c:pt idx="0">
                  <c:v>0.80061587230215825</c:v>
                </c:pt>
                <c:pt idx="1">
                  <c:v>0.82456417910447766</c:v>
                </c:pt>
                <c:pt idx="2">
                  <c:v>1.113878839563863</c:v>
                </c:pt>
                <c:pt idx="3">
                  <c:v>0.74562676732579447</c:v>
                </c:pt>
                <c:pt idx="4">
                  <c:v>1.0429195827155264</c:v>
                </c:pt>
                <c:pt idx="5">
                  <c:v>1.1748833464037645</c:v>
                </c:pt>
                <c:pt idx="6">
                  <c:v>0</c:v>
                </c:pt>
              </c:numCache>
            </c:numRef>
          </c:yVal>
          <c:bubbleSize>
            <c:numRef>
              <c:f>graf_data_b!$G$2:$G$8</c:f>
              <c:numCache>
                <c:formatCode>#,##0</c:formatCode>
                <c:ptCount val="7"/>
                <c:pt idx="0">
                  <c:v>4448</c:v>
                </c:pt>
                <c:pt idx="1">
                  <c:v>3283</c:v>
                </c:pt>
                <c:pt idx="2">
                  <c:v>12840</c:v>
                </c:pt>
                <c:pt idx="3">
                  <c:v>15829</c:v>
                </c:pt>
                <c:pt idx="4">
                  <c:v>9442</c:v>
                </c:pt>
                <c:pt idx="5">
                  <c:v>17852</c:v>
                </c:pt>
                <c:pt idx="6">
                  <c:v>0</c:v>
                </c:pt>
              </c:numCache>
            </c:numRef>
          </c:bubbleSize>
          <c:bubble3D val="1"/>
          <c:extLst>
            <c:ext xmlns:c15="http://schemas.microsoft.com/office/drawing/2012/chart" uri="{02D57815-91ED-43cb-92C2-25804820EDAC}">
              <c15:datalabelsRange>
                <c15:f>graf_data_b!$A$2:$A$8</c15:f>
                <c15:dlblRangeCache>
                  <c:ptCount val="7"/>
                  <c:pt idx="0">
                    <c:v>Mathematics</c:v>
                  </c:pt>
                  <c:pt idx="1">
                    <c:v>Computer and information sciences</c:v>
                  </c:pt>
                  <c:pt idx="2">
                    <c:v>Physical sciences</c:v>
                  </c:pt>
                  <c:pt idx="3">
                    <c:v>Chemical sciences</c:v>
                  </c:pt>
                  <c:pt idx="4">
                    <c:v>Earth and related environmental sciences</c:v>
                  </c:pt>
                  <c:pt idx="5">
                    <c:v>Biological sciences</c:v>
                  </c:pt>
                  <c:pt idx="6">
                    <c:v>Other natural sciences</c:v>
                  </c:pt>
                </c15:dlblRangeCache>
              </c15:datalabelsRange>
            </c:ext>
            <c:ext xmlns:c16="http://schemas.microsoft.com/office/drawing/2014/chart" uri="{C3380CC4-5D6E-409C-BE32-E72D297353CC}">
              <c16:uniqueId val="{00000007-54B3-4612-A68C-B868A2891B08}"/>
            </c:ext>
          </c:extLst>
        </c:ser>
        <c:ser>
          <c:idx val="2"/>
          <c:order val="1"/>
          <c:tx>
            <c:strRef>
              <c:f>graf_data_b!$I$24</c:f>
              <c:strCache>
                <c:ptCount val="1"/>
                <c:pt idx="0">
                  <c:v>3</c:v>
                </c:pt>
              </c:strCache>
            </c:strRef>
          </c:tx>
          <c:spPr>
            <a:solidFill>
              <a:srgbClr val="C00000">
                <a:alpha val="50000"/>
              </a:srgbClr>
            </a:solidFill>
            <a:ln w="12700">
              <a:solidFill>
                <a:srgbClr val="C00000"/>
              </a:solidFill>
            </a:ln>
            <a:effectLst>
              <a:outerShdw blurRad="57150" dist="19050" dir="5400000" algn="ctr" rotWithShape="0">
                <a:srgbClr val="000000">
                  <a:alpha val="63000"/>
                </a:srgbClr>
              </a:outerShdw>
            </a:effectLst>
          </c:spPr>
          <c:invertIfNegative val="0"/>
          <c:dLbls>
            <c:dLbl>
              <c:idx val="0"/>
              <c:layout>
                <c:manualLayout>
                  <c:x val="0.24405362997416699"/>
                  <c:y val="-0.19940436676457607"/>
                </c:manualLayout>
              </c:layout>
              <c:tx>
                <c:rich>
                  <a:bodyPr rot="0" spcFirstLastPara="1" vertOverflow="ellipsis" vert="horz" wrap="square" lIns="38100" tIns="19050" rIns="38100" bIns="19050" anchor="ctr" anchorCtr="0">
                    <a:noAutofit/>
                  </a:bodyPr>
                  <a:lstStyle/>
                  <a:p>
                    <a:pPr algn="l">
                      <a:defRPr sz="900" b="1" i="0" u="none" strike="noStrike" kern="1200" baseline="0">
                        <a:solidFill>
                          <a:srgbClr val="BE4949"/>
                        </a:solidFill>
                        <a:latin typeface="+mn-lt"/>
                        <a:ea typeface="+mn-ea"/>
                        <a:cs typeface="+mn-cs"/>
                      </a:defRPr>
                    </a:pPr>
                    <a:fld id="{43BDF2E4-29A4-42DC-916E-CFBDE1EF1A9B}" type="CELLRANGE">
                      <a:rPr lang="en-US"/>
                      <a:pPr algn="l">
                        <a:defRPr sz="900" b="1" i="0" u="none" strike="noStrike" kern="1200" baseline="0">
                          <a:solidFill>
                            <a:srgbClr val="BE4949"/>
                          </a:solidFill>
                          <a:latin typeface="+mn-lt"/>
                          <a:ea typeface="+mn-ea"/>
                          <a:cs typeface="+mn-cs"/>
                        </a:defRPr>
                      </a:pPr>
                      <a:t>[OBLAST BUNĚK]</a:t>
                    </a:fld>
                    <a:endParaRPr lang="cs-CZ"/>
                  </a:p>
                </c:rich>
              </c:tx>
              <c:spPr>
                <a:noFill/>
                <a:ln>
                  <a:noFill/>
                </a:ln>
                <a:effectLst/>
              </c:spPr>
              <c:showLegendKey val="0"/>
              <c:showVal val="0"/>
              <c:showCatName val="0"/>
              <c:showSerName val="0"/>
              <c:showPercent val="0"/>
              <c:showBubbleSize val="0"/>
              <c:extLst>
                <c:ext xmlns:c15="http://schemas.microsoft.com/office/drawing/2012/chart" uri="{CE6537A1-D6FC-4f65-9D91-7224C49458BB}">
                  <c15:layout>
                    <c:manualLayout>
                      <c:w val="0.20646503765833615"/>
                      <c:h val="6.4835949102020327E-2"/>
                    </c:manualLayout>
                  </c15:layout>
                  <c15:dlblFieldTable/>
                  <c15:showDataLabelsRange val="1"/>
                </c:ext>
                <c:ext xmlns:c16="http://schemas.microsoft.com/office/drawing/2014/chart" uri="{C3380CC4-5D6E-409C-BE32-E72D297353CC}">
                  <c16:uniqueId val="{00000008-54B3-4612-A68C-B868A2891B08}"/>
                </c:ext>
              </c:extLst>
            </c:dLbl>
            <c:dLbl>
              <c:idx val="1"/>
              <c:layout>
                <c:manualLayout>
                  <c:x val="-5.4284682113150365E-2"/>
                  <c:y val="-9.3279321097521031E-2"/>
                </c:manualLayout>
              </c:layout>
              <c:tx>
                <c:rich>
                  <a:bodyPr/>
                  <a:lstStyle/>
                  <a:p>
                    <a:fld id="{2EAC6B80-C79A-4786-9C83-8BE7AD1B28B5}"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54B3-4612-A68C-B868A2891B08}"/>
                </c:ext>
              </c:extLst>
            </c:dLbl>
            <c:dLbl>
              <c:idx val="2"/>
              <c:layout>
                <c:manualLayout>
                  <c:x val="0.11156659138840914"/>
                  <c:y val="-0.21760244160320374"/>
                </c:manualLayout>
              </c:layout>
              <c:tx>
                <c:rich>
                  <a:bodyPr rot="0" spcFirstLastPara="1" vertOverflow="ellipsis" vert="horz" wrap="square" lIns="38100" tIns="19050" rIns="38100" bIns="19050" anchor="ctr" anchorCtr="1">
                    <a:noAutofit/>
                  </a:bodyPr>
                  <a:lstStyle/>
                  <a:p>
                    <a:pPr>
                      <a:defRPr sz="900" b="1" i="0" u="none" strike="noStrike" kern="1200" baseline="0">
                        <a:solidFill>
                          <a:srgbClr val="C00000"/>
                        </a:solidFill>
                        <a:latin typeface="+mn-lt"/>
                        <a:ea typeface="+mn-ea"/>
                        <a:cs typeface="+mn-cs"/>
                      </a:defRPr>
                    </a:pPr>
                    <a:fld id="{E904D238-68EB-40A0-BF47-5AF313CC83F4}" type="CELLRANGE">
                      <a:rPr lang="en-US"/>
                      <a:pPr>
                        <a:defRPr sz="900" b="1" i="0" u="none" strike="noStrike" kern="1200" baseline="0">
                          <a:solidFill>
                            <a:srgbClr val="C00000"/>
                          </a:solidFill>
                          <a:latin typeface="+mn-lt"/>
                          <a:ea typeface="+mn-ea"/>
                          <a:cs typeface="+mn-cs"/>
                        </a:defRPr>
                      </a:pPr>
                      <a:t>[OBLAST BUNĚK]</a:t>
                    </a:fld>
                    <a:endParaRPr lang="cs-CZ"/>
                  </a:p>
                </c:rich>
              </c:tx>
              <c:spPr>
                <a:noFill/>
                <a:ln>
                  <a:noFill/>
                </a:ln>
                <a:effectLst/>
              </c:spPr>
              <c:showLegendKey val="0"/>
              <c:showVal val="0"/>
              <c:showCatName val="0"/>
              <c:showSerName val="0"/>
              <c:showPercent val="0"/>
              <c:showBubbleSize val="0"/>
              <c:extLst>
                <c:ext xmlns:c15="http://schemas.microsoft.com/office/drawing/2012/chart" uri="{CE6537A1-D6FC-4f65-9D91-7224C49458BB}">
                  <c15:layout>
                    <c:manualLayout>
                      <c:w val="0.16073348118736958"/>
                      <c:h val="9.8577007385883722E-2"/>
                    </c:manualLayout>
                  </c15:layout>
                  <c15:dlblFieldTable/>
                  <c15:showDataLabelsRange val="1"/>
                </c:ext>
                <c:ext xmlns:c16="http://schemas.microsoft.com/office/drawing/2014/chart" uri="{C3380CC4-5D6E-409C-BE32-E72D297353CC}">
                  <c16:uniqueId val="{0000000A-54B3-4612-A68C-B868A2891B08}"/>
                </c:ext>
              </c:extLst>
            </c:dLbl>
            <c:dLbl>
              <c:idx val="3"/>
              <c:layout>
                <c:manualLayout>
                  <c:x val="3.0672259384392334E-2"/>
                  <c:y val="-0.1024713682941531"/>
                </c:manualLayout>
              </c:layout>
              <c:tx>
                <c:rich>
                  <a:bodyPr/>
                  <a:lstStyle/>
                  <a:p>
                    <a:fld id="{FE3A12C0-4633-4AE5-BBE9-B698576B3005}"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B-54B3-4612-A68C-B868A2891B08}"/>
                </c:ext>
              </c:extLst>
            </c:dLbl>
            <c:dLbl>
              <c:idx val="4"/>
              <c:layout>
                <c:manualLayout>
                  <c:x val="3.3200229533352126E-3"/>
                  <c:y val="-0.10467441569803779"/>
                </c:manualLayout>
              </c:layout>
              <c:tx>
                <c:rich>
                  <a:bodyPr/>
                  <a:lstStyle/>
                  <a:p>
                    <a:fld id="{03CA348B-E5AE-4171-955A-6D28AA5F37AF}"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C-54B3-4612-A68C-B868A2891B08}"/>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C00000"/>
                    </a:solidFill>
                    <a:latin typeface="+mn-lt"/>
                    <a:ea typeface="+mn-ea"/>
                    <a:cs typeface="+mn-cs"/>
                  </a:defRPr>
                </a:pPr>
                <a:endParaRPr lang="cs-CZ"/>
              </a:p>
            </c:txP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xVal>
            <c:numRef>
              <c:f>graf_data_b!$E$20:$E$24</c:f>
              <c:numCache>
                <c:formatCode>General</c:formatCode>
                <c:ptCount val="5"/>
                <c:pt idx="0">
                  <c:v>-13.472622478386164</c:v>
                </c:pt>
                <c:pt idx="1">
                  <c:v>-7.4472857783759565</c:v>
                </c:pt>
                <c:pt idx="2">
                  <c:v>-9.2226613965744377</c:v>
                </c:pt>
                <c:pt idx="3">
                  <c:v>0</c:v>
                </c:pt>
                <c:pt idx="4">
                  <c:v>0</c:v>
                </c:pt>
              </c:numCache>
            </c:numRef>
          </c:xVal>
          <c:yVal>
            <c:numRef>
              <c:f>graf_data_b!$F$20:$F$24</c:f>
              <c:numCache>
                <c:formatCode>#,##0.00</c:formatCode>
                <c:ptCount val="5"/>
                <c:pt idx="0">
                  <c:v>1.022271986624107</c:v>
                </c:pt>
                <c:pt idx="1">
                  <c:v>2.2626806876843659</c:v>
                </c:pt>
                <c:pt idx="2">
                  <c:v>1.599056967213115</c:v>
                </c:pt>
                <c:pt idx="3">
                  <c:v>0</c:v>
                </c:pt>
                <c:pt idx="4">
                  <c:v>0</c:v>
                </c:pt>
              </c:numCache>
            </c:numRef>
          </c:yVal>
          <c:bubbleSize>
            <c:numRef>
              <c:f>graf_data_b!$G$20:$G$24</c:f>
              <c:numCache>
                <c:formatCode>#,##0</c:formatCode>
                <c:ptCount val="5"/>
                <c:pt idx="0">
                  <c:v>6579</c:v>
                </c:pt>
                <c:pt idx="1">
                  <c:v>10848</c:v>
                </c:pt>
                <c:pt idx="2">
                  <c:v>3904</c:v>
                </c:pt>
                <c:pt idx="3">
                  <c:v>0</c:v>
                </c:pt>
                <c:pt idx="4">
                  <c:v>0</c:v>
                </c:pt>
              </c:numCache>
            </c:numRef>
          </c:bubbleSize>
          <c:bubble3D val="1"/>
          <c:extLst>
            <c:ext xmlns:c15="http://schemas.microsoft.com/office/drawing/2012/chart" uri="{02D57815-91ED-43cb-92C2-25804820EDAC}">
              <c15:datalabelsRange>
                <c15:f>graf_data_b!$A$20:$A$24</c15:f>
                <c15:dlblRangeCache>
                  <c:ptCount val="5"/>
                  <c:pt idx="0">
                    <c:v>Basic medicine</c:v>
                  </c:pt>
                  <c:pt idx="1">
                    <c:v>Clinical medicine</c:v>
                  </c:pt>
                  <c:pt idx="2">
                    <c:v>Health sciences</c:v>
                  </c:pt>
                  <c:pt idx="3">
                    <c:v>Medical biotechnology</c:v>
                  </c:pt>
                  <c:pt idx="4">
                    <c:v>Other medical science</c:v>
                  </c:pt>
                </c15:dlblRangeCache>
              </c15:datalabelsRange>
            </c:ext>
            <c:ext xmlns:c16="http://schemas.microsoft.com/office/drawing/2014/chart" uri="{C3380CC4-5D6E-409C-BE32-E72D297353CC}">
              <c16:uniqueId val="{0000000D-54B3-4612-A68C-B868A2891B08}"/>
            </c:ext>
          </c:extLst>
        </c:ser>
        <c:ser>
          <c:idx val="1"/>
          <c:order val="2"/>
          <c:tx>
            <c:strRef>
              <c:f>graf_data_b!$I$11</c:f>
              <c:strCache>
                <c:ptCount val="1"/>
                <c:pt idx="0">
                  <c:v>2</c:v>
                </c:pt>
              </c:strCache>
            </c:strRef>
          </c:tx>
          <c:spPr>
            <a:solidFill>
              <a:schemeClr val="accent1">
                <a:lumMod val="75000"/>
                <a:alpha val="50000"/>
              </a:schemeClr>
            </a:solidFill>
            <a:ln w="12700">
              <a:solidFill>
                <a:schemeClr val="accent1">
                  <a:lumMod val="75000"/>
                </a:schemeClr>
              </a:solidFill>
            </a:ln>
            <a:effectLst>
              <a:outerShdw blurRad="57150" dist="19050" dir="5400000" algn="ctr" rotWithShape="0">
                <a:srgbClr val="000000">
                  <a:alpha val="63000"/>
                </a:srgbClr>
              </a:outerShdw>
            </a:effectLst>
          </c:spPr>
          <c:invertIfNegative val="0"/>
          <c:dLbls>
            <c:dLbl>
              <c:idx val="0"/>
              <c:layout>
                <c:manualLayout>
                  <c:x val="-0.21969954485616305"/>
                  <c:y val="-0.20104164194665544"/>
                </c:manualLayout>
              </c:layout>
              <c:tx>
                <c:rich>
                  <a:bodyPr/>
                  <a:lstStyle/>
                  <a:p>
                    <a:fld id="{CF6259AA-8821-4797-B36F-9C576B99AC47}" type="CELLRANGE">
                      <a:rPr lang="en-US"/>
                      <a:pPr/>
                      <a:t>[OBLAST BUNĚK]</a:t>
                    </a:fld>
                    <a:endParaRPr lang="cs-CZ"/>
                  </a:p>
                </c:rich>
              </c:tx>
              <c:dLblPos val="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E-54B3-4612-A68C-B868A2891B08}"/>
                </c:ext>
              </c:extLst>
            </c:dLbl>
            <c:dLbl>
              <c:idx val="1"/>
              <c:layout>
                <c:manualLayout>
                  <c:x val="0.24435381718589524"/>
                  <c:y val="-9.9201914550369127E-2"/>
                </c:manualLayout>
              </c:layout>
              <c:tx>
                <c:rich>
                  <a:bodyPr/>
                  <a:lstStyle/>
                  <a:p>
                    <a:fld id="{96ED3C70-755F-4201-B59F-CD3E4D5EB018}" type="CELLRANGE">
                      <a:rPr lang="en-US"/>
                      <a:pPr/>
                      <a:t>[OBLAST BUNĚK]</a:t>
                    </a:fld>
                    <a:endParaRPr lang="cs-CZ"/>
                  </a:p>
                </c:rich>
              </c:tx>
              <c:dLblPos val="r"/>
              <c:showLegendKey val="0"/>
              <c:showVal val="0"/>
              <c:showCatName val="0"/>
              <c:showSerName val="0"/>
              <c:showPercent val="0"/>
              <c:showBubbleSize val="0"/>
              <c:extLst>
                <c:ext xmlns:c15="http://schemas.microsoft.com/office/drawing/2012/chart" uri="{CE6537A1-D6FC-4f65-9D91-7224C49458BB}">
                  <c15:layout>
                    <c:manualLayout>
                      <c:w val="0.2726315902088326"/>
                      <c:h val="0.13845682111988375"/>
                    </c:manualLayout>
                  </c15:layout>
                  <c15:dlblFieldTable/>
                  <c15:showDataLabelsRange val="1"/>
                </c:ext>
                <c:ext xmlns:c16="http://schemas.microsoft.com/office/drawing/2014/chart" uri="{C3380CC4-5D6E-409C-BE32-E72D297353CC}">
                  <c16:uniqueId val="{0000000F-54B3-4612-A68C-B868A2891B08}"/>
                </c:ext>
              </c:extLst>
            </c:dLbl>
            <c:dLbl>
              <c:idx val="2"/>
              <c:layout>
                <c:manualLayout>
                  <c:x val="0.29574418007531666"/>
                  <c:y val="0.19664804111155035"/>
                </c:manualLayout>
              </c:layout>
              <c:tx>
                <c:rich>
                  <a:bodyPr/>
                  <a:lstStyle/>
                  <a:p>
                    <a:fld id="{B00C8373-AF51-48DD-B007-ECD0655549CA}"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0-54B3-4612-A68C-B868A2891B08}"/>
                </c:ext>
              </c:extLst>
            </c:dLbl>
            <c:dLbl>
              <c:idx val="3"/>
              <c:layout>
                <c:manualLayout>
                  <c:x val="4.2774762643720633E-2"/>
                  <c:y val="0.21924395526508553"/>
                </c:manualLayout>
              </c:layout>
              <c:tx>
                <c:rich>
                  <a:bodyPr/>
                  <a:lstStyle/>
                  <a:p>
                    <a:fld id="{30A4AAFA-CF75-4EF8-B9AE-A00B226178CE}"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1-54B3-4612-A68C-B868A2891B08}"/>
                </c:ext>
              </c:extLst>
            </c:dLbl>
            <c:dLbl>
              <c:idx val="4"/>
              <c:layout>
                <c:manualLayout>
                  <c:x val="-0.20127466323025156"/>
                  <c:y val="0.21026793498925234"/>
                </c:manualLayout>
              </c:layout>
              <c:tx>
                <c:rich>
                  <a:bodyPr rot="0" spcFirstLastPara="1" vertOverflow="ellipsis" vert="horz" wrap="square" lIns="38100" tIns="19050" rIns="38100" bIns="19050" anchor="ctr" anchorCtr="1">
                    <a:noAutofit/>
                  </a:bodyPr>
                  <a:lstStyle/>
                  <a:p>
                    <a:pPr>
                      <a:defRPr sz="900" b="1" i="0" u="none" strike="noStrike" kern="1200" baseline="0">
                        <a:solidFill>
                          <a:schemeClr val="accent5"/>
                        </a:solidFill>
                        <a:latin typeface="+mn-lt"/>
                        <a:ea typeface="+mn-ea"/>
                        <a:cs typeface="+mn-cs"/>
                      </a:defRPr>
                    </a:pPr>
                    <a:fld id="{3AF16A09-22ED-474E-9AFF-18BE53DB7BA7}" type="CELLRANGE">
                      <a:rPr lang="en-US" b="1">
                        <a:solidFill>
                          <a:schemeClr val="accent5"/>
                        </a:solidFill>
                      </a:rPr>
                      <a:pPr>
                        <a:defRPr sz="900" b="1" i="0" u="none" strike="noStrike" kern="1200" baseline="0">
                          <a:solidFill>
                            <a:schemeClr val="accent5"/>
                          </a:solidFill>
                          <a:latin typeface="+mn-lt"/>
                          <a:ea typeface="+mn-ea"/>
                          <a:cs typeface="+mn-cs"/>
                        </a:defRPr>
                      </a:pPr>
                      <a:t>[OBLAST BUNĚK]</a:t>
                    </a:fld>
                    <a:endParaRPr lang="cs-CZ"/>
                  </a:p>
                </c:rich>
              </c:tx>
              <c:spPr>
                <a:noFill/>
                <a:ln>
                  <a:noFill/>
                </a:ln>
                <a:effectLst/>
              </c:spPr>
              <c:showLegendKey val="0"/>
              <c:showVal val="0"/>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15:layout>
                    <c:manualLayout>
                      <c:w val="0.15145543654446111"/>
                      <c:h val="7.6290938316254761E-2"/>
                    </c:manualLayout>
                  </c15:layout>
                  <c15:dlblFieldTable/>
                  <c15:showDataLabelsRange val="1"/>
                </c:ext>
                <c:ext xmlns:c16="http://schemas.microsoft.com/office/drawing/2014/chart" uri="{C3380CC4-5D6E-409C-BE32-E72D297353CC}">
                  <c16:uniqueId val="{00000012-54B3-4612-A68C-B868A2891B08}"/>
                </c:ext>
              </c:extLst>
            </c:dLbl>
            <c:dLbl>
              <c:idx val="5"/>
              <c:layout>
                <c:manualLayout>
                  <c:x val="-0.22615031950121481"/>
                  <c:y val="0.11109609282525451"/>
                </c:manualLayout>
              </c:layout>
              <c:tx>
                <c:rich>
                  <a:bodyPr rot="0" spcFirstLastPara="1" vertOverflow="ellipsis" vert="horz" wrap="square" lIns="38100" tIns="19050" rIns="38100" bIns="19050" anchor="ctr" anchorCtr="1">
                    <a:noAutofit/>
                  </a:bodyPr>
                  <a:lstStyle/>
                  <a:p>
                    <a:pPr>
                      <a:defRPr sz="900" b="1" i="0" u="none" strike="noStrike" kern="1200" baseline="0">
                        <a:solidFill>
                          <a:schemeClr val="accent5"/>
                        </a:solidFill>
                        <a:latin typeface="+mn-lt"/>
                        <a:ea typeface="+mn-ea"/>
                        <a:cs typeface="+mn-cs"/>
                      </a:defRPr>
                    </a:pPr>
                    <a:fld id="{F4AE049A-EC3E-435C-83E7-8478C7E6B69D}" type="CELLRANGE">
                      <a:rPr lang="en-US"/>
                      <a:pPr>
                        <a:defRPr sz="900" b="1" i="0" u="none" strike="noStrike" kern="1200" baseline="0">
                          <a:solidFill>
                            <a:schemeClr val="accent5"/>
                          </a:solidFill>
                          <a:latin typeface="+mn-lt"/>
                          <a:ea typeface="+mn-ea"/>
                          <a:cs typeface="+mn-cs"/>
                        </a:defRPr>
                      </a:pPr>
                      <a:t>[OBLAST BUNĚK]</a:t>
                    </a:fld>
                    <a:endParaRPr lang="cs-CZ"/>
                  </a:p>
                </c:rich>
              </c:tx>
              <c:spPr>
                <a:noFill/>
                <a:ln>
                  <a:noFill/>
                </a:ln>
                <a:effectLst/>
              </c:spPr>
              <c:showLegendKey val="0"/>
              <c:showVal val="0"/>
              <c:showCatName val="0"/>
              <c:showSerName val="0"/>
              <c:showPercent val="0"/>
              <c:showBubbleSize val="0"/>
              <c:extLst>
                <c:ext xmlns:c15="http://schemas.microsoft.com/office/drawing/2012/chart" uri="{CE6537A1-D6FC-4f65-9D91-7224C49458BB}">
                  <c15:layout>
                    <c:manualLayout>
                      <c:w val="0.13503529309428802"/>
                      <c:h val="7.0799006343548979E-2"/>
                    </c:manualLayout>
                  </c15:layout>
                  <c15:dlblFieldTable/>
                  <c15:showDataLabelsRange val="1"/>
                </c:ext>
                <c:ext xmlns:c16="http://schemas.microsoft.com/office/drawing/2014/chart" uri="{C3380CC4-5D6E-409C-BE32-E72D297353CC}">
                  <c16:uniqueId val="{00000013-54B3-4612-A68C-B868A2891B08}"/>
                </c:ext>
              </c:extLst>
            </c:dLbl>
            <c:dLbl>
              <c:idx val="6"/>
              <c:layout>
                <c:manualLayout>
                  <c:x val="-0.29385669679574916"/>
                  <c:y val="-0.1064397454621856"/>
                </c:manualLayout>
              </c:layout>
              <c:tx>
                <c:rich>
                  <a:bodyPr/>
                  <a:lstStyle/>
                  <a:p>
                    <a:fld id="{31ACDF88-005C-4DE1-A917-AA040A3FA65C}"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4-54B3-4612-A68C-B868A2891B08}"/>
                </c:ext>
              </c:extLst>
            </c:dLbl>
            <c:dLbl>
              <c:idx val="7"/>
              <c:tx>
                <c:rich>
                  <a:bodyPr/>
                  <a:lstStyle/>
                  <a:p>
                    <a:fld id="{345A6D59-16D8-45B7-B64E-5027A8E83384}"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5-54B3-4612-A68C-B868A2891B08}"/>
                </c:ext>
              </c:extLst>
            </c:dLbl>
            <c:dLbl>
              <c:idx val="8"/>
              <c:layout>
                <c:manualLayout>
                  <c:x val="1.6923067098364528E-3"/>
                  <c:y val="-3.9903239943108381E-3"/>
                </c:manualLayout>
              </c:layout>
              <c:tx>
                <c:rich>
                  <a:bodyPr/>
                  <a:lstStyle/>
                  <a:p>
                    <a:fld id="{DCCCA540-C338-4FC4-A944-AE2B4D7A0A4A}"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6-54B3-4612-A68C-B868A2891B08}"/>
                </c:ext>
              </c:extLst>
            </c:dLbl>
            <c:dLbl>
              <c:idx val="9"/>
              <c:layout>
                <c:manualLayout>
                  <c:x val="-0.37914417119776345"/>
                  <c:y val="0.18708971683901512"/>
                </c:manualLayout>
              </c:layout>
              <c:tx>
                <c:rich>
                  <a:bodyPr rot="0" spcFirstLastPara="1" vertOverflow="ellipsis" vert="horz" wrap="square" lIns="38100" tIns="19050" rIns="38100" bIns="19050" anchor="ctr" anchorCtr="1">
                    <a:noAutofit/>
                  </a:bodyPr>
                  <a:lstStyle/>
                  <a:p>
                    <a:pPr>
                      <a:defRPr sz="900" b="1" i="0" u="none" strike="noStrike" kern="1200" baseline="0">
                        <a:solidFill>
                          <a:schemeClr val="accent1">
                            <a:lumMod val="50000"/>
                          </a:schemeClr>
                        </a:solidFill>
                        <a:latin typeface="+mn-lt"/>
                        <a:ea typeface="+mn-ea"/>
                        <a:cs typeface="+mn-cs"/>
                      </a:defRPr>
                    </a:pPr>
                    <a:fld id="{562E439D-5F2C-4832-AB6D-143F887DC7B3}" type="CELLRANGE">
                      <a:rPr lang="en-US">
                        <a:solidFill>
                          <a:schemeClr val="accent1">
                            <a:lumMod val="50000"/>
                          </a:schemeClr>
                        </a:solidFill>
                      </a:rPr>
                      <a:pPr>
                        <a:defRPr sz="900" b="1" i="0" u="none" strike="noStrike" kern="1200" baseline="0">
                          <a:solidFill>
                            <a:schemeClr val="accent1">
                              <a:lumMod val="50000"/>
                            </a:schemeClr>
                          </a:solidFill>
                          <a:latin typeface="+mn-lt"/>
                          <a:ea typeface="+mn-ea"/>
                          <a:cs typeface="+mn-cs"/>
                        </a:defRPr>
                      </a:pPr>
                      <a:t>[OBLAST BUNĚK]</a:t>
                    </a:fld>
                    <a:endParaRPr lang="cs-CZ"/>
                  </a:p>
                </c:rich>
              </c:tx>
              <c:spPr>
                <a:noFill/>
                <a:ln>
                  <a:noFill/>
                </a:ln>
                <a:effectLst/>
              </c:spPr>
              <c:showLegendKey val="0"/>
              <c:showVal val="0"/>
              <c:showCatName val="0"/>
              <c:showSerName val="0"/>
              <c:showPercent val="0"/>
              <c:showBubbleSize val="0"/>
              <c:extLst>
                <c:ext xmlns:c15="http://schemas.microsoft.com/office/drawing/2012/chart" uri="{CE6537A1-D6FC-4f65-9D91-7224C49458BB}">
                  <c15:layout>
                    <c:manualLayout>
                      <c:w val="0.24161635966863343"/>
                      <c:h val="0.12744073132412573"/>
                    </c:manualLayout>
                  </c15:layout>
                  <c15:dlblFieldTable/>
                  <c15:showDataLabelsRange val="1"/>
                </c:ext>
                <c:ext xmlns:c16="http://schemas.microsoft.com/office/drawing/2014/chart" uri="{C3380CC4-5D6E-409C-BE32-E72D297353CC}">
                  <c16:uniqueId val="{00000017-54B3-4612-A68C-B868A2891B08}"/>
                </c:ext>
              </c:extLst>
            </c:dLbl>
            <c:dLbl>
              <c:idx val="10"/>
              <c:layout>
                <c:manualLayout>
                  <c:x val="2.5841107497432337E-2"/>
                  <c:y val="0.12611053536896763"/>
                </c:manualLayout>
              </c:layout>
              <c:tx>
                <c:rich>
                  <a:bodyPr/>
                  <a:lstStyle/>
                  <a:p>
                    <a:fld id="{B6520BFA-0564-442A-900A-3D01BAAAB804}"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8-54B3-4612-A68C-B868A2891B08}"/>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accent5"/>
                    </a:solidFill>
                    <a:latin typeface="+mn-lt"/>
                    <a:ea typeface="+mn-ea"/>
                    <a:cs typeface="+mn-cs"/>
                  </a:defRPr>
                </a:pPr>
                <a:endParaRPr lang="cs-CZ"/>
              </a:p>
            </c:txP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xVal>
            <c:numRef>
              <c:f>graf_data_b!$E$9:$E$19</c:f>
              <c:numCache>
                <c:formatCode>General</c:formatCode>
                <c:ptCount val="11"/>
                <c:pt idx="0">
                  <c:v>0</c:v>
                </c:pt>
                <c:pt idx="1">
                  <c:v>3.3644859813084071</c:v>
                </c:pt>
                <c:pt idx="2">
                  <c:v>6.9958847736625529</c:v>
                </c:pt>
                <c:pt idx="3">
                  <c:v>0</c:v>
                </c:pt>
                <c:pt idx="4">
                  <c:v>-8.8088642659279728</c:v>
                </c:pt>
                <c:pt idx="5">
                  <c:v>0</c:v>
                </c:pt>
                <c:pt idx="6">
                  <c:v>-17.081447963800901</c:v>
                </c:pt>
                <c:pt idx="7">
                  <c:v>0</c:v>
                </c:pt>
                <c:pt idx="8">
                  <c:v>0</c:v>
                </c:pt>
                <c:pt idx="9">
                  <c:v>-8.5714285714285747</c:v>
                </c:pt>
                <c:pt idx="10">
                  <c:v>-6.8367346938775553</c:v>
                </c:pt>
              </c:numCache>
            </c:numRef>
          </c:xVal>
          <c:yVal>
            <c:numRef>
              <c:f>graf_data_b!$F$9:$F$19</c:f>
              <c:numCache>
                <c:formatCode>#,##0.00</c:formatCode>
                <c:ptCount val="11"/>
                <c:pt idx="0">
                  <c:v>0</c:v>
                </c:pt>
                <c:pt idx="1">
                  <c:v>0.86594641080312729</c:v>
                </c:pt>
                <c:pt idx="2">
                  <c:v>0.77430744204961377</c:v>
                </c:pt>
                <c:pt idx="3">
                  <c:v>0</c:v>
                </c:pt>
                <c:pt idx="4">
                  <c:v>0.74478029518669464</c:v>
                </c:pt>
                <c:pt idx="5">
                  <c:v>0</c:v>
                </c:pt>
                <c:pt idx="6">
                  <c:v>0.91974286354470081</c:v>
                </c:pt>
                <c:pt idx="7">
                  <c:v>0</c:v>
                </c:pt>
                <c:pt idx="8">
                  <c:v>0</c:v>
                </c:pt>
                <c:pt idx="9">
                  <c:v>0.74380941011235957</c:v>
                </c:pt>
                <c:pt idx="10">
                  <c:v>0.76341649337410811</c:v>
                </c:pt>
              </c:numCache>
            </c:numRef>
          </c:yVal>
          <c:bubbleSize>
            <c:numRef>
              <c:f>graf_data_b!$G$9:$G$19</c:f>
              <c:numCache>
                <c:formatCode>#,##0</c:formatCode>
                <c:ptCount val="11"/>
                <c:pt idx="0">
                  <c:v>0</c:v>
                </c:pt>
                <c:pt idx="1">
                  <c:v>2814</c:v>
                </c:pt>
                <c:pt idx="2">
                  <c:v>2459</c:v>
                </c:pt>
                <c:pt idx="3">
                  <c:v>0</c:v>
                </c:pt>
                <c:pt idx="4">
                  <c:v>9079</c:v>
                </c:pt>
                <c:pt idx="5">
                  <c:v>0</c:v>
                </c:pt>
                <c:pt idx="6">
                  <c:v>4463</c:v>
                </c:pt>
                <c:pt idx="7">
                  <c:v>0</c:v>
                </c:pt>
                <c:pt idx="8">
                  <c:v>0</c:v>
                </c:pt>
                <c:pt idx="9">
                  <c:v>2136</c:v>
                </c:pt>
                <c:pt idx="10">
                  <c:v>4905</c:v>
                </c:pt>
              </c:numCache>
            </c:numRef>
          </c:bubbleSize>
          <c:bubble3D val="1"/>
          <c:extLst>
            <c:ext xmlns:c15="http://schemas.microsoft.com/office/drawing/2012/chart" uri="{02D57815-91ED-43cb-92C2-25804820EDAC}">
              <c15:datalabelsRange>
                <c15:f>graf_data_b!$A$9:$A$19</c15:f>
                <c15:dlblRangeCache>
                  <c:ptCount val="11"/>
                  <c:pt idx="0">
                    <c:v>Civil engineering</c:v>
                  </c:pt>
                  <c:pt idx="1">
                    <c:v>Electrical engineering, electronic engineering, information engineering</c:v>
                  </c:pt>
                  <c:pt idx="2">
                    <c:v>Mechanical engineering</c:v>
                  </c:pt>
                  <c:pt idx="3">
                    <c:v>Chemical engineering</c:v>
                  </c:pt>
                  <c:pt idx="4">
                    <c:v>Materials engineering</c:v>
                  </c:pt>
                  <c:pt idx="5">
                    <c:v>Medical engineering</c:v>
                  </c:pt>
                  <c:pt idx="6">
                    <c:v>Environmental engineering</c:v>
                  </c:pt>
                  <c:pt idx="7">
                    <c:v>Environmental biotechnology</c:v>
                  </c:pt>
                  <c:pt idx="8">
                    <c:v>Industrial biotechnology</c:v>
                  </c:pt>
                  <c:pt idx="9">
                    <c:v>Nano-technology</c:v>
                  </c:pt>
                  <c:pt idx="10">
                    <c:v>Other engineering and technologies</c:v>
                  </c:pt>
                </c15:dlblRangeCache>
              </c15:datalabelsRange>
            </c:ext>
            <c:ext xmlns:c16="http://schemas.microsoft.com/office/drawing/2014/chart" uri="{C3380CC4-5D6E-409C-BE32-E72D297353CC}">
              <c16:uniqueId val="{00000019-54B3-4612-A68C-B868A2891B08}"/>
            </c:ext>
          </c:extLst>
        </c:ser>
        <c:ser>
          <c:idx val="3"/>
          <c:order val="3"/>
          <c:tx>
            <c:strRef>
              <c:f>graf_data_b!$I$28</c:f>
              <c:strCache>
                <c:ptCount val="1"/>
                <c:pt idx="0">
                  <c:v>4</c:v>
                </c:pt>
              </c:strCache>
            </c:strRef>
          </c:tx>
          <c:spPr>
            <a:solidFill>
              <a:srgbClr val="FFFF00">
                <a:alpha val="80000"/>
              </a:srgbClr>
            </a:solidFill>
            <a:ln w="25400">
              <a:noFill/>
            </a:ln>
            <a:effectLst>
              <a:outerShdw blurRad="57150" dist="19050" dir="5400000" algn="ctr" rotWithShape="0">
                <a:srgbClr val="000000">
                  <a:alpha val="63000"/>
                </a:srgbClr>
              </a:outerShdw>
            </a:effectLst>
          </c:spPr>
          <c:invertIfNegative val="0"/>
          <c:dLbls>
            <c:dLbl>
              <c:idx val="0"/>
              <c:layout>
                <c:manualLayout>
                  <c:x val="0.23001436936413155"/>
                  <c:y val="-0.12830835788064351"/>
                </c:manualLayout>
              </c:layout>
              <c:tx>
                <c:rich>
                  <a:bodyPr/>
                  <a:lstStyle/>
                  <a:p>
                    <a:fld id="{C6521B1D-3288-454F-91E1-0A7904233054}"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A-54B3-4612-A68C-B868A2891B08}"/>
                </c:ext>
              </c:extLst>
            </c:dLbl>
            <c:dLbl>
              <c:idx val="1"/>
              <c:tx>
                <c:rich>
                  <a:bodyPr/>
                  <a:lstStyle/>
                  <a:p>
                    <a:fld id="{1ED2680F-33F4-459F-B831-FADB94C4D83E}"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B-54B3-4612-A68C-B868A2891B08}"/>
                </c:ext>
              </c:extLst>
            </c:dLbl>
            <c:dLbl>
              <c:idx val="2"/>
              <c:tx>
                <c:rich>
                  <a:bodyPr/>
                  <a:lstStyle/>
                  <a:p>
                    <a:fld id="{CE2C2268-E614-4166-B788-E1139F066314}"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54B3-4612-A68C-B868A2891B08}"/>
                </c:ext>
              </c:extLst>
            </c:dLbl>
            <c:dLbl>
              <c:idx val="3"/>
              <c:layout>
                <c:manualLayout>
                  <c:x val="-0.23983583508194378"/>
                  <c:y val="-0.36727891046519245"/>
                </c:manualLayout>
              </c:layout>
              <c:tx>
                <c:rich>
                  <a:bodyPr rot="0" spcFirstLastPara="1" vertOverflow="ellipsis" vert="horz" wrap="square" lIns="38100" tIns="19050" rIns="38100" bIns="19050" anchor="ctr" anchorCtr="1">
                    <a:noAutofit/>
                  </a:bodyPr>
                  <a:lstStyle/>
                  <a:p>
                    <a:pPr>
                      <a:defRPr sz="900" b="1" i="0" u="none" strike="noStrike" kern="1200" baseline="0">
                        <a:solidFill>
                          <a:srgbClr val="FFC000"/>
                        </a:solidFill>
                        <a:latin typeface="+mn-lt"/>
                        <a:ea typeface="+mn-ea"/>
                        <a:cs typeface="+mn-cs"/>
                      </a:defRPr>
                    </a:pPr>
                    <a:fld id="{F61125FE-AC1A-48F0-B5A7-FEE5AACD4D00}" type="CELLRANGE">
                      <a:rPr lang="en-US"/>
                      <a:pPr>
                        <a:defRPr sz="900" b="1" i="0" u="none" strike="noStrike" kern="1200" baseline="0">
                          <a:solidFill>
                            <a:srgbClr val="FFC000"/>
                          </a:solidFill>
                          <a:latin typeface="+mn-lt"/>
                          <a:ea typeface="+mn-ea"/>
                          <a:cs typeface="+mn-cs"/>
                        </a:defRPr>
                      </a:pPr>
                      <a:t>[OBLAST BUNĚK]</a:t>
                    </a:fld>
                    <a:endParaRPr lang="cs-CZ"/>
                  </a:p>
                </c:rich>
              </c:tx>
              <c:spPr>
                <a:noFill/>
                <a:ln>
                  <a:noFill/>
                </a:ln>
                <a:effectLst/>
              </c:spPr>
              <c:showLegendKey val="0"/>
              <c:showVal val="0"/>
              <c:showCatName val="0"/>
              <c:showSerName val="0"/>
              <c:showPercent val="0"/>
              <c:showBubbleSize val="0"/>
              <c:extLst>
                <c:ext xmlns:c15="http://schemas.microsoft.com/office/drawing/2012/chart" uri="{CE6537A1-D6FC-4f65-9D91-7224C49458BB}">
                  <c15:layout>
                    <c:manualLayout>
                      <c:w val="0.15084163892614313"/>
                      <c:h val="9.1600100620333857E-2"/>
                    </c:manualLayout>
                  </c15:layout>
                  <c15:dlblFieldTable/>
                  <c15:showDataLabelsRange val="1"/>
                </c:ext>
                <c:ext xmlns:c16="http://schemas.microsoft.com/office/drawing/2014/chart" uri="{C3380CC4-5D6E-409C-BE32-E72D297353CC}">
                  <c16:uniqueId val="{0000001D-54B3-4612-A68C-B868A2891B08}"/>
                </c:ext>
              </c:extLst>
            </c:dLbl>
            <c:dLbl>
              <c:idx val="4"/>
              <c:layout>
                <c:manualLayout>
                  <c:x val="4.6998061682655738E-2"/>
                  <c:y val="0.20209268122975008"/>
                </c:manualLayout>
              </c:layout>
              <c:tx>
                <c:rich>
                  <a:bodyPr/>
                  <a:lstStyle/>
                  <a:p>
                    <a:fld id="{ADEA3E90-022C-4240-87E6-F646FFFE74EE}"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54B3-4612-A68C-B868A2891B08}"/>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FFC000"/>
                    </a:solidFill>
                    <a:latin typeface="+mn-lt"/>
                    <a:ea typeface="+mn-ea"/>
                    <a:cs typeface="+mn-cs"/>
                  </a:defRPr>
                </a:pPr>
                <a:endParaRPr lang="cs-CZ"/>
              </a:p>
            </c:txP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xVal>
            <c:numRef>
              <c:f>graf_data_b!$E$25:$E$29</c:f>
              <c:numCache>
                <c:formatCode>General</c:formatCode>
                <c:ptCount val="5"/>
                <c:pt idx="0">
                  <c:v>-5.3921568627451011</c:v>
                </c:pt>
                <c:pt idx="1">
                  <c:v>0</c:v>
                </c:pt>
                <c:pt idx="2">
                  <c:v>0</c:v>
                </c:pt>
                <c:pt idx="3">
                  <c:v>-12.209302325581394</c:v>
                </c:pt>
                <c:pt idx="4">
                  <c:v>-7.8431372549019667</c:v>
                </c:pt>
              </c:numCache>
            </c:numRef>
          </c:xVal>
          <c:yVal>
            <c:numRef>
              <c:f>graf_data_b!$F$25:$F$29</c:f>
              <c:numCache>
                <c:formatCode>#,##0.00</c:formatCode>
                <c:ptCount val="5"/>
                <c:pt idx="0">
                  <c:v>1.0355332905708787</c:v>
                </c:pt>
                <c:pt idx="1">
                  <c:v>0</c:v>
                </c:pt>
                <c:pt idx="2">
                  <c:v>0</c:v>
                </c:pt>
                <c:pt idx="3">
                  <c:v>1.1266635887965528</c:v>
                </c:pt>
                <c:pt idx="4">
                  <c:v>0.69761119641714664</c:v>
                </c:pt>
              </c:numCache>
            </c:numRef>
          </c:yVal>
          <c:bubbleSize>
            <c:numRef>
              <c:f>graf_data_b!$G$25:$G$29</c:f>
              <c:numCache>
                <c:formatCode>#,##0</c:formatCode>
                <c:ptCount val="5"/>
                <c:pt idx="0">
                  <c:v>3118</c:v>
                </c:pt>
                <c:pt idx="1">
                  <c:v>0</c:v>
                </c:pt>
                <c:pt idx="2">
                  <c:v>0</c:v>
                </c:pt>
                <c:pt idx="3">
                  <c:v>3249</c:v>
                </c:pt>
                <c:pt idx="4">
                  <c:v>1563</c:v>
                </c:pt>
              </c:numCache>
            </c:numRef>
          </c:bubbleSize>
          <c:bubble3D val="1"/>
          <c:extLst>
            <c:ext xmlns:c15="http://schemas.microsoft.com/office/drawing/2012/chart" uri="{02D57815-91ED-43cb-92C2-25804820EDAC}">
              <c15:datalabelsRange>
                <c15:f>graf_data_b!$A$25:$A$29</c15:f>
                <c15:dlblRangeCache>
                  <c:ptCount val="5"/>
                  <c:pt idx="0">
                    <c:v>Agriculture, forestry, fisheries</c:v>
                  </c:pt>
                  <c:pt idx="1">
                    <c:v>Animal and dairy science</c:v>
                  </c:pt>
                  <c:pt idx="2">
                    <c:v>Veterinary science</c:v>
                  </c:pt>
                  <c:pt idx="3">
                    <c:v>Agricultural biotechnology</c:v>
                  </c:pt>
                  <c:pt idx="4">
                    <c:v>Other agricultural sciences</c:v>
                  </c:pt>
                </c15:dlblRangeCache>
              </c15:datalabelsRange>
            </c:ext>
            <c:ext xmlns:c16="http://schemas.microsoft.com/office/drawing/2014/chart" uri="{C3380CC4-5D6E-409C-BE32-E72D297353CC}">
              <c16:uniqueId val="{0000001F-54B3-4612-A68C-B868A2891B08}"/>
            </c:ext>
          </c:extLst>
        </c:ser>
        <c:ser>
          <c:idx val="4"/>
          <c:order val="4"/>
          <c:tx>
            <c:strRef>
              <c:f>graf_data_b!$I$37</c:f>
              <c:strCache>
                <c:ptCount val="1"/>
                <c:pt idx="0">
                  <c:v>5</c:v>
                </c:pt>
              </c:strCache>
            </c:strRef>
          </c:tx>
          <c:spPr>
            <a:solidFill>
              <a:srgbClr val="B9A8CE">
                <a:alpha val="70000"/>
              </a:srgbClr>
            </a:solidFill>
            <a:ln w="25400">
              <a:noFill/>
            </a:ln>
            <a:effectLst>
              <a:outerShdw blurRad="57150" dist="19050" dir="5400000" algn="ctr" rotWithShape="0">
                <a:srgbClr val="000000">
                  <a:alpha val="63000"/>
                </a:srgbClr>
              </a:outerShdw>
            </a:effectLst>
          </c:spPr>
          <c:invertIfNegative val="0"/>
          <c:dLbls>
            <c:dLbl>
              <c:idx val="0"/>
              <c:layout>
                <c:manualLayout>
                  <c:x val="-0.14296077953759434"/>
                  <c:y val="0.10130363451404002"/>
                </c:manualLayout>
              </c:layout>
              <c:tx>
                <c:rich>
                  <a:bodyPr/>
                  <a:lstStyle/>
                  <a:p>
                    <a:fld id="{55FFC493-88CE-4F87-9A26-41E79FB07D74}"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0-54B3-4612-A68C-B868A2891B08}"/>
                </c:ext>
              </c:extLst>
            </c:dLbl>
            <c:dLbl>
              <c:idx val="1"/>
              <c:layout>
                <c:manualLayout>
                  <c:x val="0.23978400793959817"/>
                  <c:y val="9.9856841618174486E-2"/>
                </c:manualLayout>
              </c:layout>
              <c:tx>
                <c:rich>
                  <a:bodyPr/>
                  <a:lstStyle/>
                  <a:p>
                    <a:fld id="{002AEB33-7F87-4A12-B6C9-DCCD45A0BF36}"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54B3-4612-A68C-B868A2891B08}"/>
                </c:ext>
              </c:extLst>
            </c:dLbl>
            <c:dLbl>
              <c:idx val="2"/>
              <c:tx>
                <c:rich>
                  <a:bodyPr/>
                  <a:lstStyle/>
                  <a:p>
                    <a:fld id="{C96EF041-6A1C-413E-AA6B-B5160B605B0C}"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2-54B3-4612-A68C-B868A2891B08}"/>
                </c:ext>
              </c:extLst>
            </c:dLbl>
            <c:dLbl>
              <c:idx val="3"/>
              <c:tx>
                <c:rich>
                  <a:bodyPr/>
                  <a:lstStyle/>
                  <a:p>
                    <a:fld id="{9B951FE2-CDD4-4718-A6D6-EAE363CADC4D}"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3-54B3-4612-A68C-B868A2891B08}"/>
                </c:ext>
              </c:extLst>
            </c:dLbl>
            <c:dLbl>
              <c:idx val="4"/>
              <c:tx>
                <c:rich>
                  <a:bodyPr/>
                  <a:lstStyle/>
                  <a:p>
                    <a:fld id="{C2783DFB-399C-4A70-B1B4-53A63DEB34EF}"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4-54B3-4612-A68C-B868A2891B08}"/>
                </c:ext>
              </c:extLst>
            </c:dLbl>
            <c:dLbl>
              <c:idx val="5"/>
              <c:layout>
                <c:manualLayout>
                  <c:x val="-6.3855156791531595E-3"/>
                  <c:y val="-2.7785134453130068E-2"/>
                </c:manualLayout>
              </c:layout>
              <c:tx>
                <c:rich>
                  <a:bodyPr/>
                  <a:lstStyle/>
                  <a:p>
                    <a:fld id="{260F4E68-3C92-468B-9DF7-25861380A2A9}"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54B3-4612-A68C-B868A2891B08}"/>
                </c:ext>
              </c:extLst>
            </c:dLbl>
            <c:dLbl>
              <c:idx val="6"/>
              <c:layout>
                <c:manualLayout>
                  <c:x val="-0.19891114996517004"/>
                  <c:y val="-0.25580403888668207"/>
                </c:manualLayout>
              </c:layout>
              <c:tx>
                <c:rich>
                  <a:bodyPr/>
                  <a:lstStyle/>
                  <a:p>
                    <a:fld id="{AC4EEAC3-9B1C-458E-B7A9-C9FC3CB80C73}"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6-54B3-4612-A68C-B868A2891B08}"/>
                </c:ext>
              </c:extLst>
            </c:dLbl>
            <c:dLbl>
              <c:idx val="7"/>
              <c:tx>
                <c:rich>
                  <a:bodyPr/>
                  <a:lstStyle/>
                  <a:p>
                    <a:fld id="{76E0F6F2-72A1-4CC6-9EEA-7B50FE4516A9}"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7-54B3-4612-A68C-B868A2891B08}"/>
                </c:ext>
              </c:extLst>
            </c:dLbl>
            <c:dLbl>
              <c:idx val="8"/>
              <c:tx>
                <c:rich>
                  <a:bodyPr/>
                  <a:lstStyle/>
                  <a:p>
                    <a:fld id="{BA7F7B78-0A50-4A53-95DE-1F836F9F757E}"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8-54B3-4612-A68C-B868A2891B08}"/>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B9A8CE"/>
                    </a:solidFill>
                    <a:latin typeface="+mn-lt"/>
                    <a:ea typeface="+mn-ea"/>
                    <a:cs typeface="+mn-cs"/>
                  </a:defRPr>
                </a:pPr>
                <a:endParaRPr lang="cs-CZ"/>
              </a:p>
            </c:txP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xVal>
            <c:numRef>
              <c:f>graf_data_b!$E$30:$E$38</c:f>
              <c:numCache>
                <c:formatCode>General</c:formatCode>
                <c:ptCount val="9"/>
                <c:pt idx="0">
                  <c:v>0</c:v>
                </c:pt>
                <c:pt idx="1">
                  <c:v>10.743801652892571</c:v>
                </c:pt>
                <c:pt idx="2">
                  <c:v>0</c:v>
                </c:pt>
                <c:pt idx="3">
                  <c:v>0</c:v>
                </c:pt>
                <c:pt idx="4">
                  <c:v>0</c:v>
                </c:pt>
                <c:pt idx="5">
                  <c:v>0</c:v>
                </c:pt>
                <c:pt idx="6">
                  <c:v>-21.572580645161288</c:v>
                </c:pt>
                <c:pt idx="7">
                  <c:v>0</c:v>
                </c:pt>
                <c:pt idx="8">
                  <c:v>0</c:v>
                </c:pt>
              </c:numCache>
            </c:numRef>
          </c:xVal>
          <c:yVal>
            <c:numRef>
              <c:f>graf_data_b!$F$30:$F$38</c:f>
              <c:numCache>
                <c:formatCode>#,##0.00</c:formatCode>
                <c:ptCount val="9"/>
                <c:pt idx="0">
                  <c:v>0</c:v>
                </c:pt>
                <c:pt idx="1">
                  <c:v>0.7452662388175807</c:v>
                </c:pt>
                <c:pt idx="2">
                  <c:v>0</c:v>
                </c:pt>
                <c:pt idx="3">
                  <c:v>0</c:v>
                </c:pt>
                <c:pt idx="4">
                  <c:v>0</c:v>
                </c:pt>
                <c:pt idx="5">
                  <c:v>0</c:v>
                </c:pt>
                <c:pt idx="6">
                  <c:v>1.0223500443262412</c:v>
                </c:pt>
                <c:pt idx="7">
                  <c:v>0</c:v>
                </c:pt>
                <c:pt idx="8">
                  <c:v>0</c:v>
                </c:pt>
              </c:numCache>
            </c:numRef>
          </c:yVal>
          <c:bubbleSize>
            <c:numRef>
              <c:f>graf_data_b!$G$30:$G$38</c:f>
              <c:numCache>
                <c:formatCode>#,##0</c:formatCode>
                <c:ptCount val="9"/>
                <c:pt idx="0">
                  <c:v>0</c:v>
                </c:pt>
                <c:pt idx="1">
                  <c:v>2571</c:v>
                </c:pt>
                <c:pt idx="2">
                  <c:v>0</c:v>
                </c:pt>
                <c:pt idx="3">
                  <c:v>0</c:v>
                </c:pt>
                <c:pt idx="4">
                  <c:v>0</c:v>
                </c:pt>
                <c:pt idx="5">
                  <c:v>0</c:v>
                </c:pt>
                <c:pt idx="6">
                  <c:v>2256</c:v>
                </c:pt>
                <c:pt idx="7">
                  <c:v>0</c:v>
                </c:pt>
                <c:pt idx="8">
                  <c:v>0</c:v>
                </c:pt>
              </c:numCache>
            </c:numRef>
          </c:bubbleSize>
          <c:bubble3D val="1"/>
          <c:extLst>
            <c:ext xmlns:c15="http://schemas.microsoft.com/office/drawing/2012/chart" uri="{02D57815-91ED-43cb-92C2-25804820EDAC}">
              <c15:datalabelsRange>
                <c15:f>graf_data_b!$A$30:$A$38</c15:f>
                <c15:dlblRangeCache>
                  <c:ptCount val="9"/>
                  <c:pt idx="0">
                    <c:v>Psychology and cognitive sciences</c:v>
                  </c:pt>
                  <c:pt idx="1">
                    <c:v>Economics and business</c:v>
                  </c:pt>
                  <c:pt idx="2">
                    <c:v>Education</c:v>
                  </c:pt>
                  <c:pt idx="3">
                    <c:v>Sociology</c:v>
                  </c:pt>
                  <c:pt idx="4">
                    <c:v>Law</c:v>
                  </c:pt>
                  <c:pt idx="5">
                    <c:v>Political science</c:v>
                  </c:pt>
                  <c:pt idx="6">
                    <c:v>Social and economic geography</c:v>
                  </c:pt>
                  <c:pt idx="7">
                    <c:v>Media and communications</c:v>
                  </c:pt>
                  <c:pt idx="8">
                    <c:v>Other social sciences</c:v>
                  </c:pt>
                </c15:dlblRangeCache>
              </c15:datalabelsRange>
            </c:ext>
            <c:ext xmlns:c16="http://schemas.microsoft.com/office/drawing/2014/chart" uri="{C3380CC4-5D6E-409C-BE32-E72D297353CC}">
              <c16:uniqueId val="{00000029-54B3-4612-A68C-B868A2891B08}"/>
            </c:ext>
          </c:extLst>
        </c:ser>
        <c:ser>
          <c:idx val="5"/>
          <c:order val="5"/>
          <c:tx>
            <c:strRef>
              <c:f>graf_data_b!$I$39</c:f>
              <c:strCache>
                <c:ptCount val="1"/>
                <c:pt idx="0">
                  <c:v>6</c:v>
                </c:pt>
              </c:strCache>
            </c:strRef>
          </c:tx>
          <c:invertIfNegative val="0"/>
          <c:dLbls>
            <c:dLbl>
              <c:idx val="0"/>
              <c:tx>
                <c:rich>
                  <a:bodyPr/>
                  <a:lstStyle/>
                  <a:p>
                    <a:fld id="{DF138832-E2AB-4CBD-BA49-C686FBDB0981}"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A-54B3-4612-A68C-B868A2891B08}"/>
                </c:ext>
              </c:extLst>
            </c:dLbl>
            <c:dLbl>
              <c:idx val="1"/>
              <c:layout>
                <c:manualLayout>
                  <c:x val="-0.21610109164073324"/>
                  <c:y val="8.3699518727767316E-3"/>
                </c:manualLayout>
              </c:layout>
              <c:tx>
                <c:rich>
                  <a:bodyPr/>
                  <a:lstStyle/>
                  <a:p>
                    <a:fld id="{D0B246A4-A8AF-4B7D-A322-D62FB3CB3DEB}"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layout>
                    <c:manualLayout>
                      <c:w val="0.18075826562793706"/>
                      <c:h val="5.224942456580875E-2"/>
                    </c:manualLayout>
                  </c15:layout>
                  <c15:dlblFieldTable/>
                  <c15:showDataLabelsRange val="1"/>
                </c:ext>
                <c:ext xmlns:c16="http://schemas.microsoft.com/office/drawing/2014/chart" uri="{C3380CC4-5D6E-409C-BE32-E72D297353CC}">
                  <c16:uniqueId val="{0000002B-54B3-4612-A68C-B868A2891B08}"/>
                </c:ext>
              </c:extLst>
            </c:dLbl>
            <c:dLbl>
              <c:idx val="2"/>
              <c:tx>
                <c:rich>
                  <a:bodyPr/>
                  <a:lstStyle/>
                  <a:p>
                    <a:fld id="{858A9BE8-E6EF-47B3-ACE4-ACDEE014FC43}"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54B3-4612-A68C-B868A2891B08}"/>
                </c:ext>
              </c:extLst>
            </c:dLbl>
            <c:dLbl>
              <c:idx val="3"/>
              <c:tx>
                <c:rich>
                  <a:bodyPr/>
                  <a:lstStyle/>
                  <a:p>
                    <a:fld id="{E6A59044-4FC6-4966-B432-F7732C6B395B}"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D-54B3-4612-A68C-B868A2891B08}"/>
                </c:ext>
              </c:extLst>
            </c:dLbl>
            <c:dLbl>
              <c:idx val="4"/>
              <c:tx>
                <c:rich>
                  <a:bodyPr/>
                  <a:lstStyle/>
                  <a:p>
                    <a:fld id="{B7131B92-663F-4554-B32E-B4B314C68A5E}"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E-54B3-4612-A68C-B868A2891B08}"/>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F07611"/>
                    </a:solidFill>
                    <a:latin typeface="+mn-lt"/>
                    <a:ea typeface="+mn-ea"/>
                    <a:cs typeface="+mn-cs"/>
                  </a:defRPr>
                </a:pPr>
                <a:endParaRPr lang="cs-CZ"/>
              </a:p>
            </c:txP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xVal>
            <c:numRef>
              <c:f>graf_data_b!$E$39:$E$43</c:f>
              <c:numCache>
                <c:formatCode>General</c:formatCode>
                <c:ptCount val="5"/>
                <c:pt idx="0">
                  <c:v>0</c:v>
                </c:pt>
                <c:pt idx="1">
                  <c:v>0</c:v>
                </c:pt>
                <c:pt idx="2">
                  <c:v>0</c:v>
                </c:pt>
                <c:pt idx="3">
                  <c:v>0</c:v>
                </c:pt>
                <c:pt idx="4">
                  <c:v>0</c:v>
                </c:pt>
              </c:numCache>
            </c:numRef>
          </c:xVal>
          <c:yVal>
            <c:numRef>
              <c:f>graf_data_b!$F$39:$F$43</c:f>
              <c:numCache>
                <c:formatCode>#,##0.00</c:formatCode>
                <c:ptCount val="5"/>
                <c:pt idx="0">
                  <c:v>0</c:v>
                </c:pt>
                <c:pt idx="1">
                  <c:v>0</c:v>
                </c:pt>
                <c:pt idx="2">
                  <c:v>0</c:v>
                </c:pt>
                <c:pt idx="3">
                  <c:v>0</c:v>
                </c:pt>
                <c:pt idx="4">
                  <c:v>0</c:v>
                </c:pt>
              </c:numCache>
            </c:numRef>
          </c:yVal>
          <c:bubbleSize>
            <c:numRef>
              <c:f>graf_data_b!$G$39:$G$43</c:f>
              <c:numCache>
                <c:formatCode>#,##0</c:formatCode>
                <c:ptCount val="5"/>
                <c:pt idx="0">
                  <c:v>0</c:v>
                </c:pt>
                <c:pt idx="1">
                  <c:v>0</c:v>
                </c:pt>
                <c:pt idx="2">
                  <c:v>0</c:v>
                </c:pt>
                <c:pt idx="3">
                  <c:v>0</c:v>
                </c:pt>
                <c:pt idx="4">
                  <c:v>0</c:v>
                </c:pt>
              </c:numCache>
            </c:numRef>
          </c:bubbleSize>
          <c:bubble3D val="1"/>
          <c:extLst>
            <c:ext xmlns:c15="http://schemas.microsoft.com/office/drawing/2012/chart" uri="{02D57815-91ED-43cb-92C2-25804820EDAC}">
              <c15:datalabelsRange>
                <c15:f>graf_data_b!$A$39:$A$43</c15:f>
                <c15:dlblRangeCache>
                  <c:ptCount val="5"/>
                  <c:pt idx="0">
                    <c:v>History and archaeology</c:v>
                  </c:pt>
                  <c:pt idx="1">
                    <c:v>Languages and literature</c:v>
                  </c:pt>
                  <c:pt idx="2">
                    <c:v>Philosophy, ethics and religion</c:v>
                  </c:pt>
                  <c:pt idx="3">
                    <c:v>Arts</c:v>
                  </c:pt>
                  <c:pt idx="4">
                    <c:v>Other Humanities</c:v>
                  </c:pt>
                </c15:dlblRangeCache>
              </c15:datalabelsRange>
            </c:ext>
            <c:ext xmlns:c16="http://schemas.microsoft.com/office/drawing/2014/chart" uri="{C3380CC4-5D6E-409C-BE32-E72D297353CC}">
              <c16:uniqueId val="{0000002F-54B3-4612-A68C-B868A2891B08}"/>
            </c:ext>
          </c:extLst>
        </c:ser>
        <c:ser>
          <c:idx val="6"/>
          <c:order val="6"/>
          <c:tx>
            <c:strRef>
              <c:f>osy!$A$1</c:f>
              <c:strCache>
                <c:ptCount val="1"/>
                <c:pt idx="0">
                  <c:v>trend0a</c:v>
                </c:pt>
              </c:strCache>
            </c:strRef>
          </c:tx>
          <c:spPr>
            <a:noFill/>
            <a:ln w="25400">
              <a:noFill/>
            </a:ln>
            <a:effectLst>
              <a:outerShdw blurRad="57150" dist="19050" dir="5400000" algn="ctr" rotWithShape="0">
                <a:srgbClr val="000000">
                  <a:alpha val="63000"/>
                </a:srgbClr>
              </a:outerShdw>
            </a:effectLst>
          </c:spPr>
          <c:invertIfNegative val="0"/>
          <c:errBars>
            <c:errDir val="x"/>
            <c:errBarType val="both"/>
            <c:errValType val="fixedVal"/>
            <c:noEndCap val="0"/>
            <c:val val="500"/>
            <c:spPr>
              <a:noFill/>
              <a:ln w="9525" cap="flat" cmpd="sng" algn="ctr">
                <a:solidFill>
                  <a:schemeClr val="tx1">
                    <a:lumMod val="65000"/>
                    <a:lumOff val="35000"/>
                  </a:schemeClr>
                </a:solidFill>
                <a:prstDash val="dash"/>
                <a:round/>
              </a:ln>
              <a:effectLst/>
            </c:spPr>
          </c:errBars>
          <c:xVal>
            <c:numRef>
              <c:f>osy!$B$2</c:f>
              <c:numCache>
                <c:formatCode>General</c:formatCode>
                <c:ptCount val="1"/>
                <c:pt idx="0">
                  <c:v>-20</c:v>
                </c:pt>
              </c:numCache>
            </c:numRef>
          </c:xVal>
          <c:yVal>
            <c:numRef>
              <c:f>osy!$C$2</c:f>
              <c:numCache>
                <c:formatCode>General</c:formatCode>
                <c:ptCount val="1"/>
                <c:pt idx="0">
                  <c:v>1</c:v>
                </c:pt>
              </c:numCache>
            </c:numRef>
          </c:yVal>
          <c:bubbleSize>
            <c:numLit>
              <c:formatCode>General</c:formatCode>
              <c:ptCount val="1"/>
              <c:pt idx="0">
                <c:v>1</c:v>
              </c:pt>
            </c:numLit>
          </c:bubbleSize>
          <c:bubble3D val="1"/>
          <c:extLst>
            <c:ext xmlns:c16="http://schemas.microsoft.com/office/drawing/2014/chart" uri="{C3380CC4-5D6E-409C-BE32-E72D297353CC}">
              <c16:uniqueId val="{00000030-54B3-4612-A68C-B868A2891B08}"/>
            </c:ext>
          </c:extLst>
        </c:ser>
        <c:ser>
          <c:idx val="7"/>
          <c:order val="7"/>
          <c:tx>
            <c:strRef>
              <c:f>osy!$A$3</c:f>
              <c:strCache>
                <c:ptCount val="1"/>
                <c:pt idx="0">
                  <c:v>trend00</c:v>
                </c:pt>
              </c:strCache>
            </c:strRef>
          </c:tx>
          <c:spPr>
            <a:noFill/>
            <a:ln w="25400">
              <a:noFill/>
            </a:ln>
            <a:effectLst>
              <a:outerShdw blurRad="57150" dist="19050" dir="5400000" algn="ctr" rotWithShape="0">
                <a:srgbClr val="000000">
                  <a:alpha val="63000"/>
                </a:srgbClr>
              </a:outerShdw>
            </a:effectLst>
          </c:spPr>
          <c:invertIfNegative val="0"/>
          <c:errBars>
            <c:errDir val="y"/>
            <c:errBarType val="both"/>
            <c:errValType val="fixedVal"/>
            <c:noEndCap val="1"/>
            <c:val val="2.5"/>
            <c:spPr>
              <a:noFill/>
              <a:ln w="9525" cap="flat" cmpd="sng" algn="ctr">
                <a:solidFill>
                  <a:schemeClr val="tx1">
                    <a:lumMod val="65000"/>
                    <a:lumOff val="35000"/>
                  </a:schemeClr>
                </a:solidFill>
                <a:prstDash val="dash"/>
                <a:round/>
              </a:ln>
              <a:effectLst/>
            </c:spPr>
          </c:errBars>
          <c:xVal>
            <c:numRef>
              <c:f>osy!$B$3</c:f>
              <c:numCache>
                <c:formatCode>General</c:formatCode>
                <c:ptCount val="1"/>
                <c:pt idx="0">
                  <c:v>0</c:v>
                </c:pt>
              </c:numCache>
            </c:numRef>
          </c:xVal>
          <c:yVal>
            <c:numRef>
              <c:f>osy!$C$3</c:f>
              <c:numCache>
                <c:formatCode>General</c:formatCode>
                <c:ptCount val="1"/>
                <c:pt idx="0">
                  <c:v>0</c:v>
                </c:pt>
              </c:numCache>
            </c:numRef>
          </c:yVal>
          <c:bubbleSize>
            <c:numLit>
              <c:formatCode>General</c:formatCode>
              <c:ptCount val="1"/>
              <c:pt idx="0">
                <c:v>1</c:v>
              </c:pt>
            </c:numLit>
          </c:bubbleSize>
          <c:bubble3D val="1"/>
          <c:extLst>
            <c:ext xmlns:c16="http://schemas.microsoft.com/office/drawing/2014/chart" uri="{C3380CC4-5D6E-409C-BE32-E72D297353CC}">
              <c16:uniqueId val="{00000031-54B3-4612-A68C-B868A2891B08}"/>
            </c:ext>
          </c:extLst>
        </c:ser>
        <c:dLbls>
          <c:showLegendKey val="0"/>
          <c:showVal val="0"/>
          <c:showCatName val="0"/>
          <c:showSerName val="0"/>
          <c:showPercent val="0"/>
          <c:showBubbleSize val="0"/>
        </c:dLbls>
        <c:bubbleScale val="100"/>
        <c:showNegBubbles val="0"/>
        <c:sizeRepresents val="w"/>
        <c:axId val="1630889775"/>
        <c:axId val="1630893935"/>
      </c:bubbleChart>
      <c:valAx>
        <c:axId val="1630889775"/>
        <c:scaling>
          <c:orientation val="minMax"/>
          <c:max val="100"/>
          <c:min val="-50"/>
        </c:scaling>
        <c:delete val="0"/>
        <c:axPos val="b"/>
        <c:majorGridlines>
          <c:spPr>
            <a:ln w="9525" cap="flat" cmpd="sng" algn="ctr">
              <a:noFill/>
              <a:round/>
            </a:ln>
            <a:effectLst/>
          </c:spPr>
        </c:majorGridlines>
        <c:title>
          <c:tx>
            <c:strRef>
              <c:f>graf_data_b!$A$53</c:f>
              <c:strCache>
                <c:ptCount val="1"/>
                <c:pt idx="0">
                  <c:v>změna v počtu publikací mezi roky 2020 a 2024 (%)</c:v>
                </c:pt>
              </c:strCache>
            </c:strRef>
          </c:tx>
          <c:overlay val="0"/>
          <c:txPr>
            <a:bodyPr/>
            <a:lstStyle/>
            <a:p>
              <a:pPr>
                <a:defRPr/>
              </a:pPr>
              <a:endParaRPr lang="cs-CZ"/>
            </a:p>
          </c:txPr>
        </c:title>
        <c:numFmt formatCode="#,##0.0" sourceLinked="0"/>
        <c:majorTickMark val="out"/>
        <c:minorTickMark val="none"/>
        <c:tickLblPos val="nextTo"/>
        <c:spPr>
          <a:noFill/>
          <a:ln w="9525" cap="flat" cmpd="sng" algn="ctr">
            <a:solidFill>
              <a:schemeClr val="tx1">
                <a:lumMod val="50000"/>
                <a:lumOff val="50000"/>
              </a:schemeClr>
            </a:solidFill>
            <a:round/>
            <a:tailEnd type="stealth"/>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630893935"/>
        <c:crossesAt val="-20"/>
        <c:crossBetween val="midCat"/>
        <c:majorUnit val="25"/>
      </c:valAx>
      <c:valAx>
        <c:axId val="1630893935"/>
        <c:scaling>
          <c:orientation val="minMax"/>
          <c:max val="2.5"/>
          <c:min val="0"/>
        </c:scaling>
        <c:delete val="0"/>
        <c:axPos val="l"/>
        <c:majorGridlines>
          <c:spPr>
            <a:ln w="9525" cap="flat" cmpd="sng" algn="ctr">
              <a:noFill/>
              <a:round/>
            </a:ln>
            <a:effectLst/>
          </c:spPr>
        </c:majorGridlines>
        <c:title>
          <c:tx>
            <c:strRef>
              <c:f>graf_data_b!$A$52</c:f>
              <c:strCache>
                <c:ptCount val="1"/>
                <c:pt idx="0">
                  <c:v>Normalized Citation Impact (2020–2024)</c:v>
                </c:pt>
              </c:strCache>
            </c:strRef>
          </c:tx>
          <c:overlay val="0"/>
          <c:txPr>
            <a:bodyPr/>
            <a:lstStyle/>
            <a:p>
              <a:pPr>
                <a:defRPr/>
              </a:pPr>
              <a:endParaRPr lang="cs-CZ"/>
            </a:p>
          </c:txPr>
        </c:title>
        <c:numFmt formatCode="#,##0.00" sourceLinked="1"/>
        <c:majorTickMark val="out"/>
        <c:minorTickMark val="none"/>
        <c:tickLblPos val="nextTo"/>
        <c:spPr>
          <a:noFill/>
          <a:ln>
            <a:solidFill>
              <a:schemeClr val="tx1">
                <a:lumMod val="50000"/>
                <a:lumOff val="50000"/>
              </a:schemeClr>
            </a:solidFill>
            <a:tailEnd type="stealth"/>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630889775"/>
        <c:crossesAt val="-100"/>
        <c:crossBetween val="midCat"/>
      </c:valAx>
      <c:spPr>
        <a:noFill/>
        <a:ln>
          <a:noFill/>
        </a:ln>
        <a:effectLst/>
      </c:spPr>
    </c:plotArea>
    <c:plotVisOnly val="1"/>
    <c:dispBlanksAs val="gap"/>
    <c:showDLblsOverMax val="0"/>
  </c:chart>
  <c:spPr>
    <a:noFill/>
    <a:ln w="9525" cap="flat" cmpd="sng" algn="ctr">
      <a:noFill/>
      <a:round/>
    </a:ln>
    <a:effectLst/>
  </c:spPr>
  <c:txPr>
    <a:bodyPr/>
    <a:lstStyle/>
    <a:p>
      <a:pPr>
        <a:defRPr/>
      </a:pPr>
      <a:endParaRPr lang="cs-CZ"/>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ubbleChart>
        <c:varyColors val="0"/>
        <c:ser>
          <c:idx val="0"/>
          <c:order val="0"/>
          <c:tx>
            <c:strRef>
              <c:f>graf_data_c!$I$4</c:f>
              <c:strCache>
                <c:ptCount val="1"/>
                <c:pt idx="0">
                  <c:v>1</c:v>
                </c:pt>
              </c:strCache>
            </c:strRef>
          </c:tx>
          <c:spPr>
            <a:solidFill>
              <a:schemeClr val="accent6">
                <a:lumMod val="75000"/>
                <a:alpha val="70000"/>
              </a:schemeClr>
            </a:solidFill>
            <a:ln w="12700">
              <a:solidFill>
                <a:schemeClr val="accent6">
                  <a:lumMod val="75000"/>
                </a:schemeClr>
              </a:solidFill>
            </a:ln>
            <a:effectLst>
              <a:outerShdw blurRad="57150" dist="19050" dir="5400000" algn="ctr" rotWithShape="0">
                <a:srgbClr val="000000">
                  <a:alpha val="63000"/>
                </a:srgbClr>
              </a:outerShdw>
            </a:effectLst>
          </c:spPr>
          <c:invertIfNegative val="0"/>
          <c:dPt>
            <c:idx val="5"/>
            <c:invertIfNegative val="0"/>
            <c:bubble3D val="1"/>
            <c:spPr>
              <a:noFill/>
              <a:ln w="12700">
                <a:noFill/>
              </a:ln>
              <a:effectLst/>
            </c:spPr>
            <c:extLst>
              <c:ext xmlns:c16="http://schemas.microsoft.com/office/drawing/2014/chart" uri="{C3380CC4-5D6E-409C-BE32-E72D297353CC}">
                <c16:uniqueId val="{00000001-366F-43B3-A209-1B2E6AEDA45F}"/>
              </c:ext>
            </c:extLst>
          </c:dPt>
          <c:dLbls>
            <c:dLbl>
              <c:idx val="0"/>
              <c:layout>
                <c:manualLayout>
                  <c:x val="-0.20079418951941352"/>
                  <c:y val="7.3426391380926728E-2"/>
                </c:manualLayout>
              </c:layout>
              <c:tx>
                <c:rich>
                  <a:bodyPr/>
                  <a:lstStyle/>
                  <a:p>
                    <a:fld id="{8F6C38F6-9E8E-49D7-9609-2A6860BA0BEB}" type="CELLRANGE">
                      <a:rPr lang="en-US"/>
                      <a:pPr/>
                      <a:t>[OBLAST BUNĚK]</a:t>
                    </a:fld>
                    <a:endParaRPr lang="cs-CZ"/>
                  </a:p>
                </c:rich>
              </c:tx>
              <c:dLblPos val="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2-366F-43B3-A209-1B2E6AEDA45F}"/>
                </c:ext>
              </c:extLst>
            </c:dLbl>
            <c:dLbl>
              <c:idx val="1"/>
              <c:layout>
                <c:manualLayout>
                  <c:x val="-0.10133774723782873"/>
                  <c:y val="0.14868478069243227"/>
                </c:manualLayout>
              </c:layout>
              <c:tx>
                <c:rich>
                  <a:bodyPr/>
                  <a:lstStyle/>
                  <a:p>
                    <a:fld id="{D5EC6DB3-B0B6-4EFA-822A-348A5626DB6A}" type="CELLRANGE">
                      <a:rPr lang="en-US"/>
                      <a:pPr/>
                      <a:t>[OBLAST BUNĚK]</a:t>
                    </a:fld>
                    <a:endParaRPr lang="cs-CZ"/>
                  </a:p>
                </c:rich>
              </c:tx>
              <c:dLblPos val="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3-366F-43B3-A209-1B2E6AEDA45F}"/>
                </c:ext>
              </c:extLst>
            </c:dLbl>
            <c:dLbl>
              <c:idx val="2"/>
              <c:layout>
                <c:manualLayout>
                  <c:x val="-0.30644645878151172"/>
                  <c:y val="-0.13489528498203263"/>
                </c:manualLayout>
              </c:layout>
              <c:tx>
                <c:rich>
                  <a:bodyPr/>
                  <a:lstStyle/>
                  <a:p>
                    <a:fld id="{11DE0784-B7A7-491D-B13E-9CB181E0645F}" type="CELLRANGE">
                      <a:rPr lang="en-US"/>
                      <a:pPr/>
                      <a:t>[OBLAST BUNĚK]</a:t>
                    </a:fld>
                    <a:endParaRPr lang="cs-CZ"/>
                  </a:p>
                </c:rich>
              </c:tx>
              <c:dLblPos val="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4-366F-43B3-A209-1B2E6AEDA45F}"/>
                </c:ext>
              </c:extLst>
            </c:dLbl>
            <c:dLbl>
              <c:idx val="3"/>
              <c:layout>
                <c:manualLayout>
                  <c:x val="-1.726322256800128E-2"/>
                  <c:y val="-0.21080193365659808"/>
                </c:manualLayout>
              </c:layout>
              <c:tx>
                <c:rich>
                  <a:bodyPr rot="0" spcFirstLastPara="1" vertOverflow="ellipsis" vert="horz" wrap="square" lIns="38100" tIns="19050" rIns="38100" bIns="19050" anchor="ctr" anchorCtr="1">
                    <a:noAutofit/>
                  </a:bodyPr>
                  <a:lstStyle/>
                  <a:p>
                    <a:pPr>
                      <a:defRPr sz="900" b="1" i="0" u="none" strike="noStrike" kern="1200" baseline="0">
                        <a:solidFill>
                          <a:schemeClr val="accent6">
                            <a:lumMod val="50000"/>
                          </a:schemeClr>
                        </a:solidFill>
                        <a:latin typeface="+mn-lt"/>
                        <a:ea typeface="+mn-ea"/>
                        <a:cs typeface="+mn-cs"/>
                      </a:defRPr>
                    </a:pPr>
                    <a:fld id="{0D89BE9E-A9F3-44C0-9C26-9A8324503629}" type="CELLRANGE">
                      <a:rPr lang="en-US"/>
                      <a:pPr>
                        <a:defRPr b="1">
                          <a:solidFill>
                            <a:schemeClr val="accent6">
                              <a:lumMod val="50000"/>
                            </a:schemeClr>
                          </a:solidFill>
                        </a:defRPr>
                      </a:pPr>
                      <a:t>[OBLAST BUNĚK]</a:t>
                    </a:fld>
                    <a:endParaRPr lang="cs-CZ"/>
                  </a:p>
                </c:rich>
              </c:tx>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chemeClr val="accent6">
                          <a:lumMod val="50000"/>
                        </a:schemeClr>
                      </a:solidFill>
                      <a:latin typeface="+mn-lt"/>
                      <a:ea typeface="+mn-ea"/>
                      <a:cs typeface="+mn-cs"/>
                    </a:defRPr>
                  </a:pPr>
                  <a:endParaRPr lang="cs-CZ"/>
                </a:p>
              </c:txPr>
              <c:dLblPos val="r"/>
              <c:showLegendKey val="0"/>
              <c:showVal val="0"/>
              <c:showCatName val="0"/>
              <c:showSerName val="0"/>
              <c:showPercent val="0"/>
              <c:showBubbleSize val="0"/>
              <c:extLst>
                <c:ext xmlns:c15="http://schemas.microsoft.com/office/drawing/2012/chart" uri="{CE6537A1-D6FC-4f65-9D91-7224C49458BB}">
                  <c15:layout>
                    <c:manualLayout>
                      <c:w val="0.11697612732095489"/>
                      <c:h val="6.4835822075912819E-2"/>
                    </c:manualLayout>
                  </c15:layout>
                  <c15:dlblFieldTable/>
                  <c15:showDataLabelsRange val="1"/>
                </c:ext>
                <c:ext xmlns:c16="http://schemas.microsoft.com/office/drawing/2014/chart" uri="{C3380CC4-5D6E-409C-BE32-E72D297353CC}">
                  <c16:uniqueId val="{00000005-366F-43B3-A209-1B2E6AEDA45F}"/>
                </c:ext>
              </c:extLst>
            </c:dLbl>
            <c:dLbl>
              <c:idx val="4"/>
              <c:layout>
                <c:manualLayout>
                  <c:x val="-6.6551741150485261E-3"/>
                  <c:y val="-6.4434508977517124E-2"/>
                </c:manualLayout>
              </c:layout>
              <c:tx>
                <c:rich>
                  <a:bodyPr/>
                  <a:lstStyle/>
                  <a:p>
                    <a:fld id="{2D839852-BFF3-44D8-B039-955A6E50F376}" type="CELLRANGE">
                      <a:rPr lang="en-US"/>
                      <a:pPr/>
                      <a:t>[OBLAST BUNĚK]</a:t>
                    </a:fld>
                    <a:endParaRPr lang="cs-CZ"/>
                  </a:p>
                </c:rich>
              </c:tx>
              <c:dLblPos val="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366F-43B3-A209-1B2E6AEDA45F}"/>
                </c:ext>
              </c:extLst>
            </c:dLbl>
            <c:dLbl>
              <c:idx val="5"/>
              <c:delete val="1"/>
              <c:extLst>
                <c:ext xmlns:c15="http://schemas.microsoft.com/office/drawing/2012/chart" uri="{CE6537A1-D6FC-4f65-9D91-7224C49458BB}"/>
                <c:ext xmlns:c16="http://schemas.microsoft.com/office/drawing/2014/chart" uri="{C3380CC4-5D6E-409C-BE32-E72D297353CC}">
                  <c16:uniqueId val="{00000001-366F-43B3-A209-1B2E6AEDA45F}"/>
                </c:ext>
              </c:extLst>
            </c:dLbl>
            <c:dLbl>
              <c:idx val="6"/>
              <c:layout>
                <c:manualLayout>
                  <c:x val="7.4855560604255911E-2"/>
                  <c:y val="-4.1494022107995993E-2"/>
                </c:manualLayout>
              </c:layout>
              <c:tx>
                <c:rich>
                  <a:bodyPr/>
                  <a:lstStyle/>
                  <a:p>
                    <a:fld id="{5C5B6577-5BDB-4906-9A6A-FA5AE904DC61}" type="CELLRANGE">
                      <a:rPr lang="en-US"/>
                      <a:pPr/>
                      <a:t>[OBLAST BUNĚK]</a:t>
                    </a:fld>
                    <a:endParaRPr lang="cs-CZ"/>
                  </a:p>
                </c:rich>
              </c:tx>
              <c:dLblPos val="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366F-43B3-A209-1B2E6AEDA45F}"/>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accent6">
                        <a:lumMod val="50000"/>
                      </a:schemeClr>
                    </a:solidFill>
                    <a:latin typeface="+mn-lt"/>
                    <a:ea typeface="+mn-ea"/>
                    <a:cs typeface="+mn-cs"/>
                  </a:defRPr>
                </a:pPr>
                <a:endParaRPr lang="cs-CZ"/>
              </a:p>
            </c:txPr>
            <c:dLblPos val="ct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rnd" cmpd="sng" algn="ctr">
                      <a:solidFill>
                        <a:schemeClr val="tx1">
                          <a:lumMod val="35000"/>
                          <a:lumOff val="65000"/>
                        </a:schemeClr>
                      </a:solidFill>
                      <a:round/>
                    </a:ln>
                    <a:effectLst>
                      <a:glow>
                        <a:schemeClr val="accent1">
                          <a:alpha val="40000"/>
                        </a:schemeClr>
                      </a:glow>
                      <a:softEdge rad="0"/>
                    </a:effectLst>
                  </c:spPr>
                </c15:leaderLines>
              </c:ext>
            </c:extLst>
          </c:dLbls>
          <c:xVal>
            <c:numRef>
              <c:f>graf_data_c!$E$4:$E$10</c:f>
              <c:numCache>
                <c:formatCode>#,##0.0</c:formatCode>
                <c:ptCount val="7"/>
                <c:pt idx="0">
                  <c:v>0</c:v>
                </c:pt>
                <c:pt idx="1">
                  <c:v>0</c:v>
                </c:pt>
                <c:pt idx="2">
                  <c:v>0</c:v>
                </c:pt>
                <c:pt idx="3">
                  <c:v>0</c:v>
                </c:pt>
                <c:pt idx="4">
                  <c:v>59.523809523809533</c:v>
                </c:pt>
                <c:pt idx="5">
                  <c:v>37.414965986394556</c:v>
                </c:pt>
                <c:pt idx="6">
                  <c:v>0</c:v>
                </c:pt>
              </c:numCache>
            </c:numRef>
          </c:xVal>
          <c:yVal>
            <c:numRef>
              <c:f>graf_data_c!$F$4:$F$10</c:f>
              <c:numCache>
                <c:formatCode>General</c:formatCode>
                <c:ptCount val="7"/>
                <c:pt idx="0">
                  <c:v>0</c:v>
                </c:pt>
                <c:pt idx="1">
                  <c:v>0</c:v>
                </c:pt>
                <c:pt idx="2">
                  <c:v>0</c:v>
                </c:pt>
                <c:pt idx="3">
                  <c:v>0</c:v>
                </c:pt>
                <c:pt idx="4">
                  <c:v>1.0446443181818184</c:v>
                </c:pt>
                <c:pt idx="5">
                  <c:v>0.90938253615127917</c:v>
                </c:pt>
                <c:pt idx="6">
                  <c:v>0</c:v>
                </c:pt>
              </c:numCache>
            </c:numRef>
          </c:yVal>
          <c:bubbleSize>
            <c:numRef>
              <c:f>graf_data_c!$G$4:$G$10</c:f>
              <c:numCache>
                <c:formatCode>General</c:formatCode>
                <c:ptCount val="7"/>
                <c:pt idx="0">
                  <c:v>0</c:v>
                </c:pt>
                <c:pt idx="1">
                  <c:v>0</c:v>
                </c:pt>
                <c:pt idx="2">
                  <c:v>0</c:v>
                </c:pt>
                <c:pt idx="3">
                  <c:v>0</c:v>
                </c:pt>
                <c:pt idx="4">
                  <c:v>264</c:v>
                </c:pt>
                <c:pt idx="5">
                  <c:v>14876.666666666668</c:v>
                </c:pt>
                <c:pt idx="6">
                  <c:v>0</c:v>
                </c:pt>
              </c:numCache>
            </c:numRef>
          </c:bubbleSize>
          <c:bubble3D val="1"/>
          <c:extLst>
            <c:ext xmlns:c15="http://schemas.microsoft.com/office/drawing/2012/chart" uri="{02D57815-91ED-43cb-92C2-25804820EDAC}">
              <c15:datalabelsRange>
                <c15:f>graf_data_c!$A$4:$A$10</c15:f>
                <c15:dlblRangeCache>
                  <c:ptCount val="7"/>
                  <c:pt idx="0">
                    <c:v>Physical sciences</c:v>
                  </c:pt>
                  <c:pt idx="1">
                    <c:v>Chemical sciences</c:v>
                  </c:pt>
                  <c:pt idx="2">
                    <c:v>Earth and related environmental sciences</c:v>
                  </c:pt>
                  <c:pt idx="3">
                    <c:v>Biological sciences</c:v>
                  </c:pt>
                  <c:pt idx="4">
                    <c:v>Other natural sciences</c:v>
                  </c:pt>
                  <c:pt idx="5">
                    <c:v>Civil engineering</c:v>
                  </c:pt>
                  <c:pt idx="6">
                    <c:v>Electrical engineering, electronic engineering, information engineering</c:v>
                  </c:pt>
                </c15:dlblRangeCache>
              </c15:datalabelsRange>
            </c:ext>
            <c:ext xmlns:c16="http://schemas.microsoft.com/office/drawing/2014/chart" uri="{C3380CC4-5D6E-409C-BE32-E72D297353CC}">
              <c16:uniqueId val="{00000008-366F-43B3-A209-1B2E6AEDA45F}"/>
            </c:ext>
          </c:extLst>
        </c:ser>
        <c:ser>
          <c:idx val="2"/>
          <c:order val="1"/>
          <c:tx>
            <c:strRef>
              <c:f>graf_data_c!$I$24</c:f>
              <c:strCache>
                <c:ptCount val="1"/>
                <c:pt idx="0">
                  <c:v>3</c:v>
                </c:pt>
              </c:strCache>
            </c:strRef>
          </c:tx>
          <c:spPr>
            <a:solidFill>
              <a:srgbClr val="C00000">
                <a:alpha val="50000"/>
              </a:srgbClr>
            </a:solidFill>
            <a:ln w="12700">
              <a:solidFill>
                <a:srgbClr val="C00000"/>
              </a:solidFill>
            </a:ln>
            <a:effectLst>
              <a:outerShdw blurRad="57150" dist="19050" dir="5400000" algn="ctr" rotWithShape="0">
                <a:srgbClr val="000000">
                  <a:alpha val="63000"/>
                </a:srgbClr>
              </a:outerShdw>
            </a:effectLst>
          </c:spPr>
          <c:invertIfNegative val="0"/>
          <c:dLbls>
            <c:dLbl>
              <c:idx val="0"/>
              <c:layout>
                <c:manualLayout>
                  <c:x val="-0.25100757464998574"/>
                  <c:y val="-0.18417930809496277"/>
                </c:manualLayout>
              </c:layout>
              <c:tx>
                <c:rich>
                  <a:bodyPr/>
                  <a:lstStyle/>
                  <a:p>
                    <a:fld id="{6D6B6667-560F-4A25-B162-147797D134B7}"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9-366F-43B3-A209-1B2E6AEDA45F}"/>
                </c:ext>
              </c:extLst>
            </c:dLbl>
            <c:dLbl>
              <c:idx val="1"/>
              <c:layout>
                <c:manualLayout>
                  <c:x val="-5.945180852607871E-2"/>
                  <c:y val="-0.13503346746650341"/>
                </c:manualLayout>
              </c:layout>
              <c:tx>
                <c:rich>
                  <a:bodyPr/>
                  <a:lstStyle/>
                  <a:p>
                    <a:fld id="{EFCB6D1B-4207-4B9E-ABF1-493C0607DF6B}"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A-366F-43B3-A209-1B2E6AEDA45F}"/>
                </c:ext>
              </c:extLst>
            </c:dLbl>
            <c:dLbl>
              <c:idx val="2"/>
              <c:layout>
                <c:manualLayout>
                  <c:x val="-0.18570503023574852"/>
                  <c:y val="-7.6604902719226833E-2"/>
                </c:manualLayout>
              </c:layout>
              <c:tx>
                <c:rich>
                  <a:bodyPr/>
                  <a:lstStyle/>
                  <a:p>
                    <a:fld id="{150C3340-21D0-4391-B48E-A45433C31315}"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B-366F-43B3-A209-1B2E6AEDA45F}"/>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C00000"/>
                    </a:solidFill>
                    <a:latin typeface="+mn-lt"/>
                    <a:ea typeface="+mn-ea"/>
                    <a:cs typeface="+mn-cs"/>
                  </a:defRPr>
                </a:pPr>
                <a:endParaRPr lang="cs-CZ"/>
              </a:p>
            </c:txP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xVal>
            <c:numRef>
              <c:f>graf_data_c!$E$22:$E$24</c:f>
              <c:numCache>
                <c:formatCode>#,##0.0</c:formatCode>
                <c:ptCount val="3"/>
                <c:pt idx="0">
                  <c:v>0</c:v>
                </c:pt>
                <c:pt idx="1">
                  <c:v>7.5376884422110546</c:v>
                </c:pt>
                <c:pt idx="2">
                  <c:v>7.1428571428571397</c:v>
                </c:pt>
              </c:numCache>
            </c:numRef>
          </c:xVal>
          <c:yVal>
            <c:numRef>
              <c:f>graf_data_c!$F$22:$F$24</c:f>
              <c:numCache>
                <c:formatCode>General</c:formatCode>
                <c:ptCount val="3"/>
                <c:pt idx="0">
                  <c:v>0</c:v>
                </c:pt>
                <c:pt idx="1">
                  <c:v>1.0177656195462479</c:v>
                </c:pt>
                <c:pt idx="2">
                  <c:v>1.4831417322834646</c:v>
                </c:pt>
              </c:numCache>
            </c:numRef>
          </c:yVal>
          <c:bubbleSize>
            <c:numRef>
              <c:f>graf_data_c!$G$22:$G$24</c:f>
              <c:numCache>
                <c:formatCode>General</c:formatCode>
                <c:ptCount val="3"/>
                <c:pt idx="0">
                  <c:v>0</c:v>
                </c:pt>
                <c:pt idx="1">
                  <c:v>1146</c:v>
                </c:pt>
                <c:pt idx="2">
                  <c:v>127</c:v>
                </c:pt>
              </c:numCache>
            </c:numRef>
          </c:bubbleSize>
          <c:bubble3D val="1"/>
          <c:extLst>
            <c:ext xmlns:c15="http://schemas.microsoft.com/office/drawing/2012/chart" uri="{02D57815-91ED-43cb-92C2-25804820EDAC}">
              <c15:datalabelsRange>
                <c15:f>graf_data_c!$A$22:$A$24</c15:f>
                <c15:dlblRangeCache>
                  <c:ptCount val="3"/>
                  <c:pt idx="0">
                    <c:v>Health sciences</c:v>
                  </c:pt>
                  <c:pt idx="1">
                    <c:v>Medical biotechnology</c:v>
                  </c:pt>
                  <c:pt idx="2">
                    <c:v>Other medical science</c:v>
                  </c:pt>
                </c15:dlblRangeCache>
              </c15:datalabelsRange>
            </c:ext>
            <c:ext xmlns:c16="http://schemas.microsoft.com/office/drawing/2014/chart" uri="{C3380CC4-5D6E-409C-BE32-E72D297353CC}">
              <c16:uniqueId val="{0000000C-366F-43B3-A209-1B2E6AEDA45F}"/>
            </c:ext>
          </c:extLst>
        </c:ser>
        <c:ser>
          <c:idx val="1"/>
          <c:order val="2"/>
          <c:tx>
            <c:strRef>
              <c:f>graf_data_c!$I$11</c:f>
              <c:strCache>
                <c:ptCount val="1"/>
                <c:pt idx="0">
                  <c:v>2</c:v>
                </c:pt>
              </c:strCache>
            </c:strRef>
          </c:tx>
          <c:spPr>
            <a:solidFill>
              <a:schemeClr val="accent1">
                <a:lumMod val="75000"/>
                <a:alpha val="50000"/>
              </a:schemeClr>
            </a:solidFill>
            <a:ln w="12700">
              <a:solidFill>
                <a:schemeClr val="accent1">
                  <a:lumMod val="75000"/>
                </a:schemeClr>
              </a:solidFill>
            </a:ln>
            <a:effectLst>
              <a:outerShdw blurRad="57150" dist="19050" dir="5400000" algn="ctr" rotWithShape="0">
                <a:srgbClr val="000000">
                  <a:alpha val="63000"/>
                </a:srgbClr>
              </a:outerShdw>
            </a:effectLst>
          </c:spPr>
          <c:invertIfNegative val="0"/>
          <c:dLbls>
            <c:dLbl>
              <c:idx val="0"/>
              <c:layout>
                <c:manualLayout>
                  <c:x val="0.10448199599142986"/>
                  <c:y val="-4.8376864284370253E-3"/>
                </c:manualLayout>
              </c:layout>
              <c:tx>
                <c:rich>
                  <a:bodyPr rot="0" spcFirstLastPara="1" vertOverflow="ellipsis" vert="horz" wrap="square" lIns="38100" tIns="19050" rIns="38100" bIns="19050" anchor="ctr" anchorCtr="1">
                    <a:noAutofit/>
                  </a:bodyPr>
                  <a:lstStyle/>
                  <a:p>
                    <a:pPr>
                      <a:defRPr sz="900" b="1" i="0" u="none" strike="noStrike" kern="1200" baseline="0">
                        <a:solidFill>
                          <a:schemeClr val="accent5"/>
                        </a:solidFill>
                        <a:latin typeface="+mn-lt"/>
                        <a:ea typeface="+mn-ea"/>
                        <a:cs typeface="+mn-cs"/>
                      </a:defRPr>
                    </a:pPr>
                    <a:fld id="{52CA9E2D-1700-422F-8EBD-26BC466B1E62}" type="CELLRANGE">
                      <a:rPr lang="en-US"/>
                      <a:pPr>
                        <a:defRPr b="1">
                          <a:solidFill>
                            <a:schemeClr val="accent5"/>
                          </a:solidFill>
                        </a:defRPr>
                      </a:pPr>
                      <a:t>[OBLAST BUNĚK]</a:t>
                    </a:fld>
                    <a:endParaRPr lang="cs-CZ"/>
                  </a:p>
                </c:rich>
              </c:tx>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chemeClr val="accent5"/>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layout>
                    <c:manualLayout>
                      <c:w val="0.17394879328892907"/>
                      <c:h val="5.2280828284878698E-2"/>
                    </c:manualLayout>
                  </c15:layout>
                  <c15:dlblFieldTable/>
                  <c15:showDataLabelsRange val="1"/>
                </c:ext>
                <c:ext xmlns:c16="http://schemas.microsoft.com/office/drawing/2014/chart" uri="{C3380CC4-5D6E-409C-BE32-E72D297353CC}">
                  <c16:uniqueId val="{0000000D-366F-43B3-A209-1B2E6AEDA45F}"/>
                </c:ext>
              </c:extLst>
            </c:dLbl>
            <c:dLbl>
              <c:idx val="1"/>
              <c:layout>
                <c:manualLayout>
                  <c:x val="3.582327920596657E-2"/>
                  <c:y val="0.17485027534685671"/>
                </c:manualLayout>
              </c:layout>
              <c:tx>
                <c:rich>
                  <a:bodyPr/>
                  <a:lstStyle/>
                  <a:p>
                    <a:fld id="{1102E4BF-D812-4E57-AA2A-F5A14F196AE1}"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E-366F-43B3-A209-1B2E6AEDA45F}"/>
                </c:ext>
              </c:extLst>
            </c:dLbl>
            <c:dLbl>
              <c:idx val="2"/>
              <c:layout>
                <c:manualLayout>
                  <c:x val="-0.13559041194121291"/>
                  <c:y val="-4.7647763426935254E-2"/>
                </c:manualLayout>
              </c:layout>
              <c:tx>
                <c:rich>
                  <a:bodyPr rot="0" spcFirstLastPara="1" vertOverflow="ellipsis" horzOverflow="clip" vert="horz" wrap="square" lIns="38100" tIns="19050" rIns="38100" bIns="19050" anchor="ctr" anchorCtr="1">
                    <a:noAutofit/>
                  </a:bodyPr>
                  <a:lstStyle/>
                  <a:p>
                    <a:pPr>
                      <a:defRPr sz="900" b="1" i="0" u="none" strike="noStrike" kern="1200" baseline="0">
                        <a:solidFill>
                          <a:schemeClr val="accent5"/>
                        </a:solidFill>
                        <a:latin typeface="+mn-lt"/>
                        <a:ea typeface="+mn-ea"/>
                        <a:cs typeface="+mn-cs"/>
                      </a:defRPr>
                    </a:pPr>
                    <a:fld id="{33725AF1-7E8A-42AE-B1D9-CB8198CB5150}" type="CELLRANGE">
                      <a:rPr lang="en-US" b="1">
                        <a:solidFill>
                          <a:schemeClr val="accent5"/>
                        </a:solidFill>
                      </a:rPr>
                      <a:pPr>
                        <a:defRPr b="1">
                          <a:solidFill>
                            <a:schemeClr val="accent5"/>
                          </a:solidFill>
                        </a:defRPr>
                      </a:pPr>
                      <a:t>[OBLAST BUNĚK]</a:t>
                    </a:fld>
                    <a:endParaRPr lang="cs-CZ"/>
                  </a:p>
                </c:rich>
              </c:tx>
              <c:spPr>
                <a:noFill/>
                <a:ln>
                  <a:noFill/>
                </a:ln>
                <a:effectLst/>
              </c:spPr>
              <c:txPr>
                <a:bodyPr rot="0" spcFirstLastPara="1" vertOverflow="ellipsis" horzOverflow="clip" vert="horz" wrap="square" lIns="38100" tIns="19050" rIns="38100" bIns="19050" anchor="ctr" anchorCtr="1">
                  <a:noAutofit/>
                </a:bodyPr>
                <a:lstStyle/>
                <a:p>
                  <a:pPr>
                    <a:defRPr sz="900" b="1" i="0" u="none" strike="noStrike" kern="1200" baseline="0">
                      <a:solidFill>
                        <a:schemeClr val="accent5"/>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spPr xmlns:c15="http://schemas.microsoft.com/office/drawing/2012/chart">
                    <a:prstGeom prst="rect">
                      <a:avLst/>
                    </a:prstGeom>
                    <a:noFill/>
                    <a:ln>
                      <a:noFill/>
                    </a:ln>
                  </c15:spPr>
                  <c15:dlblFieldTable/>
                  <c15:showDataLabelsRange val="1"/>
                </c:ext>
                <c:ext xmlns:c16="http://schemas.microsoft.com/office/drawing/2014/chart" uri="{C3380CC4-5D6E-409C-BE32-E72D297353CC}">
                  <c16:uniqueId val="{0000000F-366F-43B3-A209-1B2E6AEDA45F}"/>
                </c:ext>
              </c:extLst>
            </c:dLbl>
            <c:dLbl>
              <c:idx val="3"/>
              <c:layout>
                <c:manualLayout>
                  <c:x val="-0.21253591832896906"/>
                  <c:y val="7.2965884205666409E-2"/>
                </c:manualLayout>
              </c:layout>
              <c:tx>
                <c:rich>
                  <a:bodyPr rot="0" spcFirstLastPara="1" vertOverflow="ellipsis" vert="horz" wrap="square" lIns="38100" tIns="19050" rIns="38100" bIns="19050" anchor="ctr" anchorCtr="1">
                    <a:noAutofit/>
                  </a:bodyPr>
                  <a:lstStyle/>
                  <a:p>
                    <a:pPr>
                      <a:defRPr sz="900" b="1" i="0" u="none" strike="noStrike" kern="1200" baseline="0">
                        <a:solidFill>
                          <a:schemeClr val="accent5"/>
                        </a:solidFill>
                        <a:latin typeface="+mn-lt"/>
                        <a:ea typeface="+mn-ea"/>
                        <a:cs typeface="+mn-cs"/>
                      </a:defRPr>
                    </a:pPr>
                    <a:fld id="{20B36927-6535-4ADD-BCBC-B6F7101EA882}" type="CELLRANGE">
                      <a:rPr lang="en-US"/>
                      <a:pPr>
                        <a:defRPr b="1">
                          <a:solidFill>
                            <a:schemeClr val="accent5"/>
                          </a:solidFill>
                        </a:defRPr>
                      </a:pPr>
                      <a:t>[OBLAST BUNĚK]</a:t>
                    </a:fld>
                    <a:endParaRPr lang="cs-CZ"/>
                  </a:p>
                </c:rich>
              </c:tx>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chemeClr val="accent5"/>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layout>
                    <c:manualLayout>
                      <c:w val="0.13926067586192159"/>
                      <c:h val="9.1274906783192125E-2"/>
                    </c:manualLayout>
                  </c15:layout>
                  <c15:dlblFieldTable/>
                  <c15:showDataLabelsRange val="1"/>
                </c:ext>
                <c:ext xmlns:c16="http://schemas.microsoft.com/office/drawing/2014/chart" uri="{C3380CC4-5D6E-409C-BE32-E72D297353CC}">
                  <c16:uniqueId val="{00000010-366F-43B3-A209-1B2E6AEDA45F}"/>
                </c:ext>
              </c:extLst>
            </c:dLbl>
            <c:dLbl>
              <c:idx val="4"/>
              <c:layout>
                <c:manualLayout>
                  <c:x val="7.85126743109366E-2"/>
                  <c:y val="9.3651193789100279E-2"/>
                </c:manualLayout>
              </c:layout>
              <c:tx>
                <c:rich>
                  <a:bodyPr/>
                  <a:lstStyle/>
                  <a:p>
                    <a:fld id="{47596533-1689-49F9-AA3F-FFEA2312FBF0}"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1-366F-43B3-A209-1B2E6AEDA45F}"/>
                </c:ext>
              </c:extLst>
            </c:dLbl>
            <c:dLbl>
              <c:idx val="5"/>
              <c:layout>
                <c:manualLayout>
                  <c:x val="-0.13402664558382035"/>
                  <c:y val="-0.15390869560572235"/>
                </c:manualLayout>
              </c:layout>
              <c:tx>
                <c:rich>
                  <a:bodyPr rot="0" spcFirstLastPara="1" vertOverflow="ellipsis" vert="horz" wrap="square" lIns="38100" tIns="19050" rIns="38100" bIns="19050" anchor="ctr" anchorCtr="1">
                    <a:noAutofit/>
                  </a:bodyPr>
                  <a:lstStyle/>
                  <a:p>
                    <a:pPr>
                      <a:defRPr sz="800" b="1" i="0" u="none" strike="noStrike" kern="1200" baseline="0">
                        <a:solidFill>
                          <a:schemeClr val="accent5"/>
                        </a:solidFill>
                        <a:latin typeface="+mn-lt"/>
                        <a:ea typeface="+mn-ea"/>
                        <a:cs typeface="+mn-cs"/>
                      </a:defRPr>
                    </a:pPr>
                    <a:fld id="{D9B736AF-65F7-4AB0-B9FD-E5BD5DE2D3B1}" type="CELLRANGE">
                      <a:rPr lang="en-US"/>
                      <a:pPr>
                        <a:defRPr sz="800" b="1">
                          <a:solidFill>
                            <a:schemeClr val="accent5"/>
                          </a:solidFill>
                        </a:defRPr>
                      </a:pPr>
                      <a:t>[OBLAST BUNĚK]</a:t>
                    </a:fld>
                    <a:endParaRPr lang="cs-CZ"/>
                  </a:p>
                </c:rich>
              </c:tx>
              <c:spPr>
                <a:noFill/>
                <a:ln>
                  <a:noFill/>
                </a:ln>
                <a:effectLst/>
              </c:spPr>
              <c:txPr>
                <a:bodyPr rot="0" spcFirstLastPara="1" vertOverflow="ellipsis" vert="horz" wrap="square" lIns="38100" tIns="19050" rIns="38100" bIns="19050" anchor="ctr" anchorCtr="1">
                  <a:noAutofit/>
                </a:bodyPr>
                <a:lstStyle/>
                <a:p>
                  <a:pPr>
                    <a:defRPr sz="800" b="1" i="0" u="none" strike="noStrike" kern="1200" baseline="0">
                      <a:solidFill>
                        <a:schemeClr val="accent5"/>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layout>
                    <c:manualLayout>
                      <c:w val="0.14936163847904357"/>
                      <c:h val="0.12637528178719859"/>
                    </c:manualLayout>
                  </c15:layout>
                  <c15:dlblFieldTable/>
                  <c15:showDataLabelsRange val="1"/>
                </c:ext>
                <c:ext xmlns:c16="http://schemas.microsoft.com/office/drawing/2014/chart" uri="{C3380CC4-5D6E-409C-BE32-E72D297353CC}">
                  <c16:uniqueId val="{00000012-366F-43B3-A209-1B2E6AEDA45F}"/>
                </c:ext>
              </c:extLst>
            </c:dLbl>
            <c:dLbl>
              <c:idx val="6"/>
              <c:layout>
                <c:manualLayout>
                  <c:x val="8.5444019645206121E-2"/>
                  <c:y val="0.10959964447199003"/>
                </c:manualLayout>
              </c:layout>
              <c:tx>
                <c:rich>
                  <a:bodyPr/>
                  <a:lstStyle/>
                  <a:p>
                    <a:fld id="{82285F69-3298-4692-9BFC-F8BB7E521573}"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3-366F-43B3-A209-1B2E6AEDA45F}"/>
                </c:ext>
              </c:extLst>
            </c:dLbl>
            <c:dLbl>
              <c:idx val="7"/>
              <c:layout>
                <c:manualLayout>
                  <c:x val="-4.8257426368626732E-2"/>
                  <c:y val="-0.12757550875760784"/>
                </c:manualLayout>
              </c:layout>
              <c:tx>
                <c:rich>
                  <a:bodyPr/>
                  <a:lstStyle/>
                  <a:p>
                    <a:fld id="{6B527011-FC30-44EC-9631-B74A6C5C3065}"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4-366F-43B3-A209-1B2E6AEDA45F}"/>
                </c:ext>
              </c:extLst>
            </c:dLbl>
            <c:dLbl>
              <c:idx val="8"/>
              <c:layout>
                <c:manualLayout>
                  <c:x val="-0.14222041841471789"/>
                  <c:y val="-0.16909167999569674"/>
                </c:manualLayout>
              </c:layout>
              <c:tx>
                <c:rich>
                  <a:bodyPr/>
                  <a:lstStyle/>
                  <a:p>
                    <a:fld id="{91D8FDA1-E088-410E-BB26-80C35BE6E8EA}"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5-366F-43B3-A209-1B2E6AEDA45F}"/>
                </c:ext>
              </c:extLst>
            </c:dLbl>
            <c:dLbl>
              <c:idx val="9"/>
              <c:layout>
                <c:manualLayout>
                  <c:x val="2.8629218206543652E-2"/>
                  <c:y val="0.13274044858316761"/>
                </c:manualLayout>
              </c:layout>
              <c:tx>
                <c:rich>
                  <a:bodyPr rot="0" spcFirstLastPara="1" vertOverflow="ellipsis" vert="horz" wrap="square" lIns="38100" tIns="19050" rIns="38100" bIns="19050" anchor="ctr" anchorCtr="0">
                    <a:noAutofit/>
                  </a:bodyPr>
                  <a:lstStyle/>
                  <a:p>
                    <a:pPr algn="l">
                      <a:defRPr sz="900" b="1" i="0" u="none" strike="noStrike" kern="1200" baseline="0">
                        <a:solidFill>
                          <a:schemeClr val="accent5"/>
                        </a:solidFill>
                        <a:latin typeface="+mn-lt"/>
                        <a:ea typeface="+mn-ea"/>
                        <a:cs typeface="+mn-cs"/>
                      </a:defRPr>
                    </a:pPr>
                    <a:fld id="{2FCA7364-9D71-4393-85B0-517B98B3048E}" type="CELLRANGE">
                      <a:rPr lang="en-US"/>
                      <a:pPr algn="l">
                        <a:defRPr b="1">
                          <a:solidFill>
                            <a:schemeClr val="accent5"/>
                          </a:solidFill>
                        </a:defRPr>
                      </a:pPr>
                      <a:t>[OBLAST BUNĚK]</a:t>
                    </a:fld>
                    <a:endParaRPr lang="cs-CZ"/>
                  </a:p>
                </c:rich>
              </c:tx>
              <c:spPr>
                <a:noFill/>
                <a:ln>
                  <a:noFill/>
                </a:ln>
                <a:effectLst/>
              </c:spPr>
              <c:txPr>
                <a:bodyPr rot="0" spcFirstLastPara="1" vertOverflow="ellipsis" vert="horz" wrap="square" lIns="38100" tIns="19050" rIns="38100" bIns="19050" anchor="ctr" anchorCtr="0">
                  <a:noAutofit/>
                </a:bodyPr>
                <a:lstStyle/>
                <a:p>
                  <a:pPr algn="l">
                    <a:defRPr sz="900" b="1" i="0" u="none" strike="noStrike" kern="1200" baseline="0">
                      <a:solidFill>
                        <a:schemeClr val="accent5"/>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layout>
                    <c:manualLayout>
                      <c:w val="0.12222599330256131"/>
                      <c:h val="6.4835822075912819E-2"/>
                    </c:manualLayout>
                  </c15:layout>
                  <c15:dlblFieldTable/>
                  <c15:showDataLabelsRange val="1"/>
                </c:ext>
                <c:ext xmlns:c16="http://schemas.microsoft.com/office/drawing/2014/chart" uri="{C3380CC4-5D6E-409C-BE32-E72D297353CC}">
                  <c16:uniqueId val="{00000016-366F-43B3-A209-1B2E6AEDA45F}"/>
                </c:ext>
              </c:extLst>
            </c:dLbl>
            <c:dLbl>
              <c:idx val="10"/>
              <c:layout>
                <c:manualLayout>
                  <c:x val="0.14292417691820353"/>
                  <c:y val="7.5540133754467137E-2"/>
                </c:manualLayout>
              </c:layout>
              <c:tx>
                <c:rich>
                  <a:bodyPr/>
                  <a:lstStyle/>
                  <a:p>
                    <a:fld id="{6D3B0BA0-4BBD-41CB-B56F-0442B25C2D2E}"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7-366F-43B3-A209-1B2E6AEDA45F}"/>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accent5"/>
                    </a:solidFill>
                    <a:latin typeface="+mn-lt"/>
                    <a:ea typeface="+mn-ea"/>
                    <a:cs typeface="+mn-cs"/>
                  </a:defRPr>
                </a:pPr>
                <a:endParaRPr lang="cs-CZ"/>
              </a:p>
            </c:txP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xVal>
            <c:numRef>
              <c:f>graf_data_c!$E$11:$E$21</c:f>
              <c:numCache>
                <c:formatCode>#,##0.0</c:formatCode>
                <c:ptCount val="11"/>
                <c:pt idx="0">
                  <c:v>0</c:v>
                </c:pt>
                <c:pt idx="1">
                  <c:v>-4.3137254901960738</c:v>
                </c:pt>
                <c:pt idx="2">
                  <c:v>0</c:v>
                </c:pt>
                <c:pt idx="3">
                  <c:v>-15.555555555555555</c:v>
                </c:pt>
                <c:pt idx="4">
                  <c:v>0</c:v>
                </c:pt>
                <c:pt idx="5">
                  <c:v>-25.11210762331838</c:v>
                </c:pt>
                <c:pt idx="6">
                  <c:v>5.2631578947368363</c:v>
                </c:pt>
                <c:pt idx="7">
                  <c:v>0</c:v>
                </c:pt>
                <c:pt idx="8">
                  <c:v>0</c:v>
                </c:pt>
                <c:pt idx="9">
                  <c:v>0</c:v>
                </c:pt>
                <c:pt idx="10">
                  <c:v>0</c:v>
                </c:pt>
              </c:numCache>
            </c:numRef>
          </c:xVal>
          <c:yVal>
            <c:numRef>
              <c:f>graf_data_c!$F$11:$F$21</c:f>
              <c:numCache>
                <c:formatCode>General</c:formatCode>
                <c:ptCount val="11"/>
                <c:pt idx="0">
                  <c:v>0</c:v>
                </c:pt>
                <c:pt idx="1">
                  <c:v>0.77034570637119115</c:v>
                </c:pt>
                <c:pt idx="2">
                  <c:v>0</c:v>
                </c:pt>
                <c:pt idx="3">
                  <c:v>0.69471062906724523</c:v>
                </c:pt>
                <c:pt idx="4">
                  <c:v>0</c:v>
                </c:pt>
                <c:pt idx="5">
                  <c:v>1.0911074074074074</c:v>
                </c:pt>
                <c:pt idx="6">
                  <c:v>0.91814275618374563</c:v>
                </c:pt>
                <c:pt idx="7">
                  <c:v>0</c:v>
                </c:pt>
                <c:pt idx="8">
                  <c:v>0</c:v>
                </c:pt>
                <c:pt idx="9">
                  <c:v>0</c:v>
                </c:pt>
                <c:pt idx="10">
                  <c:v>0</c:v>
                </c:pt>
              </c:numCache>
            </c:numRef>
          </c:yVal>
          <c:bubbleSize>
            <c:numRef>
              <c:f>graf_data_c!$G$11:$G$21</c:f>
              <c:numCache>
                <c:formatCode>General</c:formatCode>
                <c:ptCount val="11"/>
                <c:pt idx="0">
                  <c:v>0</c:v>
                </c:pt>
                <c:pt idx="1">
                  <c:v>1444</c:v>
                </c:pt>
                <c:pt idx="2">
                  <c:v>0</c:v>
                </c:pt>
                <c:pt idx="3">
                  <c:v>922</c:v>
                </c:pt>
                <c:pt idx="4">
                  <c:v>0</c:v>
                </c:pt>
                <c:pt idx="5">
                  <c:v>918</c:v>
                </c:pt>
                <c:pt idx="6">
                  <c:v>283</c:v>
                </c:pt>
                <c:pt idx="7">
                  <c:v>0</c:v>
                </c:pt>
                <c:pt idx="8">
                  <c:v>0</c:v>
                </c:pt>
                <c:pt idx="9">
                  <c:v>0</c:v>
                </c:pt>
                <c:pt idx="10">
                  <c:v>0</c:v>
                </c:pt>
              </c:numCache>
            </c:numRef>
          </c:bubbleSize>
          <c:bubble3D val="1"/>
          <c:extLst>
            <c:ext xmlns:c15="http://schemas.microsoft.com/office/drawing/2012/chart" uri="{02D57815-91ED-43cb-92C2-25804820EDAC}">
              <c15:datalabelsRange>
                <c15:f>graf_data_c!$A$11:$A$21</c15:f>
                <c15:dlblRangeCache>
                  <c:ptCount val="11"/>
                  <c:pt idx="0">
                    <c:v>Mechanical engineering</c:v>
                  </c:pt>
                  <c:pt idx="1">
                    <c:v>Chemical engineering</c:v>
                  </c:pt>
                  <c:pt idx="2">
                    <c:v>Materials engineering</c:v>
                  </c:pt>
                  <c:pt idx="3">
                    <c:v>Medical engineering</c:v>
                  </c:pt>
                  <c:pt idx="4">
                    <c:v>Environmental engineering</c:v>
                  </c:pt>
                  <c:pt idx="5">
                    <c:v>Environmental biotechnology</c:v>
                  </c:pt>
                  <c:pt idx="6">
                    <c:v>Industrial biotechnology</c:v>
                  </c:pt>
                  <c:pt idx="7">
                    <c:v>Nano-technology</c:v>
                  </c:pt>
                  <c:pt idx="8">
                    <c:v>Other engineering and technologies</c:v>
                  </c:pt>
                  <c:pt idx="9">
                    <c:v>Basic medicine</c:v>
                  </c:pt>
                  <c:pt idx="10">
                    <c:v>Clinical medicine</c:v>
                  </c:pt>
                </c15:dlblRangeCache>
              </c15:datalabelsRange>
            </c:ext>
            <c:ext xmlns:c16="http://schemas.microsoft.com/office/drawing/2014/chart" uri="{C3380CC4-5D6E-409C-BE32-E72D297353CC}">
              <c16:uniqueId val="{00000018-366F-43B3-A209-1B2E6AEDA45F}"/>
            </c:ext>
          </c:extLst>
        </c:ser>
        <c:ser>
          <c:idx val="3"/>
          <c:order val="3"/>
          <c:tx>
            <c:strRef>
              <c:f>graf_data_c!$I$28</c:f>
              <c:strCache>
                <c:ptCount val="1"/>
                <c:pt idx="0">
                  <c:v>4</c:v>
                </c:pt>
              </c:strCache>
            </c:strRef>
          </c:tx>
          <c:spPr>
            <a:solidFill>
              <a:srgbClr val="FFFF00">
                <a:alpha val="80000"/>
              </a:srgbClr>
            </a:solidFill>
            <a:ln w="25400">
              <a:noFill/>
            </a:ln>
            <a:effectLst>
              <a:outerShdw blurRad="57150" dist="19050" dir="5400000" algn="ctr" rotWithShape="0">
                <a:srgbClr val="000000">
                  <a:alpha val="63000"/>
                </a:srgbClr>
              </a:outerShdw>
            </a:effectLst>
          </c:spPr>
          <c:invertIfNegative val="0"/>
          <c:dLbls>
            <c:dLbl>
              <c:idx val="0"/>
              <c:layout>
                <c:manualLayout>
                  <c:x val="0"/>
                  <c:y val="-3.0930287889602753E-2"/>
                </c:manualLayout>
              </c:layout>
              <c:tx>
                <c:rich>
                  <a:bodyPr/>
                  <a:lstStyle/>
                  <a:p>
                    <a:fld id="{D38D3A71-60E1-4F3B-AC07-DE42C1314354}"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9-366F-43B3-A209-1B2E6AEDA45F}"/>
                </c:ext>
              </c:extLst>
            </c:dLbl>
            <c:dLbl>
              <c:idx val="1"/>
              <c:layout>
                <c:manualLayout>
                  <c:x val="-0.14842821244602009"/>
                  <c:y val="3.4927453820938717E-2"/>
                </c:manualLayout>
              </c:layout>
              <c:tx>
                <c:rich>
                  <a:bodyPr/>
                  <a:lstStyle/>
                  <a:p>
                    <a:fld id="{878FB0A7-DB6A-44C6-A10F-02330C7CE182}"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A-366F-43B3-A209-1B2E6AEDA45F}"/>
                </c:ext>
              </c:extLst>
            </c:dLbl>
            <c:dLbl>
              <c:idx val="2"/>
              <c:layout>
                <c:manualLayout>
                  <c:x val="-0.1587602431649911"/>
                  <c:y val="-0.37565689804378249"/>
                </c:manualLayout>
              </c:layout>
              <c:tx>
                <c:rich>
                  <a:bodyPr rot="0" spcFirstLastPara="1" vertOverflow="ellipsis" vert="horz" wrap="square" lIns="38100" tIns="19050" rIns="38100" bIns="19050" anchor="ctr" anchorCtr="1">
                    <a:noAutofit/>
                  </a:bodyPr>
                  <a:lstStyle/>
                  <a:p>
                    <a:pPr>
                      <a:defRPr sz="900" b="1" i="0" u="none" strike="noStrike" kern="1200" baseline="0">
                        <a:solidFill>
                          <a:srgbClr val="FFC000"/>
                        </a:solidFill>
                        <a:latin typeface="+mn-lt"/>
                        <a:ea typeface="+mn-ea"/>
                        <a:cs typeface="+mn-cs"/>
                      </a:defRPr>
                    </a:pPr>
                    <a:fld id="{F5E799EF-7966-490E-A0CF-52E6E6E9C829}" type="CELLRANGE">
                      <a:rPr lang="en-US"/>
                      <a:pPr>
                        <a:defRPr b="1">
                          <a:solidFill>
                            <a:srgbClr val="FFC000"/>
                          </a:solidFill>
                        </a:defRPr>
                      </a:pPr>
                      <a:t>[OBLAST BUNĚK]</a:t>
                    </a:fld>
                    <a:endParaRPr lang="cs-CZ"/>
                  </a:p>
                </c:rich>
              </c:tx>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rgbClr val="FFC000"/>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layout>
                    <c:manualLayout>
                      <c:w val="0.16018354896954023"/>
                      <c:h val="6.3857519845297486E-2"/>
                    </c:manualLayout>
                  </c15:layout>
                  <c15:dlblFieldTable/>
                  <c15:showDataLabelsRange val="1"/>
                </c:ext>
                <c:ext xmlns:c16="http://schemas.microsoft.com/office/drawing/2014/chart" uri="{C3380CC4-5D6E-409C-BE32-E72D297353CC}">
                  <c16:uniqueId val="{0000001B-366F-43B3-A209-1B2E6AEDA45F}"/>
                </c:ext>
              </c:extLst>
            </c:dLbl>
            <c:dLbl>
              <c:idx val="3"/>
              <c:layout>
                <c:manualLayout>
                  <c:x val="9.6115722760931402E-3"/>
                  <c:y val="0.19143809555451138"/>
                </c:manualLayout>
              </c:layout>
              <c:tx>
                <c:rich>
                  <a:bodyPr/>
                  <a:lstStyle/>
                  <a:p>
                    <a:fld id="{0A1E378E-32B2-44B5-AE3A-96A53586CF40}"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C-366F-43B3-A209-1B2E6AEDA45F}"/>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FFC000"/>
                    </a:solidFill>
                    <a:latin typeface="+mn-lt"/>
                    <a:ea typeface="+mn-ea"/>
                    <a:cs typeface="+mn-cs"/>
                  </a:defRPr>
                </a:pPr>
                <a:endParaRPr lang="cs-CZ"/>
              </a:p>
            </c:txP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xVal>
            <c:numRef>
              <c:f>graf_data_c!$E$25:$E$28</c:f>
              <c:numCache>
                <c:formatCode>#,##0.0</c:formatCode>
                <c:ptCount val="4"/>
                <c:pt idx="0">
                  <c:v>0</c:v>
                </c:pt>
                <c:pt idx="1">
                  <c:v>-22.429906542056077</c:v>
                </c:pt>
                <c:pt idx="2">
                  <c:v>-15.67567567567567</c:v>
                </c:pt>
                <c:pt idx="3">
                  <c:v>0</c:v>
                </c:pt>
              </c:numCache>
            </c:numRef>
          </c:xVal>
          <c:yVal>
            <c:numRef>
              <c:f>graf_data_c!$F$25:$F$28</c:f>
              <c:numCache>
                <c:formatCode>General</c:formatCode>
                <c:ptCount val="4"/>
                <c:pt idx="0">
                  <c:v>0</c:v>
                </c:pt>
                <c:pt idx="1">
                  <c:v>0.88376950757575767</c:v>
                </c:pt>
                <c:pt idx="2">
                  <c:v>0.94849051254089423</c:v>
                </c:pt>
                <c:pt idx="3">
                  <c:v>0</c:v>
                </c:pt>
              </c:numCache>
            </c:numRef>
          </c:yVal>
          <c:bubbleSize>
            <c:numRef>
              <c:f>graf_data_c!$G$25:$G$28</c:f>
              <c:numCache>
                <c:formatCode>General</c:formatCode>
                <c:ptCount val="4"/>
                <c:pt idx="0">
                  <c:v>0</c:v>
                </c:pt>
                <c:pt idx="1">
                  <c:v>528</c:v>
                </c:pt>
                <c:pt idx="2">
                  <c:v>917</c:v>
                </c:pt>
                <c:pt idx="3">
                  <c:v>0</c:v>
                </c:pt>
              </c:numCache>
            </c:numRef>
          </c:bubbleSize>
          <c:bubble3D val="1"/>
          <c:extLst>
            <c:ext xmlns:c15="http://schemas.microsoft.com/office/drawing/2012/chart" uri="{02D57815-91ED-43cb-92C2-25804820EDAC}">
              <c15:datalabelsRange>
                <c15:f>graf_data_c!$A$25:$A$28</c15:f>
                <c15:dlblRangeCache>
                  <c:ptCount val="4"/>
                  <c:pt idx="0">
                    <c:v>Agriculture, forestry, fisheries</c:v>
                  </c:pt>
                  <c:pt idx="1">
                    <c:v>Animal and dairy science</c:v>
                  </c:pt>
                  <c:pt idx="2">
                    <c:v>Veterinary science</c:v>
                  </c:pt>
                  <c:pt idx="3">
                    <c:v>Agricultural biotechnology</c:v>
                  </c:pt>
                </c15:dlblRangeCache>
              </c15:datalabelsRange>
            </c:ext>
            <c:ext xmlns:c16="http://schemas.microsoft.com/office/drawing/2014/chart" uri="{C3380CC4-5D6E-409C-BE32-E72D297353CC}">
              <c16:uniqueId val="{0000001D-366F-43B3-A209-1B2E6AEDA45F}"/>
            </c:ext>
          </c:extLst>
        </c:ser>
        <c:ser>
          <c:idx val="4"/>
          <c:order val="4"/>
          <c:tx>
            <c:strRef>
              <c:f>graf_data_c!$I$37</c:f>
              <c:strCache>
                <c:ptCount val="1"/>
                <c:pt idx="0">
                  <c:v>5</c:v>
                </c:pt>
              </c:strCache>
            </c:strRef>
          </c:tx>
          <c:spPr>
            <a:solidFill>
              <a:srgbClr val="B9A8CE">
                <a:alpha val="70000"/>
              </a:srgbClr>
            </a:solidFill>
            <a:ln w="25400">
              <a:noFill/>
            </a:ln>
            <a:effectLst>
              <a:outerShdw blurRad="57150" dist="19050" dir="5400000" algn="ctr" rotWithShape="0">
                <a:srgbClr val="000000">
                  <a:alpha val="63000"/>
                </a:srgbClr>
              </a:outerShdw>
            </a:effectLst>
          </c:spPr>
          <c:invertIfNegative val="0"/>
          <c:dLbls>
            <c:dLbl>
              <c:idx val="0"/>
              <c:layout>
                <c:manualLayout>
                  <c:x val="9.2531417694293225E-2"/>
                  <c:y val="-0.20826115090044126"/>
                </c:manualLayout>
              </c:layout>
              <c:tx>
                <c:rich>
                  <a:bodyPr/>
                  <a:lstStyle/>
                  <a:p>
                    <a:fld id="{B0A79A6C-346C-4672-BBD4-F0FBEF94BA71}"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E-366F-43B3-A209-1B2E6AEDA45F}"/>
                </c:ext>
              </c:extLst>
            </c:dLbl>
            <c:dLbl>
              <c:idx val="1"/>
              <c:layout>
                <c:manualLayout>
                  <c:x val="4.7051429081345457E-2"/>
                  <c:y val="-0.211463212792392"/>
                </c:manualLayout>
              </c:layout>
              <c:tx>
                <c:rich>
                  <a:bodyPr/>
                  <a:lstStyle/>
                  <a:p>
                    <a:fld id="{2DE1E30A-DA01-4329-BCF5-0ED5A2064B1E}"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1F-366F-43B3-A209-1B2E6AEDA45F}"/>
                </c:ext>
              </c:extLst>
            </c:dLbl>
            <c:dLbl>
              <c:idx val="2"/>
              <c:layout>
                <c:manualLayout>
                  <c:x val="-0.14512942563926109"/>
                  <c:y val="-0.28879380583756148"/>
                </c:manualLayout>
              </c:layout>
              <c:tx>
                <c:rich>
                  <a:bodyPr/>
                  <a:lstStyle/>
                  <a:p>
                    <a:fld id="{93D378D0-09BA-4330-84EB-EDC03F452C6A}"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0-366F-43B3-A209-1B2E6AEDA45F}"/>
                </c:ext>
              </c:extLst>
            </c:dLbl>
            <c:dLbl>
              <c:idx val="3"/>
              <c:layout>
                <c:manualLayout>
                  <c:x val="-1.8372630740984174E-2"/>
                  <c:y val="-5.8901627067253506E-2"/>
                </c:manualLayout>
              </c:layout>
              <c:tx>
                <c:rich>
                  <a:bodyPr/>
                  <a:lstStyle/>
                  <a:p>
                    <a:fld id="{8F18D86A-AC93-49A5-95E5-F6BF271F8C9E}"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1-366F-43B3-A209-1B2E6AEDA45F}"/>
                </c:ext>
              </c:extLst>
            </c:dLbl>
            <c:dLbl>
              <c:idx val="4"/>
              <c:layout>
                <c:manualLayout>
                  <c:x val="-7.0554217513395495E-2"/>
                  <c:y val="-6.1689949666726328E-2"/>
                </c:manualLayout>
              </c:layout>
              <c:tx>
                <c:rich>
                  <a:bodyPr/>
                  <a:lstStyle/>
                  <a:p>
                    <a:fld id="{AA474452-F74A-4CFD-B273-210F1C8496E5}"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2-366F-43B3-A209-1B2E6AEDA45F}"/>
                </c:ext>
              </c:extLst>
            </c:dLbl>
            <c:dLbl>
              <c:idx val="5"/>
              <c:layout>
                <c:manualLayout>
                  <c:x val="-3.0812664601525381E-3"/>
                  <c:y val="0.17704543261206274"/>
                </c:manualLayout>
              </c:layout>
              <c:tx>
                <c:rich>
                  <a:bodyPr/>
                  <a:lstStyle/>
                  <a:p>
                    <a:fld id="{1C86D7BF-81AC-405F-A26E-26B636987C94}"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3-366F-43B3-A209-1B2E6AEDA45F}"/>
                </c:ext>
              </c:extLst>
            </c:dLbl>
            <c:dLbl>
              <c:idx val="6"/>
              <c:layout>
                <c:manualLayout>
                  <c:x val="0.12110759497071641"/>
                  <c:y val="0.15553851613713721"/>
                </c:manualLayout>
              </c:layout>
              <c:tx>
                <c:rich>
                  <a:bodyPr rot="0" spcFirstLastPara="1" vertOverflow="ellipsis" vert="horz" wrap="square" lIns="38100" tIns="19050" rIns="38100" bIns="19050" anchor="ctr" anchorCtr="1">
                    <a:noAutofit/>
                  </a:bodyPr>
                  <a:lstStyle/>
                  <a:p>
                    <a:pPr>
                      <a:defRPr sz="900" b="1" i="0" u="none" strike="noStrike" kern="1200" baseline="0">
                        <a:solidFill>
                          <a:srgbClr val="B9A8CE"/>
                        </a:solidFill>
                        <a:latin typeface="+mn-lt"/>
                        <a:ea typeface="+mn-ea"/>
                        <a:cs typeface="+mn-cs"/>
                      </a:defRPr>
                    </a:pPr>
                    <a:fld id="{1B896163-9E14-4A0E-B2CE-C0B92A3272E1}" type="CELLRANGE">
                      <a:rPr lang="en-US"/>
                      <a:pPr>
                        <a:defRPr b="1">
                          <a:solidFill>
                            <a:srgbClr val="B9A8CE"/>
                          </a:solidFill>
                        </a:defRPr>
                      </a:pPr>
                      <a:t>[OBLAST BUNĚK]</a:t>
                    </a:fld>
                    <a:endParaRPr lang="cs-CZ"/>
                  </a:p>
                </c:rich>
              </c:tx>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rgbClr val="B9A8CE"/>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layout>
                    <c:manualLayout>
                      <c:w val="0.14397568350089207"/>
                      <c:h val="7.0515710637934159E-2"/>
                    </c:manualLayout>
                  </c15:layout>
                  <c15:dlblFieldTable/>
                  <c15:showDataLabelsRange val="1"/>
                </c:ext>
                <c:ext xmlns:c16="http://schemas.microsoft.com/office/drawing/2014/chart" uri="{C3380CC4-5D6E-409C-BE32-E72D297353CC}">
                  <c16:uniqueId val="{00000024-366F-43B3-A209-1B2E6AEDA45F}"/>
                </c:ext>
              </c:extLst>
            </c:dLbl>
            <c:dLbl>
              <c:idx val="7"/>
              <c:layout>
                <c:manualLayout>
                  <c:x val="-0.17755972784073951"/>
                  <c:y val="4.2194092827004148E-2"/>
                </c:manualLayout>
              </c:layout>
              <c:tx>
                <c:rich>
                  <a:bodyPr/>
                  <a:lstStyle/>
                  <a:p>
                    <a:fld id="{5657F8C5-1399-423C-B8E1-5F0FA8C9E707}"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5-366F-43B3-A209-1B2E6AEDA45F}"/>
                </c:ext>
              </c:extLst>
            </c:dLbl>
            <c:dLbl>
              <c:idx val="8"/>
              <c:layout>
                <c:manualLayout>
                  <c:x val="-1.6443084736930551E-2"/>
                  <c:y val="0.10431948608488401"/>
                </c:manualLayout>
              </c:layout>
              <c:tx>
                <c:rich>
                  <a:bodyPr rot="0" spcFirstLastPara="1" vertOverflow="ellipsis" vert="horz" wrap="square" lIns="38100" tIns="19050" rIns="38100" bIns="19050" anchor="ctr" anchorCtr="1">
                    <a:noAutofit/>
                  </a:bodyPr>
                  <a:lstStyle/>
                  <a:p>
                    <a:pPr>
                      <a:defRPr sz="900" b="1" i="0" u="none" strike="noStrike" kern="1200" baseline="0">
                        <a:solidFill>
                          <a:srgbClr val="B9A8CE"/>
                        </a:solidFill>
                        <a:latin typeface="+mn-lt"/>
                        <a:ea typeface="+mn-ea"/>
                        <a:cs typeface="+mn-cs"/>
                      </a:defRPr>
                    </a:pPr>
                    <a:fld id="{57FD29A7-1A9D-473B-8C82-4DB099C2A9EC}" type="CELLRANGE">
                      <a:rPr lang="en-US"/>
                      <a:pPr>
                        <a:defRPr b="1">
                          <a:solidFill>
                            <a:srgbClr val="B9A8CE"/>
                          </a:solidFill>
                        </a:defRPr>
                      </a:pPr>
                      <a:t>[OBLAST BUNĚK]</a:t>
                    </a:fld>
                    <a:endParaRPr lang="cs-CZ"/>
                  </a:p>
                </c:rich>
              </c:tx>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rgbClr val="B9A8CE"/>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layout>
                    <c:manualLayout>
                      <c:w val="0.21272727272727276"/>
                      <c:h val="8.8409064199403822E-2"/>
                    </c:manualLayout>
                  </c15:layout>
                  <c15:dlblFieldTable/>
                  <c15:showDataLabelsRange val="1"/>
                </c:ext>
                <c:ext xmlns:c16="http://schemas.microsoft.com/office/drawing/2014/chart" uri="{C3380CC4-5D6E-409C-BE32-E72D297353CC}">
                  <c16:uniqueId val="{00000026-366F-43B3-A209-1B2E6AEDA45F}"/>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B9A8CE"/>
                    </a:solidFill>
                    <a:latin typeface="+mn-lt"/>
                    <a:ea typeface="+mn-ea"/>
                    <a:cs typeface="+mn-cs"/>
                  </a:defRPr>
                </a:pPr>
                <a:endParaRPr lang="cs-CZ"/>
              </a:p>
            </c:txP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xVal>
            <c:numRef>
              <c:f>graf_data_c!$E$29:$E$37</c:f>
              <c:numCache>
                <c:formatCode>#,##0.0</c:formatCode>
                <c:ptCount val="9"/>
                <c:pt idx="0">
                  <c:v>0</c:v>
                </c:pt>
                <c:pt idx="1">
                  <c:v>27.631578947368428</c:v>
                </c:pt>
                <c:pt idx="2">
                  <c:v>0</c:v>
                </c:pt>
                <c:pt idx="3">
                  <c:v>13.749999999999996</c:v>
                </c:pt>
                <c:pt idx="4">
                  <c:v>2.2624434389140191</c:v>
                </c:pt>
                <c:pt idx="5">
                  <c:v>-8.1081081081081035</c:v>
                </c:pt>
                <c:pt idx="6">
                  <c:v>-2.604166666666663</c:v>
                </c:pt>
                <c:pt idx="7">
                  <c:v>0</c:v>
                </c:pt>
                <c:pt idx="8">
                  <c:v>53.191489361702125</c:v>
                </c:pt>
              </c:numCache>
            </c:numRef>
          </c:xVal>
          <c:yVal>
            <c:numRef>
              <c:f>graf_data_c!$F$29:$F$37</c:f>
              <c:numCache>
                <c:formatCode>General</c:formatCode>
                <c:ptCount val="9"/>
                <c:pt idx="0">
                  <c:v>0</c:v>
                </c:pt>
                <c:pt idx="1">
                  <c:v>1.0522667409057165</c:v>
                </c:pt>
                <c:pt idx="2">
                  <c:v>0</c:v>
                </c:pt>
                <c:pt idx="3">
                  <c:v>1.0738762910798121</c:v>
                </c:pt>
                <c:pt idx="4">
                  <c:v>0.93353794916739696</c:v>
                </c:pt>
                <c:pt idx="5">
                  <c:v>0.94169359605911329</c:v>
                </c:pt>
                <c:pt idx="6">
                  <c:v>0.84226359126984129</c:v>
                </c:pt>
                <c:pt idx="7">
                  <c:v>0</c:v>
                </c:pt>
                <c:pt idx="8">
                  <c:v>0.77220859872611469</c:v>
                </c:pt>
              </c:numCache>
            </c:numRef>
          </c:yVal>
          <c:bubbleSize>
            <c:numRef>
              <c:f>graf_data_c!$G$29:$G$37</c:f>
              <c:numCache>
                <c:formatCode>General</c:formatCode>
                <c:ptCount val="9"/>
                <c:pt idx="0">
                  <c:v>0</c:v>
                </c:pt>
                <c:pt idx="1">
                  <c:v>1347</c:v>
                </c:pt>
                <c:pt idx="2">
                  <c:v>0</c:v>
                </c:pt>
                <c:pt idx="3">
                  <c:v>426</c:v>
                </c:pt>
                <c:pt idx="4">
                  <c:v>1141</c:v>
                </c:pt>
                <c:pt idx="5">
                  <c:v>203</c:v>
                </c:pt>
                <c:pt idx="6">
                  <c:v>1008</c:v>
                </c:pt>
                <c:pt idx="7">
                  <c:v>0</c:v>
                </c:pt>
                <c:pt idx="8">
                  <c:v>314</c:v>
                </c:pt>
              </c:numCache>
            </c:numRef>
          </c:bubbleSize>
          <c:bubble3D val="1"/>
          <c:extLst>
            <c:ext xmlns:c15="http://schemas.microsoft.com/office/drawing/2012/chart" uri="{02D57815-91ED-43cb-92C2-25804820EDAC}">
              <c15:datalabelsRange>
                <c15:f>graf_data_c!$A$29:$A$37</c15:f>
                <c15:dlblRangeCache>
                  <c:ptCount val="9"/>
                  <c:pt idx="0">
                    <c:v>Other agricultural sciences</c:v>
                  </c:pt>
                  <c:pt idx="1">
                    <c:v>Psychology and cognitive sciences</c:v>
                  </c:pt>
                  <c:pt idx="2">
                    <c:v>Economics and business</c:v>
                  </c:pt>
                  <c:pt idx="3">
                    <c:v>Education</c:v>
                  </c:pt>
                  <c:pt idx="4">
                    <c:v>Sociology</c:v>
                  </c:pt>
                  <c:pt idx="5">
                    <c:v>Law</c:v>
                  </c:pt>
                  <c:pt idx="6">
                    <c:v>Political science</c:v>
                  </c:pt>
                  <c:pt idx="7">
                    <c:v>Social and economic geography</c:v>
                  </c:pt>
                  <c:pt idx="8">
                    <c:v>Media and communications</c:v>
                  </c:pt>
                </c15:dlblRangeCache>
              </c15:datalabelsRange>
            </c:ext>
            <c:ext xmlns:c16="http://schemas.microsoft.com/office/drawing/2014/chart" uri="{C3380CC4-5D6E-409C-BE32-E72D297353CC}">
              <c16:uniqueId val="{00000027-366F-43B3-A209-1B2E6AEDA45F}"/>
            </c:ext>
          </c:extLst>
        </c:ser>
        <c:ser>
          <c:idx val="5"/>
          <c:order val="5"/>
          <c:tx>
            <c:strRef>
              <c:f>graf_data_c!$I$38</c:f>
              <c:strCache>
                <c:ptCount val="1"/>
                <c:pt idx="0">
                  <c:v>5</c:v>
                </c:pt>
              </c:strCache>
            </c:strRef>
          </c:tx>
          <c:spPr>
            <a:solidFill>
              <a:srgbClr val="F07611"/>
            </a:solidFill>
            <a:ln w="25400">
              <a:noFill/>
            </a:ln>
            <a:effectLst>
              <a:outerShdw blurRad="57150" dist="19050" dir="5400000" algn="ctr" rotWithShape="0">
                <a:srgbClr val="000000">
                  <a:alpha val="63000"/>
                </a:srgbClr>
              </a:outerShdw>
            </a:effectLst>
          </c:spPr>
          <c:invertIfNegative val="0"/>
          <c:dLbls>
            <c:dLbl>
              <c:idx val="0"/>
              <c:layout>
                <c:manualLayout>
                  <c:x val="-2.2365404391756313E-2"/>
                  <c:y val="-0.13159411088779283"/>
                </c:manualLayout>
              </c:layout>
              <c:tx>
                <c:rich>
                  <a:bodyPr rot="0" spcFirstLastPara="1" vertOverflow="ellipsis" vert="horz" wrap="square" lIns="38100" tIns="19050" rIns="38100" bIns="19050" anchor="ctr" anchorCtr="1">
                    <a:noAutofit/>
                  </a:bodyPr>
                  <a:lstStyle/>
                  <a:p>
                    <a:pPr>
                      <a:defRPr sz="900" b="1" i="0" u="none" strike="noStrike" kern="1200" baseline="0">
                        <a:solidFill>
                          <a:srgbClr val="F07611"/>
                        </a:solidFill>
                        <a:latin typeface="+mn-lt"/>
                        <a:ea typeface="+mn-ea"/>
                        <a:cs typeface="+mn-cs"/>
                      </a:defRPr>
                    </a:pPr>
                    <a:fld id="{E6B96E1D-C638-4BCF-BE3A-ED8CDEE05338}" type="CELLRANGE">
                      <a:rPr lang="en-US"/>
                      <a:pPr>
                        <a:defRPr b="1">
                          <a:solidFill>
                            <a:srgbClr val="F07611"/>
                          </a:solidFill>
                        </a:defRPr>
                      </a:pPr>
                      <a:t>[OBLAST BUNĚK]</a:t>
                    </a:fld>
                    <a:endParaRPr lang="cs-CZ"/>
                  </a:p>
                </c:rich>
              </c:tx>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rgbClr val="F07611"/>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layout>
                    <c:manualLayout>
                      <c:w val="0.17482067116101668"/>
                      <c:h val="5.4219382685712462E-2"/>
                    </c:manualLayout>
                  </c15:layout>
                  <c15:dlblFieldTable/>
                  <c15:showDataLabelsRange val="1"/>
                </c:ext>
                <c:ext xmlns:c16="http://schemas.microsoft.com/office/drawing/2014/chart" uri="{C3380CC4-5D6E-409C-BE32-E72D297353CC}">
                  <c16:uniqueId val="{00000028-366F-43B3-A209-1B2E6AEDA45F}"/>
                </c:ext>
              </c:extLst>
            </c:dLbl>
            <c:dLbl>
              <c:idx val="1"/>
              <c:layout>
                <c:manualLayout>
                  <c:x val="-0.16428647118269674"/>
                  <c:y val="-0.10916439752035416"/>
                </c:manualLayout>
              </c:layout>
              <c:tx>
                <c:rich>
                  <a:bodyPr/>
                  <a:lstStyle/>
                  <a:p>
                    <a:fld id="{AE28C855-5178-43AC-92C2-4F2D2F3D356F}"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9-366F-43B3-A209-1B2E6AEDA45F}"/>
                </c:ext>
              </c:extLst>
            </c:dLbl>
            <c:dLbl>
              <c:idx val="2"/>
              <c:layout>
                <c:manualLayout>
                  <c:x val="-0.17323390207160336"/>
                  <c:y val="0.14744409662496386"/>
                </c:manualLayout>
              </c:layout>
              <c:tx>
                <c:rich>
                  <a:bodyPr rot="0" spcFirstLastPara="1" vertOverflow="ellipsis" vert="horz" wrap="square" lIns="38100" tIns="19050" rIns="38100" bIns="19050" anchor="ctr" anchorCtr="1">
                    <a:noAutofit/>
                  </a:bodyPr>
                  <a:lstStyle/>
                  <a:p>
                    <a:pPr>
                      <a:defRPr sz="900" b="1" i="0" u="none" strike="noStrike" kern="1200" baseline="0">
                        <a:solidFill>
                          <a:srgbClr val="F07611"/>
                        </a:solidFill>
                        <a:latin typeface="+mn-lt"/>
                        <a:ea typeface="+mn-ea"/>
                        <a:cs typeface="+mn-cs"/>
                      </a:defRPr>
                    </a:pPr>
                    <a:fld id="{48EE4E54-660C-4694-8A58-3FA2CAD1ED8D}" type="CELLRANGE">
                      <a:rPr lang="en-US"/>
                      <a:pPr>
                        <a:defRPr b="1">
                          <a:solidFill>
                            <a:srgbClr val="F07611"/>
                          </a:solidFill>
                        </a:defRPr>
                      </a:pPr>
                      <a:t>[OBLAST BUNĚK]</a:t>
                    </a:fld>
                    <a:endParaRPr lang="cs-CZ"/>
                  </a:p>
                </c:rich>
              </c:tx>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rgbClr val="F07611"/>
                      </a:solidFill>
                      <a:latin typeface="+mn-lt"/>
                      <a:ea typeface="+mn-ea"/>
                      <a:cs typeface="+mn-cs"/>
                    </a:defRPr>
                  </a:pPr>
                  <a:endParaRPr lang="cs-CZ"/>
                </a:p>
              </c:txPr>
              <c:showLegendKey val="0"/>
              <c:showVal val="0"/>
              <c:showCatName val="0"/>
              <c:showSerName val="0"/>
              <c:showPercent val="0"/>
              <c:showBubbleSize val="0"/>
              <c:extLst>
                <c:ext xmlns:c15="http://schemas.microsoft.com/office/drawing/2012/chart" uri="{CE6537A1-D6FC-4f65-9D91-7224C49458BB}">
                  <c15:layout>
                    <c:manualLayout>
                      <c:w val="0.17978439940597657"/>
                      <c:h val="7.6980523296189068E-2"/>
                    </c:manualLayout>
                  </c15:layout>
                  <c15:dlblFieldTable/>
                  <c15:showDataLabelsRange val="1"/>
                </c:ext>
                <c:ext xmlns:c16="http://schemas.microsoft.com/office/drawing/2014/chart" uri="{C3380CC4-5D6E-409C-BE32-E72D297353CC}">
                  <c16:uniqueId val="{0000002A-366F-43B3-A209-1B2E6AEDA45F}"/>
                </c:ext>
              </c:extLst>
            </c:dLbl>
            <c:dLbl>
              <c:idx val="3"/>
              <c:layout>
                <c:manualLayout>
                  <c:x val="1.240478831177603E-3"/>
                  <c:y val="-4.2212537358374977E-2"/>
                </c:manualLayout>
              </c:layout>
              <c:tx>
                <c:rich>
                  <a:bodyPr/>
                  <a:lstStyle/>
                  <a:p>
                    <a:fld id="{755E50C7-B4B2-49F6-B855-D12565CE9779}"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B-366F-43B3-A209-1B2E6AEDA45F}"/>
                </c:ext>
              </c:extLst>
            </c:dLbl>
            <c:dLbl>
              <c:idx val="4"/>
              <c:layout>
                <c:manualLayout>
                  <c:x val="-4.8311306927511698E-2"/>
                  <c:y val="-8.8008035500140178E-2"/>
                </c:manualLayout>
              </c:layout>
              <c:tx>
                <c:rich>
                  <a:bodyPr/>
                  <a:lstStyle/>
                  <a:p>
                    <a:fld id="{6F844FB3-99C3-47B9-BD8A-677D3EDDA627}"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2C-366F-43B3-A209-1B2E6AEDA45F}"/>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rgbClr val="F07611"/>
                    </a:solidFill>
                    <a:latin typeface="+mn-lt"/>
                    <a:ea typeface="+mn-ea"/>
                    <a:cs typeface="+mn-cs"/>
                  </a:defRPr>
                </a:pPr>
                <a:endParaRPr lang="cs-CZ"/>
              </a:p>
            </c:txP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xVal>
            <c:numRef>
              <c:f>graf_data_c!$E$38:$E$42</c:f>
              <c:numCache>
                <c:formatCode>#,##0.0</c:formatCode>
                <c:ptCount val="5"/>
                <c:pt idx="0">
                  <c:v>49.019607843137258</c:v>
                </c:pt>
                <c:pt idx="1">
                  <c:v>23.837209302325579</c:v>
                </c:pt>
                <c:pt idx="2">
                  <c:v>-9.8765432098765427</c:v>
                </c:pt>
                <c:pt idx="3">
                  <c:v>21.39303482587065</c:v>
                </c:pt>
                <c:pt idx="4">
                  <c:v>-41.269841269841265</c:v>
                </c:pt>
              </c:numCache>
            </c:numRef>
          </c:xVal>
          <c:yVal>
            <c:numRef>
              <c:f>graf_data_c!$F$38:$F$42</c:f>
              <c:numCache>
                <c:formatCode>General</c:formatCode>
                <c:ptCount val="5"/>
                <c:pt idx="0">
                  <c:v>1.0592700331125828</c:v>
                </c:pt>
                <c:pt idx="1">
                  <c:v>1.6751221021611002</c:v>
                </c:pt>
                <c:pt idx="2">
                  <c:v>0.63060108991825625</c:v>
                </c:pt>
                <c:pt idx="3">
                  <c:v>0.74640346441947569</c:v>
                </c:pt>
                <c:pt idx="4">
                  <c:v>1.0157570469798658</c:v>
                </c:pt>
              </c:numCache>
            </c:numRef>
          </c:yVal>
          <c:bubbleSize>
            <c:numRef>
              <c:f>graf_data_c!$G$38:$G$42</c:f>
              <c:numCache>
                <c:formatCode>General</c:formatCode>
                <c:ptCount val="5"/>
                <c:pt idx="0">
                  <c:v>604</c:v>
                </c:pt>
                <c:pt idx="1">
                  <c:v>1018</c:v>
                </c:pt>
                <c:pt idx="2">
                  <c:v>734</c:v>
                </c:pt>
                <c:pt idx="3">
                  <c:v>1068</c:v>
                </c:pt>
                <c:pt idx="4">
                  <c:v>298</c:v>
                </c:pt>
              </c:numCache>
            </c:numRef>
          </c:bubbleSize>
          <c:bubble3D val="1"/>
          <c:extLst>
            <c:ext xmlns:c15="http://schemas.microsoft.com/office/drawing/2012/chart" uri="{02D57815-91ED-43cb-92C2-25804820EDAC}">
              <c15:datalabelsRange>
                <c15:f>graf_data_c!$A$38:$A$42</c15:f>
                <c15:dlblRangeCache>
                  <c:ptCount val="5"/>
                  <c:pt idx="0">
                    <c:v>Other social sciences</c:v>
                  </c:pt>
                  <c:pt idx="1">
                    <c:v>History and archaeology</c:v>
                  </c:pt>
                  <c:pt idx="2">
                    <c:v>Languages and literature</c:v>
                  </c:pt>
                  <c:pt idx="3">
                    <c:v>Philosophy, ethics and religion</c:v>
                  </c:pt>
                  <c:pt idx="4">
                    <c:v>Arts</c:v>
                  </c:pt>
                </c15:dlblRangeCache>
              </c15:datalabelsRange>
            </c:ext>
            <c:ext xmlns:c16="http://schemas.microsoft.com/office/drawing/2014/chart" uri="{C3380CC4-5D6E-409C-BE32-E72D297353CC}">
              <c16:uniqueId val="{0000002D-366F-43B3-A209-1B2E6AEDA45F}"/>
            </c:ext>
          </c:extLst>
        </c:ser>
        <c:ser>
          <c:idx val="6"/>
          <c:order val="6"/>
          <c:tx>
            <c:strRef>
              <c:f>osy!$A$1</c:f>
              <c:strCache>
                <c:ptCount val="1"/>
                <c:pt idx="0">
                  <c:v>trend0a</c:v>
                </c:pt>
              </c:strCache>
            </c:strRef>
          </c:tx>
          <c:spPr>
            <a:noFill/>
            <a:ln w="25400">
              <a:noFill/>
            </a:ln>
            <a:effectLst>
              <a:outerShdw blurRad="57150" dist="19050" dir="5400000" algn="ctr" rotWithShape="0">
                <a:srgbClr val="000000">
                  <a:alpha val="63000"/>
                </a:srgbClr>
              </a:outerShdw>
            </a:effectLst>
          </c:spPr>
          <c:invertIfNegative val="0"/>
          <c:errBars>
            <c:errDir val="x"/>
            <c:errBarType val="both"/>
            <c:errValType val="fixedVal"/>
            <c:noEndCap val="0"/>
            <c:val val="500"/>
            <c:spPr>
              <a:noFill/>
              <a:ln w="9525" cap="flat" cmpd="sng" algn="ctr">
                <a:solidFill>
                  <a:schemeClr val="tx1">
                    <a:lumMod val="65000"/>
                    <a:lumOff val="35000"/>
                  </a:schemeClr>
                </a:solidFill>
                <a:prstDash val="dash"/>
                <a:round/>
              </a:ln>
              <a:effectLst/>
            </c:spPr>
          </c:errBars>
          <c:xVal>
            <c:numRef>
              <c:f>osy!$B$2</c:f>
              <c:numCache>
                <c:formatCode>General</c:formatCode>
                <c:ptCount val="1"/>
                <c:pt idx="0">
                  <c:v>-20</c:v>
                </c:pt>
              </c:numCache>
            </c:numRef>
          </c:xVal>
          <c:yVal>
            <c:numRef>
              <c:f>osy!$C$2</c:f>
              <c:numCache>
                <c:formatCode>General</c:formatCode>
                <c:ptCount val="1"/>
                <c:pt idx="0">
                  <c:v>1</c:v>
                </c:pt>
              </c:numCache>
            </c:numRef>
          </c:yVal>
          <c:bubbleSize>
            <c:numLit>
              <c:formatCode>General</c:formatCode>
              <c:ptCount val="1"/>
              <c:pt idx="0">
                <c:v>1</c:v>
              </c:pt>
            </c:numLit>
          </c:bubbleSize>
          <c:bubble3D val="1"/>
          <c:extLst>
            <c:ext xmlns:c16="http://schemas.microsoft.com/office/drawing/2014/chart" uri="{C3380CC4-5D6E-409C-BE32-E72D297353CC}">
              <c16:uniqueId val="{0000002E-366F-43B3-A209-1B2E6AEDA45F}"/>
            </c:ext>
          </c:extLst>
        </c:ser>
        <c:ser>
          <c:idx val="7"/>
          <c:order val="7"/>
          <c:tx>
            <c:strRef>
              <c:f>osy!$A$3</c:f>
              <c:strCache>
                <c:ptCount val="1"/>
                <c:pt idx="0">
                  <c:v>trend00</c:v>
                </c:pt>
              </c:strCache>
            </c:strRef>
          </c:tx>
          <c:spPr>
            <a:noFill/>
            <a:ln w="25400">
              <a:noFill/>
            </a:ln>
            <a:effectLst>
              <a:outerShdw blurRad="57150" dist="19050" dir="5400000" algn="ctr" rotWithShape="0">
                <a:srgbClr val="000000">
                  <a:alpha val="63000"/>
                </a:srgbClr>
              </a:outerShdw>
            </a:effectLst>
          </c:spPr>
          <c:invertIfNegative val="0"/>
          <c:errBars>
            <c:errDir val="y"/>
            <c:errBarType val="both"/>
            <c:errValType val="fixedVal"/>
            <c:noEndCap val="1"/>
            <c:val val="2.5"/>
            <c:spPr>
              <a:noFill/>
              <a:ln w="9525" cap="flat" cmpd="sng" algn="ctr">
                <a:solidFill>
                  <a:schemeClr val="tx1">
                    <a:lumMod val="65000"/>
                    <a:lumOff val="35000"/>
                  </a:schemeClr>
                </a:solidFill>
                <a:prstDash val="dash"/>
                <a:round/>
              </a:ln>
              <a:effectLst/>
            </c:spPr>
          </c:errBars>
          <c:xVal>
            <c:numRef>
              <c:f>osy!$B$3</c:f>
              <c:numCache>
                <c:formatCode>General</c:formatCode>
                <c:ptCount val="1"/>
                <c:pt idx="0">
                  <c:v>0</c:v>
                </c:pt>
              </c:numCache>
            </c:numRef>
          </c:xVal>
          <c:yVal>
            <c:numRef>
              <c:f>osy!$C$3</c:f>
              <c:numCache>
                <c:formatCode>General</c:formatCode>
                <c:ptCount val="1"/>
                <c:pt idx="0">
                  <c:v>0</c:v>
                </c:pt>
              </c:numCache>
            </c:numRef>
          </c:yVal>
          <c:bubbleSize>
            <c:numLit>
              <c:formatCode>General</c:formatCode>
              <c:ptCount val="1"/>
              <c:pt idx="0">
                <c:v>1</c:v>
              </c:pt>
            </c:numLit>
          </c:bubbleSize>
          <c:bubble3D val="1"/>
          <c:extLst>
            <c:ext xmlns:c16="http://schemas.microsoft.com/office/drawing/2014/chart" uri="{C3380CC4-5D6E-409C-BE32-E72D297353CC}">
              <c16:uniqueId val="{0000002F-366F-43B3-A209-1B2E6AEDA45F}"/>
            </c:ext>
          </c:extLst>
        </c:ser>
        <c:dLbls>
          <c:showLegendKey val="0"/>
          <c:showVal val="0"/>
          <c:showCatName val="0"/>
          <c:showSerName val="0"/>
          <c:showPercent val="0"/>
          <c:showBubbleSize val="0"/>
        </c:dLbls>
        <c:bubbleScale val="100"/>
        <c:showNegBubbles val="0"/>
        <c:sizeRepresents val="w"/>
        <c:axId val="1630889775"/>
        <c:axId val="1630893935"/>
      </c:bubbleChart>
      <c:valAx>
        <c:axId val="1630889775"/>
        <c:scaling>
          <c:orientation val="minMax"/>
          <c:max val="100"/>
          <c:min val="-50"/>
        </c:scaling>
        <c:delete val="0"/>
        <c:axPos val="b"/>
        <c:majorGridlines>
          <c:spPr>
            <a:ln w="9525" cap="flat" cmpd="sng" algn="ctr">
              <a:noFill/>
              <a:round/>
            </a:ln>
            <a:effectLst/>
          </c:spPr>
        </c:majorGridlines>
        <c:title>
          <c:tx>
            <c:strRef>
              <c:f>graf_data_c!$C$53</c:f>
              <c:strCache>
                <c:ptCount val="1"/>
                <c:pt idx="0">
                  <c:v>změna v počtu publikací mezi roky 2020 a 2024 (%)</c:v>
                </c:pt>
              </c:strCache>
            </c:strRef>
          </c:tx>
          <c:overlay val="0"/>
          <c:spPr>
            <a:noFill/>
            <a:ln>
              <a:noFill/>
            </a:ln>
            <a:effectLst/>
          </c:spPr>
          <c:txPr>
            <a:bodyPr rot="0" spcFirstLastPara="1" vertOverflow="ellipsis" vert="horz" wrap="square" anchor="ctr" anchorCtr="1"/>
            <a:lstStyle/>
            <a:p>
              <a:pPr algn="ctr" rtl="0">
                <a:defRPr sz="1000" b="1" i="0" u="none" strike="noStrike" kern="1200" baseline="0">
                  <a:solidFill>
                    <a:sysClr val="windowText" lastClr="000000"/>
                  </a:solidFill>
                  <a:latin typeface="+mn-lt"/>
                  <a:ea typeface="+mn-ea"/>
                  <a:cs typeface="+mn-cs"/>
                </a:defRPr>
              </a:pPr>
              <a:endParaRPr lang="cs-CZ"/>
            </a:p>
          </c:txPr>
        </c:title>
        <c:numFmt formatCode="#,##0.0" sourceLinked="0"/>
        <c:majorTickMark val="out"/>
        <c:minorTickMark val="none"/>
        <c:tickLblPos val="nextTo"/>
        <c:spPr>
          <a:noFill/>
          <a:ln w="9525" cap="flat" cmpd="sng" algn="ctr">
            <a:solidFill>
              <a:schemeClr val="tx1">
                <a:lumMod val="50000"/>
                <a:lumOff val="50000"/>
              </a:schemeClr>
            </a:solidFill>
            <a:round/>
            <a:tailEnd type="stealth"/>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630893935"/>
        <c:crossesAt val="-20"/>
        <c:crossBetween val="midCat"/>
        <c:majorUnit val="25"/>
      </c:valAx>
      <c:valAx>
        <c:axId val="1630893935"/>
        <c:scaling>
          <c:orientation val="minMax"/>
          <c:max val="2.5"/>
          <c:min val="0"/>
        </c:scaling>
        <c:delete val="0"/>
        <c:axPos val="l"/>
        <c:majorGridlines>
          <c:spPr>
            <a:ln w="9525" cap="flat" cmpd="sng" algn="ctr">
              <a:noFill/>
              <a:round/>
            </a:ln>
            <a:effectLst/>
          </c:spPr>
        </c:majorGridlines>
        <c:title>
          <c:tx>
            <c:strRef>
              <c:f>graf_data_c!$C$52</c:f>
              <c:strCache>
                <c:ptCount val="1"/>
                <c:pt idx="0">
                  <c:v>Normalized Citation Impact (2020–2024)</c:v>
                </c:pt>
              </c:strCache>
            </c:strRef>
          </c:tx>
          <c:overlay val="0"/>
          <c:spPr>
            <a:noFill/>
            <a:ln>
              <a:noFill/>
            </a:ln>
            <a:effectLst/>
          </c:spPr>
          <c:txPr>
            <a:bodyPr rot="-5400000" spcFirstLastPara="1" vertOverflow="ellipsis" vert="horz" wrap="square" anchor="ctr" anchorCtr="1"/>
            <a:lstStyle/>
            <a:p>
              <a:pPr algn="ctr" rtl="0">
                <a:defRPr sz="1000" b="1" i="0" u="none" strike="noStrike" kern="1200" baseline="0">
                  <a:solidFill>
                    <a:sysClr val="windowText" lastClr="000000"/>
                  </a:solidFill>
                  <a:latin typeface="+mn-lt"/>
                  <a:ea typeface="+mn-ea"/>
                  <a:cs typeface="+mn-cs"/>
                </a:defRPr>
              </a:pPr>
              <a:endParaRPr lang="cs-CZ"/>
            </a:p>
          </c:txPr>
        </c:title>
        <c:numFmt formatCode="General" sourceLinked="1"/>
        <c:majorTickMark val="out"/>
        <c:minorTickMark val="none"/>
        <c:tickLblPos val="nextTo"/>
        <c:spPr>
          <a:noFill/>
          <a:ln>
            <a:solidFill>
              <a:schemeClr val="tx1">
                <a:lumMod val="50000"/>
                <a:lumOff val="50000"/>
              </a:schemeClr>
            </a:solidFill>
            <a:tailEnd type="stealth"/>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630889775"/>
        <c:crossesAt val="-100"/>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cs-CZ"/>
    </a:p>
  </c:txPr>
  <c:externalData r:id="rId4">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strRef>
          <c:f>'01_Group'!$A$40</c:f>
          <c:strCache>
            <c:ptCount val="1"/>
            <c:pt idx="0">
              <c:v> NATURAL SCIENCES</c:v>
            </c:pt>
          </c:strCache>
        </c:strRef>
      </c:tx>
      <c:overlay val="0"/>
      <c:spPr>
        <a:noFill/>
        <a:ln>
          <a:noFill/>
        </a:ln>
        <a:effectLst/>
      </c:spPr>
      <c:txPr>
        <a:bodyPr rot="0" spcFirstLastPara="1" vertOverflow="ellipsis" vert="horz" wrap="square" anchor="ctr" anchorCtr="1"/>
        <a:lstStyle/>
        <a:p>
          <a:pPr>
            <a:defRPr sz="1400" b="1" i="0" u="none" strike="noStrike" kern="1200" spc="0" baseline="0">
              <a:solidFill>
                <a:srgbClr val="1FA81F"/>
              </a:solidFill>
              <a:latin typeface="+mn-lt"/>
              <a:ea typeface="+mn-ea"/>
              <a:cs typeface="+mn-cs"/>
            </a:defRPr>
          </a:pPr>
          <a:endParaRPr lang="cs-CZ"/>
        </a:p>
      </c:txPr>
    </c:title>
    <c:autoTitleDeleted val="0"/>
    <c:plotArea>
      <c:layout>
        <c:manualLayout>
          <c:layoutTarget val="inner"/>
          <c:xMode val="edge"/>
          <c:yMode val="edge"/>
          <c:x val="6.2049676884384231E-2"/>
          <c:y val="0.15901393354769561"/>
          <c:w val="0.87989333415568483"/>
          <c:h val="0.70232912204302445"/>
        </c:manualLayout>
      </c:layout>
      <c:barChart>
        <c:barDir val="col"/>
        <c:grouping val="percentStacked"/>
        <c:varyColors val="0"/>
        <c:ser>
          <c:idx val="3"/>
          <c:order val="0"/>
          <c:tx>
            <c:strRef>
              <c:f>'01_Group'!$E$1</c:f>
              <c:strCache>
                <c:ptCount val="1"/>
                <c:pt idx="0">
                  <c:v>% Documents in Q4 Journals</c:v>
                </c:pt>
              </c:strCache>
            </c:strRef>
          </c:tx>
          <c:spPr>
            <a:solidFill>
              <a:srgbClr val="D78E8E"/>
            </a:solidFill>
            <a:ln w="15875">
              <a:solidFill>
                <a:srgbClr val="BE4949"/>
              </a:solidFill>
            </a:ln>
            <a:effectLst/>
          </c:spPr>
          <c:invertIfNegative val="0"/>
          <c:cat>
            <c:strRef>
              <c:f>'01_Group'!$L$2:$L$15</c:f>
              <c:strCache>
                <c:ptCount val="14"/>
                <c:pt idx="0">
                  <c:v>CZE                                             (54.3)</c:v>
                </c:pt>
                <c:pt idx="1">
                  <c:v>EU-15                                             (1409.1)</c:v>
                </c:pt>
                <c:pt idx="2">
                  <c:v>OECD                                             (3064.7)</c:v>
                </c:pt>
                <c:pt idx="3">
                  <c:v>DEU                                             (345.4)</c:v>
                </c:pt>
                <c:pt idx="4">
                  <c:v>POL                                             (114.7)</c:v>
                </c:pt>
                <c:pt idx="5">
                  <c:v>NLD                                             (99.6)</c:v>
                </c:pt>
                <c:pt idx="6">
                  <c:v>SWE                                             (77.5)</c:v>
                </c:pt>
                <c:pt idx="7">
                  <c:v>BEL                                             (63.1)</c:v>
                </c:pt>
                <c:pt idx="8">
                  <c:v>AUT                                             (55.2)</c:v>
                </c:pt>
                <c:pt idx="9">
                  <c:v>DNK                                             (52.7)</c:v>
                </c:pt>
                <c:pt idx="10">
                  <c:v>FIN                                             (40.9)</c:v>
                </c:pt>
                <c:pt idx="11">
                  <c:v>SVK                                             (16.6)</c:v>
                </c:pt>
                <c:pt idx="12">
                  <c:v>EST                                             (8.1)</c:v>
                </c:pt>
                <c:pt idx="13">
                  <c:v>CYP                                             (6.2)</c:v>
                </c:pt>
              </c:strCache>
            </c:strRef>
          </c:cat>
          <c:val>
            <c:numRef>
              <c:f>'01_Group'!$E$2:$E$15</c:f>
              <c:numCache>
                <c:formatCode>General</c:formatCode>
                <c:ptCount val="14"/>
                <c:pt idx="0">
                  <c:v>5.62E-2</c:v>
                </c:pt>
                <c:pt idx="1">
                  <c:v>3.6699999999999997E-2</c:v>
                </c:pt>
                <c:pt idx="2">
                  <c:v>5.0999999999999997E-2</c:v>
                </c:pt>
                <c:pt idx="3">
                  <c:v>3.6400000000000002E-2</c:v>
                </c:pt>
                <c:pt idx="4">
                  <c:v>7.3599999999999999E-2</c:v>
                </c:pt>
                <c:pt idx="5">
                  <c:v>2.6499999999999999E-2</c:v>
                </c:pt>
                <c:pt idx="6">
                  <c:v>2.4500000000000001E-2</c:v>
                </c:pt>
                <c:pt idx="7">
                  <c:v>3.2000000000000001E-2</c:v>
                </c:pt>
                <c:pt idx="8">
                  <c:v>3.9100000000000003E-2</c:v>
                </c:pt>
                <c:pt idx="9">
                  <c:v>2.5000000000000001E-2</c:v>
                </c:pt>
                <c:pt idx="10">
                  <c:v>2.9500000000000002E-2</c:v>
                </c:pt>
                <c:pt idx="11">
                  <c:v>9.1400000000000009E-2</c:v>
                </c:pt>
                <c:pt idx="12">
                  <c:v>4.9000000000000002E-2</c:v>
                </c:pt>
                <c:pt idx="13">
                  <c:v>5.2999999999999999E-2</c:v>
                </c:pt>
              </c:numCache>
            </c:numRef>
          </c:val>
          <c:extLst>
            <c:ext xmlns:c16="http://schemas.microsoft.com/office/drawing/2014/chart" uri="{C3380CC4-5D6E-409C-BE32-E72D297353CC}">
              <c16:uniqueId val="{00000000-B8D6-4C26-A18B-AA24DCE860F6}"/>
            </c:ext>
          </c:extLst>
        </c:ser>
        <c:ser>
          <c:idx val="2"/>
          <c:order val="1"/>
          <c:tx>
            <c:strRef>
              <c:f>'01_Group'!$D$1</c:f>
              <c:strCache>
                <c:ptCount val="1"/>
                <c:pt idx="0">
                  <c:v>% Documents in Q3 Journals</c:v>
                </c:pt>
              </c:strCache>
            </c:strRef>
          </c:tx>
          <c:spPr>
            <a:solidFill>
              <a:srgbClr val="D4DEEF"/>
            </a:solidFill>
            <a:ln w="15875">
              <a:solidFill>
                <a:srgbClr val="3A5D9C"/>
              </a:solidFill>
            </a:ln>
            <a:effectLst/>
          </c:spPr>
          <c:invertIfNegative val="0"/>
          <c:cat>
            <c:strRef>
              <c:f>'01_Group'!$L$2:$L$15</c:f>
              <c:strCache>
                <c:ptCount val="14"/>
                <c:pt idx="0">
                  <c:v>CZE                                             (54.3)</c:v>
                </c:pt>
                <c:pt idx="1">
                  <c:v>EU-15                                             (1409.1)</c:v>
                </c:pt>
                <c:pt idx="2">
                  <c:v>OECD                                             (3064.7)</c:v>
                </c:pt>
                <c:pt idx="3">
                  <c:v>DEU                                             (345.4)</c:v>
                </c:pt>
                <c:pt idx="4">
                  <c:v>POL                                             (114.7)</c:v>
                </c:pt>
                <c:pt idx="5">
                  <c:v>NLD                                             (99.6)</c:v>
                </c:pt>
                <c:pt idx="6">
                  <c:v>SWE                                             (77.5)</c:v>
                </c:pt>
                <c:pt idx="7">
                  <c:v>BEL                                             (63.1)</c:v>
                </c:pt>
                <c:pt idx="8">
                  <c:v>AUT                                             (55.2)</c:v>
                </c:pt>
                <c:pt idx="9">
                  <c:v>DNK                                             (52.7)</c:v>
                </c:pt>
                <c:pt idx="10">
                  <c:v>FIN                                             (40.9)</c:v>
                </c:pt>
                <c:pt idx="11">
                  <c:v>SVK                                             (16.6)</c:v>
                </c:pt>
                <c:pt idx="12">
                  <c:v>EST                                             (8.1)</c:v>
                </c:pt>
                <c:pt idx="13">
                  <c:v>CYP                                             (6.2)</c:v>
                </c:pt>
              </c:strCache>
            </c:strRef>
          </c:cat>
          <c:val>
            <c:numRef>
              <c:f>'01_Group'!$D$2:$D$15</c:f>
              <c:numCache>
                <c:formatCode>General</c:formatCode>
                <c:ptCount val="14"/>
                <c:pt idx="0">
                  <c:v>0.10580000000000001</c:v>
                </c:pt>
                <c:pt idx="1">
                  <c:v>9.5600000000000004E-2</c:v>
                </c:pt>
                <c:pt idx="2">
                  <c:v>0.10949999999999999</c:v>
                </c:pt>
                <c:pt idx="3">
                  <c:v>9.5600000000000004E-2</c:v>
                </c:pt>
                <c:pt idx="4">
                  <c:v>8.9700000000000002E-2</c:v>
                </c:pt>
                <c:pt idx="5">
                  <c:v>7.7699999999999991E-2</c:v>
                </c:pt>
                <c:pt idx="6">
                  <c:v>7.9600000000000004E-2</c:v>
                </c:pt>
                <c:pt idx="7">
                  <c:v>8.929999999999999E-2</c:v>
                </c:pt>
                <c:pt idx="8">
                  <c:v>0.10099999999999999</c:v>
                </c:pt>
                <c:pt idx="9">
                  <c:v>7.4200000000000002E-2</c:v>
                </c:pt>
                <c:pt idx="10">
                  <c:v>8.6500000000000007E-2</c:v>
                </c:pt>
                <c:pt idx="11">
                  <c:v>0.12539999999999998</c:v>
                </c:pt>
                <c:pt idx="12">
                  <c:v>9.3699999999999992E-2</c:v>
                </c:pt>
                <c:pt idx="13">
                  <c:v>9.2499999999999999E-2</c:v>
                </c:pt>
              </c:numCache>
            </c:numRef>
          </c:val>
          <c:extLst>
            <c:ext xmlns:c16="http://schemas.microsoft.com/office/drawing/2014/chart" uri="{C3380CC4-5D6E-409C-BE32-E72D297353CC}">
              <c16:uniqueId val="{00000001-B8D6-4C26-A18B-AA24DCE860F6}"/>
            </c:ext>
          </c:extLst>
        </c:ser>
        <c:ser>
          <c:idx val="1"/>
          <c:order val="2"/>
          <c:tx>
            <c:strRef>
              <c:f>'01_Group'!$C$1</c:f>
              <c:strCache>
                <c:ptCount val="1"/>
                <c:pt idx="0">
                  <c:v>% Documents in Q2 Journals</c:v>
                </c:pt>
              </c:strCache>
            </c:strRef>
          </c:tx>
          <c:spPr>
            <a:solidFill>
              <a:srgbClr val="9EE99E"/>
            </a:solidFill>
            <a:ln w="15875">
              <a:solidFill>
                <a:srgbClr val="1FA81F"/>
              </a:solidFill>
            </a:ln>
            <a:effectLst/>
          </c:spPr>
          <c:invertIfNegative val="0"/>
          <c:cat>
            <c:strRef>
              <c:f>'01_Group'!$L$2:$L$15</c:f>
              <c:strCache>
                <c:ptCount val="14"/>
                <c:pt idx="0">
                  <c:v>CZE                                             (54.3)</c:v>
                </c:pt>
                <c:pt idx="1">
                  <c:v>EU-15                                             (1409.1)</c:v>
                </c:pt>
                <c:pt idx="2">
                  <c:v>OECD                                             (3064.7)</c:v>
                </c:pt>
                <c:pt idx="3">
                  <c:v>DEU                                             (345.4)</c:v>
                </c:pt>
                <c:pt idx="4">
                  <c:v>POL                                             (114.7)</c:v>
                </c:pt>
                <c:pt idx="5">
                  <c:v>NLD                                             (99.6)</c:v>
                </c:pt>
                <c:pt idx="6">
                  <c:v>SWE                                             (77.5)</c:v>
                </c:pt>
                <c:pt idx="7">
                  <c:v>BEL                                             (63.1)</c:v>
                </c:pt>
                <c:pt idx="8">
                  <c:v>AUT                                             (55.2)</c:v>
                </c:pt>
                <c:pt idx="9">
                  <c:v>DNK                                             (52.7)</c:v>
                </c:pt>
                <c:pt idx="10">
                  <c:v>FIN                                             (40.9)</c:v>
                </c:pt>
                <c:pt idx="11">
                  <c:v>SVK                                             (16.6)</c:v>
                </c:pt>
                <c:pt idx="12">
                  <c:v>EST                                             (8.1)</c:v>
                </c:pt>
                <c:pt idx="13">
                  <c:v>CYP                                             (6.2)</c:v>
                </c:pt>
              </c:strCache>
            </c:strRef>
          </c:cat>
          <c:val>
            <c:numRef>
              <c:f>'01_Group'!$C$2:$C$15</c:f>
              <c:numCache>
                <c:formatCode>General</c:formatCode>
                <c:ptCount val="14"/>
                <c:pt idx="0">
                  <c:v>0.32740000000000002</c:v>
                </c:pt>
                <c:pt idx="1">
                  <c:v>0.31950000000000001</c:v>
                </c:pt>
                <c:pt idx="2">
                  <c:v>0.32170000000000004</c:v>
                </c:pt>
                <c:pt idx="3">
                  <c:v>0.30370000000000003</c:v>
                </c:pt>
                <c:pt idx="4">
                  <c:v>0.36810000000000004</c:v>
                </c:pt>
                <c:pt idx="5">
                  <c:v>0.26229999999999998</c:v>
                </c:pt>
                <c:pt idx="6">
                  <c:v>0.28850000000000003</c:v>
                </c:pt>
                <c:pt idx="7">
                  <c:v>0.2873</c:v>
                </c:pt>
                <c:pt idx="8">
                  <c:v>0.29969999999999997</c:v>
                </c:pt>
                <c:pt idx="9">
                  <c:v>0.26669999999999999</c:v>
                </c:pt>
                <c:pt idx="10">
                  <c:v>0.30740000000000001</c:v>
                </c:pt>
                <c:pt idx="11">
                  <c:v>0.38200000000000001</c:v>
                </c:pt>
                <c:pt idx="12">
                  <c:v>0.31469999999999998</c:v>
                </c:pt>
                <c:pt idx="13">
                  <c:v>0.32569999999999999</c:v>
                </c:pt>
              </c:numCache>
            </c:numRef>
          </c:val>
          <c:extLst>
            <c:ext xmlns:c16="http://schemas.microsoft.com/office/drawing/2014/chart" uri="{C3380CC4-5D6E-409C-BE32-E72D297353CC}">
              <c16:uniqueId val="{00000002-B8D6-4C26-A18B-AA24DCE860F6}"/>
            </c:ext>
          </c:extLst>
        </c:ser>
        <c:ser>
          <c:idx val="0"/>
          <c:order val="3"/>
          <c:tx>
            <c:strRef>
              <c:f>'01_Group'!$B$1</c:f>
              <c:strCache>
                <c:ptCount val="1"/>
                <c:pt idx="0">
                  <c:v>% Documents in Q1 Journals</c:v>
                </c:pt>
              </c:strCache>
            </c:strRef>
          </c:tx>
          <c:spPr>
            <a:solidFill>
              <a:srgbClr val="FAE6D3"/>
            </a:solidFill>
            <a:ln w="15875">
              <a:solidFill>
                <a:srgbClr val="E9933E"/>
              </a:solidFill>
            </a:ln>
            <a:effectLst/>
          </c:spPr>
          <c:invertIfNegative val="0"/>
          <c:cat>
            <c:strRef>
              <c:f>'01_Group'!$L$2:$L$15</c:f>
              <c:strCache>
                <c:ptCount val="14"/>
                <c:pt idx="0">
                  <c:v>CZE                                             (54.3)</c:v>
                </c:pt>
                <c:pt idx="1">
                  <c:v>EU-15                                             (1409.1)</c:v>
                </c:pt>
                <c:pt idx="2">
                  <c:v>OECD                                             (3064.7)</c:v>
                </c:pt>
                <c:pt idx="3">
                  <c:v>DEU                                             (345.4)</c:v>
                </c:pt>
                <c:pt idx="4">
                  <c:v>POL                                             (114.7)</c:v>
                </c:pt>
                <c:pt idx="5">
                  <c:v>NLD                                             (99.6)</c:v>
                </c:pt>
                <c:pt idx="6">
                  <c:v>SWE                                             (77.5)</c:v>
                </c:pt>
                <c:pt idx="7">
                  <c:v>BEL                                             (63.1)</c:v>
                </c:pt>
                <c:pt idx="8">
                  <c:v>AUT                                             (55.2)</c:v>
                </c:pt>
                <c:pt idx="9">
                  <c:v>DNK                                             (52.7)</c:v>
                </c:pt>
                <c:pt idx="10">
                  <c:v>FIN                                             (40.9)</c:v>
                </c:pt>
                <c:pt idx="11">
                  <c:v>SVK                                             (16.6)</c:v>
                </c:pt>
                <c:pt idx="12">
                  <c:v>EST                                             (8.1)</c:v>
                </c:pt>
                <c:pt idx="13">
                  <c:v>CYP                                             (6.2)</c:v>
                </c:pt>
              </c:strCache>
            </c:strRef>
          </c:cat>
          <c:val>
            <c:numRef>
              <c:f>'01_Group'!$B$2:$B$15</c:f>
              <c:numCache>
                <c:formatCode>General</c:formatCode>
                <c:ptCount val="14"/>
                <c:pt idx="0">
                  <c:v>0.51060000000000005</c:v>
                </c:pt>
                <c:pt idx="1">
                  <c:v>0.54820000000000002</c:v>
                </c:pt>
                <c:pt idx="2">
                  <c:v>0.51790000000000003</c:v>
                </c:pt>
                <c:pt idx="3">
                  <c:v>0.56430000000000002</c:v>
                </c:pt>
                <c:pt idx="4">
                  <c:v>0.46860000000000002</c:v>
                </c:pt>
                <c:pt idx="5">
                  <c:v>0.63359999999999994</c:v>
                </c:pt>
                <c:pt idx="6">
                  <c:v>0.60740000000000005</c:v>
                </c:pt>
                <c:pt idx="7">
                  <c:v>0.59140000000000004</c:v>
                </c:pt>
                <c:pt idx="8">
                  <c:v>0.56020000000000003</c:v>
                </c:pt>
                <c:pt idx="9">
                  <c:v>0.63419999999999999</c:v>
                </c:pt>
                <c:pt idx="10">
                  <c:v>0.5766</c:v>
                </c:pt>
                <c:pt idx="11">
                  <c:v>0.4012</c:v>
                </c:pt>
                <c:pt idx="12">
                  <c:v>0.54259999999999997</c:v>
                </c:pt>
                <c:pt idx="13">
                  <c:v>0.52869999999999995</c:v>
                </c:pt>
              </c:numCache>
            </c:numRef>
          </c:val>
          <c:extLst>
            <c:ext xmlns:c16="http://schemas.microsoft.com/office/drawing/2014/chart" uri="{C3380CC4-5D6E-409C-BE32-E72D297353CC}">
              <c16:uniqueId val="{00000003-B8D6-4C26-A18B-AA24DCE860F6}"/>
            </c:ext>
          </c:extLst>
        </c:ser>
        <c:dLbls>
          <c:showLegendKey val="0"/>
          <c:showVal val="0"/>
          <c:showCatName val="0"/>
          <c:showSerName val="0"/>
          <c:showPercent val="0"/>
          <c:showBubbleSize val="0"/>
        </c:dLbls>
        <c:gapWidth val="150"/>
        <c:overlap val="100"/>
        <c:axId val="1116811439"/>
        <c:axId val="1116811855"/>
      </c:barChart>
      <c:lineChart>
        <c:grouping val="standard"/>
        <c:varyColors val="0"/>
        <c:ser>
          <c:idx val="4"/>
          <c:order val="4"/>
          <c:tx>
            <c:strRef>
              <c:f>'01_Group'!$F$1</c:f>
              <c:strCache>
                <c:ptCount val="1"/>
                <c:pt idx="0">
                  <c:v>% Documents in Top 10%</c:v>
                </c:pt>
              </c:strCache>
            </c:strRef>
          </c:tx>
          <c:spPr>
            <a:ln w="28575" cap="rnd">
              <a:noFill/>
              <a:round/>
            </a:ln>
            <a:effectLst/>
          </c:spPr>
          <c:marker>
            <c:symbol val="triangle"/>
            <c:size val="7"/>
            <c:spPr>
              <a:solidFill>
                <a:srgbClr val="D9D9D9"/>
              </a:solidFill>
              <a:ln w="15875">
                <a:solidFill>
                  <a:srgbClr val="7F7F7F"/>
                </a:solidFill>
              </a:ln>
              <a:effectLst/>
            </c:spPr>
          </c:marker>
          <c:dLbls>
            <c:dLbl>
              <c:idx val="0"/>
              <c:tx>
                <c:rich>
                  <a:bodyPr/>
                  <a:lstStyle/>
                  <a:p>
                    <a:fld id="{27AC0E14-5BC9-4D6B-870C-1BB8CFCB63AA}"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4-B8D6-4C26-A18B-AA24DCE860F6}"/>
                </c:ext>
              </c:extLst>
            </c:dLbl>
            <c:dLbl>
              <c:idx val="1"/>
              <c:tx>
                <c:rich>
                  <a:bodyPr/>
                  <a:lstStyle/>
                  <a:p>
                    <a:fld id="{E26DAB2C-CB47-4931-A2E5-FE14C1E7AAD1}"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B8D6-4C26-A18B-AA24DCE860F6}"/>
                </c:ext>
              </c:extLst>
            </c:dLbl>
            <c:dLbl>
              <c:idx val="2"/>
              <c:tx>
                <c:rich>
                  <a:bodyPr/>
                  <a:lstStyle/>
                  <a:p>
                    <a:fld id="{76DA8BC0-2ACB-472A-9B8A-9342C2588D7E}"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6-B8D6-4C26-A18B-AA24DCE860F6}"/>
                </c:ext>
              </c:extLst>
            </c:dLbl>
            <c:dLbl>
              <c:idx val="3"/>
              <c:tx>
                <c:rich>
                  <a:bodyPr/>
                  <a:lstStyle/>
                  <a:p>
                    <a:fld id="{DBBE8DFB-78F6-4CE8-8C58-D89EC378D83D}"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7-B8D6-4C26-A18B-AA24DCE860F6}"/>
                </c:ext>
              </c:extLst>
            </c:dLbl>
            <c:dLbl>
              <c:idx val="4"/>
              <c:tx>
                <c:rich>
                  <a:bodyPr/>
                  <a:lstStyle/>
                  <a:p>
                    <a:fld id="{36D8B4B5-1C96-4188-808B-4975E5886779}"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B8D6-4C26-A18B-AA24DCE860F6}"/>
                </c:ext>
              </c:extLst>
            </c:dLbl>
            <c:dLbl>
              <c:idx val="5"/>
              <c:tx>
                <c:rich>
                  <a:bodyPr/>
                  <a:lstStyle/>
                  <a:p>
                    <a:fld id="{2FEB47FD-F988-4EF3-BDB5-97F1E7D667D5}"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9-B8D6-4C26-A18B-AA24DCE860F6}"/>
                </c:ext>
              </c:extLst>
            </c:dLbl>
            <c:dLbl>
              <c:idx val="6"/>
              <c:tx>
                <c:rich>
                  <a:bodyPr/>
                  <a:lstStyle/>
                  <a:p>
                    <a:fld id="{CB36F9A1-F30A-4D5A-B2E8-577C108B17E3}"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A-B8D6-4C26-A18B-AA24DCE860F6}"/>
                </c:ext>
              </c:extLst>
            </c:dLbl>
            <c:dLbl>
              <c:idx val="7"/>
              <c:tx>
                <c:rich>
                  <a:bodyPr/>
                  <a:lstStyle/>
                  <a:p>
                    <a:fld id="{AC18D4C2-2594-42D1-905E-B5C6AE7CF629}"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B8D6-4C26-A18B-AA24DCE860F6}"/>
                </c:ext>
              </c:extLst>
            </c:dLbl>
            <c:dLbl>
              <c:idx val="8"/>
              <c:tx>
                <c:rich>
                  <a:bodyPr/>
                  <a:lstStyle/>
                  <a:p>
                    <a:fld id="{9FF007DE-7663-426B-9993-456D7B0A7B00}"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C-B8D6-4C26-A18B-AA24DCE860F6}"/>
                </c:ext>
              </c:extLst>
            </c:dLbl>
            <c:dLbl>
              <c:idx val="9"/>
              <c:tx>
                <c:rich>
                  <a:bodyPr/>
                  <a:lstStyle/>
                  <a:p>
                    <a:fld id="{E0603A72-8C68-4806-A1E9-8CC2F45D70B6}"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D-B8D6-4C26-A18B-AA24DCE860F6}"/>
                </c:ext>
              </c:extLst>
            </c:dLbl>
            <c:dLbl>
              <c:idx val="10"/>
              <c:tx>
                <c:rich>
                  <a:bodyPr/>
                  <a:lstStyle/>
                  <a:p>
                    <a:fld id="{0205C262-3C64-4677-BEC6-59755EABB24D}"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B8D6-4C26-A18B-AA24DCE860F6}"/>
                </c:ext>
              </c:extLst>
            </c:dLbl>
            <c:dLbl>
              <c:idx val="11"/>
              <c:tx>
                <c:rich>
                  <a:bodyPr/>
                  <a:lstStyle/>
                  <a:p>
                    <a:fld id="{F117B3C1-AE4A-40BB-982A-468ACF6D4CC9}"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F-B8D6-4C26-A18B-AA24DCE860F6}"/>
                </c:ext>
              </c:extLst>
            </c:dLbl>
            <c:dLbl>
              <c:idx val="12"/>
              <c:tx>
                <c:rich>
                  <a:bodyPr/>
                  <a:lstStyle/>
                  <a:p>
                    <a:fld id="{8F84EF7F-8D42-4DF1-A442-294189F75B47}"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0-B8D6-4C26-A18B-AA24DCE860F6}"/>
                </c:ext>
              </c:extLst>
            </c:dLbl>
            <c:dLbl>
              <c:idx val="13"/>
              <c:tx>
                <c:rich>
                  <a:bodyPr/>
                  <a:lstStyle/>
                  <a:p>
                    <a:fld id="{6FF8FDC9-FDB0-40AD-97D5-ADB3FDEFD742}"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B8D6-4C26-A18B-AA24DCE860F6}"/>
                </c:ext>
              </c:extLst>
            </c:dLbl>
            <c:numFmt formatCode="0.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b"/>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cat>
            <c:multiLvlStrRef>
              <c:f>#REF!</c:f>
            </c:multiLvlStrRef>
          </c:cat>
          <c:val>
            <c:numRef>
              <c:f>'01_Group'!$F$2:$F$15</c:f>
              <c:numCache>
                <c:formatCode>General</c:formatCode>
                <c:ptCount val="14"/>
                <c:pt idx="0">
                  <c:v>0.89249999999999996</c:v>
                </c:pt>
                <c:pt idx="1">
                  <c:v>0.87290000000000001</c:v>
                </c:pt>
                <c:pt idx="2">
                  <c:v>0.88100000000000001</c:v>
                </c:pt>
                <c:pt idx="3">
                  <c:v>0.85870000000000002</c:v>
                </c:pt>
                <c:pt idx="4">
                  <c:v>0.9103</c:v>
                </c:pt>
                <c:pt idx="5">
                  <c:v>0.81699999999999995</c:v>
                </c:pt>
                <c:pt idx="6">
                  <c:v>0.83040000000000003</c:v>
                </c:pt>
                <c:pt idx="7">
                  <c:v>0.84199999999999997</c:v>
                </c:pt>
                <c:pt idx="8">
                  <c:v>0.85409999999999997</c:v>
                </c:pt>
                <c:pt idx="9">
                  <c:v>0.80959999999999999</c:v>
                </c:pt>
                <c:pt idx="10">
                  <c:v>0.83650000000000002</c:v>
                </c:pt>
                <c:pt idx="11">
                  <c:v>0.91359999999999997</c:v>
                </c:pt>
                <c:pt idx="12">
                  <c:v>0.82889999999999997</c:v>
                </c:pt>
                <c:pt idx="13">
                  <c:v>0.83960000000000001</c:v>
                </c:pt>
              </c:numCache>
            </c:numRef>
          </c:val>
          <c:smooth val="0"/>
          <c:extLst>
            <c:ext xmlns:c15="http://schemas.microsoft.com/office/drawing/2012/chart" uri="{02D57815-91ED-43cb-92C2-25804820EDAC}">
              <c15:datalabelsRange>
                <c15:f>'01_Group'!$H$2:$H$15</c15:f>
                <c15:dlblRangeCache>
                  <c:ptCount val="14"/>
                  <c:pt idx="0">
                    <c:v>10.8%</c:v>
                  </c:pt>
                  <c:pt idx="1">
                    <c:v>12.7%</c:v>
                  </c:pt>
                  <c:pt idx="2">
                    <c:v>11.9%</c:v>
                  </c:pt>
                  <c:pt idx="3">
                    <c:v>14.1%</c:v>
                  </c:pt>
                  <c:pt idx="4">
                    <c:v>9.0%</c:v>
                  </c:pt>
                  <c:pt idx="5">
                    <c:v>18.3%</c:v>
                  </c:pt>
                  <c:pt idx="6">
                    <c:v>17.0%</c:v>
                  </c:pt>
                  <c:pt idx="7">
                    <c:v>15.8%</c:v>
                  </c:pt>
                  <c:pt idx="8">
                    <c:v>14.6%</c:v>
                  </c:pt>
                  <c:pt idx="9">
                    <c:v>19.0%</c:v>
                  </c:pt>
                  <c:pt idx="10">
                    <c:v>16.4%</c:v>
                  </c:pt>
                  <c:pt idx="11">
                    <c:v>8.6%</c:v>
                  </c:pt>
                  <c:pt idx="12">
                    <c:v>17.1%</c:v>
                  </c:pt>
                  <c:pt idx="13">
                    <c:v>16.0%</c:v>
                  </c:pt>
                </c15:dlblRangeCache>
              </c15:datalabelsRange>
            </c:ext>
            <c:ext xmlns:c16="http://schemas.microsoft.com/office/drawing/2014/chart" uri="{C3380CC4-5D6E-409C-BE32-E72D297353CC}">
              <c16:uniqueId val="{00000012-B8D6-4C26-A18B-AA24DCE860F6}"/>
            </c:ext>
          </c:extLst>
        </c:ser>
        <c:dLbls>
          <c:showLegendKey val="0"/>
          <c:showVal val="0"/>
          <c:showCatName val="0"/>
          <c:showSerName val="0"/>
          <c:showPercent val="0"/>
          <c:showBubbleSize val="0"/>
        </c:dLbls>
        <c:marker val="1"/>
        <c:smooth val="0"/>
        <c:axId val="1317004687"/>
        <c:axId val="1317008431"/>
      </c:lineChart>
      <c:dateAx>
        <c:axId val="111681143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cs-CZ"/>
          </a:p>
        </c:txPr>
        <c:crossAx val="1116811855"/>
        <c:crosses val="autoZero"/>
        <c:auto val="0"/>
        <c:lblOffset val="100"/>
        <c:baseTimeUnit val="days"/>
      </c:dateAx>
      <c:valAx>
        <c:axId val="1116811855"/>
        <c:scaling>
          <c:orientation val="minMax"/>
        </c:scaling>
        <c:delete val="1"/>
        <c:axPos val="r"/>
        <c:majorGridlines>
          <c:spPr>
            <a:ln w="9525" cap="flat" cmpd="sng" algn="ctr">
              <a:solidFill>
                <a:srgbClr val="FF0000"/>
              </a:solidFill>
              <a:prstDash val="dash"/>
              <a:round/>
            </a:ln>
            <a:effectLst/>
          </c:spPr>
        </c:majorGridlines>
        <c:title>
          <c:tx>
            <c:strRef>
              <c:f>'01_Group'!$A$38</c:f>
              <c:strCache>
                <c:ptCount val="1"/>
                <c:pt idx="0">
                  <c:v>podíl článků podle kvartilů_x000b_2020–2024</c:v>
                </c:pt>
              </c:strCache>
            </c:strRef>
          </c:tx>
          <c:layout>
            <c:manualLayout>
              <c:xMode val="edge"/>
              <c:yMode val="edge"/>
              <c:x val="1.1268593111334414E-2"/>
              <c:y val="0.29441189626216341"/>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0%" sourceLinked="0"/>
        <c:majorTickMark val="out"/>
        <c:minorTickMark val="none"/>
        <c:tickLblPos val="nextTo"/>
        <c:crossAx val="1116811439"/>
        <c:crosses val="max"/>
        <c:crossBetween val="between"/>
        <c:majorUnit val="0.25"/>
      </c:valAx>
      <c:valAx>
        <c:axId val="1317008431"/>
        <c:scaling>
          <c:orientation val="minMax"/>
          <c:max val="1"/>
          <c:min val="0"/>
        </c:scaling>
        <c:delete val="1"/>
        <c:axPos val="r"/>
        <c:title>
          <c:tx>
            <c:strRef>
              <c:f>'01_Group'!$A$39</c:f>
              <c:strCache>
                <c:ptCount val="1"/>
                <c:pt idx="0">
                  <c:v>% článků v Top 10 %</c:v>
                </c:pt>
              </c:strCache>
            </c:strRef>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0.0%" sourceLinked="0"/>
        <c:majorTickMark val="out"/>
        <c:minorTickMark val="none"/>
        <c:tickLblPos val="nextTo"/>
        <c:crossAx val="1317004687"/>
        <c:crosses val="max"/>
        <c:crossBetween val="between"/>
      </c:valAx>
      <c:catAx>
        <c:axId val="1317004687"/>
        <c:scaling>
          <c:orientation val="minMax"/>
        </c:scaling>
        <c:delete val="1"/>
        <c:axPos val="b"/>
        <c:numFmt formatCode="General" sourceLinked="1"/>
        <c:majorTickMark val="out"/>
        <c:minorTickMark val="none"/>
        <c:tickLblPos val="nextTo"/>
        <c:crossAx val="1317008431"/>
        <c:crosses val="autoZero"/>
        <c:auto val="1"/>
        <c:lblAlgn val="ctr"/>
        <c:lblOffset val="100"/>
        <c:noMultiLvlLbl val="0"/>
      </c:catAx>
      <c:spPr>
        <a:noFill/>
        <a:ln>
          <a:noFill/>
        </a:ln>
        <a:effectLst/>
      </c:spPr>
    </c:plotArea>
    <c:plotVisOnly val="1"/>
    <c:dispBlanksAs val="gap"/>
    <c:showDLblsOverMax val="0"/>
  </c:chart>
  <c:spPr>
    <a:noFill/>
    <a:ln w="9525" cap="flat" cmpd="sng" algn="ctr">
      <a:noFill/>
      <a:round/>
    </a:ln>
    <a:effectLst/>
  </c:spPr>
  <c:txPr>
    <a:bodyPr/>
    <a:lstStyle/>
    <a:p>
      <a:pPr>
        <a:defRPr/>
      </a:pPr>
      <a:endParaRPr lang="cs-CZ"/>
    </a:p>
  </c:txPr>
  <c:externalData r:id="rId4">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strRef>
          <c:f>'01_Group_2018_2022'!$A$40</c:f>
          <c:strCache>
            <c:ptCount val="1"/>
            <c:pt idx="0">
              <c:v>ENGINEERING AND TECHNOLOGY</c:v>
            </c:pt>
          </c:strCache>
        </c:strRef>
      </c:tx>
      <c:overlay val="0"/>
      <c:spPr>
        <a:noFill/>
        <a:ln>
          <a:noFill/>
        </a:ln>
        <a:effectLst/>
      </c:spPr>
      <c:txPr>
        <a:bodyPr rot="0" spcFirstLastPara="1" vertOverflow="ellipsis" vert="horz" wrap="square" anchor="ctr" anchorCtr="1"/>
        <a:lstStyle/>
        <a:p>
          <a:pPr>
            <a:defRPr sz="1400" b="1" i="0" u="none" strike="noStrike" kern="1200" spc="0" baseline="0">
              <a:solidFill>
                <a:srgbClr val="0070C0"/>
              </a:solidFill>
              <a:latin typeface="+mn-lt"/>
              <a:ea typeface="+mn-ea"/>
              <a:cs typeface="+mn-cs"/>
            </a:defRPr>
          </a:pPr>
          <a:endParaRPr lang="cs-CZ"/>
        </a:p>
      </c:txPr>
    </c:title>
    <c:autoTitleDeleted val="0"/>
    <c:plotArea>
      <c:layout>
        <c:manualLayout>
          <c:layoutTarget val="inner"/>
          <c:xMode val="edge"/>
          <c:yMode val="edge"/>
          <c:x val="6.2049676884384231E-2"/>
          <c:y val="0.15901393354769561"/>
          <c:w val="0.87989333415568483"/>
          <c:h val="0.70232912204302445"/>
        </c:manualLayout>
      </c:layout>
      <c:barChart>
        <c:barDir val="col"/>
        <c:grouping val="percentStacked"/>
        <c:varyColors val="0"/>
        <c:ser>
          <c:idx val="3"/>
          <c:order val="0"/>
          <c:tx>
            <c:strRef>
              <c:f>'01_Group_2018_2022'!$E$1</c:f>
              <c:strCache>
                <c:ptCount val="1"/>
                <c:pt idx="0">
                  <c:v>% Documents in Q4 Journals</c:v>
                </c:pt>
              </c:strCache>
            </c:strRef>
          </c:tx>
          <c:spPr>
            <a:solidFill>
              <a:srgbClr val="D78E8E"/>
            </a:solidFill>
            <a:ln w="15875">
              <a:solidFill>
                <a:srgbClr val="BE4949"/>
              </a:solidFill>
            </a:ln>
            <a:effectLst/>
          </c:spPr>
          <c:invertIfNegative val="0"/>
          <c:cat>
            <c:strRef>
              <c:f>'01_Group_2018_2022'!$L$2:$L$15</c:f>
              <c:strCache>
                <c:ptCount val="14"/>
                <c:pt idx="0">
                  <c:v>CZE                                             (24.4)</c:v>
                </c:pt>
                <c:pt idx="1">
                  <c:v>EU-15                                             (738.8)</c:v>
                </c:pt>
                <c:pt idx="2">
                  <c:v>OECD                                             (1703.3)</c:v>
                </c:pt>
                <c:pt idx="3">
                  <c:v>DEU                                             (153.7)</c:v>
                </c:pt>
                <c:pt idx="4">
                  <c:v>POL                                             (68.5)</c:v>
                </c:pt>
                <c:pt idx="5">
                  <c:v>NLD                                             (45.3)</c:v>
                </c:pt>
                <c:pt idx="6">
                  <c:v>SWE                                             (39.5)</c:v>
                </c:pt>
                <c:pt idx="7">
                  <c:v>BEL                                             (31.2)</c:v>
                </c:pt>
                <c:pt idx="8">
                  <c:v>DNK                                             (26.3)</c:v>
                </c:pt>
                <c:pt idx="9">
                  <c:v>AUT                                             (23.4)</c:v>
                </c:pt>
                <c:pt idx="10">
                  <c:v>FIN                                             (21.6)</c:v>
                </c:pt>
                <c:pt idx="11">
                  <c:v>SVK                                             (9.3)</c:v>
                </c:pt>
                <c:pt idx="12">
                  <c:v>EST                                             (3.4)</c:v>
                </c:pt>
                <c:pt idx="13">
                  <c:v>CYP                                             (3.2)</c:v>
                </c:pt>
              </c:strCache>
            </c:strRef>
          </c:cat>
          <c:val>
            <c:numRef>
              <c:f>'01_Group_2018_2022'!$E$2:$E$15</c:f>
              <c:numCache>
                <c:formatCode>General</c:formatCode>
                <c:ptCount val="14"/>
                <c:pt idx="0">
                  <c:v>8.1500000000000003E-2</c:v>
                </c:pt>
                <c:pt idx="1">
                  <c:v>3.61E-2</c:v>
                </c:pt>
                <c:pt idx="2">
                  <c:v>5.16E-2</c:v>
                </c:pt>
                <c:pt idx="3">
                  <c:v>5.3099999999999994E-2</c:v>
                </c:pt>
                <c:pt idx="4">
                  <c:v>0.1024</c:v>
                </c:pt>
                <c:pt idx="5">
                  <c:v>2.5699999999999997E-2</c:v>
                </c:pt>
                <c:pt idx="6">
                  <c:v>2.6000000000000002E-2</c:v>
                </c:pt>
                <c:pt idx="7">
                  <c:v>3.0099999999999998E-2</c:v>
                </c:pt>
                <c:pt idx="8">
                  <c:v>2.5000000000000001E-2</c:v>
                </c:pt>
                <c:pt idx="9">
                  <c:v>5.1500000000000004E-2</c:v>
                </c:pt>
                <c:pt idx="10">
                  <c:v>2.69E-2</c:v>
                </c:pt>
                <c:pt idx="11">
                  <c:v>0.11410000000000001</c:v>
                </c:pt>
                <c:pt idx="12">
                  <c:v>4.4900000000000002E-2</c:v>
                </c:pt>
                <c:pt idx="13">
                  <c:v>3.6799999999999999E-2</c:v>
                </c:pt>
              </c:numCache>
            </c:numRef>
          </c:val>
          <c:extLst>
            <c:ext xmlns:c16="http://schemas.microsoft.com/office/drawing/2014/chart" uri="{C3380CC4-5D6E-409C-BE32-E72D297353CC}">
              <c16:uniqueId val="{00000000-4383-4102-A1CF-FEB548999E28}"/>
            </c:ext>
          </c:extLst>
        </c:ser>
        <c:ser>
          <c:idx val="2"/>
          <c:order val="1"/>
          <c:tx>
            <c:strRef>
              <c:f>'01_Group_2018_2022'!$D$1</c:f>
              <c:strCache>
                <c:ptCount val="1"/>
                <c:pt idx="0">
                  <c:v>% Documents in Q3 Journals</c:v>
                </c:pt>
              </c:strCache>
            </c:strRef>
          </c:tx>
          <c:spPr>
            <a:solidFill>
              <a:srgbClr val="D4DEEF"/>
            </a:solidFill>
            <a:ln w="15875">
              <a:solidFill>
                <a:srgbClr val="3A5D9C"/>
              </a:solidFill>
            </a:ln>
            <a:effectLst/>
          </c:spPr>
          <c:invertIfNegative val="0"/>
          <c:cat>
            <c:strRef>
              <c:f>'01_Group_2018_2022'!$L$2:$L$15</c:f>
              <c:strCache>
                <c:ptCount val="14"/>
                <c:pt idx="0">
                  <c:v>CZE                                             (24.4)</c:v>
                </c:pt>
                <c:pt idx="1">
                  <c:v>EU-15                                             (738.8)</c:v>
                </c:pt>
                <c:pt idx="2">
                  <c:v>OECD                                             (1703.3)</c:v>
                </c:pt>
                <c:pt idx="3">
                  <c:v>DEU                                             (153.7)</c:v>
                </c:pt>
                <c:pt idx="4">
                  <c:v>POL                                             (68.5)</c:v>
                </c:pt>
                <c:pt idx="5">
                  <c:v>NLD                                             (45.3)</c:v>
                </c:pt>
                <c:pt idx="6">
                  <c:v>SWE                                             (39.5)</c:v>
                </c:pt>
                <c:pt idx="7">
                  <c:v>BEL                                             (31.2)</c:v>
                </c:pt>
                <c:pt idx="8">
                  <c:v>DNK                                             (26.3)</c:v>
                </c:pt>
                <c:pt idx="9">
                  <c:v>AUT                                             (23.4)</c:v>
                </c:pt>
                <c:pt idx="10">
                  <c:v>FIN                                             (21.6)</c:v>
                </c:pt>
                <c:pt idx="11">
                  <c:v>SVK                                             (9.3)</c:v>
                </c:pt>
                <c:pt idx="12">
                  <c:v>EST                                             (3.4)</c:v>
                </c:pt>
                <c:pt idx="13">
                  <c:v>CYP                                             (3.2)</c:v>
                </c:pt>
              </c:strCache>
            </c:strRef>
          </c:cat>
          <c:val>
            <c:numRef>
              <c:f>'01_Group_2018_2022'!$D$2:$D$15</c:f>
              <c:numCache>
                <c:formatCode>General</c:formatCode>
                <c:ptCount val="14"/>
                <c:pt idx="0">
                  <c:v>9.9299999999999999E-2</c:v>
                </c:pt>
                <c:pt idx="1">
                  <c:v>9.8800000000000013E-2</c:v>
                </c:pt>
                <c:pt idx="2">
                  <c:v>0.11449999999999999</c:v>
                </c:pt>
                <c:pt idx="3">
                  <c:v>0.10710000000000001</c:v>
                </c:pt>
                <c:pt idx="4">
                  <c:v>0.17059999999999997</c:v>
                </c:pt>
                <c:pt idx="5">
                  <c:v>8.2100000000000006E-2</c:v>
                </c:pt>
                <c:pt idx="6">
                  <c:v>8.5999999999999993E-2</c:v>
                </c:pt>
                <c:pt idx="7">
                  <c:v>9.1499999999999998E-2</c:v>
                </c:pt>
                <c:pt idx="8">
                  <c:v>8.2799999999999999E-2</c:v>
                </c:pt>
                <c:pt idx="9">
                  <c:v>0.10249999999999999</c:v>
                </c:pt>
                <c:pt idx="10">
                  <c:v>8.6199999999999999E-2</c:v>
                </c:pt>
                <c:pt idx="11">
                  <c:v>0.14649999999999999</c:v>
                </c:pt>
                <c:pt idx="12">
                  <c:v>0.14550000000000002</c:v>
                </c:pt>
                <c:pt idx="13">
                  <c:v>0.1157</c:v>
                </c:pt>
              </c:numCache>
            </c:numRef>
          </c:val>
          <c:extLst>
            <c:ext xmlns:c16="http://schemas.microsoft.com/office/drawing/2014/chart" uri="{C3380CC4-5D6E-409C-BE32-E72D297353CC}">
              <c16:uniqueId val="{00000001-4383-4102-A1CF-FEB548999E28}"/>
            </c:ext>
          </c:extLst>
        </c:ser>
        <c:ser>
          <c:idx val="1"/>
          <c:order val="2"/>
          <c:tx>
            <c:strRef>
              <c:f>'01_Group_2018_2022'!$C$1</c:f>
              <c:strCache>
                <c:ptCount val="1"/>
                <c:pt idx="0">
                  <c:v>% Documents in Q2 Journals</c:v>
                </c:pt>
              </c:strCache>
            </c:strRef>
          </c:tx>
          <c:spPr>
            <a:solidFill>
              <a:srgbClr val="9EE99E"/>
            </a:solidFill>
            <a:ln w="15875">
              <a:solidFill>
                <a:srgbClr val="1FA81F"/>
              </a:solidFill>
            </a:ln>
            <a:effectLst/>
          </c:spPr>
          <c:invertIfNegative val="0"/>
          <c:cat>
            <c:strRef>
              <c:f>'01_Group_2018_2022'!$L$2:$L$15</c:f>
              <c:strCache>
                <c:ptCount val="14"/>
                <c:pt idx="0">
                  <c:v>CZE                                             (24.4)</c:v>
                </c:pt>
                <c:pt idx="1">
                  <c:v>EU-15                                             (738.8)</c:v>
                </c:pt>
                <c:pt idx="2">
                  <c:v>OECD                                             (1703.3)</c:v>
                </c:pt>
                <c:pt idx="3">
                  <c:v>DEU                                             (153.7)</c:v>
                </c:pt>
                <c:pt idx="4">
                  <c:v>POL                                             (68.5)</c:v>
                </c:pt>
                <c:pt idx="5">
                  <c:v>NLD                                             (45.3)</c:v>
                </c:pt>
                <c:pt idx="6">
                  <c:v>SWE                                             (39.5)</c:v>
                </c:pt>
                <c:pt idx="7">
                  <c:v>BEL                                             (31.2)</c:v>
                </c:pt>
                <c:pt idx="8">
                  <c:v>DNK                                             (26.3)</c:v>
                </c:pt>
                <c:pt idx="9">
                  <c:v>AUT                                             (23.4)</c:v>
                </c:pt>
                <c:pt idx="10">
                  <c:v>FIN                                             (21.6)</c:v>
                </c:pt>
                <c:pt idx="11">
                  <c:v>SVK                                             (9.3)</c:v>
                </c:pt>
                <c:pt idx="12">
                  <c:v>EST                                             (3.4)</c:v>
                </c:pt>
                <c:pt idx="13">
                  <c:v>CYP                                             (3.2)</c:v>
                </c:pt>
              </c:strCache>
            </c:strRef>
          </c:cat>
          <c:val>
            <c:numRef>
              <c:f>'01_Group_2018_2022'!$C$2:$C$15</c:f>
              <c:numCache>
                <c:formatCode>General</c:formatCode>
                <c:ptCount val="14"/>
                <c:pt idx="0">
                  <c:v>0.34329999999999999</c:v>
                </c:pt>
                <c:pt idx="1">
                  <c:v>0.32619999999999999</c:v>
                </c:pt>
                <c:pt idx="2">
                  <c:v>0.31759999999999999</c:v>
                </c:pt>
                <c:pt idx="3">
                  <c:v>0.3286</c:v>
                </c:pt>
                <c:pt idx="4">
                  <c:v>0.3387</c:v>
                </c:pt>
                <c:pt idx="5">
                  <c:v>0.27979999999999999</c:v>
                </c:pt>
                <c:pt idx="6">
                  <c:v>0.30590000000000001</c:v>
                </c:pt>
                <c:pt idx="7">
                  <c:v>0.29880000000000001</c:v>
                </c:pt>
                <c:pt idx="8">
                  <c:v>0.25629999999999997</c:v>
                </c:pt>
                <c:pt idx="9">
                  <c:v>0.32150000000000001</c:v>
                </c:pt>
                <c:pt idx="10">
                  <c:v>0.32159999999999994</c:v>
                </c:pt>
                <c:pt idx="11">
                  <c:v>0.42090000000000005</c:v>
                </c:pt>
                <c:pt idx="12">
                  <c:v>0.36080000000000001</c:v>
                </c:pt>
                <c:pt idx="13">
                  <c:v>0.35859999999999997</c:v>
                </c:pt>
              </c:numCache>
            </c:numRef>
          </c:val>
          <c:extLst>
            <c:ext xmlns:c16="http://schemas.microsoft.com/office/drawing/2014/chart" uri="{C3380CC4-5D6E-409C-BE32-E72D297353CC}">
              <c16:uniqueId val="{00000002-4383-4102-A1CF-FEB548999E28}"/>
            </c:ext>
          </c:extLst>
        </c:ser>
        <c:ser>
          <c:idx val="0"/>
          <c:order val="3"/>
          <c:tx>
            <c:strRef>
              <c:f>'01_Group_2018_2022'!$B$1</c:f>
              <c:strCache>
                <c:ptCount val="1"/>
                <c:pt idx="0">
                  <c:v>% Documents in Q1 Journals</c:v>
                </c:pt>
              </c:strCache>
            </c:strRef>
          </c:tx>
          <c:spPr>
            <a:solidFill>
              <a:srgbClr val="FAE6D3"/>
            </a:solidFill>
            <a:ln w="15875">
              <a:solidFill>
                <a:srgbClr val="E9933E"/>
              </a:solidFill>
            </a:ln>
            <a:effectLst/>
          </c:spPr>
          <c:invertIfNegative val="0"/>
          <c:cat>
            <c:strRef>
              <c:f>'01_Group_2018_2022'!$L$2:$L$15</c:f>
              <c:strCache>
                <c:ptCount val="14"/>
                <c:pt idx="0">
                  <c:v>CZE                                             (24.4)</c:v>
                </c:pt>
                <c:pt idx="1">
                  <c:v>EU-15                                             (738.8)</c:v>
                </c:pt>
                <c:pt idx="2">
                  <c:v>OECD                                             (1703.3)</c:v>
                </c:pt>
                <c:pt idx="3">
                  <c:v>DEU                                             (153.7)</c:v>
                </c:pt>
                <c:pt idx="4">
                  <c:v>POL                                             (68.5)</c:v>
                </c:pt>
                <c:pt idx="5">
                  <c:v>NLD                                             (45.3)</c:v>
                </c:pt>
                <c:pt idx="6">
                  <c:v>SWE                                             (39.5)</c:v>
                </c:pt>
                <c:pt idx="7">
                  <c:v>BEL                                             (31.2)</c:v>
                </c:pt>
                <c:pt idx="8">
                  <c:v>DNK                                             (26.3)</c:v>
                </c:pt>
                <c:pt idx="9">
                  <c:v>AUT                                             (23.4)</c:v>
                </c:pt>
                <c:pt idx="10">
                  <c:v>FIN                                             (21.6)</c:v>
                </c:pt>
                <c:pt idx="11">
                  <c:v>SVK                                             (9.3)</c:v>
                </c:pt>
                <c:pt idx="12">
                  <c:v>EST                                             (3.4)</c:v>
                </c:pt>
                <c:pt idx="13">
                  <c:v>CYP                                             (3.2)</c:v>
                </c:pt>
              </c:strCache>
            </c:strRef>
          </c:cat>
          <c:val>
            <c:numRef>
              <c:f>'01_Group_2018_2022'!$B$2:$B$15</c:f>
              <c:numCache>
                <c:formatCode>General</c:formatCode>
                <c:ptCount val="14"/>
                <c:pt idx="0">
                  <c:v>0.47590000000000005</c:v>
                </c:pt>
                <c:pt idx="1">
                  <c:v>0.53890000000000005</c:v>
                </c:pt>
                <c:pt idx="2">
                  <c:v>0.51629999999999998</c:v>
                </c:pt>
                <c:pt idx="3">
                  <c:v>0.5111</c:v>
                </c:pt>
                <c:pt idx="4">
                  <c:v>0.38829999999999998</c:v>
                </c:pt>
                <c:pt idx="5">
                  <c:v>0.61229999999999996</c:v>
                </c:pt>
                <c:pt idx="6">
                  <c:v>0.58210000000000006</c:v>
                </c:pt>
                <c:pt idx="7">
                  <c:v>0.57969999999999999</c:v>
                </c:pt>
                <c:pt idx="8">
                  <c:v>0.63590000000000002</c:v>
                </c:pt>
                <c:pt idx="9">
                  <c:v>0.52450000000000008</c:v>
                </c:pt>
                <c:pt idx="10">
                  <c:v>0.56530000000000002</c:v>
                </c:pt>
                <c:pt idx="11">
                  <c:v>0.31850000000000001</c:v>
                </c:pt>
                <c:pt idx="12">
                  <c:v>0.44880000000000003</c:v>
                </c:pt>
                <c:pt idx="13">
                  <c:v>0.4889</c:v>
                </c:pt>
              </c:numCache>
            </c:numRef>
          </c:val>
          <c:extLst>
            <c:ext xmlns:c16="http://schemas.microsoft.com/office/drawing/2014/chart" uri="{C3380CC4-5D6E-409C-BE32-E72D297353CC}">
              <c16:uniqueId val="{00000003-4383-4102-A1CF-FEB548999E28}"/>
            </c:ext>
          </c:extLst>
        </c:ser>
        <c:dLbls>
          <c:showLegendKey val="0"/>
          <c:showVal val="0"/>
          <c:showCatName val="0"/>
          <c:showSerName val="0"/>
          <c:showPercent val="0"/>
          <c:showBubbleSize val="0"/>
        </c:dLbls>
        <c:gapWidth val="150"/>
        <c:overlap val="100"/>
        <c:axId val="1116811439"/>
        <c:axId val="1116811855"/>
      </c:barChart>
      <c:lineChart>
        <c:grouping val="standard"/>
        <c:varyColors val="0"/>
        <c:ser>
          <c:idx val="4"/>
          <c:order val="4"/>
          <c:tx>
            <c:strRef>
              <c:f>'01_Group_2018_2022'!$F$1</c:f>
              <c:strCache>
                <c:ptCount val="1"/>
                <c:pt idx="0">
                  <c:v>% Documents in Top 10%</c:v>
                </c:pt>
              </c:strCache>
            </c:strRef>
          </c:tx>
          <c:spPr>
            <a:ln w="28575" cap="rnd">
              <a:noFill/>
              <a:round/>
            </a:ln>
            <a:effectLst/>
          </c:spPr>
          <c:marker>
            <c:symbol val="triangle"/>
            <c:size val="7"/>
            <c:spPr>
              <a:solidFill>
                <a:srgbClr val="D9D9D9"/>
              </a:solidFill>
              <a:ln w="15875">
                <a:solidFill>
                  <a:srgbClr val="7F7F7F"/>
                </a:solidFill>
              </a:ln>
              <a:effectLst/>
            </c:spPr>
          </c:marker>
          <c:dLbls>
            <c:dLbl>
              <c:idx val="0"/>
              <c:tx>
                <c:rich>
                  <a:bodyPr/>
                  <a:lstStyle/>
                  <a:p>
                    <a:fld id="{9FE6988F-8BE5-45C8-96B8-FC476598EDE1}"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4-4383-4102-A1CF-FEB548999E28}"/>
                </c:ext>
              </c:extLst>
            </c:dLbl>
            <c:dLbl>
              <c:idx val="1"/>
              <c:tx>
                <c:rich>
                  <a:bodyPr/>
                  <a:lstStyle/>
                  <a:p>
                    <a:fld id="{97405C3D-BF3A-4749-940F-C52F0EBF7559}"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4383-4102-A1CF-FEB548999E28}"/>
                </c:ext>
              </c:extLst>
            </c:dLbl>
            <c:dLbl>
              <c:idx val="2"/>
              <c:tx>
                <c:rich>
                  <a:bodyPr/>
                  <a:lstStyle/>
                  <a:p>
                    <a:fld id="{92619C57-6380-4514-8879-C36DEEF97F1A}"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6-4383-4102-A1CF-FEB548999E28}"/>
                </c:ext>
              </c:extLst>
            </c:dLbl>
            <c:dLbl>
              <c:idx val="3"/>
              <c:tx>
                <c:rich>
                  <a:bodyPr/>
                  <a:lstStyle/>
                  <a:p>
                    <a:fld id="{BF4B5EF2-C647-4FE5-9A70-2D1031482B97}"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7-4383-4102-A1CF-FEB548999E28}"/>
                </c:ext>
              </c:extLst>
            </c:dLbl>
            <c:dLbl>
              <c:idx val="4"/>
              <c:tx>
                <c:rich>
                  <a:bodyPr/>
                  <a:lstStyle/>
                  <a:p>
                    <a:fld id="{71E215AE-C9B0-4D04-8DE1-03F53DA58230}"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4383-4102-A1CF-FEB548999E28}"/>
                </c:ext>
              </c:extLst>
            </c:dLbl>
            <c:dLbl>
              <c:idx val="5"/>
              <c:tx>
                <c:rich>
                  <a:bodyPr/>
                  <a:lstStyle/>
                  <a:p>
                    <a:fld id="{709A0D47-5189-461B-9477-454C8CBB6FB6}"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9-4383-4102-A1CF-FEB548999E28}"/>
                </c:ext>
              </c:extLst>
            </c:dLbl>
            <c:dLbl>
              <c:idx val="6"/>
              <c:tx>
                <c:rich>
                  <a:bodyPr/>
                  <a:lstStyle/>
                  <a:p>
                    <a:fld id="{B21FE53E-6921-4683-9302-8547AC78C8E1}"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A-4383-4102-A1CF-FEB548999E28}"/>
                </c:ext>
              </c:extLst>
            </c:dLbl>
            <c:dLbl>
              <c:idx val="7"/>
              <c:tx>
                <c:rich>
                  <a:bodyPr/>
                  <a:lstStyle/>
                  <a:p>
                    <a:fld id="{DF90B6A6-6899-4052-BA1E-282288D5A6CD}"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4383-4102-A1CF-FEB548999E28}"/>
                </c:ext>
              </c:extLst>
            </c:dLbl>
            <c:dLbl>
              <c:idx val="8"/>
              <c:tx>
                <c:rich>
                  <a:bodyPr/>
                  <a:lstStyle/>
                  <a:p>
                    <a:fld id="{BDB0E698-5836-47A2-A15D-39DFF710F560}"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C-4383-4102-A1CF-FEB548999E28}"/>
                </c:ext>
              </c:extLst>
            </c:dLbl>
            <c:dLbl>
              <c:idx val="9"/>
              <c:tx>
                <c:rich>
                  <a:bodyPr/>
                  <a:lstStyle/>
                  <a:p>
                    <a:fld id="{D32BEECE-DE2C-47D0-9574-D3B941ED651E}"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D-4383-4102-A1CF-FEB548999E28}"/>
                </c:ext>
              </c:extLst>
            </c:dLbl>
            <c:dLbl>
              <c:idx val="10"/>
              <c:tx>
                <c:rich>
                  <a:bodyPr/>
                  <a:lstStyle/>
                  <a:p>
                    <a:fld id="{2C273A79-96E9-441D-9CC3-EA57F4B1C3CB}"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4383-4102-A1CF-FEB548999E28}"/>
                </c:ext>
              </c:extLst>
            </c:dLbl>
            <c:dLbl>
              <c:idx val="11"/>
              <c:tx>
                <c:rich>
                  <a:bodyPr/>
                  <a:lstStyle/>
                  <a:p>
                    <a:fld id="{2417C1F2-1FC8-40E3-A3C9-45F138DE8C84}"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F-4383-4102-A1CF-FEB548999E28}"/>
                </c:ext>
              </c:extLst>
            </c:dLbl>
            <c:dLbl>
              <c:idx val="12"/>
              <c:tx>
                <c:rich>
                  <a:bodyPr/>
                  <a:lstStyle/>
                  <a:p>
                    <a:fld id="{10C406E4-93FC-4AFE-A9FF-7A5F0EDE316F}"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0-4383-4102-A1CF-FEB548999E28}"/>
                </c:ext>
              </c:extLst>
            </c:dLbl>
            <c:dLbl>
              <c:idx val="13"/>
              <c:tx>
                <c:rich>
                  <a:bodyPr/>
                  <a:lstStyle/>
                  <a:p>
                    <a:fld id="{82700F95-6C6D-4656-99BC-E22F9BA0492F}"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4383-4102-A1CF-FEB548999E28}"/>
                </c:ext>
              </c:extLst>
            </c:dLbl>
            <c:numFmt formatCode="0.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b"/>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cat>
            <c:multiLvlStrRef>
              <c:f>#REF!</c:f>
            </c:multiLvlStrRef>
          </c:cat>
          <c:val>
            <c:numRef>
              <c:f>'01_Group_2018_2022'!$F$2:$F$15</c:f>
              <c:numCache>
                <c:formatCode>General</c:formatCode>
                <c:ptCount val="14"/>
                <c:pt idx="0">
                  <c:v>0.90449999999999997</c:v>
                </c:pt>
                <c:pt idx="1">
                  <c:v>0.86719999999999997</c:v>
                </c:pt>
                <c:pt idx="2">
                  <c:v>0.87139999999999995</c:v>
                </c:pt>
                <c:pt idx="3">
                  <c:v>0.87670000000000003</c:v>
                </c:pt>
                <c:pt idx="4">
                  <c:v>0.92259999999999998</c:v>
                </c:pt>
                <c:pt idx="5">
                  <c:v>0.83420000000000005</c:v>
                </c:pt>
                <c:pt idx="6">
                  <c:v>0.84089999999999998</c:v>
                </c:pt>
                <c:pt idx="7">
                  <c:v>0.85499999999999998</c:v>
                </c:pt>
                <c:pt idx="8">
                  <c:v>0.81489999999999996</c:v>
                </c:pt>
                <c:pt idx="9">
                  <c:v>0.88049999999999995</c:v>
                </c:pt>
                <c:pt idx="10">
                  <c:v>0.83899999999999997</c:v>
                </c:pt>
                <c:pt idx="11">
                  <c:v>0.93440000000000001</c:v>
                </c:pt>
                <c:pt idx="12">
                  <c:v>0.8639</c:v>
                </c:pt>
                <c:pt idx="13">
                  <c:v>0.83779999999999999</c:v>
                </c:pt>
              </c:numCache>
            </c:numRef>
          </c:val>
          <c:smooth val="0"/>
          <c:extLst>
            <c:ext xmlns:c15="http://schemas.microsoft.com/office/drawing/2012/chart" uri="{02D57815-91ED-43cb-92C2-25804820EDAC}">
              <c15:datalabelsRange>
                <c15:f>'01_Group_2018_2022'!$H$2:$H$15</c15:f>
                <c15:dlblRangeCache>
                  <c:ptCount val="14"/>
                  <c:pt idx="0">
                    <c:v>9.6%</c:v>
                  </c:pt>
                  <c:pt idx="1">
                    <c:v>13.3%</c:v>
                  </c:pt>
                  <c:pt idx="2">
                    <c:v>12.9%</c:v>
                  </c:pt>
                  <c:pt idx="3">
                    <c:v>12.3%</c:v>
                  </c:pt>
                  <c:pt idx="4">
                    <c:v>7.7%</c:v>
                  </c:pt>
                  <c:pt idx="5">
                    <c:v>16.6%</c:v>
                  </c:pt>
                  <c:pt idx="6">
                    <c:v>15.9%</c:v>
                  </c:pt>
                  <c:pt idx="7">
                    <c:v>14.5%</c:v>
                  </c:pt>
                  <c:pt idx="8">
                    <c:v>18.5%</c:v>
                  </c:pt>
                  <c:pt idx="9">
                    <c:v>12.0%</c:v>
                  </c:pt>
                  <c:pt idx="10">
                    <c:v>16.1%</c:v>
                  </c:pt>
                  <c:pt idx="11">
                    <c:v>6.6%</c:v>
                  </c:pt>
                  <c:pt idx="12">
                    <c:v>13.6%</c:v>
                  </c:pt>
                  <c:pt idx="13">
                    <c:v>16.2%</c:v>
                  </c:pt>
                </c15:dlblRangeCache>
              </c15:datalabelsRange>
            </c:ext>
            <c:ext xmlns:c16="http://schemas.microsoft.com/office/drawing/2014/chart" uri="{C3380CC4-5D6E-409C-BE32-E72D297353CC}">
              <c16:uniqueId val="{00000012-4383-4102-A1CF-FEB548999E28}"/>
            </c:ext>
          </c:extLst>
        </c:ser>
        <c:dLbls>
          <c:showLegendKey val="0"/>
          <c:showVal val="0"/>
          <c:showCatName val="0"/>
          <c:showSerName val="0"/>
          <c:showPercent val="0"/>
          <c:showBubbleSize val="0"/>
        </c:dLbls>
        <c:marker val="1"/>
        <c:smooth val="0"/>
        <c:axId val="1317004687"/>
        <c:axId val="1317008431"/>
      </c:lineChart>
      <c:dateAx>
        <c:axId val="111681143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cs-CZ"/>
          </a:p>
        </c:txPr>
        <c:crossAx val="1116811855"/>
        <c:crosses val="autoZero"/>
        <c:auto val="0"/>
        <c:lblOffset val="100"/>
        <c:baseTimeUnit val="days"/>
      </c:dateAx>
      <c:valAx>
        <c:axId val="1116811855"/>
        <c:scaling>
          <c:orientation val="minMax"/>
        </c:scaling>
        <c:delete val="1"/>
        <c:axPos val="r"/>
        <c:majorGridlines>
          <c:spPr>
            <a:ln w="9525" cap="flat" cmpd="sng" algn="ctr">
              <a:solidFill>
                <a:srgbClr val="FF0000"/>
              </a:solidFill>
              <a:prstDash val="dash"/>
              <a:round/>
            </a:ln>
            <a:effectLst/>
          </c:spPr>
        </c:majorGridlines>
        <c:title>
          <c:tx>
            <c:strRef>
              <c:f>'01_Group_2018_2022'!$A$38</c:f>
              <c:strCache>
                <c:ptCount val="1"/>
                <c:pt idx="0">
                  <c:v>podíl článků podle kvartilů_x000b_2020–2024</c:v>
                </c:pt>
              </c:strCache>
            </c:strRef>
          </c:tx>
          <c:layout>
            <c:manualLayout>
              <c:xMode val="edge"/>
              <c:yMode val="edge"/>
              <c:x val="1.1268593111334414E-2"/>
              <c:y val="0.29441189626216341"/>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0%" sourceLinked="0"/>
        <c:majorTickMark val="out"/>
        <c:minorTickMark val="none"/>
        <c:tickLblPos val="nextTo"/>
        <c:crossAx val="1116811439"/>
        <c:crosses val="max"/>
        <c:crossBetween val="between"/>
        <c:majorUnit val="0.25"/>
      </c:valAx>
      <c:valAx>
        <c:axId val="1317008431"/>
        <c:scaling>
          <c:orientation val="minMax"/>
          <c:max val="1"/>
          <c:min val="0"/>
        </c:scaling>
        <c:delete val="1"/>
        <c:axPos val="r"/>
        <c:title>
          <c:tx>
            <c:strRef>
              <c:f>'01_Group_2018_2022'!$A$39</c:f>
              <c:strCache>
                <c:ptCount val="1"/>
                <c:pt idx="0">
                  <c:v>% článků v Top 10 %</c:v>
                </c:pt>
              </c:strCache>
            </c:strRef>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0.0%" sourceLinked="0"/>
        <c:majorTickMark val="out"/>
        <c:minorTickMark val="none"/>
        <c:tickLblPos val="nextTo"/>
        <c:crossAx val="1317004687"/>
        <c:crosses val="max"/>
        <c:crossBetween val="between"/>
      </c:valAx>
      <c:catAx>
        <c:axId val="1317004687"/>
        <c:scaling>
          <c:orientation val="minMax"/>
        </c:scaling>
        <c:delete val="1"/>
        <c:axPos val="b"/>
        <c:numFmt formatCode="General" sourceLinked="1"/>
        <c:majorTickMark val="out"/>
        <c:minorTickMark val="none"/>
        <c:tickLblPos val="nextTo"/>
        <c:crossAx val="1317008431"/>
        <c:crosses val="autoZero"/>
        <c:auto val="1"/>
        <c:lblAlgn val="ctr"/>
        <c:lblOffset val="100"/>
        <c:noMultiLvlLbl val="0"/>
      </c:catAx>
      <c:spPr>
        <a:noFill/>
        <a:ln>
          <a:noFill/>
        </a:ln>
        <a:effectLst/>
      </c:spPr>
    </c:plotArea>
    <c:plotVisOnly val="1"/>
    <c:dispBlanksAs val="gap"/>
    <c:showDLblsOverMax val="0"/>
  </c:chart>
  <c:spPr>
    <a:noFill/>
    <a:ln w="9525" cap="flat" cmpd="sng" algn="ctr">
      <a:noFill/>
      <a:round/>
    </a:ln>
    <a:effectLst/>
  </c:spPr>
  <c:txPr>
    <a:bodyPr/>
    <a:lstStyle/>
    <a:p>
      <a:pPr>
        <a:defRPr/>
      </a:pPr>
      <a:endParaRPr lang="cs-CZ"/>
    </a:p>
  </c:txPr>
  <c:externalData r:id="rId4">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strRef>
          <c:f>'01_Group_2018_2022'!$A$40</c:f>
          <c:strCache>
            <c:ptCount val="1"/>
            <c:pt idx="0">
              <c:v>MEDICAL AND HEALTH SCIENCES</c:v>
            </c:pt>
          </c:strCache>
        </c:strRef>
      </c:tx>
      <c:overlay val="0"/>
      <c:spPr>
        <a:noFill/>
        <a:ln>
          <a:noFill/>
        </a:ln>
        <a:effectLst/>
      </c:spPr>
      <c:txPr>
        <a:bodyPr rot="0" spcFirstLastPara="1" vertOverflow="ellipsis" vert="horz" wrap="square" anchor="ctr" anchorCtr="1"/>
        <a:lstStyle/>
        <a:p>
          <a:pPr>
            <a:defRPr sz="1400" b="1" i="0" u="none" strike="noStrike" kern="1200" spc="0" baseline="0">
              <a:solidFill>
                <a:srgbClr val="C00000"/>
              </a:solidFill>
              <a:latin typeface="+mn-lt"/>
              <a:ea typeface="+mn-ea"/>
              <a:cs typeface="+mn-cs"/>
            </a:defRPr>
          </a:pPr>
          <a:endParaRPr lang="cs-CZ"/>
        </a:p>
      </c:txPr>
    </c:title>
    <c:autoTitleDeleted val="0"/>
    <c:plotArea>
      <c:layout>
        <c:manualLayout>
          <c:layoutTarget val="inner"/>
          <c:xMode val="edge"/>
          <c:yMode val="edge"/>
          <c:x val="6.2049676884384231E-2"/>
          <c:y val="0.15901393354769561"/>
          <c:w val="0.87989333415568483"/>
          <c:h val="0.70232912204302445"/>
        </c:manualLayout>
      </c:layout>
      <c:barChart>
        <c:barDir val="col"/>
        <c:grouping val="percentStacked"/>
        <c:varyColors val="0"/>
        <c:ser>
          <c:idx val="3"/>
          <c:order val="0"/>
          <c:tx>
            <c:strRef>
              <c:f>'01_Group_2018_2022'!$K$1</c:f>
              <c:strCache>
                <c:ptCount val="1"/>
                <c:pt idx="0">
                  <c:v>% Documents in Q4 Journals</c:v>
                </c:pt>
              </c:strCache>
            </c:strRef>
          </c:tx>
          <c:spPr>
            <a:solidFill>
              <a:srgbClr val="D78E8E"/>
            </a:solidFill>
            <a:ln w="15875">
              <a:solidFill>
                <a:srgbClr val="BE4949"/>
              </a:solidFill>
            </a:ln>
            <a:effectLst/>
          </c:spPr>
          <c:invertIfNegative val="0"/>
          <c:cat>
            <c:strRef>
              <c:f>'01_Group_2018_2022'!$P$2:$P$15</c:f>
              <c:strCache>
                <c:ptCount val="14"/>
                <c:pt idx="0">
                  <c:v>CZE                                             (20.40)</c:v>
                </c:pt>
                <c:pt idx="1">
                  <c:v>EU-15                                             (1167.9)</c:v>
                </c:pt>
                <c:pt idx="2">
                  <c:v>OECD                                             (2769.7)</c:v>
                </c:pt>
                <c:pt idx="3">
                  <c:v>DEU                                             (238.5)</c:v>
                </c:pt>
                <c:pt idx="4">
                  <c:v>NLD                                             (124.3)</c:v>
                </c:pt>
                <c:pt idx="5">
                  <c:v>SWE                                             (76.1)</c:v>
                </c:pt>
                <c:pt idx="6">
                  <c:v>BEL                                             (62.7)</c:v>
                </c:pt>
                <c:pt idx="7">
                  <c:v>DNK                                             (57.9)</c:v>
                </c:pt>
                <c:pt idx="8">
                  <c:v>POL                                             (55.9)</c:v>
                </c:pt>
                <c:pt idx="9">
                  <c:v>AUT                                             (43.2)</c:v>
                </c:pt>
                <c:pt idx="10">
                  <c:v>FIN                                             (28.9)</c:v>
                </c:pt>
                <c:pt idx="11">
                  <c:v>SVK                                             (5.6)</c:v>
                </c:pt>
                <c:pt idx="12">
                  <c:v>CYP                                             (5.1)</c:v>
                </c:pt>
                <c:pt idx="13">
                  <c:v>EST                                             (2.8)</c:v>
                </c:pt>
              </c:strCache>
            </c:strRef>
          </c:cat>
          <c:val>
            <c:numRef>
              <c:f>'01_Group_2018_2022'!$K$2:$K$15</c:f>
              <c:numCache>
                <c:formatCode>General</c:formatCode>
                <c:ptCount val="14"/>
                <c:pt idx="0">
                  <c:v>0.13320000000000001</c:v>
                </c:pt>
                <c:pt idx="1">
                  <c:v>8.4600000000000009E-2</c:v>
                </c:pt>
                <c:pt idx="2">
                  <c:v>9.6799999999999997E-2</c:v>
                </c:pt>
                <c:pt idx="3">
                  <c:v>0.11849999999999999</c:v>
                </c:pt>
                <c:pt idx="4">
                  <c:v>3.27E-2</c:v>
                </c:pt>
                <c:pt idx="5">
                  <c:v>4.0899999999999999E-2</c:v>
                </c:pt>
                <c:pt idx="6">
                  <c:v>6.0700000000000004E-2</c:v>
                </c:pt>
                <c:pt idx="7">
                  <c:v>4.2500000000000003E-2</c:v>
                </c:pt>
                <c:pt idx="8">
                  <c:v>0.13009999999999999</c:v>
                </c:pt>
                <c:pt idx="9">
                  <c:v>7.3499999999999996E-2</c:v>
                </c:pt>
                <c:pt idx="10">
                  <c:v>4.6100000000000002E-2</c:v>
                </c:pt>
                <c:pt idx="11">
                  <c:v>0.2011</c:v>
                </c:pt>
                <c:pt idx="12">
                  <c:v>0.13039999999999999</c:v>
                </c:pt>
                <c:pt idx="13">
                  <c:v>4.4999999999999998E-2</c:v>
                </c:pt>
              </c:numCache>
            </c:numRef>
          </c:val>
          <c:extLst>
            <c:ext xmlns:c16="http://schemas.microsoft.com/office/drawing/2014/chart" uri="{C3380CC4-5D6E-409C-BE32-E72D297353CC}">
              <c16:uniqueId val="{00000000-D768-48DF-A96F-728AAC95605C}"/>
            </c:ext>
          </c:extLst>
        </c:ser>
        <c:ser>
          <c:idx val="2"/>
          <c:order val="1"/>
          <c:tx>
            <c:strRef>
              <c:f>'01_Group_2018_2022'!$J$1</c:f>
              <c:strCache>
                <c:ptCount val="1"/>
                <c:pt idx="0">
                  <c:v>% Documents in Q3 Journals</c:v>
                </c:pt>
              </c:strCache>
            </c:strRef>
          </c:tx>
          <c:spPr>
            <a:solidFill>
              <a:srgbClr val="D4DEEF"/>
            </a:solidFill>
            <a:ln w="15875">
              <a:solidFill>
                <a:srgbClr val="3A5D9C"/>
              </a:solidFill>
            </a:ln>
            <a:effectLst/>
          </c:spPr>
          <c:invertIfNegative val="0"/>
          <c:cat>
            <c:strRef>
              <c:f>'01_Group_2018_2022'!$P$2:$P$15</c:f>
              <c:strCache>
                <c:ptCount val="14"/>
                <c:pt idx="0">
                  <c:v>CZE                                             (20.40)</c:v>
                </c:pt>
                <c:pt idx="1">
                  <c:v>EU-15                                             (1167.9)</c:v>
                </c:pt>
                <c:pt idx="2">
                  <c:v>OECD                                             (2769.7)</c:v>
                </c:pt>
                <c:pt idx="3">
                  <c:v>DEU                                             (238.5)</c:v>
                </c:pt>
                <c:pt idx="4">
                  <c:v>NLD                                             (124.3)</c:v>
                </c:pt>
                <c:pt idx="5">
                  <c:v>SWE                                             (76.1)</c:v>
                </c:pt>
                <c:pt idx="6">
                  <c:v>BEL                                             (62.7)</c:v>
                </c:pt>
                <c:pt idx="7">
                  <c:v>DNK                                             (57.9)</c:v>
                </c:pt>
                <c:pt idx="8">
                  <c:v>POL                                             (55.9)</c:v>
                </c:pt>
                <c:pt idx="9">
                  <c:v>AUT                                             (43.2)</c:v>
                </c:pt>
                <c:pt idx="10">
                  <c:v>FIN                                             (28.9)</c:v>
                </c:pt>
                <c:pt idx="11">
                  <c:v>SVK                                             (5.6)</c:v>
                </c:pt>
                <c:pt idx="12">
                  <c:v>CYP                                             (5.1)</c:v>
                </c:pt>
                <c:pt idx="13">
                  <c:v>EST                                             (2.8)</c:v>
                </c:pt>
              </c:strCache>
            </c:strRef>
          </c:cat>
          <c:val>
            <c:numRef>
              <c:f>'01_Group_2018_2022'!$J$2:$J$15</c:f>
              <c:numCache>
                <c:formatCode>General</c:formatCode>
                <c:ptCount val="14"/>
                <c:pt idx="0">
                  <c:v>0.12740000000000001</c:v>
                </c:pt>
                <c:pt idx="1">
                  <c:v>0.1409</c:v>
                </c:pt>
                <c:pt idx="2">
                  <c:v>0.16969999999999999</c:v>
                </c:pt>
                <c:pt idx="3">
                  <c:v>0.1177</c:v>
                </c:pt>
                <c:pt idx="4">
                  <c:v>0.1096</c:v>
                </c:pt>
                <c:pt idx="5">
                  <c:v>0.11349999999999999</c:v>
                </c:pt>
                <c:pt idx="6">
                  <c:v>0.1174</c:v>
                </c:pt>
                <c:pt idx="7">
                  <c:v>0.11900000000000001</c:v>
                </c:pt>
                <c:pt idx="8">
                  <c:v>0.14829999999999999</c:v>
                </c:pt>
                <c:pt idx="9">
                  <c:v>0.1115</c:v>
                </c:pt>
                <c:pt idx="10">
                  <c:v>0.1229</c:v>
                </c:pt>
                <c:pt idx="11">
                  <c:v>0.1578</c:v>
                </c:pt>
                <c:pt idx="12">
                  <c:v>0.1704</c:v>
                </c:pt>
                <c:pt idx="13">
                  <c:v>0.1101</c:v>
                </c:pt>
              </c:numCache>
            </c:numRef>
          </c:val>
          <c:extLst>
            <c:ext xmlns:c16="http://schemas.microsoft.com/office/drawing/2014/chart" uri="{C3380CC4-5D6E-409C-BE32-E72D297353CC}">
              <c16:uniqueId val="{00000001-D768-48DF-A96F-728AAC95605C}"/>
            </c:ext>
          </c:extLst>
        </c:ser>
        <c:ser>
          <c:idx val="1"/>
          <c:order val="2"/>
          <c:tx>
            <c:strRef>
              <c:f>'01_Group_2018_2022'!$I$1</c:f>
              <c:strCache>
                <c:ptCount val="1"/>
                <c:pt idx="0">
                  <c:v>% Documents in Q2 Journals</c:v>
                </c:pt>
              </c:strCache>
            </c:strRef>
          </c:tx>
          <c:spPr>
            <a:solidFill>
              <a:srgbClr val="9EE99E"/>
            </a:solidFill>
            <a:ln w="15875">
              <a:solidFill>
                <a:srgbClr val="1FA81F"/>
              </a:solidFill>
            </a:ln>
            <a:effectLst/>
          </c:spPr>
          <c:invertIfNegative val="0"/>
          <c:cat>
            <c:strRef>
              <c:f>'01_Group_2018_2022'!$P$2:$P$15</c:f>
              <c:strCache>
                <c:ptCount val="14"/>
                <c:pt idx="0">
                  <c:v>CZE                                             (20.40)</c:v>
                </c:pt>
                <c:pt idx="1">
                  <c:v>EU-15                                             (1167.9)</c:v>
                </c:pt>
                <c:pt idx="2">
                  <c:v>OECD                                             (2769.7)</c:v>
                </c:pt>
                <c:pt idx="3">
                  <c:v>DEU                                             (238.5)</c:v>
                </c:pt>
                <c:pt idx="4">
                  <c:v>NLD                                             (124.3)</c:v>
                </c:pt>
                <c:pt idx="5">
                  <c:v>SWE                                             (76.1)</c:v>
                </c:pt>
                <c:pt idx="6">
                  <c:v>BEL                                             (62.7)</c:v>
                </c:pt>
                <c:pt idx="7">
                  <c:v>DNK                                             (57.9)</c:v>
                </c:pt>
                <c:pt idx="8">
                  <c:v>POL                                             (55.9)</c:v>
                </c:pt>
                <c:pt idx="9">
                  <c:v>AUT                                             (43.2)</c:v>
                </c:pt>
                <c:pt idx="10">
                  <c:v>FIN                                             (28.9)</c:v>
                </c:pt>
                <c:pt idx="11">
                  <c:v>SVK                                             (5.6)</c:v>
                </c:pt>
                <c:pt idx="12">
                  <c:v>CYP                                             (5.1)</c:v>
                </c:pt>
                <c:pt idx="13">
                  <c:v>EST                                             (2.8)</c:v>
                </c:pt>
              </c:strCache>
            </c:strRef>
          </c:cat>
          <c:val>
            <c:numRef>
              <c:f>'01_Group_2018_2022'!$I$2:$I$15</c:f>
              <c:numCache>
                <c:formatCode>General</c:formatCode>
                <c:ptCount val="14"/>
                <c:pt idx="0">
                  <c:v>0.2646</c:v>
                </c:pt>
                <c:pt idx="1">
                  <c:v>0.29359999999999997</c:v>
                </c:pt>
                <c:pt idx="2">
                  <c:v>0.29799999999999999</c:v>
                </c:pt>
                <c:pt idx="3">
                  <c:v>0.2742</c:v>
                </c:pt>
                <c:pt idx="4">
                  <c:v>0.27699999999999997</c:v>
                </c:pt>
                <c:pt idx="5">
                  <c:v>0.29109999999999997</c:v>
                </c:pt>
                <c:pt idx="6">
                  <c:v>0.27190000000000003</c:v>
                </c:pt>
                <c:pt idx="7">
                  <c:v>0.27860000000000001</c:v>
                </c:pt>
                <c:pt idx="8">
                  <c:v>0.28339999999999999</c:v>
                </c:pt>
                <c:pt idx="9">
                  <c:v>0.28110000000000002</c:v>
                </c:pt>
                <c:pt idx="10">
                  <c:v>0.2949</c:v>
                </c:pt>
                <c:pt idx="11">
                  <c:v>0.26829999999999998</c:v>
                </c:pt>
                <c:pt idx="12">
                  <c:v>0.30299999999999999</c:v>
                </c:pt>
                <c:pt idx="13">
                  <c:v>0.26590000000000003</c:v>
                </c:pt>
              </c:numCache>
            </c:numRef>
          </c:val>
          <c:extLst>
            <c:ext xmlns:c16="http://schemas.microsoft.com/office/drawing/2014/chart" uri="{C3380CC4-5D6E-409C-BE32-E72D297353CC}">
              <c16:uniqueId val="{00000002-D768-48DF-A96F-728AAC95605C}"/>
            </c:ext>
          </c:extLst>
        </c:ser>
        <c:ser>
          <c:idx val="0"/>
          <c:order val="3"/>
          <c:tx>
            <c:strRef>
              <c:f>'01_Group_2018_2022'!$H$1</c:f>
              <c:strCache>
                <c:ptCount val="1"/>
                <c:pt idx="0">
                  <c:v>% Documents in Q1 Journals</c:v>
                </c:pt>
              </c:strCache>
            </c:strRef>
          </c:tx>
          <c:spPr>
            <a:solidFill>
              <a:srgbClr val="FAE6D3"/>
            </a:solidFill>
            <a:ln w="15875">
              <a:solidFill>
                <a:srgbClr val="E9933E"/>
              </a:solidFill>
            </a:ln>
            <a:effectLst/>
          </c:spPr>
          <c:invertIfNegative val="0"/>
          <c:cat>
            <c:strRef>
              <c:f>'01_Group_2018_2022'!$P$2:$P$15</c:f>
              <c:strCache>
                <c:ptCount val="14"/>
                <c:pt idx="0">
                  <c:v>CZE                                             (20.40)</c:v>
                </c:pt>
                <c:pt idx="1">
                  <c:v>EU-15                                             (1167.9)</c:v>
                </c:pt>
                <c:pt idx="2">
                  <c:v>OECD                                             (2769.7)</c:v>
                </c:pt>
                <c:pt idx="3">
                  <c:v>DEU                                             (238.5)</c:v>
                </c:pt>
                <c:pt idx="4">
                  <c:v>NLD                                             (124.3)</c:v>
                </c:pt>
                <c:pt idx="5">
                  <c:v>SWE                                             (76.1)</c:v>
                </c:pt>
                <c:pt idx="6">
                  <c:v>BEL                                             (62.7)</c:v>
                </c:pt>
                <c:pt idx="7">
                  <c:v>DNK                                             (57.9)</c:v>
                </c:pt>
                <c:pt idx="8">
                  <c:v>POL                                             (55.9)</c:v>
                </c:pt>
                <c:pt idx="9">
                  <c:v>AUT                                             (43.2)</c:v>
                </c:pt>
                <c:pt idx="10">
                  <c:v>FIN                                             (28.9)</c:v>
                </c:pt>
                <c:pt idx="11">
                  <c:v>SVK                                             (5.6)</c:v>
                </c:pt>
                <c:pt idx="12">
                  <c:v>CYP                                             (5.1)</c:v>
                </c:pt>
                <c:pt idx="13">
                  <c:v>EST                                             (2.8)</c:v>
                </c:pt>
              </c:strCache>
            </c:strRef>
          </c:cat>
          <c:val>
            <c:numRef>
              <c:f>'01_Group_2018_2022'!$H$2:$H$15</c:f>
              <c:numCache>
                <c:formatCode>General</c:formatCode>
                <c:ptCount val="14"/>
                <c:pt idx="0">
                  <c:v>0.47479999999999994</c:v>
                </c:pt>
                <c:pt idx="1">
                  <c:v>0.48090000000000005</c:v>
                </c:pt>
                <c:pt idx="2">
                  <c:v>0.4355</c:v>
                </c:pt>
                <c:pt idx="3">
                  <c:v>0.48960000000000004</c:v>
                </c:pt>
                <c:pt idx="4">
                  <c:v>0.58079999999999998</c:v>
                </c:pt>
                <c:pt idx="5">
                  <c:v>0.55449999999999999</c:v>
                </c:pt>
                <c:pt idx="6">
                  <c:v>0.55000000000000004</c:v>
                </c:pt>
                <c:pt idx="7">
                  <c:v>0.55990000000000006</c:v>
                </c:pt>
                <c:pt idx="8">
                  <c:v>0.43829999999999997</c:v>
                </c:pt>
                <c:pt idx="9">
                  <c:v>0.53380000000000005</c:v>
                </c:pt>
                <c:pt idx="10">
                  <c:v>0.53620000000000001</c:v>
                </c:pt>
                <c:pt idx="11">
                  <c:v>0.37290000000000001</c:v>
                </c:pt>
                <c:pt idx="12">
                  <c:v>0.3962</c:v>
                </c:pt>
                <c:pt idx="13">
                  <c:v>0.57899999999999996</c:v>
                </c:pt>
              </c:numCache>
            </c:numRef>
          </c:val>
          <c:extLst>
            <c:ext xmlns:c16="http://schemas.microsoft.com/office/drawing/2014/chart" uri="{C3380CC4-5D6E-409C-BE32-E72D297353CC}">
              <c16:uniqueId val="{00000003-D768-48DF-A96F-728AAC95605C}"/>
            </c:ext>
          </c:extLst>
        </c:ser>
        <c:dLbls>
          <c:showLegendKey val="0"/>
          <c:showVal val="0"/>
          <c:showCatName val="0"/>
          <c:showSerName val="0"/>
          <c:showPercent val="0"/>
          <c:showBubbleSize val="0"/>
        </c:dLbls>
        <c:gapWidth val="150"/>
        <c:overlap val="100"/>
        <c:axId val="1116811439"/>
        <c:axId val="1116811855"/>
      </c:barChart>
      <c:lineChart>
        <c:grouping val="standard"/>
        <c:varyColors val="0"/>
        <c:ser>
          <c:idx val="4"/>
          <c:order val="4"/>
          <c:tx>
            <c:strRef>
              <c:f>'01_Group_2018_2022'!$F$1</c:f>
              <c:strCache>
                <c:ptCount val="1"/>
                <c:pt idx="0">
                  <c:v>% Documents in Top 10%</c:v>
                </c:pt>
              </c:strCache>
            </c:strRef>
          </c:tx>
          <c:spPr>
            <a:ln w="28575" cap="rnd">
              <a:noFill/>
              <a:round/>
            </a:ln>
            <a:effectLst/>
          </c:spPr>
          <c:marker>
            <c:symbol val="triangle"/>
            <c:size val="7"/>
            <c:spPr>
              <a:solidFill>
                <a:srgbClr val="D9D9D9"/>
              </a:solidFill>
              <a:ln w="15875">
                <a:solidFill>
                  <a:srgbClr val="7F7F7F"/>
                </a:solidFill>
              </a:ln>
              <a:effectLst/>
            </c:spPr>
          </c:marker>
          <c:dLbls>
            <c:dLbl>
              <c:idx val="0"/>
              <c:tx>
                <c:rich>
                  <a:bodyPr/>
                  <a:lstStyle/>
                  <a:p>
                    <a:fld id="{EBBA253D-96E7-4226-BB8C-D2CC453EC37D}"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4-D768-48DF-A96F-728AAC95605C}"/>
                </c:ext>
              </c:extLst>
            </c:dLbl>
            <c:dLbl>
              <c:idx val="1"/>
              <c:tx>
                <c:rich>
                  <a:bodyPr/>
                  <a:lstStyle/>
                  <a:p>
                    <a:fld id="{D20CF237-847E-4B4A-BAAE-07B511D30499}"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D768-48DF-A96F-728AAC95605C}"/>
                </c:ext>
              </c:extLst>
            </c:dLbl>
            <c:dLbl>
              <c:idx val="2"/>
              <c:tx>
                <c:rich>
                  <a:bodyPr/>
                  <a:lstStyle/>
                  <a:p>
                    <a:fld id="{EAD1EEB2-84DB-4683-A605-E56826917375}"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6-D768-48DF-A96F-728AAC95605C}"/>
                </c:ext>
              </c:extLst>
            </c:dLbl>
            <c:dLbl>
              <c:idx val="3"/>
              <c:tx>
                <c:rich>
                  <a:bodyPr/>
                  <a:lstStyle/>
                  <a:p>
                    <a:fld id="{C04B04BB-1F3D-4019-AF16-2881F2605F57}"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7-D768-48DF-A96F-728AAC95605C}"/>
                </c:ext>
              </c:extLst>
            </c:dLbl>
            <c:dLbl>
              <c:idx val="4"/>
              <c:tx>
                <c:rich>
                  <a:bodyPr/>
                  <a:lstStyle/>
                  <a:p>
                    <a:fld id="{2DB3556D-C220-4B59-9388-B92F3CE024BA}"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D768-48DF-A96F-728AAC95605C}"/>
                </c:ext>
              </c:extLst>
            </c:dLbl>
            <c:dLbl>
              <c:idx val="5"/>
              <c:tx>
                <c:rich>
                  <a:bodyPr/>
                  <a:lstStyle/>
                  <a:p>
                    <a:fld id="{A1C52908-72A1-43D0-9F3D-629FA9B16D39}"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9-D768-48DF-A96F-728AAC95605C}"/>
                </c:ext>
              </c:extLst>
            </c:dLbl>
            <c:dLbl>
              <c:idx val="6"/>
              <c:tx>
                <c:rich>
                  <a:bodyPr/>
                  <a:lstStyle/>
                  <a:p>
                    <a:fld id="{D3F95F47-70B2-41B9-BE4A-9822885D278A}"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A-D768-48DF-A96F-728AAC95605C}"/>
                </c:ext>
              </c:extLst>
            </c:dLbl>
            <c:dLbl>
              <c:idx val="7"/>
              <c:tx>
                <c:rich>
                  <a:bodyPr/>
                  <a:lstStyle/>
                  <a:p>
                    <a:fld id="{BEFC00A1-1A33-4BBD-8560-017EE76C0A63}"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D768-48DF-A96F-728AAC95605C}"/>
                </c:ext>
              </c:extLst>
            </c:dLbl>
            <c:dLbl>
              <c:idx val="8"/>
              <c:tx>
                <c:rich>
                  <a:bodyPr/>
                  <a:lstStyle/>
                  <a:p>
                    <a:fld id="{E4A9AFAE-38CC-4764-A549-44910B251C88}"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C-D768-48DF-A96F-728AAC95605C}"/>
                </c:ext>
              </c:extLst>
            </c:dLbl>
            <c:dLbl>
              <c:idx val="9"/>
              <c:tx>
                <c:rich>
                  <a:bodyPr/>
                  <a:lstStyle/>
                  <a:p>
                    <a:fld id="{49516CA0-0B7B-4584-9A34-DC0B4399C760}"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D-D768-48DF-A96F-728AAC95605C}"/>
                </c:ext>
              </c:extLst>
            </c:dLbl>
            <c:dLbl>
              <c:idx val="10"/>
              <c:tx>
                <c:rich>
                  <a:bodyPr/>
                  <a:lstStyle/>
                  <a:p>
                    <a:fld id="{ADAD3E1D-BEB8-44F8-95A2-177FD194A12F}"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D768-48DF-A96F-728AAC95605C}"/>
                </c:ext>
              </c:extLst>
            </c:dLbl>
            <c:dLbl>
              <c:idx val="11"/>
              <c:tx>
                <c:rich>
                  <a:bodyPr/>
                  <a:lstStyle/>
                  <a:p>
                    <a:fld id="{CA44B4F8-BF02-4AA0-A30B-B54D25FCC095}"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F-D768-48DF-A96F-728AAC95605C}"/>
                </c:ext>
              </c:extLst>
            </c:dLbl>
            <c:dLbl>
              <c:idx val="12"/>
              <c:tx>
                <c:rich>
                  <a:bodyPr/>
                  <a:lstStyle/>
                  <a:p>
                    <a:fld id="{4AC2B273-03DA-4C15-9AB3-404AEE11C002}"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0-D768-48DF-A96F-728AAC95605C}"/>
                </c:ext>
              </c:extLst>
            </c:dLbl>
            <c:dLbl>
              <c:idx val="13"/>
              <c:tx>
                <c:rich>
                  <a:bodyPr/>
                  <a:lstStyle/>
                  <a:p>
                    <a:fld id="{5E99DDA6-F840-47F0-8929-5C6F40DACE25}"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D768-48DF-A96F-728AAC95605C}"/>
                </c:ext>
              </c:extLst>
            </c:dLbl>
            <c:numFmt formatCode="0.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b"/>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cat>
            <c:multiLvlStrRef>
              <c:f>#REF!</c:f>
            </c:multiLvlStrRef>
          </c:cat>
          <c:val>
            <c:numRef>
              <c:f>'01_Group_2018_2022'!$F$2:$F$15</c:f>
              <c:numCache>
                <c:formatCode>General</c:formatCode>
                <c:ptCount val="14"/>
                <c:pt idx="0">
                  <c:v>0.83420000000000005</c:v>
                </c:pt>
                <c:pt idx="1">
                  <c:v>0.86739999999999995</c:v>
                </c:pt>
                <c:pt idx="2">
                  <c:v>0.88919999999999999</c:v>
                </c:pt>
                <c:pt idx="3">
                  <c:v>0.84099999999999997</c:v>
                </c:pt>
                <c:pt idx="4">
                  <c:v>0.80640000000000001</c:v>
                </c:pt>
                <c:pt idx="5">
                  <c:v>0.81540000000000001</c:v>
                </c:pt>
                <c:pt idx="6">
                  <c:v>0.79979999999999996</c:v>
                </c:pt>
                <c:pt idx="7">
                  <c:v>0.81210000000000004</c:v>
                </c:pt>
                <c:pt idx="8">
                  <c:v>0.87450000000000006</c:v>
                </c:pt>
                <c:pt idx="9">
                  <c:v>0.82079999999999997</c:v>
                </c:pt>
                <c:pt idx="10">
                  <c:v>0.82709999999999995</c:v>
                </c:pt>
                <c:pt idx="11">
                  <c:v>0.87919999999999998</c:v>
                </c:pt>
                <c:pt idx="12">
                  <c:v>0.85650000000000004</c:v>
                </c:pt>
                <c:pt idx="13">
                  <c:v>0.76939999999999997</c:v>
                </c:pt>
              </c:numCache>
            </c:numRef>
          </c:val>
          <c:smooth val="0"/>
          <c:extLst>
            <c:ext xmlns:c15="http://schemas.microsoft.com/office/drawing/2012/chart" uri="{02D57815-91ED-43cb-92C2-25804820EDAC}">
              <c15:datalabelsRange>
                <c15:f>'01_Group_2018_2022'!$L$2:$L$15</c15:f>
                <c15:dlblRangeCache>
                  <c:ptCount val="14"/>
                  <c:pt idx="0">
                    <c:v>16.6%</c:v>
                  </c:pt>
                  <c:pt idx="1">
                    <c:v>13.3%</c:v>
                  </c:pt>
                  <c:pt idx="2">
                    <c:v>11.1%</c:v>
                  </c:pt>
                  <c:pt idx="3">
                    <c:v>15.9%</c:v>
                  </c:pt>
                  <c:pt idx="4">
                    <c:v>19.4%</c:v>
                  </c:pt>
                  <c:pt idx="5">
                    <c:v>18.5%</c:v>
                  </c:pt>
                  <c:pt idx="6">
                    <c:v>20.0%</c:v>
                  </c:pt>
                  <c:pt idx="7">
                    <c:v>18.8%</c:v>
                  </c:pt>
                  <c:pt idx="8">
                    <c:v>12.6%</c:v>
                  </c:pt>
                  <c:pt idx="9">
                    <c:v>17.9%</c:v>
                  </c:pt>
                  <c:pt idx="10">
                    <c:v>17.3%</c:v>
                  </c:pt>
                  <c:pt idx="11">
                    <c:v>12.1%</c:v>
                  </c:pt>
                  <c:pt idx="12">
                    <c:v>14.4%</c:v>
                  </c:pt>
                  <c:pt idx="13">
                    <c:v>23.1%</c:v>
                  </c:pt>
                </c15:dlblRangeCache>
              </c15:datalabelsRange>
            </c:ext>
            <c:ext xmlns:c16="http://schemas.microsoft.com/office/drawing/2014/chart" uri="{C3380CC4-5D6E-409C-BE32-E72D297353CC}">
              <c16:uniqueId val="{00000012-D768-48DF-A96F-728AAC95605C}"/>
            </c:ext>
          </c:extLst>
        </c:ser>
        <c:dLbls>
          <c:showLegendKey val="0"/>
          <c:showVal val="0"/>
          <c:showCatName val="0"/>
          <c:showSerName val="0"/>
          <c:showPercent val="0"/>
          <c:showBubbleSize val="0"/>
        </c:dLbls>
        <c:marker val="1"/>
        <c:smooth val="0"/>
        <c:axId val="1317004687"/>
        <c:axId val="1317008431"/>
      </c:lineChart>
      <c:dateAx>
        <c:axId val="111681143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cs-CZ"/>
          </a:p>
        </c:txPr>
        <c:crossAx val="1116811855"/>
        <c:crosses val="autoZero"/>
        <c:auto val="0"/>
        <c:lblOffset val="100"/>
        <c:baseTimeUnit val="days"/>
      </c:dateAx>
      <c:valAx>
        <c:axId val="1116811855"/>
        <c:scaling>
          <c:orientation val="minMax"/>
        </c:scaling>
        <c:delete val="1"/>
        <c:axPos val="r"/>
        <c:majorGridlines>
          <c:spPr>
            <a:ln w="9525" cap="flat" cmpd="sng" algn="ctr">
              <a:solidFill>
                <a:srgbClr val="FF0000"/>
              </a:solidFill>
              <a:prstDash val="dash"/>
              <a:round/>
            </a:ln>
            <a:effectLst/>
          </c:spPr>
        </c:majorGridlines>
        <c:title>
          <c:tx>
            <c:strRef>
              <c:f>'01_Group_2018_2022'!$A$38</c:f>
              <c:strCache>
                <c:ptCount val="1"/>
                <c:pt idx="0">
                  <c:v>podíl článků podle kvartilů_x000b_2020–2024</c:v>
                </c:pt>
              </c:strCache>
            </c:strRef>
          </c:tx>
          <c:layout>
            <c:manualLayout>
              <c:xMode val="edge"/>
              <c:yMode val="edge"/>
              <c:x val="1.1268593111334414E-2"/>
              <c:y val="0.29441189626216341"/>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0%" sourceLinked="0"/>
        <c:majorTickMark val="out"/>
        <c:minorTickMark val="none"/>
        <c:tickLblPos val="nextTo"/>
        <c:crossAx val="1116811439"/>
        <c:crosses val="max"/>
        <c:crossBetween val="between"/>
        <c:majorUnit val="0.25"/>
      </c:valAx>
      <c:valAx>
        <c:axId val="1317008431"/>
        <c:scaling>
          <c:orientation val="minMax"/>
          <c:max val="1"/>
          <c:min val="0"/>
        </c:scaling>
        <c:delete val="1"/>
        <c:axPos val="r"/>
        <c:title>
          <c:tx>
            <c:strRef>
              <c:f>'01_Group_2018_2022'!$A$39</c:f>
              <c:strCache>
                <c:ptCount val="1"/>
                <c:pt idx="0">
                  <c:v>% článků v Top 10 %</c:v>
                </c:pt>
              </c:strCache>
            </c:strRef>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0.0%" sourceLinked="0"/>
        <c:majorTickMark val="out"/>
        <c:minorTickMark val="none"/>
        <c:tickLblPos val="nextTo"/>
        <c:crossAx val="1317004687"/>
        <c:crosses val="max"/>
        <c:crossBetween val="between"/>
      </c:valAx>
      <c:catAx>
        <c:axId val="1317004687"/>
        <c:scaling>
          <c:orientation val="minMax"/>
        </c:scaling>
        <c:delete val="1"/>
        <c:axPos val="b"/>
        <c:numFmt formatCode="General" sourceLinked="1"/>
        <c:majorTickMark val="out"/>
        <c:minorTickMark val="none"/>
        <c:tickLblPos val="nextTo"/>
        <c:crossAx val="1317008431"/>
        <c:crosses val="autoZero"/>
        <c:auto val="1"/>
        <c:lblAlgn val="ctr"/>
        <c:lblOffset val="100"/>
        <c:noMultiLvlLbl val="0"/>
      </c:catAx>
      <c:spPr>
        <a:noFill/>
        <a:ln>
          <a:noFill/>
        </a:ln>
        <a:effectLst/>
      </c:spPr>
    </c:plotArea>
    <c:plotVisOnly val="1"/>
    <c:dispBlanksAs val="gap"/>
    <c:showDLblsOverMax val="0"/>
  </c:chart>
  <c:spPr>
    <a:noFill/>
    <a:ln w="9525" cap="flat" cmpd="sng" algn="ctr">
      <a:noFill/>
      <a:round/>
    </a:ln>
    <a:effectLst/>
  </c:spPr>
  <c:txPr>
    <a:bodyPr/>
    <a:lstStyle/>
    <a:p>
      <a:pPr>
        <a:defRPr/>
      </a:pPr>
      <a:endParaRPr lang="cs-CZ"/>
    </a:p>
  </c:txPr>
  <c:externalData r:id="rId4">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strRef>
          <c:f>'01_Group_2018_2022'!$A$40</c:f>
          <c:strCache>
            <c:ptCount val="1"/>
            <c:pt idx="0">
              <c:v>AGRICULTURAL AND VETERINARY SCIENCES</c:v>
            </c:pt>
          </c:strCache>
        </c:strRef>
      </c:tx>
      <c:overlay val="0"/>
      <c:spPr>
        <a:noFill/>
        <a:ln>
          <a:noFill/>
        </a:ln>
        <a:effectLst/>
      </c:spPr>
      <c:txPr>
        <a:bodyPr rot="0" spcFirstLastPara="1" vertOverflow="ellipsis" vert="horz" wrap="square" anchor="ctr" anchorCtr="1"/>
        <a:lstStyle/>
        <a:p>
          <a:pPr>
            <a:defRPr sz="1400" b="1" i="0" u="none" strike="noStrike" kern="1200" spc="0" baseline="0">
              <a:solidFill>
                <a:srgbClr val="DBD600"/>
              </a:solidFill>
              <a:latin typeface="+mn-lt"/>
              <a:ea typeface="+mn-ea"/>
              <a:cs typeface="+mn-cs"/>
            </a:defRPr>
          </a:pPr>
          <a:endParaRPr lang="cs-CZ"/>
        </a:p>
      </c:txPr>
    </c:title>
    <c:autoTitleDeleted val="0"/>
    <c:plotArea>
      <c:layout>
        <c:manualLayout>
          <c:layoutTarget val="inner"/>
          <c:xMode val="edge"/>
          <c:yMode val="edge"/>
          <c:x val="6.2049676884384231E-2"/>
          <c:y val="0.15901393354769561"/>
          <c:w val="0.87989333415568483"/>
          <c:h val="0.70232912204302445"/>
        </c:manualLayout>
      </c:layout>
      <c:barChart>
        <c:barDir val="col"/>
        <c:grouping val="percentStacked"/>
        <c:varyColors val="0"/>
        <c:ser>
          <c:idx val="3"/>
          <c:order val="0"/>
          <c:tx>
            <c:strRef>
              <c:f>'01_Group_2018_2022'!$E$1</c:f>
              <c:strCache>
                <c:ptCount val="1"/>
                <c:pt idx="0">
                  <c:v>% Documents in Q4 Journals</c:v>
                </c:pt>
              </c:strCache>
            </c:strRef>
          </c:tx>
          <c:spPr>
            <a:solidFill>
              <a:srgbClr val="D78E8E"/>
            </a:solidFill>
            <a:ln w="15875">
              <a:solidFill>
                <a:srgbClr val="BE4949"/>
              </a:solidFill>
            </a:ln>
            <a:effectLst/>
          </c:spPr>
          <c:invertIfNegative val="0"/>
          <c:cat>
            <c:strRef>
              <c:f>'01_Group_2018_2022'!$L$2:$L$15</c:f>
              <c:strCache>
                <c:ptCount val="14"/>
                <c:pt idx="0">
                  <c:v>CZE                                             (8.5)</c:v>
                </c:pt>
                <c:pt idx="1">
                  <c:v>EU-15                                             (170.4)</c:v>
                </c:pt>
                <c:pt idx="2">
                  <c:v>OECD                                             (396.1)</c:v>
                </c:pt>
                <c:pt idx="3">
                  <c:v>DEU                                             (32.1)</c:v>
                </c:pt>
                <c:pt idx="4">
                  <c:v>POL                                             (15.7)</c:v>
                </c:pt>
                <c:pt idx="5">
                  <c:v>NLD                                             (11.4)</c:v>
                </c:pt>
                <c:pt idx="6">
                  <c:v>BEL                                             (9.4)</c:v>
                </c:pt>
                <c:pt idx="7">
                  <c:v>SWE                                             (8.8)</c:v>
                </c:pt>
                <c:pt idx="8">
                  <c:v>DNK                                             (7.7)</c:v>
                </c:pt>
                <c:pt idx="9">
                  <c:v>AUT                                             (5.8)</c:v>
                </c:pt>
                <c:pt idx="10">
                  <c:v>FIN                                             (4.6)</c:v>
                </c:pt>
                <c:pt idx="11">
                  <c:v>SVK                                             (2.6)</c:v>
                </c:pt>
                <c:pt idx="12">
                  <c:v>EST                                             (1.1)</c:v>
                </c:pt>
                <c:pt idx="13">
                  <c:v>CYP                                             (0.6)</c:v>
                </c:pt>
              </c:strCache>
            </c:strRef>
          </c:cat>
          <c:val>
            <c:numRef>
              <c:f>'01_Group_2018_2022'!$E$2:$E$15</c:f>
              <c:numCache>
                <c:formatCode>General</c:formatCode>
                <c:ptCount val="14"/>
                <c:pt idx="0">
                  <c:v>9.69E-2</c:v>
                </c:pt>
                <c:pt idx="1">
                  <c:v>4.4500000000000005E-2</c:v>
                </c:pt>
                <c:pt idx="2">
                  <c:v>6.5799999999999997E-2</c:v>
                </c:pt>
                <c:pt idx="3">
                  <c:v>7.3700000000000002E-2</c:v>
                </c:pt>
                <c:pt idx="4">
                  <c:v>8.8100000000000012E-2</c:v>
                </c:pt>
                <c:pt idx="5">
                  <c:v>2.8999999999999998E-2</c:v>
                </c:pt>
                <c:pt idx="6">
                  <c:v>4.58E-2</c:v>
                </c:pt>
                <c:pt idx="7">
                  <c:v>2.2700000000000001E-2</c:v>
                </c:pt>
                <c:pt idx="8">
                  <c:v>1.5600000000000001E-2</c:v>
                </c:pt>
                <c:pt idx="9">
                  <c:v>7.3700000000000002E-2</c:v>
                </c:pt>
                <c:pt idx="10">
                  <c:v>2.0099999999999996E-2</c:v>
                </c:pt>
                <c:pt idx="11">
                  <c:v>0.124</c:v>
                </c:pt>
                <c:pt idx="12">
                  <c:v>2.7200000000000002E-2</c:v>
                </c:pt>
                <c:pt idx="13">
                  <c:v>5.1399999999999994E-2</c:v>
                </c:pt>
              </c:numCache>
            </c:numRef>
          </c:val>
          <c:extLst>
            <c:ext xmlns:c16="http://schemas.microsoft.com/office/drawing/2014/chart" uri="{C3380CC4-5D6E-409C-BE32-E72D297353CC}">
              <c16:uniqueId val="{00000000-1A7F-4D47-B2EF-BC125D296E4F}"/>
            </c:ext>
          </c:extLst>
        </c:ser>
        <c:ser>
          <c:idx val="2"/>
          <c:order val="1"/>
          <c:tx>
            <c:strRef>
              <c:f>'01_Group_2018_2022'!$D$1</c:f>
              <c:strCache>
                <c:ptCount val="1"/>
                <c:pt idx="0">
                  <c:v>% Documents in Q3 Journals</c:v>
                </c:pt>
              </c:strCache>
            </c:strRef>
          </c:tx>
          <c:spPr>
            <a:solidFill>
              <a:srgbClr val="D4DEEF"/>
            </a:solidFill>
            <a:ln w="15875">
              <a:solidFill>
                <a:srgbClr val="3A5D9C"/>
              </a:solidFill>
            </a:ln>
            <a:effectLst/>
          </c:spPr>
          <c:invertIfNegative val="0"/>
          <c:cat>
            <c:strRef>
              <c:f>'01_Group_2018_2022'!$L$2:$L$15</c:f>
              <c:strCache>
                <c:ptCount val="14"/>
                <c:pt idx="0">
                  <c:v>CZE                                             (8.5)</c:v>
                </c:pt>
                <c:pt idx="1">
                  <c:v>EU-15                                             (170.4)</c:v>
                </c:pt>
                <c:pt idx="2">
                  <c:v>OECD                                             (396.1)</c:v>
                </c:pt>
                <c:pt idx="3">
                  <c:v>DEU                                             (32.1)</c:v>
                </c:pt>
                <c:pt idx="4">
                  <c:v>POL                                             (15.7)</c:v>
                </c:pt>
                <c:pt idx="5">
                  <c:v>NLD                                             (11.4)</c:v>
                </c:pt>
                <c:pt idx="6">
                  <c:v>BEL                                             (9.4)</c:v>
                </c:pt>
                <c:pt idx="7">
                  <c:v>SWE                                             (8.8)</c:v>
                </c:pt>
                <c:pt idx="8">
                  <c:v>DNK                                             (7.7)</c:v>
                </c:pt>
                <c:pt idx="9">
                  <c:v>AUT                                             (5.8)</c:v>
                </c:pt>
                <c:pt idx="10">
                  <c:v>FIN                                             (4.6)</c:v>
                </c:pt>
                <c:pt idx="11">
                  <c:v>SVK                                             (2.6)</c:v>
                </c:pt>
                <c:pt idx="12">
                  <c:v>EST                                             (1.1)</c:v>
                </c:pt>
                <c:pt idx="13">
                  <c:v>CYP                                             (0.6)</c:v>
                </c:pt>
              </c:strCache>
            </c:strRef>
          </c:cat>
          <c:val>
            <c:numRef>
              <c:f>'01_Group_2018_2022'!$D$2:$D$15</c:f>
              <c:numCache>
                <c:formatCode>General</c:formatCode>
                <c:ptCount val="14"/>
                <c:pt idx="0">
                  <c:v>0.10880000000000001</c:v>
                </c:pt>
                <c:pt idx="1">
                  <c:v>7.5300000000000006E-2</c:v>
                </c:pt>
                <c:pt idx="2">
                  <c:v>0.1191</c:v>
                </c:pt>
                <c:pt idx="3">
                  <c:v>6.9400000000000003E-2</c:v>
                </c:pt>
                <c:pt idx="4">
                  <c:v>8.0500000000000002E-2</c:v>
                </c:pt>
                <c:pt idx="5">
                  <c:v>5.0300000000000004E-2</c:v>
                </c:pt>
                <c:pt idx="6">
                  <c:v>7.6799999999999993E-2</c:v>
                </c:pt>
                <c:pt idx="7">
                  <c:v>6.1699999999999998E-2</c:v>
                </c:pt>
                <c:pt idx="8">
                  <c:v>6.4399999999999999E-2</c:v>
                </c:pt>
                <c:pt idx="9">
                  <c:v>8.0399999999999985E-2</c:v>
                </c:pt>
                <c:pt idx="10">
                  <c:v>8.7599999999999997E-2</c:v>
                </c:pt>
                <c:pt idx="11">
                  <c:v>0.12939999999999999</c:v>
                </c:pt>
                <c:pt idx="12">
                  <c:v>9.9399999999999988E-2</c:v>
                </c:pt>
                <c:pt idx="13">
                  <c:v>8.4600000000000009E-2</c:v>
                </c:pt>
              </c:numCache>
            </c:numRef>
          </c:val>
          <c:extLst>
            <c:ext xmlns:c16="http://schemas.microsoft.com/office/drawing/2014/chart" uri="{C3380CC4-5D6E-409C-BE32-E72D297353CC}">
              <c16:uniqueId val="{00000001-1A7F-4D47-B2EF-BC125D296E4F}"/>
            </c:ext>
          </c:extLst>
        </c:ser>
        <c:ser>
          <c:idx val="1"/>
          <c:order val="2"/>
          <c:tx>
            <c:strRef>
              <c:f>'01_Group_2018_2022'!$C$1</c:f>
              <c:strCache>
                <c:ptCount val="1"/>
                <c:pt idx="0">
                  <c:v>% Documents in Q2 Journals</c:v>
                </c:pt>
              </c:strCache>
            </c:strRef>
          </c:tx>
          <c:spPr>
            <a:solidFill>
              <a:srgbClr val="9EE99E"/>
            </a:solidFill>
            <a:ln w="15875">
              <a:solidFill>
                <a:srgbClr val="1FA81F"/>
              </a:solidFill>
            </a:ln>
            <a:effectLst/>
          </c:spPr>
          <c:invertIfNegative val="0"/>
          <c:cat>
            <c:strRef>
              <c:f>'01_Group_2018_2022'!$L$2:$L$15</c:f>
              <c:strCache>
                <c:ptCount val="14"/>
                <c:pt idx="0">
                  <c:v>CZE                                             (8.5)</c:v>
                </c:pt>
                <c:pt idx="1">
                  <c:v>EU-15                                             (170.4)</c:v>
                </c:pt>
                <c:pt idx="2">
                  <c:v>OECD                                             (396.1)</c:v>
                </c:pt>
                <c:pt idx="3">
                  <c:v>DEU                                             (32.1)</c:v>
                </c:pt>
                <c:pt idx="4">
                  <c:v>POL                                             (15.7)</c:v>
                </c:pt>
                <c:pt idx="5">
                  <c:v>NLD                                             (11.4)</c:v>
                </c:pt>
                <c:pt idx="6">
                  <c:v>BEL                                             (9.4)</c:v>
                </c:pt>
                <c:pt idx="7">
                  <c:v>SWE                                             (8.8)</c:v>
                </c:pt>
                <c:pt idx="8">
                  <c:v>DNK                                             (7.7)</c:v>
                </c:pt>
                <c:pt idx="9">
                  <c:v>AUT                                             (5.8)</c:v>
                </c:pt>
                <c:pt idx="10">
                  <c:v>FIN                                             (4.6)</c:v>
                </c:pt>
                <c:pt idx="11">
                  <c:v>SVK                                             (2.6)</c:v>
                </c:pt>
                <c:pt idx="12">
                  <c:v>EST                                             (1.1)</c:v>
                </c:pt>
                <c:pt idx="13">
                  <c:v>CYP                                             (0.6)</c:v>
                </c:pt>
              </c:strCache>
            </c:strRef>
          </c:cat>
          <c:val>
            <c:numRef>
              <c:f>'01_Group_2018_2022'!$C$2:$C$15</c:f>
              <c:numCache>
                <c:formatCode>General</c:formatCode>
                <c:ptCount val="14"/>
                <c:pt idx="0">
                  <c:v>0.19920000000000002</c:v>
                </c:pt>
                <c:pt idx="1">
                  <c:v>0.1978</c:v>
                </c:pt>
                <c:pt idx="2">
                  <c:v>0.21739999999999998</c:v>
                </c:pt>
                <c:pt idx="3">
                  <c:v>0.187</c:v>
                </c:pt>
                <c:pt idx="4">
                  <c:v>0.1996</c:v>
                </c:pt>
                <c:pt idx="5">
                  <c:v>0.1769</c:v>
                </c:pt>
                <c:pt idx="6">
                  <c:v>0.18170000000000003</c:v>
                </c:pt>
                <c:pt idx="7">
                  <c:v>0.22190000000000001</c:v>
                </c:pt>
                <c:pt idx="8">
                  <c:v>0.2009</c:v>
                </c:pt>
                <c:pt idx="9">
                  <c:v>0.18760000000000002</c:v>
                </c:pt>
                <c:pt idx="10">
                  <c:v>0.21170000000000003</c:v>
                </c:pt>
                <c:pt idx="11">
                  <c:v>0.1986</c:v>
                </c:pt>
                <c:pt idx="12">
                  <c:v>0.19140000000000001</c:v>
                </c:pt>
                <c:pt idx="13">
                  <c:v>0.20069999999999999</c:v>
                </c:pt>
              </c:numCache>
            </c:numRef>
          </c:val>
          <c:extLst>
            <c:ext xmlns:c16="http://schemas.microsoft.com/office/drawing/2014/chart" uri="{C3380CC4-5D6E-409C-BE32-E72D297353CC}">
              <c16:uniqueId val="{00000002-1A7F-4D47-B2EF-BC125D296E4F}"/>
            </c:ext>
          </c:extLst>
        </c:ser>
        <c:ser>
          <c:idx val="0"/>
          <c:order val="3"/>
          <c:tx>
            <c:strRef>
              <c:f>'01_Group_2018_2022'!$B$1</c:f>
              <c:strCache>
                <c:ptCount val="1"/>
                <c:pt idx="0">
                  <c:v>% Documents in Q1 Journals</c:v>
                </c:pt>
              </c:strCache>
            </c:strRef>
          </c:tx>
          <c:spPr>
            <a:solidFill>
              <a:srgbClr val="FAE6D3"/>
            </a:solidFill>
            <a:ln w="15875">
              <a:solidFill>
                <a:srgbClr val="E9933E"/>
              </a:solidFill>
            </a:ln>
            <a:effectLst/>
          </c:spPr>
          <c:invertIfNegative val="0"/>
          <c:cat>
            <c:strRef>
              <c:f>'01_Group_2018_2022'!$L$2:$L$15</c:f>
              <c:strCache>
                <c:ptCount val="14"/>
                <c:pt idx="0">
                  <c:v>CZE                                             (8.5)</c:v>
                </c:pt>
                <c:pt idx="1">
                  <c:v>EU-15                                             (170.4)</c:v>
                </c:pt>
                <c:pt idx="2">
                  <c:v>OECD                                             (396.1)</c:v>
                </c:pt>
                <c:pt idx="3">
                  <c:v>DEU                                             (32.1)</c:v>
                </c:pt>
                <c:pt idx="4">
                  <c:v>POL                                             (15.7)</c:v>
                </c:pt>
                <c:pt idx="5">
                  <c:v>NLD                                             (11.4)</c:v>
                </c:pt>
                <c:pt idx="6">
                  <c:v>BEL                                             (9.4)</c:v>
                </c:pt>
                <c:pt idx="7">
                  <c:v>SWE                                             (8.8)</c:v>
                </c:pt>
                <c:pt idx="8">
                  <c:v>DNK                                             (7.7)</c:v>
                </c:pt>
                <c:pt idx="9">
                  <c:v>AUT                                             (5.8)</c:v>
                </c:pt>
                <c:pt idx="10">
                  <c:v>FIN                                             (4.6)</c:v>
                </c:pt>
                <c:pt idx="11">
                  <c:v>SVK                                             (2.6)</c:v>
                </c:pt>
                <c:pt idx="12">
                  <c:v>EST                                             (1.1)</c:v>
                </c:pt>
                <c:pt idx="13">
                  <c:v>CYP                                             (0.6)</c:v>
                </c:pt>
              </c:strCache>
            </c:strRef>
          </c:cat>
          <c:val>
            <c:numRef>
              <c:f>'01_Group_2018_2022'!$B$2:$B$15</c:f>
              <c:numCache>
                <c:formatCode>General</c:formatCode>
                <c:ptCount val="14"/>
                <c:pt idx="0">
                  <c:v>0.59509999999999996</c:v>
                </c:pt>
                <c:pt idx="1">
                  <c:v>0.6825</c:v>
                </c:pt>
                <c:pt idx="2">
                  <c:v>0.59770000000000001</c:v>
                </c:pt>
                <c:pt idx="3">
                  <c:v>0.66989999999999994</c:v>
                </c:pt>
                <c:pt idx="4">
                  <c:v>0.63180000000000003</c:v>
                </c:pt>
                <c:pt idx="5">
                  <c:v>0.74379999999999991</c:v>
                </c:pt>
                <c:pt idx="6">
                  <c:v>0.69569999999999999</c:v>
                </c:pt>
                <c:pt idx="7">
                  <c:v>0.69379999999999997</c:v>
                </c:pt>
                <c:pt idx="8">
                  <c:v>0.71909999999999996</c:v>
                </c:pt>
                <c:pt idx="9">
                  <c:v>0.6581999999999999</c:v>
                </c:pt>
                <c:pt idx="10">
                  <c:v>0.68059999999999998</c:v>
                </c:pt>
                <c:pt idx="11">
                  <c:v>0.54789999999999994</c:v>
                </c:pt>
                <c:pt idx="12">
                  <c:v>0.68200000000000005</c:v>
                </c:pt>
                <c:pt idx="13">
                  <c:v>0.6633</c:v>
                </c:pt>
              </c:numCache>
            </c:numRef>
          </c:val>
          <c:extLst>
            <c:ext xmlns:c16="http://schemas.microsoft.com/office/drawing/2014/chart" uri="{C3380CC4-5D6E-409C-BE32-E72D297353CC}">
              <c16:uniqueId val="{00000003-1A7F-4D47-B2EF-BC125D296E4F}"/>
            </c:ext>
          </c:extLst>
        </c:ser>
        <c:dLbls>
          <c:showLegendKey val="0"/>
          <c:showVal val="0"/>
          <c:showCatName val="0"/>
          <c:showSerName val="0"/>
          <c:showPercent val="0"/>
          <c:showBubbleSize val="0"/>
        </c:dLbls>
        <c:gapWidth val="150"/>
        <c:overlap val="100"/>
        <c:axId val="1116811439"/>
        <c:axId val="1116811855"/>
      </c:barChart>
      <c:lineChart>
        <c:grouping val="standard"/>
        <c:varyColors val="0"/>
        <c:ser>
          <c:idx val="4"/>
          <c:order val="4"/>
          <c:tx>
            <c:strRef>
              <c:f>'01_Group_2018_2022'!$F$1</c:f>
              <c:strCache>
                <c:ptCount val="1"/>
                <c:pt idx="0">
                  <c:v>% Documents in Top 10%</c:v>
                </c:pt>
              </c:strCache>
            </c:strRef>
          </c:tx>
          <c:spPr>
            <a:ln w="28575" cap="rnd">
              <a:noFill/>
              <a:round/>
            </a:ln>
            <a:effectLst/>
          </c:spPr>
          <c:marker>
            <c:symbol val="triangle"/>
            <c:size val="7"/>
            <c:spPr>
              <a:solidFill>
                <a:srgbClr val="D9D9D9"/>
              </a:solidFill>
              <a:ln w="15875">
                <a:solidFill>
                  <a:srgbClr val="7F7F7F"/>
                </a:solidFill>
              </a:ln>
              <a:effectLst/>
            </c:spPr>
          </c:marker>
          <c:dLbls>
            <c:dLbl>
              <c:idx val="0"/>
              <c:tx>
                <c:rich>
                  <a:bodyPr/>
                  <a:lstStyle/>
                  <a:p>
                    <a:fld id="{D575D6FE-FA36-48E5-9C6C-AC0EE155A988}"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4-1A7F-4D47-B2EF-BC125D296E4F}"/>
                </c:ext>
              </c:extLst>
            </c:dLbl>
            <c:dLbl>
              <c:idx val="1"/>
              <c:tx>
                <c:rich>
                  <a:bodyPr/>
                  <a:lstStyle/>
                  <a:p>
                    <a:fld id="{4EB5F21C-8B6C-4F13-A4C1-C8A5543FFE64}"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1A7F-4D47-B2EF-BC125D296E4F}"/>
                </c:ext>
              </c:extLst>
            </c:dLbl>
            <c:dLbl>
              <c:idx val="2"/>
              <c:tx>
                <c:rich>
                  <a:bodyPr/>
                  <a:lstStyle/>
                  <a:p>
                    <a:fld id="{E74780FE-A554-4F6E-ABD0-4B14962DE592}"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6-1A7F-4D47-B2EF-BC125D296E4F}"/>
                </c:ext>
              </c:extLst>
            </c:dLbl>
            <c:dLbl>
              <c:idx val="3"/>
              <c:tx>
                <c:rich>
                  <a:bodyPr/>
                  <a:lstStyle/>
                  <a:p>
                    <a:fld id="{0010C837-E64D-4453-82A3-85F3A615BEEB}"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7-1A7F-4D47-B2EF-BC125D296E4F}"/>
                </c:ext>
              </c:extLst>
            </c:dLbl>
            <c:dLbl>
              <c:idx val="4"/>
              <c:tx>
                <c:rich>
                  <a:bodyPr/>
                  <a:lstStyle/>
                  <a:p>
                    <a:fld id="{F0CE9B21-B419-4D1A-A90F-7720FF09AB99}"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1A7F-4D47-B2EF-BC125D296E4F}"/>
                </c:ext>
              </c:extLst>
            </c:dLbl>
            <c:dLbl>
              <c:idx val="5"/>
              <c:tx>
                <c:rich>
                  <a:bodyPr/>
                  <a:lstStyle/>
                  <a:p>
                    <a:fld id="{AA3EC228-C500-4198-9301-81CAF18450D9}"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9-1A7F-4D47-B2EF-BC125D296E4F}"/>
                </c:ext>
              </c:extLst>
            </c:dLbl>
            <c:dLbl>
              <c:idx val="6"/>
              <c:tx>
                <c:rich>
                  <a:bodyPr/>
                  <a:lstStyle/>
                  <a:p>
                    <a:fld id="{6731D02B-776C-49E2-8283-187DB807B840}"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A-1A7F-4D47-B2EF-BC125D296E4F}"/>
                </c:ext>
              </c:extLst>
            </c:dLbl>
            <c:dLbl>
              <c:idx val="7"/>
              <c:tx>
                <c:rich>
                  <a:bodyPr/>
                  <a:lstStyle/>
                  <a:p>
                    <a:fld id="{7BB5A567-2603-479F-B3BC-037836E9CE7E}"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1A7F-4D47-B2EF-BC125D296E4F}"/>
                </c:ext>
              </c:extLst>
            </c:dLbl>
            <c:dLbl>
              <c:idx val="8"/>
              <c:tx>
                <c:rich>
                  <a:bodyPr/>
                  <a:lstStyle/>
                  <a:p>
                    <a:fld id="{1AA48910-DD35-43D5-851C-7620B117FA06}"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C-1A7F-4D47-B2EF-BC125D296E4F}"/>
                </c:ext>
              </c:extLst>
            </c:dLbl>
            <c:dLbl>
              <c:idx val="9"/>
              <c:tx>
                <c:rich>
                  <a:bodyPr/>
                  <a:lstStyle/>
                  <a:p>
                    <a:fld id="{CA595D00-1F5A-43D4-A31C-623F4C2AF691}"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D-1A7F-4D47-B2EF-BC125D296E4F}"/>
                </c:ext>
              </c:extLst>
            </c:dLbl>
            <c:dLbl>
              <c:idx val="10"/>
              <c:tx>
                <c:rich>
                  <a:bodyPr/>
                  <a:lstStyle/>
                  <a:p>
                    <a:fld id="{EDA70D90-363F-4290-A392-B018F8359622}"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1A7F-4D47-B2EF-BC125D296E4F}"/>
                </c:ext>
              </c:extLst>
            </c:dLbl>
            <c:dLbl>
              <c:idx val="11"/>
              <c:tx>
                <c:rich>
                  <a:bodyPr/>
                  <a:lstStyle/>
                  <a:p>
                    <a:fld id="{CD3EA3AE-AA47-498E-994D-7CFE870710EE}"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F-1A7F-4D47-B2EF-BC125D296E4F}"/>
                </c:ext>
              </c:extLst>
            </c:dLbl>
            <c:dLbl>
              <c:idx val="12"/>
              <c:tx>
                <c:rich>
                  <a:bodyPr/>
                  <a:lstStyle/>
                  <a:p>
                    <a:fld id="{46769B09-C6D6-4C45-890F-C6EBAEEBA72C}"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0-1A7F-4D47-B2EF-BC125D296E4F}"/>
                </c:ext>
              </c:extLst>
            </c:dLbl>
            <c:dLbl>
              <c:idx val="13"/>
              <c:tx>
                <c:rich>
                  <a:bodyPr/>
                  <a:lstStyle/>
                  <a:p>
                    <a:fld id="{A3162B46-C865-4E8C-97D4-B2DD284B446D}"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1A7F-4D47-B2EF-BC125D296E4F}"/>
                </c:ext>
              </c:extLst>
            </c:dLbl>
            <c:numFmt formatCode="0.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b"/>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cat>
            <c:multiLvlStrRef>
              <c:f>#REF!</c:f>
            </c:multiLvlStrRef>
          </c:cat>
          <c:val>
            <c:numRef>
              <c:f>'01_Group_2018_2022'!$F$2:$F$15</c:f>
              <c:numCache>
                <c:formatCode>General</c:formatCode>
                <c:ptCount val="14"/>
                <c:pt idx="0">
                  <c:v>0.9</c:v>
                </c:pt>
                <c:pt idx="1">
                  <c:v>0.87180000000000002</c:v>
                </c:pt>
                <c:pt idx="2">
                  <c:v>0.89090000000000003</c:v>
                </c:pt>
                <c:pt idx="3">
                  <c:v>0.86650000000000005</c:v>
                </c:pt>
                <c:pt idx="4">
                  <c:v>0.90349999999999997</c:v>
                </c:pt>
                <c:pt idx="5">
                  <c:v>0.82179999999999997</c:v>
                </c:pt>
                <c:pt idx="6">
                  <c:v>0.84770000000000001</c:v>
                </c:pt>
                <c:pt idx="7">
                  <c:v>0.8609</c:v>
                </c:pt>
                <c:pt idx="8">
                  <c:v>0.83579999999999999</c:v>
                </c:pt>
                <c:pt idx="9">
                  <c:v>0.86299999999999999</c:v>
                </c:pt>
                <c:pt idx="10">
                  <c:v>0.84799999999999998</c:v>
                </c:pt>
                <c:pt idx="11">
                  <c:v>0.90549999999999997</c:v>
                </c:pt>
                <c:pt idx="12">
                  <c:v>0.86639999999999995</c:v>
                </c:pt>
                <c:pt idx="13">
                  <c:v>0.83750000000000002</c:v>
                </c:pt>
              </c:numCache>
            </c:numRef>
          </c:val>
          <c:smooth val="0"/>
          <c:extLst>
            <c:ext xmlns:c15="http://schemas.microsoft.com/office/drawing/2012/chart" uri="{02D57815-91ED-43cb-92C2-25804820EDAC}">
              <c15:datalabelsRange>
                <c15:f>'01_Group_2018_2022'!$H$2:$H$15</c15:f>
                <c15:dlblRangeCache>
                  <c:ptCount val="14"/>
                  <c:pt idx="0">
                    <c:v>10.0%</c:v>
                  </c:pt>
                  <c:pt idx="1">
                    <c:v>12.8%</c:v>
                  </c:pt>
                  <c:pt idx="2">
                    <c:v>10.9%</c:v>
                  </c:pt>
                  <c:pt idx="3">
                    <c:v>13.4%</c:v>
                  </c:pt>
                  <c:pt idx="4">
                    <c:v>9.7%</c:v>
                  </c:pt>
                  <c:pt idx="5">
                    <c:v>17.8%</c:v>
                  </c:pt>
                  <c:pt idx="6">
                    <c:v>15.2%</c:v>
                  </c:pt>
                  <c:pt idx="7">
                    <c:v>13.9%</c:v>
                  </c:pt>
                  <c:pt idx="8">
                    <c:v>16.4%</c:v>
                  </c:pt>
                  <c:pt idx="9">
                    <c:v>13.7%</c:v>
                  </c:pt>
                  <c:pt idx="10">
                    <c:v>15.2%</c:v>
                  </c:pt>
                  <c:pt idx="11">
                    <c:v>9.5%</c:v>
                  </c:pt>
                  <c:pt idx="12">
                    <c:v>13.4%</c:v>
                  </c:pt>
                  <c:pt idx="13">
                    <c:v>16.3%</c:v>
                  </c:pt>
                </c15:dlblRangeCache>
              </c15:datalabelsRange>
            </c:ext>
            <c:ext xmlns:c16="http://schemas.microsoft.com/office/drawing/2014/chart" uri="{C3380CC4-5D6E-409C-BE32-E72D297353CC}">
              <c16:uniqueId val="{00000012-1A7F-4D47-B2EF-BC125D296E4F}"/>
            </c:ext>
          </c:extLst>
        </c:ser>
        <c:dLbls>
          <c:showLegendKey val="0"/>
          <c:showVal val="0"/>
          <c:showCatName val="0"/>
          <c:showSerName val="0"/>
          <c:showPercent val="0"/>
          <c:showBubbleSize val="0"/>
        </c:dLbls>
        <c:marker val="1"/>
        <c:smooth val="0"/>
        <c:axId val="1317004687"/>
        <c:axId val="1317008431"/>
      </c:lineChart>
      <c:dateAx>
        <c:axId val="111681143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cs-CZ"/>
          </a:p>
        </c:txPr>
        <c:crossAx val="1116811855"/>
        <c:crosses val="autoZero"/>
        <c:auto val="0"/>
        <c:lblOffset val="100"/>
        <c:baseTimeUnit val="days"/>
      </c:dateAx>
      <c:valAx>
        <c:axId val="1116811855"/>
        <c:scaling>
          <c:orientation val="minMax"/>
        </c:scaling>
        <c:delete val="1"/>
        <c:axPos val="r"/>
        <c:majorGridlines>
          <c:spPr>
            <a:ln w="9525" cap="flat" cmpd="sng" algn="ctr">
              <a:solidFill>
                <a:srgbClr val="FF0000"/>
              </a:solidFill>
              <a:prstDash val="dash"/>
              <a:round/>
            </a:ln>
            <a:effectLst/>
          </c:spPr>
        </c:majorGridlines>
        <c:title>
          <c:tx>
            <c:strRef>
              <c:f>'01_Group_2018_2022'!$A$38</c:f>
              <c:strCache>
                <c:ptCount val="1"/>
                <c:pt idx="0">
                  <c:v>podíl článků podle kvartilů_x000b_2020–2024</c:v>
                </c:pt>
              </c:strCache>
            </c:strRef>
          </c:tx>
          <c:layout>
            <c:manualLayout>
              <c:xMode val="edge"/>
              <c:yMode val="edge"/>
              <c:x val="1.1268593111334414E-2"/>
              <c:y val="0.29441189626216341"/>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0%" sourceLinked="0"/>
        <c:majorTickMark val="out"/>
        <c:minorTickMark val="none"/>
        <c:tickLblPos val="nextTo"/>
        <c:crossAx val="1116811439"/>
        <c:crosses val="max"/>
        <c:crossBetween val="between"/>
        <c:majorUnit val="0.25"/>
      </c:valAx>
      <c:valAx>
        <c:axId val="1317008431"/>
        <c:scaling>
          <c:orientation val="minMax"/>
          <c:max val="1"/>
          <c:min val="0"/>
        </c:scaling>
        <c:delete val="1"/>
        <c:axPos val="r"/>
        <c:title>
          <c:tx>
            <c:strRef>
              <c:f>'01_Group_2018_2022'!$A$39</c:f>
              <c:strCache>
                <c:ptCount val="1"/>
                <c:pt idx="0">
                  <c:v>% článků v Top 10 %</c:v>
                </c:pt>
              </c:strCache>
            </c:strRef>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0.0%" sourceLinked="0"/>
        <c:majorTickMark val="out"/>
        <c:minorTickMark val="none"/>
        <c:tickLblPos val="nextTo"/>
        <c:crossAx val="1317004687"/>
        <c:crosses val="max"/>
        <c:crossBetween val="between"/>
      </c:valAx>
      <c:catAx>
        <c:axId val="1317004687"/>
        <c:scaling>
          <c:orientation val="minMax"/>
        </c:scaling>
        <c:delete val="1"/>
        <c:axPos val="b"/>
        <c:numFmt formatCode="General" sourceLinked="1"/>
        <c:majorTickMark val="out"/>
        <c:minorTickMark val="none"/>
        <c:tickLblPos val="nextTo"/>
        <c:crossAx val="1317008431"/>
        <c:crosses val="autoZero"/>
        <c:auto val="1"/>
        <c:lblAlgn val="ctr"/>
        <c:lblOffset val="100"/>
        <c:noMultiLvlLbl val="0"/>
      </c:catAx>
      <c:spPr>
        <a:noFill/>
        <a:ln>
          <a:noFill/>
        </a:ln>
        <a:effectLst/>
      </c:spPr>
    </c:plotArea>
    <c:plotVisOnly val="1"/>
    <c:dispBlanksAs val="gap"/>
    <c:showDLblsOverMax val="0"/>
  </c:chart>
  <c:spPr>
    <a:noFill/>
    <a:ln w="9525" cap="flat" cmpd="sng" algn="ctr">
      <a:noFill/>
      <a:round/>
    </a:ln>
    <a:effectLst/>
  </c:spPr>
  <c:txPr>
    <a:bodyPr/>
    <a:lstStyle/>
    <a:p>
      <a:pPr>
        <a:defRPr/>
      </a:pPr>
      <a:endParaRPr lang="cs-CZ"/>
    </a:p>
  </c:txPr>
  <c:externalData r:id="rId4">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strRef>
          <c:f>'01_Group'!$A$40</c:f>
          <c:strCache>
            <c:ptCount val="1"/>
            <c:pt idx="0">
              <c:v>SOCIAL SCIENCES</c:v>
            </c:pt>
          </c:strCache>
        </c:strRef>
      </c:tx>
      <c:overlay val="0"/>
      <c:spPr>
        <a:noFill/>
        <a:ln>
          <a:noFill/>
        </a:ln>
        <a:effectLst/>
      </c:spPr>
      <c:txPr>
        <a:bodyPr rot="0" spcFirstLastPara="1" vertOverflow="ellipsis" vert="horz" wrap="square" anchor="ctr" anchorCtr="1"/>
        <a:lstStyle/>
        <a:p>
          <a:pPr>
            <a:defRPr sz="1400" b="1" i="0" u="none" strike="noStrike" kern="1200" spc="0" baseline="0">
              <a:solidFill>
                <a:srgbClr val="B381D9"/>
              </a:solidFill>
              <a:latin typeface="+mn-lt"/>
              <a:ea typeface="+mn-ea"/>
              <a:cs typeface="+mn-cs"/>
            </a:defRPr>
          </a:pPr>
          <a:endParaRPr lang="cs-CZ"/>
        </a:p>
      </c:txPr>
    </c:title>
    <c:autoTitleDeleted val="0"/>
    <c:plotArea>
      <c:layout>
        <c:manualLayout>
          <c:layoutTarget val="inner"/>
          <c:xMode val="edge"/>
          <c:yMode val="edge"/>
          <c:x val="6.2049676884384231E-2"/>
          <c:y val="0.15901393354769561"/>
          <c:w val="0.87989333415568483"/>
          <c:h val="0.70232912204302445"/>
        </c:manualLayout>
      </c:layout>
      <c:barChart>
        <c:barDir val="col"/>
        <c:grouping val="percentStacked"/>
        <c:varyColors val="0"/>
        <c:ser>
          <c:idx val="3"/>
          <c:order val="0"/>
          <c:tx>
            <c:strRef>
              <c:f>'01_Group'!$E$1</c:f>
              <c:strCache>
                <c:ptCount val="1"/>
                <c:pt idx="0">
                  <c:v>% Documents in Q4 Journals</c:v>
                </c:pt>
              </c:strCache>
            </c:strRef>
          </c:tx>
          <c:spPr>
            <a:solidFill>
              <a:srgbClr val="D78E8E"/>
            </a:solidFill>
            <a:ln w="15875">
              <a:solidFill>
                <a:srgbClr val="BE4949"/>
              </a:solidFill>
            </a:ln>
            <a:effectLst/>
          </c:spPr>
          <c:invertIfNegative val="0"/>
          <c:cat>
            <c:strRef>
              <c:f>'01_Group'!$L$2:$L$15</c:f>
              <c:strCache>
                <c:ptCount val="14"/>
                <c:pt idx="0">
                  <c:v>CZE                                             (9.3)</c:v>
                </c:pt>
                <c:pt idx="1">
                  <c:v>EU-15                                             (453.6)</c:v>
                </c:pt>
                <c:pt idx="2">
                  <c:v>OECD                                             (999.2)</c:v>
                </c:pt>
                <c:pt idx="3">
                  <c:v>DEU                                             (78.6)</c:v>
                </c:pt>
                <c:pt idx="4">
                  <c:v>NLD                                             (45.9)</c:v>
                </c:pt>
                <c:pt idx="5">
                  <c:v>SWE                                             (25.7)</c:v>
                </c:pt>
                <c:pt idx="6">
                  <c:v>BEL                                             (19.7)</c:v>
                </c:pt>
                <c:pt idx="7">
                  <c:v>POL                                             (18.4)</c:v>
                </c:pt>
                <c:pt idx="8">
                  <c:v>DNK                                             (16)</c:v>
                </c:pt>
                <c:pt idx="9">
                  <c:v>FIN                                             (15.5)</c:v>
                </c:pt>
                <c:pt idx="10">
                  <c:v>AUT                                             (13.6)</c:v>
                </c:pt>
                <c:pt idx="11">
                  <c:v>SVK                                             (3.7)</c:v>
                </c:pt>
                <c:pt idx="12">
                  <c:v>CYP                                             (3)</c:v>
                </c:pt>
                <c:pt idx="13">
                  <c:v>EST                                             (2.3)</c:v>
                </c:pt>
              </c:strCache>
            </c:strRef>
          </c:cat>
          <c:val>
            <c:numRef>
              <c:f>'01_Group'!$E$2:$E$15</c:f>
              <c:numCache>
                <c:formatCode>General</c:formatCode>
                <c:ptCount val="14"/>
                <c:pt idx="0">
                  <c:v>0.1555</c:v>
                </c:pt>
                <c:pt idx="1">
                  <c:v>8.3900000000000002E-2</c:v>
                </c:pt>
                <c:pt idx="2">
                  <c:v>9.01E-2</c:v>
                </c:pt>
                <c:pt idx="3">
                  <c:v>8.1900000000000001E-2</c:v>
                </c:pt>
                <c:pt idx="4">
                  <c:v>4.5499999999999999E-2</c:v>
                </c:pt>
                <c:pt idx="5">
                  <c:v>5.1699999999999996E-2</c:v>
                </c:pt>
                <c:pt idx="6">
                  <c:v>6.4199999999999993E-2</c:v>
                </c:pt>
                <c:pt idx="7">
                  <c:v>0.1419</c:v>
                </c:pt>
                <c:pt idx="8">
                  <c:v>4.5400000000000003E-2</c:v>
                </c:pt>
                <c:pt idx="9">
                  <c:v>5.16E-2</c:v>
                </c:pt>
                <c:pt idx="10">
                  <c:v>6.9500000000000006E-2</c:v>
                </c:pt>
                <c:pt idx="11">
                  <c:v>0.19450000000000001</c:v>
                </c:pt>
                <c:pt idx="12">
                  <c:v>6.9800000000000001E-2</c:v>
                </c:pt>
                <c:pt idx="13">
                  <c:v>8.48E-2</c:v>
                </c:pt>
              </c:numCache>
            </c:numRef>
          </c:val>
          <c:extLst>
            <c:ext xmlns:c16="http://schemas.microsoft.com/office/drawing/2014/chart" uri="{C3380CC4-5D6E-409C-BE32-E72D297353CC}">
              <c16:uniqueId val="{00000000-4C8A-43BB-82F3-87D31D7E8018}"/>
            </c:ext>
          </c:extLst>
        </c:ser>
        <c:ser>
          <c:idx val="2"/>
          <c:order val="1"/>
          <c:tx>
            <c:strRef>
              <c:f>'01_Group'!$D$1</c:f>
              <c:strCache>
                <c:ptCount val="1"/>
                <c:pt idx="0">
                  <c:v>% Documents in Q3 Journals</c:v>
                </c:pt>
              </c:strCache>
            </c:strRef>
          </c:tx>
          <c:spPr>
            <a:solidFill>
              <a:srgbClr val="D4DEEF"/>
            </a:solidFill>
            <a:ln w="15875">
              <a:solidFill>
                <a:srgbClr val="3A5D9C"/>
              </a:solidFill>
            </a:ln>
            <a:effectLst/>
          </c:spPr>
          <c:invertIfNegative val="0"/>
          <c:cat>
            <c:strRef>
              <c:f>'01_Group'!$L$2:$L$15</c:f>
              <c:strCache>
                <c:ptCount val="14"/>
                <c:pt idx="0">
                  <c:v>CZE                                             (9.3)</c:v>
                </c:pt>
                <c:pt idx="1">
                  <c:v>EU-15                                             (453.6)</c:v>
                </c:pt>
                <c:pt idx="2">
                  <c:v>OECD                                             (999.2)</c:v>
                </c:pt>
                <c:pt idx="3">
                  <c:v>DEU                                             (78.6)</c:v>
                </c:pt>
                <c:pt idx="4">
                  <c:v>NLD                                             (45.9)</c:v>
                </c:pt>
                <c:pt idx="5">
                  <c:v>SWE                                             (25.7)</c:v>
                </c:pt>
                <c:pt idx="6">
                  <c:v>BEL                                             (19.7)</c:v>
                </c:pt>
                <c:pt idx="7">
                  <c:v>POL                                             (18.4)</c:v>
                </c:pt>
                <c:pt idx="8">
                  <c:v>DNK                                             (16)</c:v>
                </c:pt>
                <c:pt idx="9">
                  <c:v>FIN                                             (15.5)</c:v>
                </c:pt>
                <c:pt idx="10">
                  <c:v>AUT                                             (13.6)</c:v>
                </c:pt>
                <c:pt idx="11">
                  <c:v>SVK                                             (3.7)</c:v>
                </c:pt>
                <c:pt idx="12">
                  <c:v>CYP                                             (3)</c:v>
                </c:pt>
                <c:pt idx="13">
                  <c:v>EST                                             (2.3)</c:v>
                </c:pt>
              </c:strCache>
            </c:strRef>
          </c:cat>
          <c:val>
            <c:numRef>
              <c:f>'01_Group'!$D$2:$D$15</c:f>
              <c:numCache>
                <c:formatCode>General</c:formatCode>
                <c:ptCount val="14"/>
                <c:pt idx="0">
                  <c:v>0.1797</c:v>
                </c:pt>
                <c:pt idx="1">
                  <c:v>0.15109999999999998</c:v>
                </c:pt>
                <c:pt idx="2">
                  <c:v>0.16510000000000002</c:v>
                </c:pt>
                <c:pt idx="3">
                  <c:v>0.14019999999999999</c:v>
                </c:pt>
                <c:pt idx="4">
                  <c:v>0.1211</c:v>
                </c:pt>
                <c:pt idx="5">
                  <c:v>0.1409</c:v>
                </c:pt>
                <c:pt idx="6">
                  <c:v>0.13699999999999998</c:v>
                </c:pt>
                <c:pt idx="7">
                  <c:v>0.1512</c:v>
                </c:pt>
                <c:pt idx="8">
                  <c:v>0.13109999999999999</c:v>
                </c:pt>
                <c:pt idx="9">
                  <c:v>0.14429999999999998</c:v>
                </c:pt>
                <c:pt idx="10">
                  <c:v>0.13250000000000001</c:v>
                </c:pt>
                <c:pt idx="11">
                  <c:v>0.18690000000000001</c:v>
                </c:pt>
                <c:pt idx="12">
                  <c:v>0.1492</c:v>
                </c:pt>
                <c:pt idx="13">
                  <c:v>0.1656</c:v>
                </c:pt>
              </c:numCache>
            </c:numRef>
          </c:val>
          <c:extLst>
            <c:ext xmlns:c16="http://schemas.microsoft.com/office/drawing/2014/chart" uri="{C3380CC4-5D6E-409C-BE32-E72D297353CC}">
              <c16:uniqueId val="{00000001-4C8A-43BB-82F3-87D31D7E8018}"/>
            </c:ext>
          </c:extLst>
        </c:ser>
        <c:ser>
          <c:idx val="1"/>
          <c:order val="2"/>
          <c:tx>
            <c:strRef>
              <c:f>'01_Group'!$C$1</c:f>
              <c:strCache>
                <c:ptCount val="1"/>
                <c:pt idx="0">
                  <c:v>% Documents in Q2 Journals</c:v>
                </c:pt>
              </c:strCache>
            </c:strRef>
          </c:tx>
          <c:spPr>
            <a:solidFill>
              <a:srgbClr val="9EE99E"/>
            </a:solidFill>
            <a:ln w="15875">
              <a:solidFill>
                <a:srgbClr val="1FA81F"/>
              </a:solidFill>
            </a:ln>
            <a:effectLst/>
          </c:spPr>
          <c:invertIfNegative val="0"/>
          <c:cat>
            <c:strRef>
              <c:f>'01_Group'!$L$2:$L$15</c:f>
              <c:strCache>
                <c:ptCount val="14"/>
                <c:pt idx="0">
                  <c:v>CZE                                             (9.3)</c:v>
                </c:pt>
                <c:pt idx="1">
                  <c:v>EU-15                                             (453.6)</c:v>
                </c:pt>
                <c:pt idx="2">
                  <c:v>OECD                                             (999.2)</c:v>
                </c:pt>
                <c:pt idx="3">
                  <c:v>DEU                                             (78.6)</c:v>
                </c:pt>
                <c:pt idx="4">
                  <c:v>NLD                                             (45.9)</c:v>
                </c:pt>
                <c:pt idx="5">
                  <c:v>SWE                                             (25.7)</c:v>
                </c:pt>
                <c:pt idx="6">
                  <c:v>BEL                                             (19.7)</c:v>
                </c:pt>
                <c:pt idx="7">
                  <c:v>POL                                             (18.4)</c:v>
                </c:pt>
                <c:pt idx="8">
                  <c:v>DNK                                             (16)</c:v>
                </c:pt>
                <c:pt idx="9">
                  <c:v>FIN                                             (15.5)</c:v>
                </c:pt>
                <c:pt idx="10">
                  <c:v>AUT                                             (13.6)</c:v>
                </c:pt>
                <c:pt idx="11">
                  <c:v>SVK                                             (3.7)</c:v>
                </c:pt>
                <c:pt idx="12">
                  <c:v>CYP                                             (3)</c:v>
                </c:pt>
                <c:pt idx="13">
                  <c:v>EST                                             (2.3)</c:v>
                </c:pt>
              </c:strCache>
            </c:strRef>
          </c:cat>
          <c:val>
            <c:numRef>
              <c:f>'01_Group'!$C$2:$C$15</c:f>
              <c:numCache>
                <c:formatCode>General</c:formatCode>
                <c:ptCount val="14"/>
                <c:pt idx="0">
                  <c:v>0.3286</c:v>
                </c:pt>
                <c:pt idx="1">
                  <c:v>0.32669999999999999</c:v>
                </c:pt>
                <c:pt idx="2">
                  <c:v>0.32520000000000004</c:v>
                </c:pt>
                <c:pt idx="3">
                  <c:v>0.31530000000000002</c:v>
                </c:pt>
                <c:pt idx="4">
                  <c:v>0.29930000000000001</c:v>
                </c:pt>
                <c:pt idx="5">
                  <c:v>0.32669999999999999</c:v>
                </c:pt>
                <c:pt idx="6">
                  <c:v>0.32270000000000004</c:v>
                </c:pt>
                <c:pt idx="7">
                  <c:v>0.40159999999999996</c:v>
                </c:pt>
                <c:pt idx="8">
                  <c:v>0.3014</c:v>
                </c:pt>
                <c:pt idx="9">
                  <c:v>0.32100000000000001</c:v>
                </c:pt>
                <c:pt idx="10">
                  <c:v>0.3236</c:v>
                </c:pt>
                <c:pt idx="11">
                  <c:v>0.39740000000000003</c:v>
                </c:pt>
                <c:pt idx="12">
                  <c:v>0.37689999999999996</c:v>
                </c:pt>
                <c:pt idx="13">
                  <c:v>0.3468</c:v>
                </c:pt>
              </c:numCache>
            </c:numRef>
          </c:val>
          <c:extLst>
            <c:ext xmlns:c16="http://schemas.microsoft.com/office/drawing/2014/chart" uri="{C3380CC4-5D6E-409C-BE32-E72D297353CC}">
              <c16:uniqueId val="{00000002-4C8A-43BB-82F3-87D31D7E8018}"/>
            </c:ext>
          </c:extLst>
        </c:ser>
        <c:ser>
          <c:idx val="0"/>
          <c:order val="3"/>
          <c:tx>
            <c:strRef>
              <c:f>'01_Group'!$B$1</c:f>
              <c:strCache>
                <c:ptCount val="1"/>
                <c:pt idx="0">
                  <c:v>% Documents in Q1 Journals</c:v>
                </c:pt>
              </c:strCache>
            </c:strRef>
          </c:tx>
          <c:spPr>
            <a:solidFill>
              <a:srgbClr val="FAE6D3"/>
            </a:solidFill>
            <a:ln w="15875">
              <a:solidFill>
                <a:srgbClr val="E9933E"/>
              </a:solidFill>
            </a:ln>
            <a:effectLst/>
          </c:spPr>
          <c:invertIfNegative val="0"/>
          <c:cat>
            <c:strRef>
              <c:f>'01_Group'!$L$2:$L$15</c:f>
              <c:strCache>
                <c:ptCount val="14"/>
                <c:pt idx="0">
                  <c:v>CZE                                             (9.3)</c:v>
                </c:pt>
                <c:pt idx="1">
                  <c:v>EU-15                                             (453.6)</c:v>
                </c:pt>
                <c:pt idx="2">
                  <c:v>OECD                                             (999.2)</c:v>
                </c:pt>
                <c:pt idx="3">
                  <c:v>DEU                                             (78.6)</c:v>
                </c:pt>
                <c:pt idx="4">
                  <c:v>NLD                                             (45.9)</c:v>
                </c:pt>
                <c:pt idx="5">
                  <c:v>SWE                                             (25.7)</c:v>
                </c:pt>
                <c:pt idx="6">
                  <c:v>BEL                                             (19.7)</c:v>
                </c:pt>
                <c:pt idx="7">
                  <c:v>POL                                             (18.4)</c:v>
                </c:pt>
                <c:pt idx="8">
                  <c:v>DNK                                             (16)</c:v>
                </c:pt>
                <c:pt idx="9">
                  <c:v>FIN                                             (15.5)</c:v>
                </c:pt>
                <c:pt idx="10">
                  <c:v>AUT                                             (13.6)</c:v>
                </c:pt>
                <c:pt idx="11">
                  <c:v>SVK                                             (3.7)</c:v>
                </c:pt>
                <c:pt idx="12">
                  <c:v>CYP                                             (3)</c:v>
                </c:pt>
                <c:pt idx="13">
                  <c:v>EST                                             (2.3)</c:v>
                </c:pt>
              </c:strCache>
            </c:strRef>
          </c:cat>
          <c:val>
            <c:numRef>
              <c:f>'01_Group'!$B$2:$B$15</c:f>
              <c:numCache>
                <c:formatCode>General</c:formatCode>
                <c:ptCount val="14"/>
                <c:pt idx="0">
                  <c:v>0.3362</c:v>
                </c:pt>
                <c:pt idx="1">
                  <c:v>0.43829999999999997</c:v>
                </c:pt>
                <c:pt idx="2">
                  <c:v>0.41960000000000003</c:v>
                </c:pt>
                <c:pt idx="3">
                  <c:v>0.46259999999999996</c:v>
                </c:pt>
                <c:pt idx="4">
                  <c:v>0.53410000000000002</c:v>
                </c:pt>
                <c:pt idx="5">
                  <c:v>0.48070000000000002</c:v>
                </c:pt>
                <c:pt idx="6">
                  <c:v>0.47609999999999997</c:v>
                </c:pt>
                <c:pt idx="7">
                  <c:v>0.30519999999999997</c:v>
                </c:pt>
                <c:pt idx="8">
                  <c:v>0.52210000000000001</c:v>
                </c:pt>
                <c:pt idx="9">
                  <c:v>0.48320000000000002</c:v>
                </c:pt>
                <c:pt idx="10">
                  <c:v>0.4743</c:v>
                </c:pt>
                <c:pt idx="11">
                  <c:v>0.22120000000000001</c:v>
                </c:pt>
                <c:pt idx="12">
                  <c:v>0.40409999999999996</c:v>
                </c:pt>
                <c:pt idx="13">
                  <c:v>0.40279999999999999</c:v>
                </c:pt>
              </c:numCache>
            </c:numRef>
          </c:val>
          <c:extLst>
            <c:ext xmlns:c16="http://schemas.microsoft.com/office/drawing/2014/chart" uri="{C3380CC4-5D6E-409C-BE32-E72D297353CC}">
              <c16:uniqueId val="{00000003-4C8A-43BB-82F3-87D31D7E8018}"/>
            </c:ext>
          </c:extLst>
        </c:ser>
        <c:dLbls>
          <c:showLegendKey val="0"/>
          <c:showVal val="0"/>
          <c:showCatName val="0"/>
          <c:showSerName val="0"/>
          <c:showPercent val="0"/>
          <c:showBubbleSize val="0"/>
        </c:dLbls>
        <c:gapWidth val="150"/>
        <c:overlap val="100"/>
        <c:axId val="1116811439"/>
        <c:axId val="1116811855"/>
      </c:barChart>
      <c:lineChart>
        <c:grouping val="standard"/>
        <c:varyColors val="0"/>
        <c:ser>
          <c:idx val="4"/>
          <c:order val="4"/>
          <c:tx>
            <c:strRef>
              <c:f>'01_Group'!$F$1</c:f>
              <c:strCache>
                <c:ptCount val="1"/>
                <c:pt idx="0">
                  <c:v>% Documents in Top 10%</c:v>
                </c:pt>
              </c:strCache>
            </c:strRef>
          </c:tx>
          <c:spPr>
            <a:ln w="28575" cap="rnd">
              <a:noFill/>
              <a:round/>
            </a:ln>
            <a:effectLst/>
          </c:spPr>
          <c:marker>
            <c:symbol val="triangle"/>
            <c:size val="7"/>
            <c:spPr>
              <a:solidFill>
                <a:srgbClr val="D9D9D9"/>
              </a:solidFill>
              <a:ln w="15875">
                <a:solidFill>
                  <a:srgbClr val="7F7F7F"/>
                </a:solidFill>
              </a:ln>
              <a:effectLst/>
            </c:spPr>
          </c:marker>
          <c:dLbls>
            <c:dLbl>
              <c:idx val="0"/>
              <c:tx>
                <c:rich>
                  <a:bodyPr/>
                  <a:lstStyle/>
                  <a:p>
                    <a:fld id="{BB201F57-F19B-48FE-8629-DE0446EF95CE}"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4-4C8A-43BB-82F3-87D31D7E8018}"/>
                </c:ext>
              </c:extLst>
            </c:dLbl>
            <c:dLbl>
              <c:idx val="1"/>
              <c:tx>
                <c:rich>
                  <a:bodyPr/>
                  <a:lstStyle/>
                  <a:p>
                    <a:fld id="{F047305E-A768-471F-9A28-E4E8F0DC18E4}"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4C8A-43BB-82F3-87D31D7E8018}"/>
                </c:ext>
              </c:extLst>
            </c:dLbl>
            <c:dLbl>
              <c:idx val="2"/>
              <c:tx>
                <c:rich>
                  <a:bodyPr/>
                  <a:lstStyle/>
                  <a:p>
                    <a:fld id="{7F705BAD-F59B-4C22-BDC4-5EA5BA8898A4}"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6-4C8A-43BB-82F3-87D31D7E8018}"/>
                </c:ext>
              </c:extLst>
            </c:dLbl>
            <c:dLbl>
              <c:idx val="3"/>
              <c:tx>
                <c:rich>
                  <a:bodyPr/>
                  <a:lstStyle/>
                  <a:p>
                    <a:fld id="{B04B7B7F-B410-41F0-B009-112D54B82C44}"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7-4C8A-43BB-82F3-87D31D7E8018}"/>
                </c:ext>
              </c:extLst>
            </c:dLbl>
            <c:dLbl>
              <c:idx val="4"/>
              <c:tx>
                <c:rich>
                  <a:bodyPr/>
                  <a:lstStyle/>
                  <a:p>
                    <a:fld id="{74BE56BD-7265-41B1-A46C-EBEC2DE4ABD0}"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4C8A-43BB-82F3-87D31D7E8018}"/>
                </c:ext>
              </c:extLst>
            </c:dLbl>
            <c:dLbl>
              <c:idx val="5"/>
              <c:tx>
                <c:rich>
                  <a:bodyPr/>
                  <a:lstStyle/>
                  <a:p>
                    <a:fld id="{29831ABF-2D30-4D74-8ACE-7696EFFEB4F7}"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9-4C8A-43BB-82F3-87D31D7E8018}"/>
                </c:ext>
              </c:extLst>
            </c:dLbl>
            <c:dLbl>
              <c:idx val="6"/>
              <c:tx>
                <c:rich>
                  <a:bodyPr/>
                  <a:lstStyle/>
                  <a:p>
                    <a:fld id="{B942DCB2-2381-4CA0-9CC6-3CC1A4DB415A}"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A-4C8A-43BB-82F3-87D31D7E8018}"/>
                </c:ext>
              </c:extLst>
            </c:dLbl>
            <c:dLbl>
              <c:idx val="7"/>
              <c:tx>
                <c:rich>
                  <a:bodyPr/>
                  <a:lstStyle/>
                  <a:p>
                    <a:fld id="{D517A652-2176-48DD-ABC9-5FC1B05C5233}"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4C8A-43BB-82F3-87D31D7E8018}"/>
                </c:ext>
              </c:extLst>
            </c:dLbl>
            <c:dLbl>
              <c:idx val="8"/>
              <c:tx>
                <c:rich>
                  <a:bodyPr/>
                  <a:lstStyle/>
                  <a:p>
                    <a:fld id="{C5DD971C-297D-45EF-9173-AB127BEAE0C7}"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C-4C8A-43BB-82F3-87D31D7E8018}"/>
                </c:ext>
              </c:extLst>
            </c:dLbl>
            <c:dLbl>
              <c:idx val="9"/>
              <c:tx>
                <c:rich>
                  <a:bodyPr/>
                  <a:lstStyle/>
                  <a:p>
                    <a:fld id="{2F89D181-251B-42F5-97DC-757FECC78789}"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D-4C8A-43BB-82F3-87D31D7E8018}"/>
                </c:ext>
              </c:extLst>
            </c:dLbl>
            <c:dLbl>
              <c:idx val="10"/>
              <c:tx>
                <c:rich>
                  <a:bodyPr/>
                  <a:lstStyle/>
                  <a:p>
                    <a:fld id="{FEE31246-62EB-4B4F-A378-F083F01A1B3A}"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4C8A-43BB-82F3-87D31D7E8018}"/>
                </c:ext>
              </c:extLst>
            </c:dLbl>
            <c:dLbl>
              <c:idx val="11"/>
              <c:tx>
                <c:rich>
                  <a:bodyPr/>
                  <a:lstStyle/>
                  <a:p>
                    <a:fld id="{E5750142-74B4-45BE-B13A-68DA33DFE407}"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F-4C8A-43BB-82F3-87D31D7E8018}"/>
                </c:ext>
              </c:extLst>
            </c:dLbl>
            <c:dLbl>
              <c:idx val="12"/>
              <c:tx>
                <c:rich>
                  <a:bodyPr/>
                  <a:lstStyle/>
                  <a:p>
                    <a:fld id="{F037103A-E917-4741-BBD6-3DE875048B11}"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0-4C8A-43BB-82F3-87D31D7E8018}"/>
                </c:ext>
              </c:extLst>
            </c:dLbl>
            <c:dLbl>
              <c:idx val="13"/>
              <c:tx>
                <c:rich>
                  <a:bodyPr/>
                  <a:lstStyle/>
                  <a:p>
                    <a:fld id="{148A770F-EBF6-4C3A-BC86-E576854F2240}"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4C8A-43BB-82F3-87D31D7E8018}"/>
                </c:ext>
              </c:extLst>
            </c:dLbl>
            <c:numFmt formatCode="0.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b"/>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cat>
            <c:multiLvlStrRef>
              <c:f>#REF!</c:f>
            </c:multiLvlStrRef>
          </c:cat>
          <c:val>
            <c:numRef>
              <c:f>'01_Group'!$F$2:$F$15</c:f>
              <c:numCache>
                <c:formatCode>General</c:formatCode>
                <c:ptCount val="14"/>
                <c:pt idx="0">
                  <c:v>0.88260000000000005</c:v>
                </c:pt>
                <c:pt idx="1">
                  <c:v>0.84340000000000004</c:v>
                </c:pt>
                <c:pt idx="2">
                  <c:v>0.86240000000000006</c:v>
                </c:pt>
                <c:pt idx="3">
                  <c:v>0.82850000000000001</c:v>
                </c:pt>
                <c:pt idx="4">
                  <c:v>0.79300000000000004</c:v>
                </c:pt>
                <c:pt idx="5">
                  <c:v>0.81430000000000002</c:v>
                </c:pt>
                <c:pt idx="6">
                  <c:v>0.83189999999999997</c:v>
                </c:pt>
                <c:pt idx="7">
                  <c:v>0.88329999999999997</c:v>
                </c:pt>
                <c:pt idx="8">
                  <c:v>0.80210000000000004</c:v>
                </c:pt>
                <c:pt idx="9">
                  <c:v>0.79449999999999998</c:v>
                </c:pt>
                <c:pt idx="10">
                  <c:v>0.79990000000000006</c:v>
                </c:pt>
                <c:pt idx="11">
                  <c:v>0.89970000000000006</c:v>
                </c:pt>
                <c:pt idx="12">
                  <c:v>0.81240000000000001</c:v>
                </c:pt>
                <c:pt idx="13">
                  <c:v>0.82150000000000001</c:v>
                </c:pt>
              </c:numCache>
            </c:numRef>
          </c:val>
          <c:smooth val="0"/>
          <c:extLst>
            <c:ext xmlns:c15="http://schemas.microsoft.com/office/drawing/2012/chart" uri="{02D57815-91ED-43cb-92C2-25804820EDAC}">
              <c15:datalabelsRange>
                <c15:f>'01_Group'!$H$2:$H$15</c15:f>
                <c15:dlblRangeCache>
                  <c:ptCount val="14"/>
                  <c:pt idx="0">
                    <c:v>11.7%</c:v>
                  </c:pt>
                  <c:pt idx="1">
                    <c:v>15.7%</c:v>
                  </c:pt>
                  <c:pt idx="2">
                    <c:v>13.8%</c:v>
                  </c:pt>
                  <c:pt idx="3">
                    <c:v>17.2%</c:v>
                  </c:pt>
                  <c:pt idx="4">
                    <c:v>20.7%</c:v>
                  </c:pt>
                  <c:pt idx="5">
                    <c:v>18.6%</c:v>
                  </c:pt>
                  <c:pt idx="6">
                    <c:v>16.8%</c:v>
                  </c:pt>
                  <c:pt idx="7">
                    <c:v>11.7%</c:v>
                  </c:pt>
                  <c:pt idx="8">
                    <c:v>19.8%</c:v>
                  </c:pt>
                  <c:pt idx="9">
                    <c:v>20.6%</c:v>
                  </c:pt>
                  <c:pt idx="10">
                    <c:v>20.0%</c:v>
                  </c:pt>
                  <c:pt idx="11">
                    <c:v>10.0%</c:v>
                  </c:pt>
                  <c:pt idx="12">
                    <c:v>18.8%</c:v>
                  </c:pt>
                  <c:pt idx="13">
                    <c:v>17.9%</c:v>
                  </c:pt>
                </c15:dlblRangeCache>
              </c15:datalabelsRange>
            </c:ext>
            <c:ext xmlns:c16="http://schemas.microsoft.com/office/drawing/2014/chart" uri="{C3380CC4-5D6E-409C-BE32-E72D297353CC}">
              <c16:uniqueId val="{00000012-4C8A-43BB-82F3-87D31D7E8018}"/>
            </c:ext>
          </c:extLst>
        </c:ser>
        <c:dLbls>
          <c:showLegendKey val="0"/>
          <c:showVal val="0"/>
          <c:showCatName val="0"/>
          <c:showSerName val="0"/>
          <c:showPercent val="0"/>
          <c:showBubbleSize val="0"/>
        </c:dLbls>
        <c:marker val="1"/>
        <c:smooth val="0"/>
        <c:axId val="1317004687"/>
        <c:axId val="1317008431"/>
      </c:lineChart>
      <c:dateAx>
        <c:axId val="111681143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cs-CZ"/>
          </a:p>
        </c:txPr>
        <c:crossAx val="1116811855"/>
        <c:crosses val="autoZero"/>
        <c:auto val="0"/>
        <c:lblOffset val="100"/>
        <c:baseTimeUnit val="days"/>
      </c:dateAx>
      <c:valAx>
        <c:axId val="1116811855"/>
        <c:scaling>
          <c:orientation val="minMax"/>
        </c:scaling>
        <c:delete val="1"/>
        <c:axPos val="r"/>
        <c:majorGridlines>
          <c:spPr>
            <a:ln w="9525" cap="flat" cmpd="sng" algn="ctr">
              <a:solidFill>
                <a:srgbClr val="FF0000"/>
              </a:solidFill>
              <a:prstDash val="dash"/>
              <a:round/>
            </a:ln>
            <a:effectLst/>
          </c:spPr>
        </c:majorGridlines>
        <c:title>
          <c:tx>
            <c:strRef>
              <c:f>'01_Group'!$A$38</c:f>
              <c:strCache>
                <c:ptCount val="1"/>
                <c:pt idx="0">
                  <c:v>podíl článků podle kvartilů_x000b_2020–2024</c:v>
                </c:pt>
              </c:strCache>
            </c:strRef>
          </c:tx>
          <c:layout>
            <c:manualLayout>
              <c:xMode val="edge"/>
              <c:yMode val="edge"/>
              <c:x val="1.1268593111334414E-2"/>
              <c:y val="0.29441189626216341"/>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0%" sourceLinked="0"/>
        <c:majorTickMark val="out"/>
        <c:minorTickMark val="none"/>
        <c:tickLblPos val="nextTo"/>
        <c:crossAx val="1116811439"/>
        <c:crosses val="max"/>
        <c:crossBetween val="between"/>
        <c:majorUnit val="0.25"/>
      </c:valAx>
      <c:valAx>
        <c:axId val="1317008431"/>
        <c:scaling>
          <c:orientation val="minMax"/>
          <c:max val="1"/>
          <c:min val="0"/>
        </c:scaling>
        <c:delete val="1"/>
        <c:axPos val="r"/>
        <c:title>
          <c:tx>
            <c:strRef>
              <c:f>'01_Group'!$A$39</c:f>
              <c:strCache>
                <c:ptCount val="1"/>
                <c:pt idx="0">
                  <c:v>% článků v Top 10 %</c:v>
                </c:pt>
              </c:strCache>
            </c:strRef>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0.0%" sourceLinked="0"/>
        <c:majorTickMark val="out"/>
        <c:minorTickMark val="none"/>
        <c:tickLblPos val="nextTo"/>
        <c:crossAx val="1317004687"/>
        <c:crosses val="max"/>
        <c:crossBetween val="between"/>
      </c:valAx>
      <c:catAx>
        <c:axId val="1317004687"/>
        <c:scaling>
          <c:orientation val="minMax"/>
        </c:scaling>
        <c:delete val="1"/>
        <c:axPos val="b"/>
        <c:numFmt formatCode="General" sourceLinked="1"/>
        <c:majorTickMark val="out"/>
        <c:minorTickMark val="none"/>
        <c:tickLblPos val="nextTo"/>
        <c:crossAx val="1317008431"/>
        <c:crosses val="autoZero"/>
        <c:auto val="1"/>
        <c:lblAlgn val="ctr"/>
        <c:lblOffset val="100"/>
        <c:noMultiLvlLbl val="0"/>
      </c:catAx>
      <c:spPr>
        <a:noFill/>
        <a:ln>
          <a:noFill/>
        </a:ln>
        <a:effectLst/>
      </c:spPr>
    </c:plotArea>
    <c:plotVisOnly val="1"/>
    <c:dispBlanksAs val="gap"/>
    <c:showDLblsOverMax val="0"/>
  </c:chart>
  <c:spPr>
    <a:noFill/>
    <a:ln w="9525" cap="flat" cmpd="sng" algn="ctr">
      <a:noFill/>
      <a:round/>
    </a:ln>
    <a:effectLst/>
  </c:spPr>
  <c:txPr>
    <a:bodyPr/>
    <a:lstStyle/>
    <a:p>
      <a:pPr>
        <a:defRPr/>
      </a:pPr>
      <a:endParaRPr lang="cs-CZ"/>
    </a:p>
  </c:txPr>
  <c:externalData r:id="rId4">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strRef>
          <c:f>'01_Group_2018_2022'!$A$40</c:f>
          <c:strCache>
            <c:ptCount val="1"/>
            <c:pt idx="0">
              <c:v>HUMANITIES AND THE ARTS</c:v>
            </c:pt>
          </c:strCache>
        </c:strRef>
      </c:tx>
      <c:overlay val="0"/>
      <c:spPr>
        <a:noFill/>
        <a:ln>
          <a:noFill/>
        </a:ln>
        <a:effectLst/>
      </c:spPr>
      <c:txPr>
        <a:bodyPr rot="0" spcFirstLastPara="1" vertOverflow="ellipsis" vert="horz" wrap="square" anchor="ctr" anchorCtr="1"/>
        <a:lstStyle/>
        <a:p>
          <a:pPr>
            <a:defRPr sz="1400" b="1" i="0" u="none" strike="noStrike" kern="1200" spc="0" baseline="0">
              <a:solidFill>
                <a:schemeClr val="accent2">
                  <a:lumMod val="75000"/>
                </a:schemeClr>
              </a:solidFill>
              <a:latin typeface="+mn-lt"/>
              <a:ea typeface="+mn-ea"/>
              <a:cs typeface="+mn-cs"/>
            </a:defRPr>
          </a:pPr>
          <a:endParaRPr lang="cs-CZ"/>
        </a:p>
      </c:txPr>
    </c:title>
    <c:autoTitleDeleted val="0"/>
    <c:plotArea>
      <c:layout>
        <c:manualLayout>
          <c:layoutTarget val="inner"/>
          <c:xMode val="edge"/>
          <c:yMode val="edge"/>
          <c:x val="6.2049676884384231E-2"/>
          <c:y val="0.15901393354769561"/>
          <c:w val="0.87989333415568483"/>
          <c:h val="0.65005284074840364"/>
        </c:manualLayout>
      </c:layout>
      <c:barChart>
        <c:barDir val="col"/>
        <c:grouping val="percentStacked"/>
        <c:varyColors val="0"/>
        <c:ser>
          <c:idx val="3"/>
          <c:order val="0"/>
          <c:tx>
            <c:strRef>
              <c:f>'01_Group_2018_2022'!$E$1</c:f>
              <c:strCache>
                <c:ptCount val="1"/>
                <c:pt idx="0">
                  <c:v>% Documents in Q4 Journals</c:v>
                </c:pt>
              </c:strCache>
            </c:strRef>
          </c:tx>
          <c:spPr>
            <a:solidFill>
              <a:srgbClr val="D78E8E"/>
            </a:solidFill>
            <a:ln w="15875">
              <a:solidFill>
                <a:srgbClr val="BE4949"/>
              </a:solidFill>
            </a:ln>
            <a:effectLst/>
          </c:spPr>
          <c:invertIfNegative val="0"/>
          <c:cat>
            <c:strRef>
              <c:f>'01_Group_2018_2022'!$L$2:$L$15</c:f>
              <c:strCache>
                <c:ptCount val="14"/>
                <c:pt idx="0">
                  <c:v>CZE                                             (1.1)</c:v>
                </c:pt>
                <c:pt idx="1">
                  <c:v>EU-15                                             (57.2)</c:v>
                </c:pt>
                <c:pt idx="2">
                  <c:v>OECD                                             (113.3)</c:v>
                </c:pt>
                <c:pt idx="3">
                  <c:v>DEU                                             (8.6)</c:v>
                </c:pt>
                <c:pt idx="4">
                  <c:v>NLD                                             (4.7)</c:v>
                </c:pt>
                <c:pt idx="5">
                  <c:v>POL                                             (3)</c:v>
                </c:pt>
                <c:pt idx="6">
                  <c:v>SWE                                             (2.6)</c:v>
                </c:pt>
                <c:pt idx="7">
                  <c:v>BEL                                             (2.5)</c:v>
                </c:pt>
                <c:pt idx="8">
                  <c:v>FIN                                             (1.7)</c:v>
                </c:pt>
                <c:pt idx="9">
                  <c:v>DNK                                             (1.6)</c:v>
                </c:pt>
                <c:pt idx="10">
                  <c:v>AUT                                             (1.6)</c:v>
                </c:pt>
                <c:pt idx="11">
                  <c:v>EST                                             (0.5)</c:v>
                </c:pt>
                <c:pt idx="12">
                  <c:v>SVK                                             (0.3)</c:v>
                </c:pt>
                <c:pt idx="13">
                  <c:v>CYP                                             (0.3)</c:v>
                </c:pt>
              </c:strCache>
            </c:strRef>
          </c:cat>
          <c:val>
            <c:numRef>
              <c:f>'01_Group_2018_2022'!$E$2:$E$15</c:f>
              <c:numCache>
                <c:formatCode>General</c:formatCode>
                <c:ptCount val="14"/>
                <c:pt idx="0">
                  <c:v>0.18030000000000002</c:v>
                </c:pt>
                <c:pt idx="1">
                  <c:v>0.14300000000000002</c:v>
                </c:pt>
                <c:pt idx="2">
                  <c:v>0.13650000000000001</c:v>
                </c:pt>
                <c:pt idx="3">
                  <c:v>0.1159</c:v>
                </c:pt>
                <c:pt idx="4">
                  <c:v>8.7100000000000011E-2</c:v>
                </c:pt>
                <c:pt idx="5">
                  <c:v>0.18479999999999999</c:v>
                </c:pt>
                <c:pt idx="6">
                  <c:v>8.4900000000000003E-2</c:v>
                </c:pt>
                <c:pt idx="7">
                  <c:v>0.1197</c:v>
                </c:pt>
                <c:pt idx="8">
                  <c:v>0.11269999999999999</c:v>
                </c:pt>
                <c:pt idx="9">
                  <c:v>9.3800000000000008E-2</c:v>
                </c:pt>
                <c:pt idx="10">
                  <c:v>0.13949999999999999</c:v>
                </c:pt>
                <c:pt idx="11">
                  <c:v>0.19829999999999998</c:v>
                </c:pt>
                <c:pt idx="12">
                  <c:v>0.19329999999999997</c:v>
                </c:pt>
                <c:pt idx="13">
                  <c:v>8.4399999999999989E-2</c:v>
                </c:pt>
              </c:numCache>
            </c:numRef>
          </c:val>
          <c:extLst>
            <c:ext xmlns:c16="http://schemas.microsoft.com/office/drawing/2014/chart" uri="{C3380CC4-5D6E-409C-BE32-E72D297353CC}">
              <c16:uniqueId val="{00000000-AEDF-4449-B4D8-4463DF0DC51D}"/>
            </c:ext>
          </c:extLst>
        </c:ser>
        <c:ser>
          <c:idx val="2"/>
          <c:order val="1"/>
          <c:tx>
            <c:strRef>
              <c:f>'01_Group_2018_2022'!$D$1</c:f>
              <c:strCache>
                <c:ptCount val="1"/>
                <c:pt idx="0">
                  <c:v>% Documents in Q3 Journals</c:v>
                </c:pt>
              </c:strCache>
            </c:strRef>
          </c:tx>
          <c:spPr>
            <a:solidFill>
              <a:srgbClr val="D4DEEF"/>
            </a:solidFill>
            <a:ln w="15875">
              <a:solidFill>
                <a:srgbClr val="3A5D9C"/>
              </a:solidFill>
            </a:ln>
            <a:effectLst/>
          </c:spPr>
          <c:invertIfNegative val="0"/>
          <c:cat>
            <c:strRef>
              <c:f>'01_Group_2018_2022'!$L$2:$L$15</c:f>
              <c:strCache>
                <c:ptCount val="14"/>
                <c:pt idx="0">
                  <c:v>CZE                                             (1.1)</c:v>
                </c:pt>
                <c:pt idx="1">
                  <c:v>EU-15                                             (57.2)</c:v>
                </c:pt>
                <c:pt idx="2">
                  <c:v>OECD                                             (113.3)</c:v>
                </c:pt>
                <c:pt idx="3">
                  <c:v>DEU                                             (8.6)</c:v>
                </c:pt>
                <c:pt idx="4">
                  <c:v>NLD                                             (4.7)</c:v>
                </c:pt>
                <c:pt idx="5">
                  <c:v>POL                                             (3)</c:v>
                </c:pt>
                <c:pt idx="6">
                  <c:v>SWE                                             (2.6)</c:v>
                </c:pt>
                <c:pt idx="7">
                  <c:v>BEL                                             (2.5)</c:v>
                </c:pt>
                <c:pt idx="8">
                  <c:v>FIN                                             (1.7)</c:v>
                </c:pt>
                <c:pt idx="9">
                  <c:v>DNK                                             (1.6)</c:v>
                </c:pt>
                <c:pt idx="10">
                  <c:v>AUT                                             (1.6)</c:v>
                </c:pt>
                <c:pt idx="11">
                  <c:v>EST                                             (0.5)</c:v>
                </c:pt>
                <c:pt idx="12">
                  <c:v>SVK                                             (0.3)</c:v>
                </c:pt>
                <c:pt idx="13">
                  <c:v>CYP                                             (0.3)</c:v>
                </c:pt>
              </c:strCache>
            </c:strRef>
          </c:cat>
          <c:val>
            <c:numRef>
              <c:f>'01_Group_2018_2022'!$D$2:$D$15</c:f>
              <c:numCache>
                <c:formatCode>General</c:formatCode>
                <c:ptCount val="14"/>
                <c:pt idx="0">
                  <c:v>0.20929999999999999</c:v>
                </c:pt>
                <c:pt idx="1">
                  <c:v>0.191</c:v>
                </c:pt>
                <c:pt idx="2">
                  <c:v>0.19420000000000001</c:v>
                </c:pt>
                <c:pt idx="3">
                  <c:v>0.20430000000000001</c:v>
                </c:pt>
                <c:pt idx="4">
                  <c:v>0.1777</c:v>
                </c:pt>
                <c:pt idx="5">
                  <c:v>0.23980000000000001</c:v>
                </c:pt>
                <c:pt idx="6">
                  <c:v>0.17399999999999999</c:v>
                </c:pt>
                <c:pt idx="7">
                  <c:v>0.18460000000000001</c:v>
                </c:pt>
                <c:pt idx="8">
                  <c:v>0.1744</c:v>
                </c:pt>
                <c:pt idx="9">
                  <c:v>0.17559999999999998</c:v>
                </c:pt>
                <c:pt idx="10">
                  <c:v>0.191</c:v>
                </c:pt>
                <c:pt idx="11">
                  <c:v>0.29849999999999999</c:v>
                </c:pt>
                <c:pt idx="12">
                  <c:v>0.35670000000000002</c:v>
                </c:pt>
                <c:pt idx="13">
                  <c:v>0.1656</c:v>
                </c:pt>
              </c:numCache>
            </c:numRef>
          </c:val>
          <c:extLst>
            <c:ext xmlns:c16="http://schemas.microsoft.com/office/drawing/2014/chart" uri="{C3380CC4-5D6E-409C-BE32-E72D297353CC}">
              <c16:uniqueId val="{00000001-AEDF-4449-B4D8-4463DF0DC51D}"/>
            </c:ext>
          </c:extLst>
        </c:ser>
        <c:ser>
          <c:idx val="1"/>
          <c:order val="2"/>
          <c:tx>
            <c:strRef>
              <c:f>'01_Group_2018_2022'!$C$1</c:f>
              <c:strCache>
                <c:ptCount val="1"/>
                <c:pt idx="0">
                  <c:v>% Documents in Q2 Journals</c:v>
                </c:pt>
              </c:strCache>
            </c:strRef>
          </c:tx>
          <c:spPr>
            <a:solidFill>
              <a:srgbClr val="9EE99E"/>
            </a:solidFill>
            <a:ln w="15875">
              <a:solidFill>
                <a:srgbClr val="1FA81F"/>
              </a:solidFill>
            </a:ln>
            <a:effectLst/>
          </c:spPr>
          <c:invertIfNegative val="0"/>
          <c:cat>
            <c:strRef>
              <c:f>'01_Group_2018_2022'!$L$2:$L$15</c:f>
              <c:strCache>
                <c:ptCount val="14"/>
                <c:pt idx="0">
                  <c:v>CZE                                             (1.1)</c:v>
                </c:pt>
                <c:pt idx="1">
                  <c:v>EU-15                                             (57.2)</c:v>
                </c:pt>
                <c:pt idx="2">
                  <c:v>OECD                                             (113.3)</c:v>
                </c:pt>
                <c:pt idx="3">
                  <c:v>DEU                                             (8.6)</c:v>
                </c:pt>
                <c:pt idx="4">
                  <c:v>NLD                                             (4.7)</c:v>
                </c:pt>
                <c:pt idx="5">
                  <c:v>POL                                             (3)</c:v>
                </c:pt>
                <c:pt idx="6">
                  <c:v>SWE                                             (2.6)</c:v>
                </c:pt>
                <c:pt idx="7">
                  <c:v>BEL                                             (2.5)</c:v>
                </c:pt>
                <c:pt idx="8">
                  <c:v>FIN                                             (1.7)</c:v>
                </c:pt>
                <c:pt idx="9">
                  <c:v>DNK                                             (1.6)</c:v>
                </c:pt>
                <c:pt idx="10">
                  <c:v>AUT                                             (1.6)</c:v>
                </c:pt>
                <c:pt idx="11">
                  <c:v>EST                                             (0.5)</c:v>
                </c:pt>
                <c:pt idx="12">
                  <c:v>SVK                                             (0.3)</c:v>
                </c:pt>
                <c:pt idx="13">
                  <c:v>CYP                                             (0.3)</c:v>
                </c:pt>
              </c:strCache>
            </c:strRef>
          </c:cat>
          <c:val>
            <c:numRef>
              <c:f>'01_Group_2018_2022'!$C$2:$C$15</c:f>
              <c:numCache>
                <c:formatCode>General</c:formatCode>
                <c:ptCount val="14"/>
                <c:pt idx="0">
                  <c:v>0.30170000000000002</c:v>
                </c:pt>
                <c:pt idx="1">
                  <c:v>0.29430000000000001</c:v>
                </c:pt>
                <c:pt idx="2">
                  <c:v>0.28149999999999997</c:v>
                </c:pt>
                <c:pt idx="3">
                  <c:v>0.28559999999999997</c:v>
                </c:pt>
                <c:pt idx="4">
                  <c:v>0.26819999999999999</c:v>
                </c:pt>
                <c:pt idx="5">
                  <c:v>0.29870000000000002</c:v>
                </c:pt>
                <c:pt idx="6">
                  <c:v>0.28939999999999999</c:v>
                </c:pt>
                <c:pt idx="7">
                  <c:v>0.28559999999999997</c:v>
                </c:pt>
                <c:pt idx="8">
                  <c:v>0.2883</c:v>
                </c:pt>
                <c:pt idx="9">
                  <c:v>0.28749999999999998</c:v>
                </c:pt>
                <c:pt idx="10">
                  <c:v>0.25530000000000003</c:v>
                </c:pt>
                <c:pt idx="11">
                  <c:v>0.24729999999999999</c:v>
                </c:pt>
                <c:pt idx="12">
                  <c:v>0.21329999999999999</c:v>
                </c:pt>
                <c:pt idx="13">
                  <c:v>0.34380000000000005</c:v>
                </c:pt>
              </c:numCache>
            </c:numRef>
          </c:val>
          <c:extLst>
            <c:ext xmlns:c16="http://schemas.microsoft.com/office/drawing/2014/chart" uri="{C3380CC4-5D6E-409C-BE32-E72D297353CC}">
              <c16:uniqueId val="{00000002-AEDF-4449-B4D8-4463DF0DC51D}"/>
            </c:ext>
          </c:extLst>
        </c:ser>
        <c:ser>
          <c:idx val="0"/>
          <c:order val="3"/>
          <c:tx>
            <c:strRef>
              <c:f>'01_Group_2018_2022'!$B$1</c:f>
              <c:strCache>
                <c:ptCount val="1"/>
                <c:pt idx="0">
                  <c:v>% Documents in Q1 Journals</c:v>
                </c:pt>
              </c:strCache>
            </c:strRef>
          </c:tx>
          <c:spPr>
            <a:solidFill>
              <a:srgbClr val="FAE6D3"/>
            </a:solidFill>
            <a:ln w="15875">
              <a:solidFill>
                <a:srgbClr val="E9933E"/>
              </a:solidFill>
            </a:ln>
            <a:effectLst/>
          </c:spPr>
          <c:invertIfNegative val="0"/>
          <c:cat>
            <c:strRef>
              <c:f>'01_Group_2018_2022'!$L$2:$L$15</c:f>
              <c:strCache>
                <c:ptCount val="14"/>
                <c:pt idx="0">
                  <c:v>CZE                                             (1.1)</c:v>
                </c:pt>
                <c:pt idx="1">
                  <c:v>EU-15                                             (57.2)</c:v>
                </c:pt>
                <c:pt idx="2">
                  <c:v>OECD                                             (113.3)</c:v>
                </c:pt>
                <c:pt idx="3">
                  <c:v>DEU                                             (8.6)</c:v>
                </c:pt>
                <c:pt idx="4">
                  <c:v>NLD                                             (4.7)</c:v>
                </c:pt>
                <c:pt idx="5">
                  <c:v>POL                                             (3)</c:v>
                </c:pt>
                <c:pt idx="6">
                  <c:v>SWE                                             (2.6)</c:v>
                </c:pt>
                <c:pt idx="7">
                  <c:v>BEL                                             (2.5)</c:v>
                </c:pt>
                <c:pt idx="8">
                  <c:v>FIN                                             (1.7)</c:v>
                </c:pt>
                <c:pt idx="9">
                  <c:v>DNK                                             (1.6)</c:v>
                </c:pt>
                <c:pt idx="10">
                  <c:v>AUT                                             (1.6)</c:v>
                </c:pt>
                <c:pt idx="11">
                  <c:v>EST                                             (0.5)</c:v>
                </c:pt>
                <c:pt idx="12">
                  <c:v>SVK                                             (0.3)</c:v>
                </c:pt>
                <c:pt idx="13">
                  <c:v>CYP                                             (0.3)</c:v>
                </c:pt>
              </c:strCache>
            </c:strRef>
          </c:cat>
          <c:val>
            <c:numRef>
              <c:f>'01_Group_2018_2022'!$B$2:$B$15</c:f>
              <c:numCache>
                <c:formatCode>General</c:formatCode>
                <c:ptCount val="14"/>
                <c:pt idx="0">
                  <c:v>0.30870000000000003</c:v>
                </c:pt>
                <c:pt idx="1">
                  <c:v>0.37170000000000003</c:v>
                </c:pt>
                <c:pt idx="2">
                  <c:v>0.38780000000000003</c:v>
                </c:pt>
                <c:pt idx="3">
                  <c:v>0.39419999999999999</c:v>
                </c:pt>
                <c:pt idx="4">
                  <c:v>0.46700000000000003</c:v>
                </c:pt>
                <c:pt idx="5">
                  <c:v>0.2767</c:v>
                </c:pt>
                <c:pt idx="6">
                  <c:v>0.45179999999999998</c:v>
                </c:pt>
                <c:pt idx="7">
                  <c:v>0.41009999999999996</c:v>
                </c:pt>
                <c:pt idx="8">
                  <c:v>0.42450000000000004</c:v>
                </c:pt>
                <c:pt idx="9">
                  <c:v>0.44310000000000005</c:v>
                </c:pt>
                <c:pt idx="10">
                  <c:v>0.41420000000000001</c:v>
                </c:pt>
                <c:pt idx="11">
                  <c:v>0.25590000000000002</c:v>
                </c:pt>
                <c:pt idx="12">
                  <c:v>0.23670000000000002</c:v>
                </c:pt>
                <c:pt idx="13">
                  <c:v>0.40619999999999995</c:v>
                </c:pt>
              </c:numCache>
            </c:numRef>
          </c:val>
          <c:extLst>
            <c:ext xmlns:c16="http://schemas.microsoft.com/office/drawing/2014/chart" uri="{C3380CC4-5D6E-409C-BE32-E72D297353CC}">
              <c16:uniqueId val="{00000003-AEDF-4449-B4D8-4463DF0DC51D}"/>
            </c:ext>
          </c:extLst>
        </c:ser>
        <c:dLbls>
          <c:showLegendKey val="0"/>
          <c:showVal val="0"/>
          <c:showCatName val="0"/>
          <c:showSerName val="0"/>
          <c:showPercent val="0"/>
          <c:showBubbleSize val="0"/>
        </c:dLbls>
        <c:gapWidth val="150"/>
        <c:overlap val="100"/>
        <c:axId val="1116811439"/>
        <c:axId val="1116811855"/>
      </c:barChart>
      <c:lineChart>
        <c:grouping val="standard"/>
        <c:varyColors val="0"/>
        <c:ser>
          <c:idx val="4"/>
          <c:order val="4"/>
          <c:tx>
            <c:strRef>
              <c:f>'01_Group_2018_2022'!$F$1</c:f>
              <c:strCache>
                <c:ptCount val="1"/>
                <c:pt idx="0">
                  <c:v>% Documents in Top 10%</c:v>
                </c:pt>
              </c:strCache>
            </c:strRef>
          </c:tx>
          <c:spPr>
            <a:ln w="28575" cap="rnd">
              <a:noFill/>
              <a:round/>
            </a:ln>
            <a:effectLst/>
          </c:spPr>
          <c:marker>
            <c:symbol val="triangle"/>
            <c:size val="7"/>
            <c:spPr>
              <a:solidFill>
                <a:srgbClr val="D9D9D9"/>
              </a:solidFill>
              <a:ln w="15875">
                <a:solidFill>
                  <a:srgbClr val="7F7F7F"/>
                </a:solidFill>
              </a:ln>
              <a:effectLst/>
            </c:spPr>
          </c:marker>
          <c:dLbls>
            <c:dLbl>
              <c:idx val="0"/>
              <c:tx>
                <c:rich>
                  <a:bodyPr/>
                  <a:lstStyle/>
                  <a:p>
                    <a:fld id="{860D0732-2FAA-4EE4-BB32-6F41663E5E07}"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4-AEDF-4449-B4D8-4463DF0DC51D}"/>
                </c:ext>
              </c:extLst>
            </c:dLbl>
            <c:dLbl>
              <c:idx val="1"/>
              <c:tx>
                <c:rich>
                  <a:bodyPr/>
                  <a:lstStyle/>
                  <a:p>
                    <a:fld id="{CACF9C0E-0854-49A0-9567-48283ED8E125}"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AEDF-4449-B4D8-4463DF0DC51D}"/>
                </c:ext>
              </c:extLst>
            </c:dLbl>
            <c:dLbl>
              <c:idx val="2"/>
              <c:tx>
                <c:rich>
                  <a:bodyPr/>
                  <a:lstStyle/>
                  <a:p>
                    <a:fld id="{19EB0015-CD4C-4D9B-A9AF-61FF66B28F53}"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6-AEDF-4449-B4D8-4463DF0DC51D}"/>
                </c:ext>
              </c:extLst>
            </c:dLbl>
            <c:dLbl>
              <c:idx val="3"/>
              <c:tx>
                <c:rich>
                  <a:bodyPr/>
                  <a:lstStyle/>
                  <a:p>
                    <a:fld id="{7D4082BD-325C-4C30-AED0-9DEC549BB92C}"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7-AEDF-4449-B4D8-4463DF0DC51D}"/>
                </c:ext>
              </c:extLst>
            </c:dLbl>
            <c:dLbl>
              <c:idx val="4"/>
              <c:tx>
                <c:rich>
                  <a:bodyPr/>
                  <a:lstStyle/>
                  <a:p>
                    <a:fld id="{E594E267-5F9F-4000-955D-86BCCFCD5E27}"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AEDF-4449-B4D8-4463DF0DC51D}"/>
                </c:ext>
              </c:extLst>
            </c:dLbl>
            <c:dLbl>
              <c:idx val="5"/>
              <c:tx>
                <c:rich>
                  <a:bodyPr/>
                  <a:lstStyle/>
                  <a:p>
                    <a:fld id="{C582644D-EA8B-4F88-BA33-446C61F43F24}"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9-AEDF-4449-B4D8-4463DF0DC51D}"/>
                </c:ext>
              </c:extLst>
            </c:dLbl>
            <c:dLbl>
              <c:idx val="6"/>
              <c:tx>
                <c:rich>
                  <a:bodyPr/>
                  <a:lstStyle/>
                  <a:p>
                    <a:fld id="{264CCD6B-199D-4526-8123-5A3EDCB767C4}"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A-AEDF-4449-B4D8-4463DF0DC51D}"/>
                </c:ext>
              </c:extLst>
            </c:dLbl>
            <c:dLbl>
              <c:idx val="7"/>
              <c:tx>
                <c:rich>
                  <a:bodyPr/>
                  <a:lstStyle/>
                  <a:p>
                    <a:fld id="{6A1A035B-A21F-4CCB-88F8-820D60D165E6}"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AEDF-4449-B4D8-4463DF0DC51D}"/>
                </c:ext>
              </c:extLst>
            </c:dLbl>
            <c:dLbl>
              <c:idx val="8"/>
              <c:tx>
                <c:rich>
                  <a:bodyPr/>
                  <a:lstStyle/>
                  <a:p>
                    <a:fld id="{C62A8A8D-3F1B-4AD3-8144-B3033C6D0A86}"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C-AEDF-4449-B4D8-4463DF0DC51D}"/>
                </c:ext>
              </c:extLst>
            </c:dLbl>
            <c:dLbl>
              <c:idx val="9"/>
              <c:tx>
                <c:rich>
                  <a:bodyPr/>
                  <a:lstStyle/>
                  <a:p>
                    <a:fld id="{852D401B-468C-4B11-9BF9-6991A9278F19}"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D-AEDF-4449-B4D8-4463DF0DC51D}"/>
                </c:ext>
              </c:extLst>
            </c:dLbl>
            <c:dLbl>
              <c:idx val="10"/>
              <c:tx>
                <c:rich>
                  <a:bodyPr/>
                  <a:lstStyle/>
                  <a:p>
                    <a:fld id="{938C6CD3-D436-4C1C-97EA-BBAE3D0C9A70}"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AEDF-4449-B4D8-4463DF0DC51D}"/>
                </c:ext>
              </c:extLst>
            </c:dLbl>
            <c:dLbl>
              <c:idx val="11"/>
              <c:tx>
                <c:rich>
                  <a:bodyPr/>
                  <a:lstStyle/>
                  <a:p>
                    <a:fld id="{8386B4F7-CA26-4B43-90FC-7AC63920B486}"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F-AEDF-4449-B4D8-4463DF0DC51D}"/>
                </c:ext>
              </c:extLst>
            </c:dLbl>
            <c:dLbl>
              <c:idx val="12"/>
              <c:tx>
                <c:rich>
                  <a:bodyPr/>
                  <a:lstStyle/>
                  <a:p>
                    <a:fld id="{7D78B0EA-0909-4826-BD32-A97CEACB4634}"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0-AEDF-4449-B4D8-4463DF0DC51D}"/>
                </c:ext>
              </c:extLst>
            </c:dLbl>
            <c:dLbl>
              <c:idx val="13"/>
              <c:tx>
                <c:rich>
                  <a:bodyPr/>
                  <a:lstStyle/>
                  <a:p>
                    <a:fld id="{A42EDAE0-89E3-49F3-BE38-9F16EAC1A3D1}" type="CELLRANGE">
                      <a:rPr lang="cs-CZ"/>
                      <a:pPr/>
                      <a:t>[OBLAST BUNĚK]</a:t>
                    </a:fld>
                    <a:endParaRPr lang="cs-CZ"/>
                  </a:p>
                </c:rich>
              </c:tx>
              <c:dLblPos val="b"/>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AEDF-4449-B4D8-4463DF0DC51D}"/>
                </c:ext>
              </c:extLst>
            </c:dLbl>
            <c:numFmt formatCode="0.00%"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b"/>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cat>
            <c:multiLvlStrRef>
              <c:f>#REF!</c:f>
            </c:multiLvlStrRef>
          </c:cat>
          <c:val>
            <c:numRef>
              <c:f>'01_Group_2018_2022'!$F$2:$F$15</c:f>
              <c:numCache>
                <c:formatCode>General</c:formatCode>
                <c:ptCount val="14"/>
                <c:pt idx="0">
                  <c:v>0.90069999999999995</c:v>
                </c:pt>
                <c:pt idx="1">
                  <c:v>0.87319999999999998</c:v>
                </c:pt>
                <c:pt idx="2">
                  <c:v>0.88029999999999997</c:v>
                </c:pt>
                <c:pt idx="3">
                  <c:v>0.84630000000000005</c:v>
                </c:pt>
                <c:pt idx="4">
                  <c:v>0.75639999999999996</c:v>
                </c:pt>
                <c:pt idx="5">
                  <c:v>0.90680000000000005</c:v>
                </c:pt>
                <c:pt idx="6">
                  <c:v>0.78039999999999998</c:v>
                </c:pt>
                <c:pt idx="7">
                  <c:v>0.82499999999999996</c:v>
                </c:pt>
                <c:pt idx="8">
                  <c:v>0.79469999999999996</c:v>
                </c:pt>
                <c:pt idx="9">
                  <c:v>0.76549999999999996</c:v>
                </c:pt>
                <c:pt idx="10">
                  <c:v>0.83409999999999995</c:v>
                </c:pt>
                <c:pt idx="11">
                  <c:v>0.87380000000000002</c:v>
                </c:pt>
                <c:pt idx="12">
                  <c:v>0.92249999999999999</c:v>
                </c:pt>
                <c:pt idx="13">
                  <c:v>0.76100000000000001</c:v>
                </c:pt>
              </c:numCache>
            </c:numRef>
          </c:val>
          <c:smooth val="0"/>
          <c:extLst>
            <c:ext xmlns:c15="http://schemas.microsoft.com/office/drawing/2012/chart" uri="{02D57815-91ED-43cb-92C2-25804820EDAC}">
              <c15:datalabelsRange>
                <c15:f>'01_Group_2018_2022'!$H$2:$H$15</c15:f>
                <c15:dlblRangeCache>
                  <c:ptCount val="14"/>
                  <c:pt idx="0">
                    <c:v>9.9%</c:v>
                  </c:pt>
                  <c:pt idx="1">
                    <c:v>12.7%</c:v>
                  </c:pt>
                  <c:pt idx="2">
                    <c:v>12.0%</c:v>
                  </c:pt>
                  <c:pt idx="3">
                    <c:v>15.4%</c:v>
                  </c:pt>
                  <c:pt idx="4">
                    <c:v>24.4%</c:v>
                  </c:pt>
                  <c:pt idx="5">
                    <c:v>9.3%</c:v>
                  </c:pt>
                  <c:pt idx="6">
                    <c:v>22.0%</c:v>
                  </c:pt>
                  <c:pt idx="7">
                    <c:v>17.5%</c:v>
                  </c:pt>
                  <c:pt idx="8">
                    <c:v>20.5%</c:v>
                  </c:pt>
                  <c:pt idx="9">
                    <c:v>23.5%</c:v>
                  </c:pt>
                  <c:pt idx="10">
                    <c:v>16.6%</c:v>
                  </c:pt>
                  <c:pt idx="11">
                    <c:v>12.6%</c:v>
                  </c:pt>
                  <c:pt idx="12">
                    <c:v>7.8%</c:v>
                  </c:pt>
                  <c:pt idx="13">
                    <c:v>23.9%</c:v>
                  </c:pt>
                </c15:dlblRangeCache>
              </c15:datalabelsRange>
            </c:ext>
            <c:ext xmlns:c16="http://schemas.microsoft.com/office/drawing/2014/chart" uri="{C3380CC4-5D6E-409C-BE32-E72D297353CC}">
              <c16:uniqueId val="{00000012-AEDF-4449-B4D8-4463DF0DC51D}"/>
            </c:ext>
          </c:extLst>
        </c:ser>
        <c:dLbls>
          <c:showLegendKey val="0"/>
          <c:showVal val="0"/>
          <c:showCatName val="0"/>
          <c:showSerName val="0"/>
          <c:showPercent val="0"/>
          <c:showBubbleSize val="0"/>
        </c:dLbls>
        <c:marker val="1"/>
        <c:smooth val="0"/>
        <c:axId val="1317004687"/>
        <c:axId val="1317008431"/>
      </c:lineChart>
      <c:dateAx>
        <c:axId val="111681143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cs-CZ"/>
          </a:p>
        </c:txPr>
        <c:crossAx val="1116811855"/>
        <c:crosses val="autoZero"/>
        <c:auto val="0"/>
        <c:lblOffset val="100"/>
        <c:baseTimeUnit val="days"/>
      </c:dateAx>
      <c:valAx>
        <c:axId val="1116811855"/>
        <c:scaling>
          <c:orientation val="minMax"/>
        </c:scaling>
        <c:delete val="1"/>
        <c:axPos val="r"/>
        <c:majorGridlines>
          <c:spPr>
            <a:ln w="9525" cap="flat" cmpd="sng" algn="ctr">
              <a:solidFill>
                <a:srgbClr val="FF0000"/>
              </a:solidFill>
              <a:prstDash val="dash"/>
              <a:round/>
            </a:ln>
            <a:effectLst/>
          </c:spPr>
        </c:majorGridlines>
        <c:title>
          <c:tx>
            <c:strRef>
              <c:f>'01_Group_2018_2022'!$A$38</c:f>
              <c:strCache>
                <c:ptCount val="1"/>
                <c:pt idx="0">
                  <c:v>podíl článků podle kvartilů_x000b_2020–2024</c:v>
                </c:pt>
              </c:strCache>
            </c:strRef>
          </c:tx>
          <c:layout>
            <c:manualLayout>
              <c:xMode val="edge"/>
              <c:yMode val="edge"/>
              <c:x val="1.1268593111334414E-2"/>
              <c:y val="0.29441189626216341"/>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0%" sourceLinked="0"/>
        <c:majorTickMark val="out"/>
        <c:minorTickMark val="none"/>
        <c:tickLblPos val="nextTo"/>
        <c:crossAx val="1116811439"/>
        <c:crosses val="max"/>
        <c:crossBetween val="between"/>
        <c:majorUnit val="0.25"/>
      </c:valAx>
      <c:valAx>
        <c:axId val="1317008431"/>
        <c:scaling>
          <c:orientation val="minMax"/>
          <c:max val="1"/>
          <c:min val="0"/>
        </c:scaling>
        <c:delete val="1"/>
        <c:axPos val="r"/>
        <c:title>
          <c:tx>
            <c:strRef>
              <c:f>'01_Group_2018_2022'!$A$39</c:f>
              <c:strCache>
                <c:ptCount val="1"/>
                <c:pt idx="0">
                  <c:v>% článků v Top 10 %</c:v>
                </c:pt>
              </c:strCache>
            </c:strRef>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0.0%" sourceLinked="0"/>
        <c:majorTickMark val="out"/>
        <c:minorTickMark val="none"/>
        <c:tickLblPos val="nextTo"/>
        <c:crossAx val="1317004687"/>
        <c:crosses val="max"/>
        <c:crossBetween val="between"/>
      </c:valAx>
      <c:catAx>
        <c:axId val="1317004687"/>
        <c:scaling>
          <c:orientation val="minMax"/>
        </c:scaling>
        <c:delete val="1"/>
        <c:axPos val="b"/>
        <c:numFmt formatCode="General" sourceLinked="1"/>
        <c:majorTickMark val="out"/>
        <c:minorTickMark val="none"/>
        <c:tickLblPos val="nextTo"/>
        <c:crossAx val="1317008431"/>
        <c:crosses val="autoZero"/>
        <c:auto val="1"/>
        <c:lblAlgn val="ctr"/>
        <c:lblOffset val="100"/>
        <c:noMultiLvlLbl val="0"/>
      </c:catAx>
      <c:spPr>
        <a:noFill/>
        <a:ln>
          <a:noFill/>
        </a:ln>
        <a:effectLst/>
      </c:spPr>
    </c:plotArea>
    <c:plotVisOnly val="1"/>
    <c:dispBlanksAs val="gap"/>
    <c:showDLblsOverMax val="0"/>
  </c:chart>
  <c:spPr>
    <a:noFill/>
    <a:ln w="9525" cap="flat" cmpd="sng" algn="ctr">
      <a:noFill/>
      <a:round/>
    </a:ln>
    <a:effectLst/>
  </c:spPr>
  <c:txPr>
    <a:bodyPr/>
    <a:lstStyle/>
    <a:p>
      <a:pPr>
        <a:defRPr/>
      </a:pPr>
      <a:endParaRPr lang="cs-CZ"/>
    </a:p>
  </c:txPr>
  <c:externalData r:id="rId4">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Graf!$B$1</c:f>
              <c:strCache>
                <c:ptCount val="1"/>
                <c:pt idx="0">
                  <c:v>Muži (rok 2023)</c:v>
                </c:pt>
              </c:strCache>
            </c:strRef>
          </c:tx>
          <c:spPr>
            <a:gradFill rotWithShape="1">
              <a:gsLst>
                <a:gs pos="0">
                  <a:schemeClr val="accent1">
                    <a:lumMod val="110000"/>
                    <a:satMod val="105000"/>
                    <a:tint val="67000"/>
                  </a:schemeClr>
                </a:gs>
                <a:gs pos="50000">
                  <a:schemeClr val="accent1">
                    <a:lumMod val="105000"/>
                    <a:satMod val="103000"/>
                    <a:tint val="73000"/>
                  </a:schemeClr>
                </a:gs>
                <a:gs pos="100000">
                  <a:schemeClr val="accent1">
                    <a:lumMod val="105000"/>
                    <a:satMod val="109000"/>
                    <a:tint val="81000"/>
                  </a:schemeClr>
                </a:gs>
              </a:gsLst>
              <a:lin ang="5400000" scaled="0"/>
            </a:gradFill>
            <a:ln w="9525" cap="flat" cmpd="sng" algn="ctr">
              <a:solidFill>
                <a:schemeClr val="accent1">
                  <a:shade val="95000"/>
                </a:schemeClr>
              </a:solidFill>
              <a:round/>
            </a:ln>
            <a:effectLst/>
          </c:spPr>
          <c:invertIfNegative val="0"/>
          <c:cat>
            <c:strRef>
              <c:f>Graf!$A$2:$A$30</c:f>
              <c:strCache>
                <c:ptCount val="29"/>
                <c:pt idx="0">
                  <c:v>EU27</c:v>
                </c:pt>
                <c:pt idx="2">
                  <c:v>EL</c:v>
                </c:pt>
                <c:pt idx="3">
                  <c:v>PL</c:v>
                </c:pt>
                <c:pt idx="4">
                  <c:v>IT</c:v>
                </c:pt>
                <c:pt idx="5">
                  <c:v>NL</c:v>
                </c:pt>
                <c:pt idx="6">
                  <c:v>PT</c:v>
                </c:pt>
                <c:pt idx="7">
                  <c:v>LV</c:v>
                </c:pt>
                <c:pt idx="8">
                  <c:v>CZ</c:v>
                </c:pt>
                <c:pt idx="9">
                  <c:v>ES</c:v>
                </c:pt>
                <c:pt idx="10">
                  <c:v>BE</c:v>
                </c:pt>
                <c:pt idx="11">
                  <c:v>FR</c:v>
                </c:pt>
                <c:pt idx="12">
                  <c:v>LT</c:v>
                </c:pt>
                <c:pt idx="13">
                  <c:v>CY</c:v>
                </c:pt>
                <c:pt idx="14">
                  <c:v>MT</c:v>
                </c:pt>
                <c:pt idx="15">
                  <c:v>HU</c:v>
                </c:pt>
                <c:pt idx="16">
                  <c:v>SK</c:v>
                </c:pt>
                <c:pt idx="17">
                  <c:v>AT</c:v>
                </c:pt>
                <c:pt idx="18">
                  <c:v>LU</c:v>
                </c:pt>
                <c:pt idx="19">
                  <c:v>BG</c:v>
                </c:pt>
                <c:pt idx="20">
                  <c:v>SI</c:v>
                </c:pt>
                <c:pt idx="21">
                  <c:v>HR</c:v>
                </c:pt>
                <c:pt idx="22">
                  <c:v>FI</c:v>
                </c:pt>
                <c:pt idx="23">
                  <c:v>EE</c:v>
                </c:pt>
                <c:pt idx="24">
                  <c:v>IE</c:v>
                </c:pt>
                <c:pt idx="25">
                  <c:v>DE</c:v>
                </c:pt>
                <c:pt idx="26">
                  <c:v>RO</c:v>
                </c:pt>
                <c:pt idx="27">
                  <c:v>DK</c:v>
                </c:pt>
                <c:pt idx="28">
                  <c:v>SE</c:v>
                </c:pt>
              </c:strCache>
            </c:strRef>
          </c:cat>
          <c:val>
            <c:numRef>
              <c:f>Graf!$B$2:$B$30</c:f>
              <c:numCache>
                <c:formatCode>General</c:formatCode>
                <c:ptCount val="29"/>
                <c:pt idx="0" formatCode="0.0%">
                  <c:v>8.1093411219129052E-2</c:v>
                </c:pt>
                <c:pt idx="2" formatCode="0.0%">
                  <c:v>0.16281855804835549</c:v>
                </c:pt>
                <c:pt idx="3" formatCode="0.0%">
                  <c:v>0.1231181247480274</c:v>
                </c:pt>
                <c:pt idx="4" formatCode="0.0%">
                  <c:v>0.12133570217233304</c:v>
                </c:pt>
                <c:pt idx="5" formatCode="0.0%">
                  <c:v>9.2591450883682702E-2</c:v>
                </c:pt>
                <c:pt idx="6" formatCode="0.0%">
                  <c:v>7.0369653570737378E-2</c:v>
                </c:pt>
                <c:pt idx="7" formatCode="0.0%">
                  <c:v>7.0022371364653252E-2</c:v>
                </c:pt>
                <c:pt idx="8" formatCode="0.0%">
                  <c:v>0.10804300218992635</c:v>
                </c:pt>
                <c:pt idx="9" formatCode="0.0%">
                  <c:v>8.1253944876919837E-2</c:v>
                </c:pt>
                <c:pt idx="10" formatCode="0.0%">
                  <c:v>8.5324947589098532E-2</c:v>
                </c:pt>
                <c:pt idx="11" formatCode="0.0%">
                  <c:v>6.8700624731431598E-2</c:v>
                </c:pt>
                <c:pt idx="12" formatCode="0.0%">
                  <c:v>6.4290563475899523E-2</c:v>
                </c:pt>
                <c:pt idx="13" formatCode="0.0%">
                  <c:v>5.0304259634888437E-2</c:v>
                </c:pt>
                <c:pt idx="14" formatCode="0.0%">
                  <c:v>9.6091205211726385E-2</c:v>
                </c:pt>
                <c:pt idx="15" formatCode="0.0%">
                  <c:v>7.0973821989528785E-2</c:v>
                </c:pt>
                <c:pt idx="16" formatCode="0.0%">
                  <c:v>0.10382072005878032</c:v>
                </c:pt>
                <c:pt idx="17" formatCode="0.0%">
                  <c:v>6.327147173068623E-2</c:v>
                </c:pt>
                <c:pt idx="18" formatCode="0.0%">
                  <c:v>4.0597014925373133E-2</c:v>
                </c:pt>
                <c:pt idx="19" formatCode="0.0%">
                  <c:v>6.3673331074212136E-2</c:v>
                </c:pt>
                <c:pt idx="20" formatCode="0.0%">
                  <c:v>8.1727904667328696E-2</c:v>
                </c:pt>
                <c:pt idx="21" formatCode="0.0%">
                  <c:v>7.9528023598820066E-2</c:v>
                </c:pt>
                <c:pt idx="22" formatCode="0.0%">
                  <c:v>6.7935578330893115E-2</c:v>
                </c:pt>
                <c:pt idx="23" formatCode="0.0%">
                  <c:v>6.7525035765379118E-2</c:v>
                </c:pt>
                <c:pt idx="24" formatCode="0.0%">
                  <c:v>7.7881040892193304E-2</c:v>
                </c:pt>
                <c:pt idx="25" formatCode="0.0%">
                  <c:v>4.7086094265845604E-2</c:v>
                </c:pt>
                <c:pt idx="26" formatCode="0.0%">
                  <c:v>7.9484318829800421E-2</c:v>
                </c:pt>
                <c:pt idx="27" formatCode="0.0%">
                  <c:v>4.6940789473684207E-2</c:v>
                </c:pt>
                <c:pt idx="28" formatCode="0.0%">
                  <c:v>5.5583895062852981E-2</c:v>
                </c:pt>
              </c:numCache>
            </c:numRef>
          </c:val>
          <c:extLst>
            <c:ext xmlns:c16="http://schemas.microsoft.com/office/drawing/2014/chart" uri="{C3380CC4-5D6E-409C-BE32-E72D297353CC}">
              <c16:uniqueId val="{00000000-7752-4DE4-8DD1-58240B0D14EA}"/>
            </c:ext>
          </c:extLst>
        </c:ser>
        <c:ser>
          <c:idx val="1"/>
          <c:order val="1"/>
          <c:tx>
            <c:strRef>
              <c:f>Graf!$C$1</c:f>
              <c:strCache>
                <c:ptCount val="1"/>
                <c:pt idx="0">
                  <c:v>Ženy (rok 2023)</c:v>
                </c:pt>
              </c:strCache>
            </c:strRef>
          </c:tx>
          <c:spPr>
            <a:gradFill rotWithShape="1">
              <a:gsLst>
                <a:gs pos="0">
                  <a:schemeClr val="accent2">
                    <a:lumMod val="110000"/>
                    <a:satMod val="105000"/>
                    <a:tint val="67000"/>
                  </a:schemeClr>
                </a:gs>
                <a:gs pos="50000">
                  <a:schemeClr val="accent2">
                    <a:lumMod val="105000"/>
                    <a:satMod val="103000"/>
                    <a:tint val="73000"/>
                  </a:schemeClr>
                </a:gs>
                <a:gs pos="100000">
                  <a:schemeClr val="accent2">
                    <a:lumMod val="105000"/>
                    <a:satMod val="109000"/>
                    <a:tint val="81000"/>
                  </a:schemeClr>
                </a:gs>
              </a:gsLst>
              <a:lin ang="5400000" scaled="0"/>
            </a:gradFill>
            <a:ln w="9525" cap="flat" cmpd="sng" algn="ctr">
              <a:solidFill>
                <a:schemeClr val="accent2">
                  <a:shade val="95000"/>
                </a:schemeClr>
              </a:solidFill>
              <a:round/>
            </a:ln>
            <a:effectLst/>
          </c:spPr>
          <c:invertIfNegative val="0"/>
          <c:cat>
            <c:strRef>
              <c:f>Graf!$A$2:$A$30</c:f>
              <c:strCache>
                <c:ptCount val="29"/>
                <c:pt idx="0">
                  <c:v>EU27</c:v>
                </c:pt>
                <c:pt idx="2">
                  <c:v>EL</c:v>
                </c:pt>
                <c:pt idx="3">
                  <c:v>PL</c:v>
                </c:pt>
                <c:pt idx="4">
                  <c:v>IT</c:v>
                </c:pt>
                <c:pt idx="5">
                  <c:v>NL</c:v>
                </c:pt>
                <c:pt idx="6">
                  <c:v>PT</c:v>
                </c:pt>
                <c:pt idx="7">
                  <c:v>LV</c:v>
                </c:pt>
                <c:pt idx="8">
                  <c:v>CZ</c:v>
                </c:pt>
                <c:pt idx="9">
                  <c:v>ES</c:v>
                </c:pt>
                <c:pt idx="10">
                  <c:v>BE</c:v>
                </c:pt>
                <c:pt idx="11">
                  <c:v>FR</c:v>
                </c:pt>
                <c:pt idx="12">
                  <c:v>LT</c:v>
                </c:pt>
                <c:pt idx="13">
                  <c:v>CY</c:v>
                </c:pt>
                <c:pt idx="14">
                  <c:v>MT</c:v>
                </c:pt>
                <c:pt idx="15">
                  <c:v>HU</c:v>
                </c:pt>
                <c:pt idx="16">
                  <c:v>SK</c:v>
                </c:pt>
                <c:pt idx="17">
                  <c:v>AT</c:v>
                </c:pt>
                <c:pt idx="18">
                  <c:v>LU</c:v>
                </c:pt>
                <c:pt idx="19">
                  <c:v>BG</c:v>
                </c:pt>
                <c:pt idx="20">
                  <c:v>SI</c:v>
                </c:pt>
                <c:pt idx="21">
                  <c:v>HR</c:v>
                </c:pt>
                <c:pt idx="22">
                  <c:v>FI</c:v>
                </c:pt>
                <c:pt idx="23">
                  <c:v>EE</c:v>
                </c:pt>
                <c:pt idx="24">
                  <c:v>IE</c:v>
                </c:pt>
                <c:pt idx="25">
                  <c:v>DE</c:v>
                </c:pt>
                <c:pt idx="26">
                  <c:v>RO</c:v>
                </c:pt>
                <c:pt idx="27">
                  <c:v>DK</c:v>
                </c:pt>
                <c:pt idx="28">
                  <c:v>SE</c:v>
                </c:pt>
              </c:strCache>
            </c:strRef>
          </c:cat>
          <c:val>
            <c:numRef>
              <c:f>Graf!$C$2:$C$30</c:f>
              <c:numCache>
                <c:formatCode>General</c:formatCode>
                <c:ptCount val="29"/>
                <c:pt idx="0" formatCode="0.0%">
                  <c:v>4.124184574285459E-2</c:v>
                </c:pt>
                <c:pt idx="2" formatCode="0.0%">
                  <c:v>7.2968852101938569E-2</c:v>
                </c:pt>
                <c:pt idx="3" formatCode="0.0%">
                  <c:v>5.7363358866555317E-2</c:v>
                </c:pt>
                <c:pt idx="4" formatCode="0.0%">
                  <c:v>5.6202051199224751E-2</c:v>
                </c:pt>
                <c:pt idx="5" formatCode="0.0%">
                  <c:v>5.3555281545417187E-2</c:v>
                </c:pt>
                <c:pt idx="6" formatCode="0.0%">
                  <c:v>4.7396942132765629E-2</c:v>
                </c:pt>
                <c:pt idx="7" formatCode="0.0%">
                  <c:v>4.6644295302013423E-2</c:v>
                </c:pt>
                <c:pt idx="8" formatCode="0.0%">
                  <c:v>4.5849094166832575E-2</c:v>
                </c:pt>
                <c:pt idx="9" formatCode="0.0%">
                  <c:v>4.5167262781401221E-2</c:v>
                </c:pt>
                <c:pt idx="10" formatCode="0.0%">
                  <c:v>4.4368210405946254E-2</c:v>
                </c:pt>
                <c:pt idx="11" formatCode="0.0%">
                  <c:v>4.3275047102766667E-2</c:v>
                </c:pt>
                <c:pt idx="12" formatCode="0.0%">
                  <c:v>3.8832315003394437E-2</c:v>
                </c:pt>
                <c:pt idx="13" formatCode="0.0%">
                  <c:v>3.8133874239350912E-2</c:v>
                </c:pt>
                <c:pt idx="14" formatCode="0.0%">
                  <c:v>3.8110749185667751E-2</c:v>
                </c:pt>
                <c:pt idx="15" formatCode="0.0%">
                  <c:v>3.7445026178010474E-2</c:v>
                </c:pt>
                <c:pt idx="16" formatCode="0.0%">
                  <c:v>3.5855988243938278E-2</c:v>
                </c:pt>
                <c:pt idx="17" formatCode="0.0%">
                  <c:v>3.5671126456624951E-2</c:v>
                </c:pt>
                <c:pt idx="18" formatCode="0.0%">
                  <c:v>3.522388059701493E-2</c:v>
                </c:pt>
                <c:pt idx="19" formatCode="0.0%">
                  <c:v>3.5174517112843105E-2</c:v>
                </c:pt>
                <c:pt idx="20" formatCode="0.0%">
                  <c:v>3.495531281032771E-2</c:v>
                </c:pt>
                <c:pt idx="21" formatCode="0.0%">
                  <c:v>3.4218289085545722E-2</c:v>
                </c:pt>
                <c:pt idx="22" formatCode="0.0%">
                  <c:v>3.3748169838945831E-2</c:v>
                </c:pt>
                <c:pt idx="23" formatCode="0.0%">
                  <c:v>3.3047210300429189E-2</c:v>
                </c:pt>
                <c:pt idx="24" formatCode="0.0%">
                  <c:v>2.8550185873605947E-2</c:v>
                </c:pt>
                <c:pt idx="25" formatCode="0.0%">
                  <c:v>2.4976000374628299E-2</c:v>
                </c:pt>
                <c:pt idx="26" formatCode="0.0%">
                  <c:v>2.4916325771662327E-2</c:v>
                </c:pt>
                <c:pt idx="27" formatCode="0.0%">
                  <c:v>2.3519736842105263E-2</c:v>
                </c:pt>
                <c:pt idx="28" formatCode="0.0%">
                  <c:v>2.2372016760794314E-2</c:v>
                </c:pt>
              </c:numCache>
            </c:numRef>
          </c:val>
          <c:extLst>
            <c:ext xmlns:c16="http://schemas.microsoft.com/office/drawing/2014/chart" uri="{C3380CC4-5D6E-409C-BE32-E72D297353CC}">
              <c16:uniqueId val="{00000001-7752-4DE4-8DD1-58240B0D14EA}"/>
            </c:ext>
          </c:extLst>
        </c:ser>
        <c:dLbls>
          <c:showLegendKey val="0"/>
          <c:showVal val="0"/>
          <c:showCatName val="0"/>
          <c:showSerName val="0"/>
          <c:showPercent val="0"/>
          <c:showBubbleSize val="0"/>
        </c:dLbls>
        <c:gapWidth val="219"/>
        <c:axId val="1017242591"/>
        <c:axId val="1017243071"/>
      </c:barChart>
      <c:scatterChart>
        <c:scatterStyle val="lineMarker"/>
        <c:varyColors val="0"/>
        <c:ser>
          <c:idx val="2"/>
          <c:order val="2"/>
          <c:tx>
            <c:strRef>
              <c:f>Graf!$E$1</c:f>
              <c:strCache>
                <c:ptCount val="1"/>
                <c:pt idx="0">
                  <c:v>Muži (rok 2014)</c:v>
                </c:pt>
              </c:strCache>
            </c:strRef>
          </c:tx>
          <c:spPr>
            <a:ln w="25400" cap="rnd">
              <a:noFill/>
              <a:round/>
            </a:ln>
            <a:effectLst/>
          </c:spPr>
          <c:marker>
            <c:symbol val="triangle"/>
            <c:size val="7"/>
            <c:spPr>
              <a:solidFill>
                <a:srgbClr val="002060"/>
              </a:solidFill>
              <a:ln w="9525" cap="flat" cmpd="sng" algn="ctr">
                <a:noFill/>
                <a:round/>
              </a:ln>
              <a:effectLst/>
            </c:spPr>
          </c:marker>
          <c:yVal>
            <c:numRef>
              <c:f>Graf!$E$2:$E$30</c:f>
              <c:numCache>
                <c:formatCode>General</c:formatCode>
                <c:ptCount val="29"/>
                <c:pt idx="0" formatCode="0.0%">
                  <c:v>7.4181222707423583E-2</c:v>
                </c:pt>
                <c:pt idx="2" formatCode="0.0%">
                  <c:v>8.181449157702457E-2</c:v>
                </c:pt>
                <c:pt idx="3" formatCode="0.0%">
                  <c:v>6.8180442022403878E-2</c:v>
                </c:pt>
                <c:pt idx="4" formatCode="0.0%">
                  <c:v>0.11290818286592393</c:v>
                </c:pt>
                <c:pt idx="5" formatCode="0.0%">
                  <c:v>5.2646741087504501E-2</c:v>
                </c:pt>
                <c:pt idx="6" formatCode="0.0%">
                  <c:v>6.3481042477744443E-2</c:v>
                </c:pt>
                <c:pt idx="7" formatCode="0.0%">
                  <c:v>5.7186544342507646E-2</c:v>
                </c:pt>
                <c:pt idx="8" formatCode="0.0%">
                  <c:v>0.10068212824010914</c:v>
                </c:pt>
                <c:pt idx="9" formatCode="0.0%">
                  <c:v>0.15508868243243243</c:v>
                </c:pt>
                <c:pt idx="10" formatCode="0.0%">
                  <c:v>8.4899623038485139E-2</c:v>
                </c:pt>
                <c:pt idx="11" formatCode="0.0%">
                  <c:v>6.545640326975477E-2</c:v>
                </c:pt>
                <c:pt idx="12" formatCode="0.0%">
                  <c:v>0.13632163410877846</c:v>
                </c:pt>
                <c:pt idx="13" formatCode="0.0%">
                  <c:v>8.5882352941176465E-2</c:v>
                </c:pt>
                <c:pt idx="14" formatCode="0.0%">
                  <c:v>5.8298755186721993E-2</c:v>
                </c:pt>
                <c:pt idx="15" formatCode="0.0%">
                  <c:v>5.4948096885813154E-2</c:v>
                </c:pt>
                <c:pt idx="16" formatCode="0.0%">
                  <c:v>4.6511627906976744E-2</c:v>
                </c:pt>
                <c:pt idx="17" formatCode="0.0%">
                  <c:v>6.3255403617115138E-2</c:v>
                </c:pt>
                <c:pt idx="18" formatCode="0.0%">
                  <c:v>9.6464646464646475E-2</c:v>
                </c:pt>
                <c:pt idx="19" formatCode="0.0%">
                  <c:v>8.8383781972523168E-2</c:v>
                </c:pt>
                <c:pt idx="20" formatCode="0.0%">
                  <c:v>6.5836630207121244E-2</c:v>
                </c:pt>
                <c:pt idx="21" formatCode="0.0%">
                  <c:v>0.1120836560805577</c:v>
                </c:pt>
                <c:pt idx="22" formatCode="0.0%">
                  <c:v>8.5550317688050825E-2</c:v>
                </c:pt>
                <c:pt idx="23" formatCode="0.0%">
                  <c:v>0.13972086005281026</c:v>
                </c:pt>
                <c:pt idx="24" formatCode="0.0%">
                  <c:v>7.8433367243133253E-2</c:v>
                </c:pt>
                <c:pt idx="25" formatCode="0.0%">
                  <c:v>9.219705142035238E-2</c:v>
                </c:pt>
                <c:pt idx="26" formatCode="0.0%">
                  <c:v>7.7567567567567566E-2</c:v>
                </c:pt>
                <c:pt idx="27" formatCode="0.0%">
                  <c:v>5.9706296519814926E-2</c:v>
                </c:pt>
                <c:pt idx="28" formatCode="0.0%">
                  <c:v>8.8264989771656505E-2</c:v>
                </c:pt>
              </c:numCache>
            </c:numRef>
          </c:yVal>
          <c:smooth val="0"/>
          <c:extLst>
            <c:ext xmlns:c16="http://schemas.microsoft.com/office/drawing/2014/chart" uri="{C3380CC4-5D6E-409C-BE32-E72D297353CC}">
              <c16:uniqueId val="{00000002-7752-4DE4-8DD1-58240B0D14EA}"/>
            </c:ext>
          </c:extLst>
        </c:ser>
        <c:ser>
          <c:idx val="3"/>
          <c:order val="3"/>
          <c:tx>
            <c:strRef>
              <c:f>Graf!$F$1</c:f>
              <c:strCache>
                <c:ptCount val="1"/>
                <c:pt idx="0">
                  <c:v>Ženy (rok 2014)</c:v>
                </c:pt>
              </c:strCache>
            </c:strRef>
          </c:tx>
          <c:spPr>
            <a:ln w="25400" cap="rnd">
              <a:noFill/>
              <a:round/>
            </a:ln>
            <a:effectLst/>
          </c:spPr>
          <c:marker>
            <c:symbol val="diamond"/>
            <c:size val="7"/>
            <c:spPr>
              <a:solidFill>
                <a:srgbClr val="C00000"/>
              </a:solidFill>
              <a:ln w="9525" cap="flat" cmpd="sng" algn="ctr">
                <a:noFill/>
                <a:round/>
              </a:ln>
              <a:effectLst/>
            </c:spPr>
          </c:marker>
          <c:yVal>
            <c:numRef>
              <c:f>Graf!$F$2:$F$30</c:f>
              <c:numCache>
                <c:formatCode>General</c:formatCode>
                <c:ptCount val="29"/>
                <c:pt idx="0" formatCode="0.0%">
                  <c:v>3.6626637554585152E-2</c:v>
                </c:pt>
                <c:pt idx="2" formatCode="0.0%">
                  <c:v>3.8847168662472092E-2</c:v>
                </c:pt>
                <c:pt idx="3" formatCode="0.0%">
                  <c:v>3.3878292461398729E-2</c:v>
                </c:pt>
                <c:pt idx="4" formatCode="0.0%">
                  <c:v>4.6907414521705722E-2</c:v>
                </c:pt>
                <c:pt idx="5" formatCode="0.0%">
                  <c:v>2.1317969031328772E-2</c:v>
                </c:pt>
                <c:pt idx="6" formatCode="0.0%">
                  <c:v>3.1373521462047763E-2</c:v>
                </c:pt>
                <c:pt idx="7" formatCode="0.0%">
                  <c:v>2.385321100917431E-2</c:v>
                </c:pt>
                <c:pt idx="8" formatCode="0.0%">
                  <c:v>2.8376534788540245E-2</c:v>
                </c:pt>
                <c:pt idx="9" formatCode="0.0%">
                  <c:v>7.07347972972973E-2</c:v>
                </c:pt>
                <c:pt idx="10" formatCode="0.0%">
                  <c:v>4.1053738932234594E-2</c:v>
                </c:pt>
                <c:pt idx="11" formatCode="0.0%">
                  <c:v>3.1117166212534061E-2</c:v>
                </c:pt>
                <c:pt idx="12" formatCode="0.0%">
                  <c:v>5.9657939531490636E-2</c:v>
                </c:pt>
                <c:pt idx="13" formatCode="0.0%">
                  <c:v>4.1411764705882356E-2</c:v>
                </c:pt>
                <c:pt idx="14" formatCode="0.0%">
                  <c:v>3.5788381742738587E-2</c:v>
                </c:pt>
                <c:pt idx="15" formatCode="0.0%">
                  <c:v>3.9169550173010381E-2</c:v>
                </c:pt>
                <c:pt idx="16" formatCode="0.0%">
                  <c:v>2.7131782945736434E-2</c:v>
                </c:pt>
                <c:pt idx="17" formatCode="0.0%">
                  <c:v>2.9444199382443758E-2</c:v>
                </c:pt>
                <c:pt idx="18" formatCode="0.0%">
                  <c:v>2.4747474747474751E-2</c:v>
                </c:pt>
                <c:pt idx="19" formatCode="0.0%">
                  <c:v>4.7470121746900483E-2</c:v>
                </c:pt>
                <c:pt idx="20" formatCode="0.0%">
                  <c:v>3.6676751221782634E-2</c:v>
                </c:pt>
                <c:pt idx="21" formatCode="0.0%">
                  <c:v>5.3965322052076506E-2</c:v>
                </c:pt>
                <c:pt idx="22" formatCode="0.0%">
                  <c:v>4.9825783972125434E-2</c:v>
                </c:pt>
                <c:pt idx="23" formatCode="0.0%">
                  <c:v>5.1666037973091911E-2</c:v>
                </c:pt>
                <c:pt idx="24" formatCode="0.0%">
                  <c:v>3.1739572736520852E-2</c:v>
                </c:pt>
                <c:pt idx="25" formatCode="0.0%">
                  <c:v>3.6497662711254944E-2</c:v>
                </c:pt>
                <c:pt idx="26" formatCode="0.0%">
                  <c:v>3.8069498069498067E-2</c:v>
                </c:pt>
                <c:pt idx="27" formatCode="0.0%">
                  <c:v>2.4059545363106012E-2</c:v>
                </c:pt>
                <c:pt idx="28" formatCode="0.0%">
                  <c:v>4.1115987950571954E-2</c:v>
                </c:pt>
              </c:numCache>
            </c:numRef>
          </c:yVal>
          <c:smooth val="0"/>
          <c:extLst>
            <c:ext xmlns:c16="http://schemas.microsoft.com/office/drawing/2014/chart" uri="{C3380CC4-5D6E-409C-BE32-E72D297353CC}">
              <c16:uniqueId val="{00000003-7752-4DE4-8DD1-58240B0D14EA}"/>
            </c:ext>
          </c:extLst>
        </c:ser>
        <c:dLbls>
          <c:showLegendKey val="0"/>
          <c:showVal val="0"/>
          <c:showCatName val="0"/>
          <c:showSerName val="0"/>
          <c:showPercent val="0"/>
          <c:showBubbleSize val="0"/>
        </c:dLbls>
        <c:axId val="1017242591"/>
        <c:axId val="1017243071"/>
      </c:scatterChart>
      <c:catAx>
        <c:axId val="101724259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50000"/>
                    <a:lumOff val="50000"/>
                  </a:schemeClr>
                </a:solidFill>
                <a:latin typeface="+mn-lt"/>
                <a:ea typeface="+mn-ea"/>
                <a:cs typeface="+mn-cs"/>
              </a:defRPr>
            </a:pPr>
            <a:endParaRPr lang="cs-CZ"/>
          </a:p>
        </c:txPr>
        <c:crossAx val="1017243071"/>
        <c:crosses val="autoZero"/>
        <c:auto val="1"/>
        <c:lblAlgn val="ctr"/>
        <c:lblOffset val="100"/>
        <c:noMultiLvlLbl val="0"/>
      </c:catAx>
      <c:valAx>
        <c:axId val="1017243071"/>
        <c:scaling>
          <c:orientation val="minMax"/>
          <c:max val="0.18000000000000002"/>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50000"/>
                    <a:lumOff val="50000"/>
                  </a:schemeClr>
                </a:solidFill>
                <a:latin typeface="+mn-lt"/>
                <a:ea typeface="+mn-ea"/>
                <a:cs typeface="+mn-cs"/>
              </a:defRPr>
            </a:pPr>
            <a:endParaRPr lang="cs-CZ"/>
          </a:p>
        </c:txPr>
        <c:crossAx val="1017242591"/>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50000"/>
                  <a:lumOff val="50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noFill/>
      <a:round/>
    </a:ln>
    <a:effectLst/>
  </c:spPr>
  <c:txPr>
    <a:bodyPr/>
    <a:lstStyle/>
    <a:p>
      <a:pPr>
        <a:defRPr/>
      </a:pPr>
      <a:endParaRPr lang="cs-CZ"/>
    </a:p>
  </c:txPr>
  <c:externalData r:id="rId3">
    <c:autoUpdate val="0"/>
  </c:externalData>
</c:chartSpace>
</file>

<file path=word/charts/colors1.xml><?xml version="1.0" encoding="utf-8"?>
<cs:colorStyle xmlns:cs="http://schemas.microsoft.com/office/drawing/2012/chartStyle" xmlns:a="http://schemas.openxmlformats.org/drawingml/2006/main" meth="withinLinear" id="19">
  <a:schemeClr val="accent6"/>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2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32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343">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9525" cap="rnd">
        <a:solidFill>
          <a:schemeClr val="phClr"/>
        </a:solidFill>
        <a:round/>
      </a:ln>
    </cs:spPr>
  </cs:dataPointLine>
  <cs:dataPointMarker>
    <cs:lnRef idx="0">
      <cs:styleClr val="auto"/>
    </cs:lnRef>
    <cs:fillRef idx="3">
      <cs:styleClr val="auto"/>
    </cs:fillRef>
    <cs:effectRef idx="3"/>
    <cs:fontRef idx="minor">
      <a:schemeClr val="tx1"/>
    </cs:fontRef>
    <cs:spPr>
      <a:ln w="9525" cap="rnd">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9.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325">
  <cs:axisTitle>
    <cs:lnRef idx="0"/>
    <cs:fillRef idx="0"/>
    <cs:effectRef idx="0"/>
    <cs:fontRef idx="minor">
      <a:schemeClr val="tx1">
        <a:lumMod val="50000"/>
        <a:lumOff val="50000"/>
      </a:schemeClr>
    </cs:fontRef>
    <cs:defRPr sz="900" kern="1200" cap="all"/>
  </cs:axisTitle>
  <cs:category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styleClr val="auto"/>
    </cs:fillRef>
    <cs:effectRef idx="1"/>
    <cs:fontRef idx="minor">
      <a:schemeClr val="dk1"/>
    </cs:fontRef>
    <cs:spPr>
      <a:ln w="15875" cap="rnd">
        <a:solidFill>
          <a:schemeClr val="phClr"/>
        </a:solidFill>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5"/>
  <cs:dataPointWireframe>
    <cs:lnRef idx="0">
      <cs:styleClr val="auto"/>
    </cs:lnRef>
    <cs:fillRef idx="2"/>
    <cs:effectRef idx="0"/>
    <cs:fontRef idx="minor">
      <a:schemeClr val="dk1"/>
    </cs:fontRef>
    <cs:spPr>
      <a:ln w="9525" cap="rnd">
        <a:solidFill>
          <a:schemeClr val="phClr"/>
        </a:solidFill>
        <a:round/>
      </a:ln>
    </cs:spPr>
  </cs:dataPointWireframe>
  <cs:dataTable>
    <cs:lnRef idx="0"/>
    <cs:fillRef idx="0"/>
    <cs:effectRef idx="0"/>
    <cs:fontRef idx="minor">
      <a:schemeClr val="tx1">
        <a:lumMod val="50000"/>
        <a:lumOff val="50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75000"/>
            <a:lumOff val="25000"/>
          </a:schemeClr>
        </a:solidFill>
      </a:ln>
    </cs:spPr>
  </cs:downBar>
  <cs:dropLine>
    <cs:lnRef idx="0"/>
    <cs:fillRef idx="0"/>
    <cs:effectRef idx="0"/>
    <cs:fontRef idx="minor">
      <a:schemeClr val="dk1"/>
    </cs:fontRef>
    <cs:spPr>
      <a:ln w="9525">
        <a:solidFill>
          <a:schemeClr val="tx1">
            <a:lumMod val="75000"/>
            <a:lumOff val="25000"/>
          </a:schemeClr>
        </a:solidFill>
      </a:ln>
    </cs:spPr>
  </cs:dropLine>
  <cs:errorBar>
    <cs:lnRef idx="0"/>
    <cs:fillRef idx="0"/>
    <cs:effectRef idx="0"/>
    <cs:fontRef idx="minor">
      <a:schemeClr val="dk1"/>
    </cs:fontRef>
    <cs:spPr>
      <a:ln w="9525">
        <a:solidFill>
          <a:schemeClr val="tx1">
            <a:lumMod val="50000"/>
            <a:lumOff val="50000"/>
          </a:schemeClr>
        </a:solidFill>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75000"/>
            <a:lumOff val="25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50000"/>
        <a:lumOff val="50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prstDash val="dash"/>
      </a:ln>
    </cs:spPr>
  </cs:seriesLine>
  <cs:title>
    <cs:lnRef idx="0"/>
    <cs:fillRef idx="0"/>
    <cs:effectRef idx="0"/>
    <cs:fontRef idx="minor">
      <a:schemeClr val="tx1">
        <a:lumMod val="50000"/>
        <a:lumOff val="50000"/>
      </a:schemeClr>
    </cs:fontRef>
    <cs:defRPr sz="1400" kern="1200" cap="none" spc="20" baseline="0"/>
  </cs:title>
  <cs:trendline>
    <cs:lnRef idx="0">
      <cs:styleClr val="auto"/>
    </cs:lnRef>
    <cs:fillRef idx="2"/>
    <cs:effectRef idx="0"/>
    <cs:fontRef idx="minor">
      <a:schemeClr val="dk1"/>
    </cs:fontRef>
    <cs:spPr>
      <a:ln w="9525" cap="rnd">
        <a:solidFill>
          <a:schemeClr val="phClr"/>
        </a:solidFill>
      </a:ln>
    </cs:spPr>
  </cs:trendline>
  <cs:trendlineLabel>
    <cs:lnRef idx="0"/>
    <cs:fillRef idx="0"/>
    <cs:effectRef idx="0"/>
    <cs:fontRef idx="minor">
      <a:schemeClr val="tx1">
        <a:lumMod val="50000"/>
        <a:lumOff val="50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50000"/>
        <a:lumOff val="50000"/>
      </a:schemeClr>
    </cs:fontRef>
    <cs:defRPr sz="900" kern="1200"/>
  </cs:valueAxis>
  <cs:wall>
    <cs:lnRef idx="0"/>
    <cs:fillRef idx="0"/>
    <cs:effectRef idx="0"/>
    <cs:fontRef idx="minor">
      <a:schemeClr val="dk1"/>
    </cs:fontRef>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1DA08D47-C617-49E1-8440-CADE9646E429}" type="doc">
      <dgm:prSet loTypeId="urn:microsoft.com/office/officeart/2005/8/layout/cycle4" loCatId="relationship" qsTypeId="urn:microsoft.com/office/officeart/2005/8/quickstyle/simple1" qsCatId="simple" csTypeId="urn:microsoft.com/office/officeart/2005/8/colors/accent1_2" csCatId="accent1" phldr="1"/>
      <dgm:spPr/>
      <dgm:t>
        <a:bodyPr/>
        <a:lstStyle/>
        <a:p>
          <a:endParaRPr lang="cs-CZ"/>
        </a:p>
      </dgm:t>
    </dgm:pt>
    <dgm:pt modelId="{F6F25C50-359D-4975-9399-DAEE4AAF59A6}">
      <dgm:prSet phldrT="[Text]" custT="1"/>
      <dgm:spPr>
        <a:noFill/>
        <a:ln>
          <a:solidFill>
            <a:schemeClr val="accent6">
              <a:lumMod val="75000"/>
            </a:schemeClr>
          </a:solidFill>
        </a:ln>
      </dgm:spPr>
      <dgm:t>
        <a:bodyPr/>
        <a:lstStyle/>
        <a:p>
          <a:pPr algn="l"/>
          <a:r>
            <a:rPr lang="cs-CZ" sz="800">
              <a:solidFill>
                <a:sysClr val="windowText" lastClr="000000"/>
              </a:solidFill>
            </a:rPr>
            <a:t>Lidé s nadstandardními digitálními dovednostmi (135,0; 8)</a:t>
          </a:r>
        </a:p>
        <a:p>
          <a:pPr algn="l"/>
          <a:r>
            <a:rPr lang="cs-CZ" sz="800">
              <a:solidFill>
                <a:sysClr val="windowText" lastClr="000000"/>
              </a:solidFill>
            </a:rPr>
            <a:t>Společné publikace veřejného a soukrom. sektoru (129,9; 18)</a:t>
          </a:r>
        </a:p>
        <a:p>
          <a:pPr algn="l"/>
          <a:r>
            <a:rPr lang="cs-CZ" sz="800">
              <a:solidFill>
                <a:sysClr val="windowText" lastClr="000000"/>
              </a:solidFill>
            </a:rPr>
            <a:t>Zahraniční doktorandi jako % všech doktorandů (125,3; 14)</a:t>
          </a:r>
        </a:p>
      </dgm:t>
    </dgm:pt>
    <dgm:pt modelId="{0DDE5825-7F97-466B-9CA2-CDA7F6516CF6}" type="parTrans" cxnId="{AF2EB9E8-2443-4414-A98D-C89A40E889B0}">
      <dgm:prSet/>
      <dgm:spPr/>
      <dgm:t>
        <a:bodyPr/>
        <a:lstStyle/>
        <a:p>
          <a:endParaRPr lang="cs-CZ"/>
        </a:p>
      </dgm:t>
    </dgm:pt>
    <dgm:pt modelId="{6E55D4C0-7D0E-4D4F-9143-AB8E86B0DC1C}" type="sibTrans" cxnId="{AF2EB9E8-2443-4414-A98D-C89A40E889B0}">
      <dgm:prSet/>
      <dgm:spPr/>
      <dgm:t>
        <a:bodyPr/>
        <a:lstStyle/>
        <a:p>
          <a:endParaRPr lang="cs-CZ"/>
        </a:p>
      </dgm:t>
    </dgm:pt>
    <dgm:pt modelId="{E3EEB8F7-CD1F-4BD0-AE48-86697C5370CC}">
      <dgm:prSet phldrT="[Text]" custT="1"/>
      <dgm:spPr>
        <a:solidFill>
          <a:srgbClr val="339933"/>
        </a:solidFill>
        <a:ln>
          <a:noFill/>
        </a:ln>
      </dgm:spPr>
      <dgm:t>
        <a:bodyPr/>
        <a:lstStyle/>
        <a:p>
          <a:r>
            <a:rPr lang="cs-CZ" sz="1050"/>
            <a:t>ČR &gt; 125 % průměru EU27</a:t>
          </a:r>
        </a:p>
      </dgm:t>
    </dgm:pt>
    <dgm:pt modelId="{5ECB03E7-8659-4470-832F-1F8ECFF4B85B}" type="parTrans" cxnId="{90DBFAF1-6BA3-4615-BE81-62A2BE34048E}">
      <dgm:prSet/>
      <dgm:spPr/>
      <dgm:t>
        <a:bodyPr/>
        <a:lstStyle/>
        <a:p>
          <a:endParaRPr lang="cs-CZ"/>
        </a:p>
      </dgm:t>
    </dgm:pt>
    <dgm:pt modelId="{104E82EB-7B92-4DDB-AE70-58E18712D26B}" type="sibTrans" cxnId="{90DBFAF1-6BA3-4615-BE81-62A2BE34048E}">
      <dgm:prSet/>
      <dgm:spPr/>
      <dgm:t>
        <a:bodyPr/>
        <a:lstStyle/>
        <a:p>
          <a:endParaRPr lang="cs-CZ"/>
        </a:p>
      </dgm:t>
    </dgm:pt>
    <dgm:pt modelId="{B5BEC396-FD51-4337-8061-B521AF5736E1}">
      <dgm:prSet phldrT="[Text]" custT="1"/>
      <dgm:spPr>
        <a:noFill/>
        <a:ln>
          <a:solidFill>
            <a:schemeClr val="accent6">
              <a:lumMod val="60000"/>
              <a:lumOff val="40000"/>
            </a:schemeClr>
          </a:solidFill>
        </a:ln>
      </dgm:spPr>
      <dgm:t>
        <a:bodyPr/>
        <a:lstStyle/>
        <a:p>
          <a:r>
            <a:rPr lang="cs-CZ" sz="800">
              <a:solidFill>
                <a:sysClr val="windowText" lastClr="000000"/>
              </a:solidFill>
            </a:rPr>
            <a:t>Export medium a high-tech produktů (114,7; </a:t>
          </a:r>
          <a:r>
            <a:rPr lang="cs-CZ" sz="800">
              <a:solidFill>
                <a:srgbClr val="EE0000"/>
              </a:solidFill>
            </a:rPr>
            <a:t>3</a:t>
          </a:r>
          <a:r>
            <a:rPr lang="cs-CZ" sz="800">
              <a:solidFill>
                <a:sysClr val="windowText" lastClr="000000"/>
              </a:solidFill>
            </a:rPr>
            <a:t>)</a:t>
          </a:r>
        </a:p>
        <a:p>
          <a:r>
            <a:rPr lang="cs-CZ" sz="800">
              <a:solidFill>
                <a:sysClr val="windowText" lastClr="000000"/>
              </a:solidFill>
            </a:rPr>
            <a:t>Prodej inovací nových na trhu a nových pro podniky (109,9; 9)</a:t>
          </a:r>
        </a:p>
        <a:p>
          <a:r>
            <a:rPr lang="cs-CZ" sz="800">
              <a:solidFill>
                <a:sysClr val="windowText" lastClr="000000"/>
              </a:solidFill>
            </a:rPr>
            <a:t>Inovativní MSP spolupracující s ostatními (108,3; 11)</a:t>
          </a:r>
        </a:p>
        <a:p>
          <a:r>
            <a:rPr lang="cs-CZ" sz="800">
              <a:solidFill>
                <a:sysClr val="windowText" lastClr="000000"/>
              </a:solidFill>
            </a:rPr>
            <a:t>Výdaje na inovace mimo VaV (105,0; </a:t>
          </a:r>
          <a:r>
            <a:rPr lang="cs-CZ" sz="800">
              <a:solidFill>
                <a:srgbClr val="EE0000"/>
              </a:solidFill>
            </a:rPr>
            <a:t>7</a:t>
          </a:r>
          <a:r>
            <a:rPr lang="cs-CZ" sz="800">
              <a:solidFill>
                <a:sysClr val="windowText" lastClr="000000"/>
              </a:solidFill>
            </a:rPr>
            <a:t>)</a:t>
          </a:r>
        </a:p>
        <a:p>
          <a:r>
            <a:rPr lang="cs-CZ" sz="800">
              <a:solidFill>
                <a:sysClr val="windowText" lastClr="000000"/>
              </a:solidFill>
            </a:rPr>
            <a:t>Cloud Computing (104,7; 12)</a:t>
          </a:r>
        </a:p>
        <a:p>
          <a:r>
            <a:rPr lang="cs-CZ" sz="800">
              <a:solidFill>
                <a:sysClr val="windowText" lastClr="000000"/>
              </a:solidFill>
            </a:rPr>
            <a:t>MSP zavádějící produktové inovace (103,0; 17)</a:t>
          </a:r>
        </a:p>
        <a:p>
          <a:r>
            <a:rPr lang="cs-CZ" sz="800">
              <a:solidFill>
                <a:sysClr val="windowText" lastClr="000000"/>
              </a:solidFill>
            </a:rPr>
            <a:t>Mezinárodní společné vědecké publikace (102,4; 14)</a:t>
          </a:r>
        </a:p>
        <a:p>
          <a:r>
            <a:rPr lang="cs-CZ" sz="800">
              <a:solidFill>
                <a:sysClr val="windowText" lastClr="000000"/>
              </a:solidFill>
            </a:rPr>
            <a:t>Noví absolventi doktorských programů (100,0; 9)</a:t>
          </a:r>
        </a:p>
        <a:p>
          <a:endParaRPr lang="cs-CZ" sz="800">
            <a:solidFill>
              <a:sysClr val="windowText" lastClr="000000"/>
            </a:solidFill>
          </a:endParaRPr>
        </a:p>
      </dgm:t>
    </dgm:pt>
    <dgm:pt modelId="{389D5169-51E9-492C-85C3-A2CB393CDBDB}" type="parTrans" cxnId="{9837DE21-62FE-483C-B990-E16126DD5696}">
      <dgm:prSet/>
      <dgm:spPr/>
      <dgm:t>
        <a:bodyPr/>
        <a:lstStyle/>
        <a:p>
          <a:endParaRPr lang="cs-CZ"/>
        </a:p>
      </dgm:t>
    </dgm:pt>
    <dgm:pt modelId="{DD45596D-A4AB-4839-962C-23D3ADA31639}" type="sibTrans" cxnId="{9837DE21-62FE-483C-B990-E16126DD5696}">
      <dgm:prSet/>
      <dgm:spPr/>
      <dgm:t>
        <a:bodyPr/>
        <a:lstStyle/>
        <a:p>
          <a:endParaRPr lang="cs-CZ"/>
        </a:p>
      </dgm:t>
    </dgm:pt>
    <dgm:pt modelId="{4D73201C-A5D7-409A-85BF-B8F4BE5B1587}">
      <dgm:prSet phldrT="[Text]" custT="1"/>
      <dgm:spPr>
        <a:solidFill>
          <a:schemeClr val="accent6">
            <a:lumMod val="60000"/>
            <a:lumOff val="40000"/>
            <a:alpha val="90000"/>
          </a:schemeClr>
        </a:solidFill>
        <a:ln>
          <a:noFill/>
        </a:ln>
      </dgm:spPr>
      <dgm:t>
        <a:bodyPr/>
        <a:lstStyle/>
        <a:p>
          <a:pPr algn="r"/>
          <a:r>
            <a:rPr lang="cs-CZ" sz="1050"/>
            <a:t>ČR 100 - 125 % průměru EU27</a:t>
          </a:r>
        </a:p>
      </dgm:t>
    </dgm:pt>
    <dgm:pt modelId="{BF7E4BF5-BA8D-4E78-8DC0-A94BE997623F}" type="parTrans" cxnId="{7BA826C6-90F0-4702-A1A2-EE8BD0D54C92}">
      <dgm:prSet/>
      <dgm:spPr/>
      <dgm:t>
        <a:bodyPr/>
        <a:lstStyle/>
        <a:p>
          <a:endParaRPr lang="cs-CZ"/>
        </a:p>
      </dgm:t>
    </dgm:pt>
    <dgm:pt modelId="{8BD65160-9805-4A89-8627-9798FE66E9FB}" type="sibTrans" cxnId="{7BA826C6-90F0-4702-A1A2-EE8BD0D54C92}">
      <dgm:prSet/>
      <dgm:spPr/>
      <dgm:t>
        <a:bodyPr/>
        <a:lstStyle/>
        <a:p>
          <a:endParaRPr lang="cs-CZ"/>
        </a:p>
      </dgm:t>
    </dgm:pt>
    <dgm:pt modelId="{725DF504-C532-4AFD-90FB-C5773725B5C2}">
      <dgm:prSet phldrT="[Text]" custT="1"/>
      <dgm:spPr>
        <a:noFill/>
        <a:ln>
          <a:solidFill>
            <a:schemeClr val="accent2">
              <a:lumMod val="75000"/>
            </a:schemeClr>
          </a:solidFill>
        </a:ln>
      </dgm:spPr>
      <dgm:t>
        <a:bodyPr/>
        <a:lstStyle/>
        <a:p>
          <a:r>
            <a:rPr lang="cs-CZ" sz="800">
              <a:solidFill>
                <a:sysClr val="windowText" lastClr="000000"/>
              </a:solidFill>
            </a:rPr>
            <a:t>Výdaje na inovace na zaměstnanou osobu (66,8; 13)</a:t>
          </a:r>
        </a:p>
        <a:p>
          <a:r>
            <a:rPr lang="cs-CZ" sz="800">
              <a:solidFill>
                <a:sysClr val="windowText" lastClr="000000"/>
              </a:solidFill>
            </a:rPr>
            <a:t>Přihlášky průmyslových vzorů (63,3; 18)</a:t>
          </a:r>
        </a:p>
        <a:p>
          <a:r>
            <a:rPr lang="cs-CZ" sz="800">
              <a:solidFill>
                <a:sysClr val="windowText" lastClr="000000"/>
              </a:solidFill>
            </a:rPr>
            <a:t>Přímá a nepřímá vládní podpora podnikového VaV (56,6; 14)</a:t>
          </a:r>
        </a:p>
        <a:p>
          <a:r>
            <a:rPr lang="cs-CZ" sz="800">
              <a:solidFill>
                <a:sysClr val="windowText" lastClr="000000"/>
              </a:solidFill>
            </a:rPr>
            <a:t>Export znalostně náročných služeb (55,8; 19)</a:t>
          </a:r>
        </a:p>
        <a:p>
          <a:r>
            <a:rPr lang="cs-CZ" sz="800">
              <a:solidFill>
                <a:sysClr val="windowText" lastClr="000000"/>
              </a:solidFill>
            </a:rPr>
            <a:t>Patentové přihlášky (54,5; 19)</a:t>
          </a:r>
        </a:p>
        <a:p>
          <a:r>
            <a:rPr lang="cs-CZ" sz="800">
              <a:solidFill>
                <a:sysClr val="windowText" lastClr="000000"/>
              </a:solidFill>
            </a:rPr>
            <a:t>Vědecké pubikace mezi 10 % nejcitovanějších (53,2; 22)</a:t>
          </a:r>
        </a:p>
        <a:p>
          <a:r>
            <a:rPr lang="cs-CZ" sz="800">
              <a:solidFill>
                <a:sysClr val="windowText" lastClr="000000"/>
              </a:solidFill>
            </a:rPr>
            <a:t>Přístup k vysokorychlostnímu internetu (52,0; </a:t>
          </a:r>
          <a:r>
            <a:rPr lang="cs-CZ" sz="800">
              <a:solidFill>
                <a:srgbClr val="EE0000"/>
              </a:solidFill>
            </a:rPr>
            <a:t>26</a:t>
          </a:r>
          <a:r>
            <a:rPr lang="cs-CZ" sz="800">
              <a:solidFill>
                <a:sysClr val="windowText" lastClr="000000"/>
              </a:solidFill>
            </a:rPr>
            <a:t>)</a:t>
          </a:r>
        </a:p>
        <a:p>
          <a:r>
            <a:rPr lang="cs-CZ" sz="800">
              <a:solidFill>
                <a:sysClr val="windowText" lastClr="000000"/>
              </a:solidFill>
            </a:rPr>
            <a:t>Produkce CO2 z výroby (51,7; </a:t>
          </a:r>
          <a:r>
            <a:rPr lang="cs-CZ" sz="800">
              <a:solidFill>
                <a:srgbClr val="EE0000"/>
              </a:solidFill>
            </a:rPr>
            <a:t>25</a:t>
          </a:r>
          <a:r>
            <a:rPr lang="cs-CZ" sz="800">
              <a:solidFill>
                <a:sysClr val="windowText" lastClr="000000"/>
              </a:solidFill>
            </a:rPr>
            <a:t>)</a:t>
          </a:r>
        </a:p>
        <a:p>
          <a:r>
            <a:rPr lang="cs-CZ" sz="800">
              <a:solidFill>
                <a:sysClr val="windowText" lastClr="000000"/>
              </a:solidFill>
            </a:rPr>
            <a:t>Mobilita mezi pracovními místy v oblasti HRST (47,9; 22)</a:t>
          </a:r>
        </a:p>
        <a:p>
          <a:r>
            <a:rPr lang="cs-CZ" sz="800">
              <a:solidFill>
                <a:sysClr val="windowText" lastClr="000000"/>
              </a:solidFill>
            </a:rPr>
            <a:t>Produktivita práce (41,9; 19)</a:t>
          </a:r>
        </a:p>
        <a:p>
          <a:r>
            <a:rPr lang="cs-CZ" sz="800">
              <a:solidFill>
                <a:sysClr val="windowText" lastClr="000000"/>
              </a:solidFill>
            </a:rPr>
            <a:t>Populace s terciárním vzděláním (40,1; </a:t>
          </a:r>
          <a:r>
            <a:rPr lang="cs-CZ" sz="800">
              <a:solidFill>
                <a:srgbClr val="EE0000"/>
              </a:solidFill>
            </a:rPr>
            <a:t>24</a:t>
          </a:r>
          <a:r>
            <a:rPr lang="cs-CZ" sz="800">
              <a:solidFill>
                <a:sysClr val="windowText" lastClr="000000"/>
              </a:solidFill>
            </a:rPr>
            <a:t>)</a:t>
          </a:r>
        </a:p>
        <a:p>
          <a:r>
            <a:rPr lang="cs-CZ" sz="800">
              <a:solidFill>
                <a:sysClr val="windowText" lastClr="000000"/>
              </a:solidFill>
            </a:rPr>
            <a:t>Venture capital výdaje (37,8; 17)</a:t>
          </a:r>
        </a:p>
      </dgm:t>
    </dgm:pt>
    <dgm:pt modelId="{D382D65D-BD9B-4142-8A8F-FDDE15282E94}" type="parTrans" cxnId="{E237FC6C-7B13-476F-AE25-0294C35C150D}">
      <dgm:prSet/>
      <dgm:spPr/>
      <dgm:t>
        <a:bodyPr/>
        <a:lstStyle/>
        <a:p>
          <a:endParaRPr lang="cs-CZ"/>
        </a:p>
      </dgm:t>
    </dgm:pt>
    <dgm:pt modelId="{F3510B29-93A6-442E-B94B-9FB45E52DF00}" type="sibTrans" cxnId="{E237FC6C-7B13-476F-AE25-0294C35C150D}">
      <dgm:prSet/>
      <dgm:spPr/>
      <dgm:t>
        <a:bodyPr/>
        <a:lstStyle/>
        <a:p>
          <a:endParaRPr lang="cs-CZ"/>
        </a:p>
      </dgm:t>
    </dgm:pt>
    <dgm:pt modelId="{8DBA4C11-E857-4003-87D1-0388B57642E8}">
      <dgm:prSet phldrT="[Text]" custT="1"/>
      <dgm:spPr>
        <a:solidFill>
          <a:schemeClr val="accent2">
            <a:lumMod val="75000"/>
            <a:alpha val="90000"/>
          </a:schemeClr>
        </a:solidFill>
        <a:ln>
          <a:noFill/>
        </a:ln>
      </dgm:spPr>
      <dgm:t>
        <a:bodyPr/>
        <a:lstStyle/>
        <a:p>
          <a:pPr algn="r"/>
          <a:r>
            <a:rPr lang="cs-CZ" sz="1050"/>
            <a:t>ČR &lt; 70 % průměru EU27</a:t>
          </a:r>
        </a:p>
      </dgm:t>
    </dgm:pt>
    <dgm:pt modelId="{F188B592-9DCB-4AF2-9574-B031244D7E5E}" type="parTrans" cxnId="{68E679AC-17A6-4F4B-BF8A-1FE5E49BC039}">
      <dgm:prSet/>
      <dgm:spPr/>
      <dgm:t>
        <a:bodyPr/>
        <a:lstStyle/>
        <a:p>
          <a:endParaRPr lang="cs-CZ"/>
        </a:p>
      </dgm:t>
    </dgm:pt>
    <dgm:pt modelId="{CE2A56E9-DCC2-465C-9419-DF031ED2AF4D}" type="sibTrans" cxnId="{68E679AC-17A6-4F4B-BF8A-1FE5E49BC039}">
      <dgm:prSet/>
      <dgm:spPr/>
      <dgm:t>
        <a:bodyPr/>
        <a:lstStyle/>
        <a:p>
          <a:endParaRPr lang="cs-CZ"/>
        </a:p>
      </dgm:t>
    </dgm:pt>
    <dgm:pt modelId="{6326F338-6737-47AB-8F9B-591B50173F79}">
      <dgm:prSet phldrT="[Text]" custT="1"/>
      <dgm:spPr>
        <a:noFill/>
        <a:ln>
          <a:solidFill>
            <a:schemeClr val="accent2">
              <a:lumMod val="60000"/>
              <a:lumOff val="40000"/>
            </a:schemeClr>
          </a:solidFill>
        </a:ln>
      </dgm:spPr>
      <dgm:t>
        <a:bodyPr/>
        <a:lstStyle/>
        <a:p>
          <a:r>
            <a:rPr lang="cs-CZ" sz="800">
              <a:solidFill>
                <a:sysClr val="windowText" lastClr="000000"/>
              </a:solidFill>
            </a:rPr>
            <a:t>Žádosti o ochranné známky (91,4; 19)</a:t>
          </a:r>
        </a:p>
        <a:p>
          <a:r>
            <a:rPr lang="cs-CZ" sz="800">
              <a:solidFill>
                <a:sysClr val="windowText" lastClr="000000"/>
              </a:solidFill>
            </a:rPr>
            <a:t>Dovoz high-tech produktů ze zemí mimo EU (90,7; </a:t>
          </a:r>
          <a:r>
            <a:rPr lang="cs-CZ" sz="800">
              <a:solidFill>
                <a:srgbClr val="EE0000"/>
              </a:solidFill>
            </a:rPr>
            <a:t>6</a:t>
          </a:r>
          <a:r>
            <a:rPr lang="cs-CZ" sz="800">
              <a:solidFill>
                <a:sysClr val="windowText" lastClr="000000"/>
              </a:solidFill>
            </a:rPr>
            <a:t>)</a:t>
          </a:r>
        </a:p>
        <a:p>
          <a:r>
            <a:rPr lang="cs-CZ" sz="800">
              <a:solidFill>
                <a:sysClr val="windowText" lastClr="000000"/>
              </a:solidFill>
            </a:rPr>
            <a:t>MSP zavádějící inovace v obchodních procesech (90,4; 16)</a:t>
          </a:r>
        </a:p>
        <a:p>
          <a:r>
            <a:rPr lang="cs-CZ" sz="800">
              <a:solidFill>
                <a:sysClr val="windowText" lastClr="000000"/>
              </a:solidFill>
            </a:rPr>
            <a:t>Zaměstnaní specialisté v oblasti ICT (87,2; 21)</a:t>
          </a:r>
        </a:p>
        <a:p>
          <a:r>
            <a:rPr lang="cs-CZ" sz="800">
              <a:solidFill>
                <a:sysClr val="windowText" lastClr="000000"/>
              </a:solidFill>
            </a:rPr>
            <a:t>Výdaje na VaV ve veřejném sektoru (85,0; 13)</a:t>
          </a:r>
        </a:p>
        <a:p>
          <a:r>
            <a:rPr lang="cs-CZ" sz="800">
              <a:solidFill>
                <a:sysClr val="windowText" lastClr="000000"/>
              </a:solidFill>
            </a:rPr>
            <a:t>Zaměstnanost v inovativních podnicích (80,5; 16)</a:t>
          </a:r>
        </a:p>
        <a:p>
          <a:r>
            <a:rPr lang="cs-CZ" sz="800">
              <a:solidFill>
                <a:sysClr val="windowText" lastClr="000000"/>
              </a:solidFill>
            </a:rPr>
            <a:t>Výdaje naVaV v podnikatelském sektoru (79,3; 11)</a:t>
          </a:r>
        </a:p>
        <a:p>
          <a:r>
            <a:rPr lang="cs-CZ" sz="800">
              <a:solidFill>
                <a:sysClr val="windowText" lastClr="000000"/>
              </a:solidFill>
            </a:rPr>
            <a:t>Počet obyvatel zapojených do celoživotního vzděl. (79,2; 19)</a:t>
          </a:r>
        </a:p>
        <a:p>
          <a:r>
            <a:rPr lang="cs-CZ" sz="800">
              <a:solidFill>
                <a:sysClr val="windowText" lastClr="000000"/>
              </a:solidFill>
            </a:rPr>
            <a:t>Produktivita zdrojů (79,1; 15)</a:t>
          </a:r>
        </a:p>
      </dgm:t>
    </dgm:pt>
    <dgm:pt modelId="{AA6B894C-2CB2-4B8E-9286-2920DE6FBF5B}" type="parTrans" cxnId="{87A820B5-D217-432D-83A9-2E8E80184618}">
      <dgm:prSet/>
      <dgm:spPr/>
      <dgm:t>
        <a:bodyPr/>
        <a:lstStyle/>
        <a:p>
          <a:endParaRPr lang="cs-CZ"/>
        </a:p>
      </dgm:t>
    </dgm:pt>
    <dgm:pt modelId="{03FC0F21-93DD-488E-A89D-B1581C644BBC}" type="sibTrans" cxnId="{87A820B5-D217-432D-83A9-2E8E80184618}">
      <dgm:prSet/>
      <dgm:spPr/>
      <dgm:t>
        <a:bodyPr/>
        <a:lstStyle/>
        <a:p>
          <a:endParaRPr lang="cs-CZ"/>
        </a:p>
      </dgm:t>
    </dgm:pt>
    <dgm:pt modelId="{D658A3B6-0C15-4296-B221-CCC5A0C73B06}">
      <dgm:prSet phldrT="[Text]" custT="1"/>
      <dgm:spPr>
        <a:solidFill>
          <a:schemeClr val="accent2">
            <a:alpha val="90000"/>
          </a:schemeClr>
        </a:solidFill>
        <a:ln>
          <a:noFill/>
        </a:ln>
      </dgm:spPr>
      <dgm:t>
        <a:bodyPr/>
        <a:lstStyle/>
        <a:p>
          <a:r>
            <a:rPr lang="cs-CZ" sz="1050"/>
            <a:t>ČR 70 - 100 % průměru EU27</a:t>
          </a:r>
        </a:p>
      </dgm:t>
    </dgm:pt>
    <dgm:pt modelId="{80AD325F-9017-49C1-AF76-EB38797B35D4}" type="parTrans" cxnId="{0207F598-C329-4F45-9562-E6B960CC728B}">
      <dgm:prSet/>
      <dgm:spPr/>
      <dgm:t>
        <a:bodyPr/>
        <a:lstStyle/>
        <a:p>
          <a:endParaRPr lang="cs-CZ"/>
        </a:p>
      </dgm:t>
    </dgm:pt>
    <dgm:pt modelId="{D4B6D2C1-D273-471A-BE49-25B067AA8485}" type="sibTrans" cxnId="{0207F598-C329-4F45-9562-E6B960CC728B}">
      <dgm:prSet/>
      <dgm:spPr/>
      <dgm:t>
        <a:bodyPr/>
        <a:lstStyle/>
        <a:p>
          <a:endParaRPr lang="cs-CZ"/>
        </a:p>
      </dgm:t>
    </dgm:pt>
    <dgm:pt modelId="{09FFD1B1-4220-4D63-B7EB-5C43F856A24C}">
      <dgm:prSet phldrT="[Text]" custT="1"/>
      <dgm:spPr>
        <a:solidFill>
          <a:srgbClr val="339933"/>
        </a:solidFill>
        <a:ln>
          <a:noFill/>
        </a:ln>
      </dgm:spPr>
      <dgm:t>
        <a:bodyPr/>
        <a:lstStyle/>
        <a:p>
          <a:endParaRPr lang="cs-CZ" sz="1050"/>
        </a:p>
      </dgm:t>
    </dgm:pt>
    <dgm:pt modelId="{B801C6BC-28B6-41DE-8E74-4626DB970812}" type="parTrans" cxnId="{D7990C49-E2BD-414D-B454-78409A76F8EA}">
      <dgm:prSet/>
      <dgm:spPr/>
      <dgm:t>
        <a:bodyPr/>
        <a:lstStyle/>
        <a:p>
          <a:endParaRPr lang="cs-CZ"/>
        </a:p>
      </dgm:t>
    </dgm:pt>
    <dgm:pt modelId="{5F72FCA3-BA82-461D-9FD4-B398725A7962}" type="sibTrans" cxnId="{D7990C49-E2BD-414D-B454-78409A76F8EA}">
      <dgm:prSet/>
      <dgm:spPr/>
      <dgm:t>
        <a:bodyPr/>
        <a:lstStyle/>
        <a:p>
          <a:endParaRPr lang="cs-CZ"/>
        </a:p>
      </dgm:t>
    </dgm:pt>
    <dgm:pt modelId="{2DE192BE-EE12-4B24-B023-00B9241C9C45}">
      <dgm:prSet phldrT="[Text]" custT="1"/>
      <dgm:spPr>
        <a:solidFill>
          <a:srgbClr val="339933"/>
        </a:solidFill>
        <a:ln>
          <a:noFill/>
        </a:ln>
      </dgm:spPr>
      <dgm:t>
        <a:bodyPr/>
        <a:lstStyle/>
        <a:p>
          <a:endParaRPr lang="cs-CZ" sz="1050"/>
        </a:p>
      </dgm:t>
    </dgm:pt>
    <dgm:pt modelId="{8B536E58-CAC6-449F-B53D-E543AD33DD6A}" type="parTrans" cxnId="{34471C35-6315-47B3-BADC-10E61FB83C90}">
      <dgm:prSet/>
      <dgm:spPr/>
      <dgm:t>
        <a:bodyPr/>
        <a:lstStyle/>
        <a:p>
          <a:endParaRPr lang="cs-CZ"/>
        </a:p>
      </dgm:t>
    </dgm:pt>
    <dgm:pt modelId="{C1CF9A8B-3E7F-4CEF-B456-7E659F0D4040}" type="sibTrans" cxnId="{34471C35-6315-47B3-BADC-10E61FB83C90}">
      <dgm:prSet/>
      <dgm:spPr/>
      <dgm:t>
        <a:bodyPr/>
        <a:lstStyle/>
        <a:p>
          <a:endParaRPr lang="cs-CZ"/>
        </a:p>
      </dgm:t>
    </dgm:pt>
    <dgm:pt modelId="{D7E92B26-EFB4-4ED4-8321-E13C98834BBB}" type="pres">
      <dgm:prSet presAssocID="{1DA08D47-C617-49E1-8440-CADE9646E429}" presName="cycleMatrixDiagram" presStyleCnt="0">
        <dgm:presLayoutVars>
          <dgm:chMax val="1"/>
          <dgm:dir/>
          <dgm:animLvl val="lvl"/>
          <dgm:resizeHandles val="exact"/>
        </dgm:presLayoutVars>
      </dgm:prSet>
      <dgm:spPr/>
    </dgm:pt>
    <dgm:pt modelId="{87AC57CE-B914-4B2E-B958-9212F70143F8}" type="pres">
      <dgm:prSet presAssocID="{1DA08D47-C617-49E1-8440-CADE9646E429}" presName="children" presStyleCnt="0"/>
      <dgm:spPr/>
    </dgm:pt>
    <dgm:pt modelId="{0F5931F0-8164-403A-B5AA-ECB5AA82EDA2}" type="pres">
      <dgm:prSet presAssocID="{1DA08D47-C617-49E1-8440-CADE9646E429}" presName="child1group" presStyleCnt="0"/>
      <dgm:spPr/>
    </dgm:pt>
    <dgm:pt modelId="{32AB70D7-6901-4BCE-8C47-9FF0C89458DF}" type="pres">
      <dgm:prSet presAssocID="{1DA08D47-C617-49E1-8440-CADE9646E429}" presName="child1" presStyleLbl="bgAcc1" presStyleIdx="0" presStyleCnt="4" custScaleX="112362" custScaleY="23077" custLinFactNeighborX="-6786" custLinFactNeighborY="-30839"/>
      <dgm:spPr/>
    </dgm:pt>
    <dgm:pt modelId="{F803B6E6-C95C-499D-B035-C819332C70DB}" type="pres">
      <dgm:prSet presAssocID="{1DA08D47-C617-49E1-8440-CADE9646E429}" presName="child1Text" presStyleLbl="bgAcc1" presStyleIdx="0" presStyleCnt="4">
        <dgm:presLayoutVars>
          <dgm:bulletEnabled val="1"/>
        </dgm:presLayoutVars>
      </dgm:prSet>
      <dgm:spPr/>
    </dgm:pt>
    <dgm:pt modelId="{13AD5F2B-5F8D-47C3-9924-73A0FBE10847}" type="pres">
      <dgm:prSet presAssocID="{1DA08D47-C617-49E1-8440-CADE9646E429}" presName="child2group" presStyleCnt="0"/>
      <dgm:spPr/>
    </dgm:pt>
    <dgm:pt modelId="{9D5670ED-E671-4A83-BF34-E669438AC78A}" type="pres">
      <dgm:prSet presAssocID="{1DA08D47-C617-49E1-8440-CADE9646E429}" presName="child2" presStyleLbl="bgAcc1" presStyleIdx="1" presStyleCnt="4" custScaleX="122771" custScaleY="24098" custLinFactNeighborX="547" custLinFactNeighborY="-30837"/>
      <dgm:spPr/>
    </dgm:pt>
    <dgm:pt modelId="{2D7AAD93-5507-4FB2-A3D1-0705D943AB22}" type="pres">
      <dgm:prSet presAssocID="{1DA08D47-C617-49E1-8440-CADE9646E429}" presName="child2Text" presStyleLbl="bgAcc1" presStyleIdx="1" presStyleCnt="4">
        <dgm:presLayoutVars>
          <dgm:bulletEnabled val="1"/>
        </dgm:presLayoutVars>
      </dgm:prSet>
      <dgm:spPr/>
    </dgm:pt>
    <dgm:pt modelId="{D299A898-5661-4328-9E3B-4F3AACC1DB58}" type="pres">
      <dgm:prSet presAssocID="{1DA08D47-C617-49E1-8440-CADE9646E429}" presName="child3group" presStyleCnt="0"/>
      <dgm:spPr/>
    </dgm:pt>
    <dgm:pt modelId="{29CFF78E-40F0-492D-B530-12483D6F4725}" type="pres">
      <dgm:prSet presAssocID="{1DA08D47-C617-49E1-8440-CADE9646E429}" presName="child3" presStyleLbl="bgAcc1" presStyleIdx="2" presStyleCnt="4" custScaleX="126615" custScaleY="20385" custLinFactNeighborX="-4937" custLinFactNeighborY="37847"/>
      <dgm:spPr/>
    </dgm:pt>
    <dgm:pt modelId="{3551E034-C202-4395-92DA-82973BAAAF89}" type="pres">
      <dgm:prSet presAssocID="{1DA08D47-C617-49E1-8440-CADE9646E429}" presName="child3Text" presStyleLbl="bgAcc1" presStyleIdx="2" presStyleCnt="4">
        <dgm:presLayoutVars>
          <dgm:bulletEnabled val="1"/>
        </dgm:presLayoutVars>
      </dgm:prSet>
      <dgm:spPr/>
    </dgm:pt>
    <dgm:pt modelId="{A6C6F49F-24B0-4304-A3FD-256D6A64E738}" type="pres">
      <dgm:prSet presAssocID="{1DA08D47-C617-49E1-8440-CADE9646E429}" presName="child4group" presStyleCnt="0"/>
      <dgm:spPr/>
    </dgm:pt>
    <dgm:pt modelId="{DDD54D6A-2721-4224-9267-602977A40651}" type="pres">
      <dgm:prSet presAssocID="{1DA08D47-C617-49E1-8440-CADE9646E429}" presName="child4" presStyleLbl="bgAcc1" presStyleIdx="3" presStyleCnt="4" custScaleX="125455" custScaleY="20924" custLinFactNeighborX="1831" custLinFactNeighborY="38117"/>
      <dgm:spPr/>
    </dgm:pt>
    <dgm:pt modelId="{0A4E0E0F-479A-4B59-8DA9-905554F94B48}" type="pres">
      <dgm:prSet presAssocID="{1DA08D47-C617-49E1-8440-CADE9646E429}" presName="child4Text" presStyleLbl="bgAcc1" presStyleIdx="3" presStyleCnt="4">
        <dgm:presLayoutVars>
          <dgm:bulletEnabled val="1"/>
        </dgm:presLayoutVars>
      </dgm:prSet>
      <dgm:spPr/>
    </dgm:pt>
    <dgm:pt modelId="{72925D82-4026-4C8C-A887-F705FD2A1D2F}" type="pres">
      <dgm:prSet presAssocID="{1DA08D47-C617-49E1-8440-CADE9646E429}" presName="childPlaceholder" presStyleCnt="0"/>
      <dgm:spPr/>
    </dgm:pt>
    <dgm:pt modelId="{D57AF59A-0C99-4018-93FE-140D937B52AA}" type="pres">
      <dgm:prSet presAssocID="{1DA08D47-C617-49E1-8440-CADE9646E429}" presName="circle" presStyleCnt="0"/>
      <dgm:spPr/>
    </dgm:pt>
    <dgm:pt modelId="{A761B40C-2353-4783-A7B5-CA7E7994F6F1}" type="pres">
      <dgm:prSet presAssocID="{1DA08D47-C617-49E1-8440-CADE9646E429}" presName="quadrant1" presStyleLbl="node1" presStyleIdx="0" presStyleCnt="4" custScaleX="153365" custScaleY="98652" custLinFactNeighborX="-28507" custLinFactNeighborY="4387">
        <dgm:presLayoutVars>
          <dgm:chMax val="1"/>
          <dgm:bulletEnabled val="1"/>
        </dgm:presLayoutVars>
      </dgm:prSet>
      <dgm:spPr>
        <a:prstGeom prst="flowChartAlternateProcess">
          <a:avLst/>
        </a:prstGeom>
      </dgm:spPr>
    </dgm:pt>
    <dgm:pt modelId="{5BF3ACFC-9EDB-40C3-B98F-A55B87EE6667}" type="pres">
      <dgm:prSet presAssocID="{1DA08D47-C617-49E1-8440-CADE9646E429}" presName="quadrant2" presStyleLbl="node1" presStyleIdx="1" presStyleCnt="4" custScaleX="155754" custScaleY="97937" custLinFactNeighborX="28719" custLinFactNeighborY="5185">
        <dgm:presLayoutVars>
          <dgm:chMax val="1"/>
          <dgm:bulletEnabled val="1"/>
        </dgm:presLayoutVars>
      </dgm:prSet>
      <dgm:spPr>
        <a:prstGeom prst="flowChartAlternateProcess">
          <a:avLst/>
        </a:prstGeom>
      </dgm:spPr>
    </dgm:pt>
    <dgm:pt modelId="{42E4343E-730B-4419-84B1-B9D64AFD50D4}" type="pres">
      <dgm:prSet presAssocID="{1DA08D47-C617-49E1-8440-CADE9646E429}" presName="quadrant3" presStyleLbl="node1" presStyleIdx="2" presStyleCnt="4" custScaleX="159184" custLinFactNeighborX="27921" custLinFactNeighborY="1995">
        <dgm:presLayoutVars>
          <dgm:chMax val="1"/>
          <dgm:bulletEnabled val="1"/>
        </dgm:presLayoutVars>
      </dgm:prSet>
      <dgm:spPr>
        <a:prstGeom prst="flowChartAlternateProcess">
          <a:avLst/>
        </a:prstGeom>
      </dgm:spPr>
    </dgm:pt>
    <dgm:pt modelId="{D8887869-05CC-4A4C-A847-39229A9C8458}" type="pres">
      <dgm:prSet presAssocID="{1DA08D47-C617-49E1-8440-CADE9646E429}" presName="quadrant4" presStyleLbl="node1" presStyleIdx="3" presStyleCnt="4" custScaleX="154188" custLinFactNeighborX="-28906" custLinFactNeighborY="2393">
        <dgm:presLayoutVars>
          <dgm:chMax val="1"/>
          <dgm:bulletEnabled val="1"/>
        </dgm:presLayoutVars>
      </dgm:prSet>
      <dgm:spPr>
        <a:prstGeom prst="flowChartAlternateProcess">
          <a:avLst/>
        </a:prstGeom>
      </dgm:spPr>
    </dgm:pt>
    <dgm:pt modelId="{765850CF-F93D-4786-BB3C-F67987010117}" type="pres">
      <dgm:prSet presAssocID="{1DA08D47-C617-49E1-8440-CADE9646E429}" presName="quadrantPlaceholder" presStyleCnt="0"/>
      <dgm:spPr/>
    </dgm:pt>
    <dgm:pt modelId="{57560A1D-A8E9-4B09-A7A7-D376275AA7B6}" type="pres">
      <dgm:prSet presAssocID="{1DA08D47-C617-49E1-8440-CADE9646E429}" presName="center1" presStyleLbl="fgShp" presStyleIdx="0" presStyleCnt="2" custFlipHor="1" custScaleX="28957" custScaleY="40626" custLinFactX="200000" custLinFactNeighborX="225661" custLinFactNeighborY="13320"/>
      <dgm:spPr>
        <a:noFill/>
        <a:ln>
          <a:noFill/>
        </a:ln>
      </dgm:spPr>
    </dgm:pt>
    <dgm:pt modelId="{DB5D8188-F908-414C-A8D5-777DA377E52A}" type="pres">
      <dgm:prSet presAssocID="{1DA08D47-C617-49E1-8440-CADE9646E429}" presName="center2" presStyleLbl="fgShp" presStyleIdx="1" presStyleCnt="2" custFlipVert="1" custFlipHor="1" custScaleX="9556" custScaleY="77589" custLinFactX="200000" custLinFactNeighborX="240140" custLinFactNeighborY="-18315"/>
      <dgm:spPr>
        <a:noFill/>
        <a:ln>
          <a:noFill/>
        </a:ln>
      </dgm:spPr>
    </dgm:pt>
  </dgm:ptLst>
  <dgm:cxnLst>
    <dgm:cxn modelId="{E07FB10A-FCD3-475F-8FAF-C2A5447A43F7}" type="presOf" srcId="{4D73201C-A5D7-409A-85BF-B8F4BE5B1587}" destId="{2D7AAD93-5507-4FB2-A3D1-0705D943AB22}" srcOrd="1" destOrd="0" presId="urn:microsoft.com/office/officeart/2005/8/layout/cycle4"/>
    <dgm:cxn modelId="{18F9700F-3B7D-47A5-AEA2-96C2C7114F04}" type="presOf" srcId="{D658A3B6-0C15-4296-B221-CCC5A0C73B06}" destId="{0A4E0E0F-479A-4B59-8DA9-905554F94B48}" srcOrd="1" destOrd="0" presId="urn:microsoft.com/office/officeart/2005/8/layout/cycle4"/>
    <dgm:cxn modelId="{581E9713-4549-4DDA-8856-F04987652645}" type="presOf" srcId="{E3EEB8F7-CD1F-4BD0-AE48-86697C5370CC}" destId="{F803B6E6-C95C-499D-B035-C819332C70DB}" srcOrd="1" destOrd="0" presId="urn:microsoft.com/office/officeart/2005/8/layout/cycle4"/>
    <dgm:cxn modelId="{F8CAE31C-0A5D-4694-96AB-7116337C79AE}" type="presOf" srcId="{4D73201C-A5D7-409A-85BF-B8F4BE5B1587}" destId="{9D5670ED-E671-4A83-BF34-E669438AC78A}" srcOrd="0" destOrd="0" presId="urn:microsoft.com/office/officeart/2005/8/layout/cycle4"/>
    <dgm:cxn modelId="{B3CD351E-EA4E-455D-8E59-1DB6CA87173D}" type="presOf" srcId="{6326F338-6737-47AB-8F9B-591B50173F79}" destId="{D8887869-05CC-4A4C-A847-39229A9C8458}" srcOrd="0" destOrd="0" presId="urn:microsoft.com/office/officeart/2005/8/layout/cycle4"/>
    <dgm:cxn modelId="{9837DE21-62FE-483C-B990-E16126DD5696}" srcId="{1DA08D47-C617-49E1-8440-CADE9646E429}" destId="{B5BEC396-FD51-4337-8061-B521AF5736E1}" srcOrd="1" destOrd="0" parTransId="{389D5169-51E9-492C-85C3-A2CB393CDBDB}" sibTransId="{DD45596D-A4AB-4839-962C-23D3ADA31639}"/>
    <dgm:cxn modelId="{A51ABC30-AE12-4EA4-A579-260EF8063A61}" type="presOf" srcId="{E3EEB8F7-CD1F-4BD0-AE48-86697C5370CC}" destId="{32AB70D7-6901-4BCE-8C47-9FF0C89458DF}" srcOrd="0" destOrd="0" presId="urn:microsoft.com/office/officeart/2005/8/layout/cycle4"/>
    <dgm:cxn modelId="{34471C35-6315-47B3-BADC-10E61FB83C90}" srcId="{F6F25C50-359D-4975-9399-DAEE4AAF59A6}" destId="{2DE192BE-EE12-4B24-B023-00B9241C9C45}" srcOrd="2" destOrd="0" parTransId="{8B536E58-CAC6-449F-B53D-E543AD33DD6A}" sibTransId="{C1CF9A8B-3E7F-4CEF-B456-7E659F0D4040}"/>
    <dgm:cxn modelId="{D7990C49-E2BD-414D-B454-78409A76F8EA}" srcId="{F6F25C50-359D-4975-9399-DAEE4AAF59A6}" destId="{09FFD1B1-4220-4D63-B7EB-5C43F856A24C}" srcOrd="1" destOrd="0" parTransId="{B801C6BC-28B6-41DE-8E74-4626DB970812}" sibTransId="{5F72FCA3-BA82-461D-9FD4-B398725A7962}"/>
    <dgm:cxn modelId="{01B65169-8F37-484F-AF49-E90A9A5AFC54}" type="presOf" srcId="{725DF504-C532-4AFD-90FB-C5773725B5C2}" destId="{42E4343E-730B-4419-84B1-B9D64AFD50D4}" srcOrd="0" destOrd="0" presId="urn:microsoft.com/office/officeart/2005/8/layout/cycle4"/>
    <dgm:cxn modelId="{E237FC6C-7B13-476F-AE25-0294C35C150D}" srcId="{1DA08D47-C617-49E1-8440-CADE9646E429}" destId="{725DF504-C532-4AFD-90FB-C5773725B5C2}" srcOrd="2" destOrd="0" parTransId="{D382D65D-BD9B-4142-8A8F-FDDE15282E94}" sibTransId="{F3510B29-93A6-442E-B94B-9FB45E52DF00}"/>
    <dgm:cxn modelId="{CA794252-A44F-49C8-A9DB-35332B708BA9}" type="presOf" srcId="{1DA08D47-C617-49E1-8440-CADE9646E429}" destId="{D7E92B26-EFB4-4ED4-8321-E13C98834BBB}" srcOrd="0" destOrd="0" presId="urn:microsoft.com/office/officeart/2005/8/layout/cycle4"/>
    <dgm:cxn modelId="{F1190253-2B7B-4358-8202-170F287EF623}" type="presOf" srcId="{2DE192BE-EE12-4B24-B023-00B9241C9C45}" destId="{F803B6E6-C95C-499D-B035-C819332C70DB}" srcOrd="1" destOrd="2" presId="urn:microsoft.com/office/officeart/2005/8/layout/cycle4"/>
    <dgm:cxn modelId="{0CF0D277-78FC-4AB2-83C1-3A51139E2818}" type="presOf" srcId="{B5BEC396-FD51-4337-8061-B521AF5736E1}" destId="{5BF3ACFC-9EDB-40C3-B98F-A55B87EE6667}" srcOrd="0" destOrd="0" presId="urn:microsoft.com/office/officeart/2005/8/layout/cycle4"/>
    <dgm:cxn modelId="{3814375A-368F-4AB2-8A9A-9548D4C3D0CA}" type="presOf" srcId="{2DE192BE-EE12-4B24-B023-00B9241C9C45}" destId="{32AB70D7-6901-4BCE-8C47-9FF0C89458DF}" srcOrd="0" destOrd="2" presId="urn:microsoft.com/office/officeart/2005/8/layout/cycle4"/>
    <dgm:cxn modelId="{24E53B7B-9060-4AD5-A317-4B00E28C9FA1}" type="presOf" srcId="{09FFD1B1-4220-4D63-B7EB-5C43F856A24C}" destId="{32AB70D7-6901-4BCE-8C47-9FF0C89458DF}" srcOrd="0" destOrd="1" presId="urn:microsoft.com/office/officeart/2005/8/layout/cycle4"/>
    <dgm:cxn modelId="{35777F85-9639-4E51-A803-26DACC954C3A}" type="presOf" srcId="{D658A3B6-0C15-4296-B221-CCC5A0C73B06}" destId="{DDD54D6A-2721-4224-9267-602977A40651}" srcOrd="0" destOrd="0" presId="urn:microsoft.com/office/officeart/2005/8/layout/cycle4"/>
    <dgm:cxn modelId="{3B9CA485-A6AE-4C4E-B066-66BBA25BC1F6}" type="presOf" srcId="{8DBA4C11-E857-4003-87D1-0388B57642E8}" destId="{3551E034-C202-4395-92DA-82973BAAAF89}" srcOrd="1" destOrd="0" presId="urn:microsoft.com/office/officeart/2005/8/layout/cycle4"/>
    <dgm:cxn modelId="{0207F598-C329-4F45-9562-E6B960CC728B}" srcId="{6326F338-6737-47AB-8F9B-591B50173F79}" destId="{D658A3B6-0C15-4296-B221-CCC5A0C73B06}" srcOrd="0" destOrd="0" parTransId="{80AD325F-9017-49C1-AF76-EB38797B35D4}" sibTransId="{D4B6D2C1-D273-471A-BE49-25B067AA8485}"/>
    <dgm:cxn modelId="{68E679AC-17A6-4F4B-BF8A-1FE5E49BC039}" srcId="{725DF504-C532-4AFD-90FB-C5773725B5C2}" destId="{8DBA4C11-E857-4003-87D1-0388B57642E8}" srcOrd="0" destOrd="0" parTransId="{F188B592-9DCB-4AF2-9574-B031244D7E5E}" sibTransId="{CE2A56E9-DCC2-465C-9419-DF031ED2AF4D}"/>
    <dgm:cxn modelId="{87A820B5-D217-432D-83A9-2E8E80184618}" srcId="{1DA08D47-C617-49E1-8440-CADE9646E429}" destId="{6326F338-6737-47AB-8F9B-591B50173F79}" srcOrd="3" destOrd="0" parTransId="{AA6B894C-2CB2-4B8E-9286-2920DE6FBF5B}" sibTransId="{03FC0F21-93DD-488E-A89D-B1581C644BBC}"/>
    <dgm:cxn modelId="{0F857FB6-9060-4F4A-ADDF-C13EC8C5B3B7}" type="presOf" srcId="{8DBA4C11-E857-4003-87D1-0388B57642E8}" destId="{29CFF78E-40F0-492D-B530-12483D6F4725}" srcOrd="0" destOrd="0" presId="urn:microsoft.com/office/officeart/2005/8/layout/cycle4"/>
    <dgm:cxn modelId="{5E9C65C5-D32E-4BCB-BF57-EC26E4A355E6}" type="presOf" srcId="{09FFD1B1-4220-4D63-B7EB-5C43F856A24C}" destId="{F803B6E6-C95C-499D-B035-C819332C70DB}" srcOrd="1" destOrd="1" presId="urn:microsoft.com/office/officeart/2005/8/layout/cycle4"/>
    <dgm:cxn modelId="{7BA826C6-90F0-4702-A1A2-EE8BD0D54C92}" srcId="{B5BEC396-FD51-4337-8061-B521AF5736E1}" destId="{4D73201C-A5D7-409A-85BF-B8F4BE5B1587}" srcOrd="0" destOrd="0" parTransId="{BF7E4BF5-BA8D-4E78-8DC0-A94BE997623F}" sibTransId="{8BD65160-9805-4A89-8627-9798FE66E9FB}"/>
    <dgm:cxn modelId="{D9D05DE8-5E68-4B59-A16F-40BCD0DF25A1}" type="presOf" srcId="{F6F25C50-359D-4975-9399-DAEE4AAF59A6}" destId="{A761B40C-2353-4783-A7B5-CA7E7994F6F1}" srcOrd="0" destOrd="0" presId="urn:microsoft.com/office/officeart/2005/8/layout/cycle4"/>
    <dgm:cxn modelId="{AF2EB9E8-2443-4414-A98D-C89A40E889B0}" srcId="{1DA08D47-C617-49E1-8440-CADE9646E429}" destId="{F6F25C50-359D-4975-9399-DAEE4AAF59A6}" srcOrd="0" destOrd="0" parTransId="{0DDE5825-7F97-466B-9CA2-CDA7F6516CF6}" sibTransId="{6E55D4C0-7D0E-4D4F-9143-AB8E86B0DC1C}"/>
    <dgm:cxn modelId="{90DBFAF1-6BA3-4615-BE81-62A2BE34048E}" srcId="{F6F25C50-359D-4975-9399-DAEE4AAF59A6}" destId="{E3EEB8F7-CD1F-4BD0-AE48-86697C5370CC}" srcOrd="0" destOrd="0" parTransId="{5ECB03E7-8659-4470-832F-1F8ECFF4B85B}" sibTransId="{104E82EB-7B92-4DDB-AE70-58E18712D26B}"/>
    <dgm:cxn modelId="{C1E44B10-ECD4-42C2-916A-5B0766D4B439}" type="presParOf" srcId="{D7E92B26-EFB4-4ED4-8321-E13C98834BBB}" destId="{87AC57CE-B914-4B2E-B958-9212F70143F8}" srcOrd="0" destOrd="0" presId="urn:microsoft.com/office/officeart/2005/8/layout/cycle4"/>
    <dgm:cxn modelId="{A86DA64D-2DEC-4F7F-BCE1-2740D2A9C965}" type="presParOf" srcId="{87AC57CE-B914-4B2E-B958-9212F70143F8}" destId="{0F5931F0-8164-403A-B5AA-ECB5AA82EDA2}" srcOrd="0" destOrd="0" presId="urn:microsoft.com/office/officeart/2005/8/layout/cycle4"/>
    <dgm:cxn modelId="{508283CC-C713-49AE-8BE9-F62C946774BF}" type="presParOf" srcId="{0F5931F0-8164-403A-B5AA-ECB5AA82EDA2}" destId="{32AB70D7-6901-4BCE-8C47-9FF0C89458DF}" srcOrd="0" destOrd="0" presId="urn:microsoft.com/office/officeart/2005/8/layout/cycle4"/>
    <dgm:cxn modelId="{FF1ABE42-C215-4364-BF0E-5E387B302111}" type="presParOf" srcId="{0F5931F0-8164-403A-B5AA-ECB5AA82EDA2}" destId="{F803B6E6-C95C-499D-B035-C819332C70DB}" srcOrd="1" destOrd="0" presId="urn:microsoft.com/office/officeart/2005/8/layout/cycle4"/>
    <dgm:cxn modelId="{B2D819CC-C0D2-4E5D-B419-4B1300A85B10}" type="presParOf" srcId="{87AC57CE-B914-4B2E-B958-9212F70143F8}" destId="{13AD5F2B-5F8D-47C3-9924-73A0FBE10847}" srcOrd="1" destOrd="0" presId="urn:microsoft.com/office/officeart/2005/8/layout/cycle4"/>
    <dgm:cxn modelId="{07AC2BF6-71AD-404A-9A30-0CC2624BB89D}" type="presParOf" srcId="{13AD5F2B-5F8D-47C3-9924-73A0FBE10847}" destId="{9D5670ED-E671-4A83-BF34-E669438AC78A}" srcOrd="0" destOrd="0" presId="urn:microsoft.com/office/officeart/2005/8/layout/cycle4"/>
    <dgm:cxn modelId="{60038A12-DBF9-4362-994B-2B0133D1F30C}" type="presParOf" srcId="{13AD5F2B-5F8D-47C3-9924-73A0FBE10847}" destId="{2D7AAD93-5507-4FB2-A3D1-0705D943AB22}" srcOrd="1" destOrd="0" presId="urn:microsoft.com/office/officeart/2005/8/layout/cycle4"/>
    <dgm:cxn modelId="{A06963CF-54F5-4079-A040-365EFEA59A4D}" type="presParOf" srcId="{87AC57CE-B914-4B2E-B958-9212F70143F8}" destId="{D299A898-5661-4328-9E3B-4F3AACC1DB58}" srcOrd="2" destOrd="0" presId="urn:microsoft.com/office/officeart/2005/8/layout/cycle4"/>
    <dgm:cxn modelId="{70762FE6-A1D5-42C8-A342-278C6DE88B58}" type="presParOf" srcId="{D299A898-5661-4328-9E3B-4F3AACC1DB58}" destId="{29CFF78E-40F0-492D-B530-12483D6F4725}" srcOrd="0" destOrd="0" presId="urn:microsoft.com/office/officeart/2005/8/layout/cycle4"/>
    <dgm:cxn modelId="{76D82A36-33E5-4D9F-B469-004DBCD4FF66}" type="presParOf" srcId="{D299A898-5661-4328-9E3B-4F3AACC1DB58}" destId="{3551E034-C202-4395-92DA-82973BAAAF89}" srcOrd="1" destOrd="0" presId="urn:microsoft.com/office/officeart/2005/8/layout/cycle4"/>
    <dgm:cxn modelId="{80DEBA90-F725-41B5-979B-706BDD3BF4C2}" type="presParOf" srcId="{87AC57CE-B914-4B2E-B958-9212F70143F8}" destId="{A6C6F49F-24B0-4304-A3FD-256D6A64E738}" srcOrd="3" destOrd="0" presId="urn:microsoft.com/office/officeart/2005/8/layout/cycle4"/>
    <dgm:cxn modelId="{346E7323-EB0B-491B-9E57-CE4498CE2171}" type="presParOf" srcId="{A6C6F49F-24B0-4304-A3FD-256D6A64E738}" destId="{DDD54D6A-2721-4224-9267-602977A40651}" srcOrd="0" destOrd="0" presId="urn:microsoft.com/office/officeart/2005/8/layout/cycle4"/>
    <dgm:cxn modelId="{16F0590F-0265-48D5-9494-8F4D5CCA105B}" type="presParOf" srcId="{A6C6F49F-24B0-4304-A3FD-256D6A64E738}" destId="{0A4E0E0F-479A-4B59-8DA9-905554F94B48}" srcOrd="1" destOrd="0" presId="urn:microsoft.com/office/officeart/2005/8/layout/cycle4"/>
    <dgm:cxn modelId="{5A96515D-83E9-4C10-8592-D7C8D7E1CEC0}" type="presParOf" srcId="{87AC57CE-B914-4B2E-B958-9212F70143F8}" destId="{72925D82-4026-4C8C-A887-F705FD2A1D2F}" srcOrd="4" destOrd="0" presId="urn:microsoft.com/office/officeart/2005/8/layout/cycle4"/>
    <dgm:cxn modelId="{ED55A13F-11B0-4BD3-B854-B7FCD4300F0C}" type="presParOf" srcId="{D7E92B26-EFB4-4ED4-8321-E13C98834BBB}" destId="{D57AF59A-0C99-4018-93FE-140D937B52AA}" srcOrd="1" destOrd="0" presId="urn:microsoft.com/office/officeart/2005/8/layout/cycle4"/>
    <dgm:cxn modelId="{DBBB8F24-C111-429A-BF5A-A82AF63A4CB1}" type="presParOf" srcId="{D57AF59A-0C99-4018-93FE-140D937B52AA}" destId="{A761B40C-2353-4783-A7B5-CA7E7994F6F1}" srcOrd="0" destOrd="0" presId="urn:microsoft.com/office/officeart/2005/8/layout/cycle4"/>
    <dgm:cxn modelId="{53688421-D149-4319-8520-291A9BA70D66}" type="presParOf" srcId="{D57AF59A-0C99-4018-93FE-140D937B52AA}" destId="{5BF3ACFC-9EDB-40C3-B98F-A55B87EE6667}" srcOrd="1" destOrd="0" presId="urn:microsoft.com/office/officeart/2005/8/layout/cycle4"/>
    <dgm:cxn modelId="{BDC4FC66-D809-40BE-952F-290D6BC42607}" type="presParOf" srcId="{D57AF59A-0C99-4018-93FE-140D937B52AA}" destId="{42E4343E-730B-4419-84B1-B9D64AFD50D4}" srcOrd="2" destOrd="0" presId="urn:microsoft.com/office/officeart/2005/8/layout/cycle4"/>
    <dgm:cxn modelId="{B3DB5432-C6FB-4DF1-826E-FCCE637E43C8}" type="presParOf" srcId="{D57AF59A-0C99-4018-93FE-140D937B52AA}" destId="{D8887869-05CC-4A4C-A847-39229A9C8458}" srcOrd="3" destOrd="0" presId="urn:microsoft.com/office/officeart/2005/8/layout/cycle4"/>
    <dgm:cxn modelId="{BCF3E4E5-EA1E-4AA1-9487-FD5D42115C2F}" type="presParOf" srcId="{D57AF59A-0C99-4018-93FE-140D937B52AA}" destId="{765850CF-F93D-4786-BB3C-F67987010117}" srcOrd="4" destOrd="0" presId="urn:microsoft.com/office/officeart/2005/8/layout/cycle4"/>
    <dgm:cxn modelId="{4666C1EB-56AA-48A2-847A-2E5DE13053F0}" type="presParOf" srcId="{D7E92B26-EFB4-4ED4-8321-E13C98834BBB}" destId="{57560A1D-A8E9-4B09-A7A7-D376275AA7B6}" srcOrd="2" destOrd="0" presId="urn:microsoft.com/office/officeart/2005/8/layout/cycle4"/>
    <dgm:cxn modelId="{B029CEE5-FCA2-4504-B35C-D7AB215C2DFC}" type="presParOf" srcId="{D7E92B26-EFB4-4ED4-8321-E13C98834BBB}" destId="{DB5D8188-F908-414C-A8D5-777DA377E52A}" srcOrd="3" destOrd="0" presId="urn:microsoft.com/office/officeart/2005/8/layout/cycle4"/>
  </dgm:cxnLst>
  <dgm:bg/>
  <dgm:whole/>
  <dgm:extLst>
    <a:ext uri="http://schemas.microsoft.com/office/drawing/2008/diagram">
      <dsp:dataModelExt xmlns:dsp="http://schemas.microsoft.com/office/drawing/2008/diagram" relId="rId9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9CFF78E-40F0-492D-B530-12483D6F4725}">
      <dsp:nvSpPr>
        <dsp:cNvPr id="0" name=""/>
        <dsp:cNvSpPr/>
      </dsp:nvSpPr>
      <dsp:spPr>
        <a:xfrm>
          <a:off x="3240003" y="3891927"/>
          <a:ext cx="2621787" cy="273429"/>
        </a:xfrm>
        <a:prstGeom prst="roundRect">
          <a:avLst>
            <a:gd name="adj" fmla="val 10000"/>
          </a:avLst>
        </a:prstGeom>
        <a:solidFill>
          <a:schemeClr val="accent2">
            <a:lumMod val="75000"/>
            <a:alpha val="90000"/>
          </a:schemeClr>
        </a:solidFill>
        <a:ln w="25400" cap="flat" cmpd="sng" algn="ctr">
          <a:no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t" anchorCtr="0">
          <a:noAutofit/>
        </a:bodyPr>
        <a:lstStyle/>
        <a:p>
          <a:pPr marL="57150" lvl="1" indent="-57150" algn="r" defTabSz="466725">
            <a:lnSpc>
              <a:spcPct val="90000"/>
            </a:lnSpc>
            <a:spcBef>
              <a:spcPct val="0"/>
            </a:spcBef>
            <a:spcAft>
              <a:spcPct val="15000"/>
            </a:spcAft>
            <a:buChar char="•"/>
          </a:pPr>
          <a:r>
            <a:rPr lang="cs-CZ" sz="1050" kern="1200"/>
            <a:t>ČR &lt; 70 % průměru EU27</a:t>
          </a:r>
        </a:p>
      </dsp:txBody>
      <dsp:txXfrm>
        <a:off x="4032545" y="3966290"/>
        <a:ext cx="1823239" cy="193060"/>
      </dsp:txXfrm>
    </dsp:sp>
    <dsp:sp modelId="{DDD54D6A-2721-4224-9267-602977A40651}">
      <dsp:nvSpPr>
        <dsp:cNvPr id="0" name=""/>
        <dsp:cNvSpPr/>
      </dsp:nvSpPr>
      <dsp:spPr>
        <a:xfrm>
          <a:off x="13683" y="3891933"/>
          <a:ext cx="2597767" cy="280659"/>
        </a:xfrm>
        <a:prstGeom prst="roundRect">
          <a:avLst>
            <a:gd name="adj" fmla="val 10000"/>
          </a:avLst>
        </a:prstGeom>
        <a:solidFill>
          <a:schemeClr val="accent2">
            <a:alpha val="90000"/>
          </a:schemeClr>
        </a:solidFill>
        <a:ln w="25400" cap="flat" cmpd="sng" algn="ctr">
          <a:no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t" anchorCtr="0">
          <a:noAutofit/>
        </a:bodyPr>
        <a:lstStyle/>
        <a:p>
          <a:pPr marL="57150" lvl="1" indent="-57150" algn="l" defTabSz="466725">
            <a:lnSpc>
              <a:spcPct val="90000"/>
            </a:lnSpc>
            <a:spcBef>
              <a:spcPct val="0"/>
            </a:spcBef>
            <a:spcAft>
              <a:spcPct val="15000"/>
            </a:spcAft>
            <a:buChar char="•"/>
          </a:pPr>
          <a:r>
            <a:rPr lang="cs-CZ" sz="1050" kern="1200"/>
            <a:t>ČR 70 - 100 % průměru EU27</a:t>
          </a:r>
        </a:p>
      </dsp:txBody>
      <dsp:txXfrm>
        <a:off x="19848" y="3968263"/>
        <a:ext cx="1806107" cy="198164"/>
      </dsp:txXfrm>
    </dsp:sp>
    <dsp:sp modelId="{9D5670ED-E671-4A83-BF34-E669438AC78A}">
      <dsp:nvSpPr>
        <dsp:cNvPr id="0" name=""/>
        <dsp:cNvSpPr/>
      </dsp:nvSpPr>
      <dsp:spPr>
        <a:xfrm>
          <a:off x="3393357" y="95422"/>
          <a:ext cx="2542190" cy="323233"/>
        </a:xfrm>
        <a:prstGeom prst="roundRect">
          <a:avLst>
            <a:gd name="adj" fmla="val 10000"/>
          </a:avLst>
        </a:prstGeom>
        <a:solidFill>
          <a:schemeClr val="accent6">
            <a:lumMod val="60000"/>
            <a:lumOff val="40000"/>
            <a:alpha val="90000"/>
          </a:schemeClr>
        </a:solidFill>
        <a:ln w="25400" cap="flat" cmpd="sng" algn="ctr">
          <a:no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t" anchorCtr="0">
          <a:noAutofit/>
        </a:bodyPr>
        <a:lstStyle/>
        <a:p>
          <a:pPr marL="57150" lvl="1" indent="-57150" algn="r" defTabSz="466725">
            <a:lnSpc>
              <a:spcPct val="90000"/>
            </a:lnSpc>
            <a:spcBef>
              <a:spcPct val="0"/>
            </a:spcBef>
            <a:spcAft>
              <a:spcPct val="15000"/>
            </a:spcAft>
            <a:buChar char="•"/>
          </a:pPr>
          <a:r>
            <a:rPr lang="cs-CZ" sz="1050" kern="1200"/>
            <a:t>ČR 100 - 125 % průměru EU27</a:t>
          </a:r>
        </a:p>
      </dsp:txBody>
      <dsp:txXfrm>
        <a:off x="4163115" y="102522"/>
        <a:ext cx="1765333" cy="228225"/>
      </dsp:txXfrm>
    </dsp:sp>
    <dsp:sp modelId="{32AB70D7-6901-4BCE-8C47-9FF0C89458DF}">
      <dsp:nvSpPr>
        <dsp:cNvPr id="0" name=""/>
        <dsp:cNvSpPr/>
      </dsp:nvSpPr>
      <dsp:spPr>
        <a:xfrm>
          <a:off x="0" y="102242"/>
          <a:ext cx="2326654" cy="309538"/>
        </a:xfrm>
        <a:prstGeom prst="roundRect">
          <a:avLst>
            <a:gd name="adj" fmla="val 10000"/>
          </a:avLst>
        </a:prstGeom>
        <a:solidFill>
          <a:srgbClr val="339933"/>
        </a:solidFill>
        <a:ln w="25400" cap="flat" cmpd="sng" algn="ctr">
          <a:noFill/>
          <a:prstDash val="solid"/>
        </a:ln>
        <a:effectLst/>
      </dsp:spPr>
      <dsp:style>
        <a:lnRef idx="2">
          <a:scrgbClr r="0" g="0" b="0"/>
        </a:lnRef>
        <a:fillRef idx="1">
          <a:scrgbClr r="0" g="0" b="0"/>
        </a:fillRef>
        <a:effectRef idx="0">
          <a:scrgbClr r="0" g="0" b="0"/>
        </a:effectRef>
        <a:fontRef idx="minor"/>
      </dsp:style>
      <dsp:txBody>
        <a:bodyPr spcFirstLastPara="0" vert="horz" wrap="square" lIns="41910" tIns="41910" rIns="41910" bIns="41910" numCol="1" spcCol="1270" anchor="t" anchorCtr="0">
          <a:noAutofit/>
        </a:bodyPr>
        <a:lstStyle/>
        <a:p>
          <a:pPr marL="57150" lvl="1" indent="-57150" algn="l" defTabSz="466725">
            <a:lnSpc>
              <a:spcPct val="90000"/>
            </a:lnSpc>
            <a:spcBef>
              <a:spcPct val="0"/>
            </a:spcBef>
            <a:spcAft>
              <a:spcPct val="15000"/>
            </a:spcAft>
            <a:buChar char="•"/>
          </a:pPr>
          <a:r>
            <a:rPr lang="cs-CZ" sz="1050" kern="1200"/>
            <a:t>ČR &gt; 125 % průměru EU27</a:t>
          </a:r>
        </a:p>
        <a:p>
          <a:pPr marL="57150" lvl="1" indent="-57150" algn="l" defTabSz="466725">
            <a:lnSpc>
              <a:spcPct val="90000"/>
            </a:lnSpc>
            <a:spcBef>
              <a:spcPct val="0"/>
            </a:spcBef>
            <a:spcAft>
              <a:spcPct val="15000"/>
            </a:spcAft>
            <a:buChar char="•"/>
          </a:pPr>
          <a:endParaRPr lang="cs-CZ" sz="1050" kern="1200"/>
        </a:p>
        <a:p>
          <a:pPr marL="57150" lvl="1" indent="-57150" algn="l" defTabSz="466725">
            <a:lnSpc>
              <a:spcPct val="90000"/>
            </a:lnSpc>
            <a:spcBef>
              <a:spcPct val="0"/>
            </a:spcBef>
            <a:spcAft>
              <a:spcPct val="15000"/>
            </a:spcAft>
            <a:buChar char="•"/>
          </a:pPr>
          <a:endParaRPr lang="cs-CZ" sz="1050" kern="1200"/>
        </a:p>
      </dsp:txBody>
      <dsp:txXfrm>
        <a:off x="6800" y="109042"/>
        <a:ext cx="1615057" cy="218553"/>
      </dsp:txXfrm>
    </dsp:sp>
    <dsp:sp modelId="{A761B40C-2353-4783-A7B5-CA7E7994F6F1}">
      <dsp:nvSpPr>
        <dsp:cNvPr id="0" name=""/>
        <dsp:cNvSpPr/>
      </dsp:nvSpPr>
      <dsp:spPr>
        <a:xfrm>
          <a:off x="88641" y="330780"/>
          <a:ext cx="2783553" cy="1790520"/>
        </a:xfrm>
        <a:prstGeom prst="flowChartAlternateProcess">
          <a:avLst/>
        </a:prstGeom>
        <a:noFill/>
        <a:ln w="25400" cap="flat" cmpd="sng" algn="ctr">
          <a:solidFill>
            <a:schemeClr val="accent6">
              <a:lumMod val="7500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6896" tIns="56896" rIns="56896" bIns="56896" numCol="1" spcCol="1270" anchor="ctr" anchorCtr="0">
          <a:noAutofit/>
        </a:bodyPr>
        <a:lstStyle/>
        <a:p>
          <a:pPr marL="0" lvl="0" indent="0" algn="l" defTabSz="355600">
            <a:lnSpc>
              <a:spcPct val="90000"/>
            </a:lnSpc>
            <a:spcBef>
              <a:spcPct val="0"/>
            </a:spcBef>
            <a:spcAft>
              <a:spcPct val="35000"/>
            </a:spcAft>
            <a:buNone/>
          </a:pPr>
          <a:r>
            <a:rPr lang="cs-CZ" sz="800" kern="1200">
              <a:solidFill>
                <a:sysClr val="windowText" lastClr="000000"/>
              </a:solidFill>
            </a:rPr>
            <a:t>Lidé s nadstandardními digitálními dovednostmi (135,0; 8)</a:t>
          </a:r>
        </a:p>
        <a:p>
          <a:pPr marL="0" lvl="0" indent="0" algn="l" defTabSz="355600">
            <a:lnSpc>
              <a:spcPct val="90000"/>
            </a:lnSpc>
            <a:spcBef>
              <a:spcPct val="0"/>
            </a:spcBef>
            <a:spcAft>
              <a:spcPct val="35000"/>
            </a:spcAft>
            <a:buNone/>
          </a:pPr>
          <a:r>
            <a:rPr lang="cs-CZ" sz="800" kern="1200">
              <a:solidFill>
                <a:sysClr val="windowText" lastClr="000000"/>
              </a:solidFill>
            </a:rPr>
            <a:t>Společné publikace veřejného a soukrom. sektoru (129,9; 18)</a:t>
          </a:r>
        </a:p>
        <a:p>
          <a:pPr marL="0" lvl="0" indent="0" algn="l" defTabSz="355600">
            <a:lnSpc>
              <a:spcPct val="90000"/>
            </a:lnSpc>
            <a:spcBef>
              <a:spcPct val="0"/>
            </a:spcBef>
            <a:spcAft>
              <a:spcPct val="35000"/>
            </a:spcAft>
            <a:buNone/>
          </a:pPr>
          <a:r>
            <a:rPr lang="cs-CZ" sz="800" kern="1200">
              <a:solidFill>
                <a:sysClr val="windowText" lastClr="000000"/>
              </a:solidFill>
            </a:rPr>
            <a:t>Zahraniční doktorandi jako % všech doktorandů (125,3; 14)</a:t>
          </a:r>
        </a:p>
      </dsp:txBody>
      <dsp:txXfrm>
        <a:off x="176045" y="418184"/>
        <a:ext cx="2608745" cy="1615712"/>
      </dsp:txXfrm>
    </dsp:sp>
    <dsp:sp modelId="{5BF3ACFC-9EDB-40C3-B98F-A55B87EE6667}">
      <dsp:nvSpPr>
        <dsp:cNvPr id="0" name=""/>
        <dsp:cNvSpPr/>
      </dsp:nvSpPr>
      <dsp:spPr>
        <a:xfrm rot="5400000">
          <a:off x="3529109" y="-172932"/>
          <a:ext cx="1777543" cy="2826913"/>
        </a:xfrm>
        <a:prstGeom prst="flowChartAlternateProcess">
          <a:avLst/>
        </a:prstGeom>
        <a:noFill/>
        <a:ln w="25400" cap="flat" cmpd="sng" algn="ctr">
          <a:solidFill>
            <a:schemeClr val="accent6">
              <a:lumMod val="60000"/>
              <a:lumOff val="4000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6896" tIns="56896" rIns="56896" bIns="56896" numCol="1" spcCol="1270" anchor="ctr" anchorCtr="0">
          <a:noAutofit/>
        </a:bodyPr>
        <a:lstStyle/>
        <a:p>
          <a:pPr marL="0" lvl="0" indent="0" algn="ctr" defTabSz="355600">
            <a:lnSpc>
              <a:spcPct val="90000"/>
            </a:lnSpc>
            <a:spcBef>
              <a:spcPct val="0"/>
            </a:spcBef>
            <a:spcAft>
              <a:spcPct val="35000"/>
            </a:spcAft>
            <a:buNone/>
          </a:pPr>
          <a:r>
            <a:rPr lang="cs-CZ" sz="800" kern="1200">
              <a:solidFill>
                <a:sysClr val="windowText" lastClr="000000"/>
              </a:solidFill>
            </a:rPr>
            <a:t>Export medium a high-tech produktů (114,7; </a:t>
          </a:r>
          <a:r>
            <a:rPr lang="cs-CZ" sz="800" kern="1200">
              <a:solidFill>
                <a:srgbClr val="EE0000"/>
              </a:solidFill>
            </a:rPr>
            <a:t>3</a:t>
          </a:r>
          <a:r>
            <a:rPr lang="cs-CZ" sz="800" kern="1200">
              <a:solidFill>
                <a:sysClr val="windowText" lastClr="000000"/>
              </a:solidFill>
            </a:rPr>
            <a:t>)</a:t>
          </a:r>
        </a:p>
        <a:p>
          <a:pPr marL="0" lvl="0" indent="0" algn="ctr" defTabSz="355600">
            <a:lnSpc>
              <a:spcPct val="90000"/>
            </a:lnSpc>
            <a:spcBef>
              <a:spcPct val="0"/>
            </a:spcBef>
            <a:spcAft>
              <a:spcPct val="35000"/>
            </a:spcAft>
            <a:buNone/>
          </a:pPr>
          <a:r>
            <a:rPr lang="cs-CZ" sz="800" kern="1200">
              <a:solidFill>
                <a:sysClr val="windowText" lastClr="000000"/>
              </a:solidFill>
            </a:rPr>
            <a:t>Prodej inovací nových na trhu a nových pro podniky (109,9; 9)</a:t>
          </a:r>
        </a:p>
        <a:p>
          <a:pPr marL="0" lvl="0" indent="0" algn="ctr" defTabSz="355600">
            <a:lnSpc>
              <a:spcPct val="90000"/>
            </a:lnSpc>
            <a:spcBef>
              <a:spcPct val="0"/>
            </a:spcBef>
            <a:spcAft>
              <a:spcPct val="35000"/>
            </a:spcAft>
            <a:buNone/>
          </a:pPr>
          <a:r>
            <a:rPr lang="cs-CZ" sz="800" kern="1200">
              <a:solidFill>
                <a:sysClr val="windowText" lastClr="000000"/>
              </a:solidFill>
            </a:rPr>
            <a:t>Inovativní MSP spolupracující s ostatními (108,3; 11)</a:t>
          </a:r>
        </a:p>
        <a:p>
          <a:pPr marL="0" lvl="0" indent="0" algn="ctr" defTabSz="355600">
            <a:lnSpc>
              <a:spcPct val="90000"/>
            </a:lnSpc>
            <a:spcBef>
              <a:spcPct val="0"/>
            </a:spcBef>
            <a:spcAft>
              <a:spcPct val="35000"/>
            </a:spcAft>
            <a:buNone/>
          </a:pPr>
          <a:r>
            <a:rPr lang="cs-CZ" sz="800" kern="1200">
              <a:solidFill>
                <a:sysClr val="windowText" lastClr="000000"/>
              </a:solidFill>
            </a:rPr>
            <a:t>Výdaje na inovace mimo VaV (105,0; </a:t>
          </a:r>
          <a:r>
            <a:rPr lang="cs-CZ" sz="800" kern="1200">
              <a:solidFill>
                <a:srgbClr val="EE0000"/>
              </a:solidFill>
            </a:rPr>
            <a:t>7</a:t>
          </a:r>
          <a:r>
            <a:rPr lang="cs-CZ" sz="800" kern="1200">
              <a:solidFill>
                <a:sysClr val="windowText" lastClr="000000"/>
              </a:solidFill>
            </a:rPr>
            <a:t>)</a:t>
          </a:r>
        </a:p>
        <a:p>
          <a:pPr marL="0" lvl="0" indent="0" algn="ctr" defTabSz="355600">
            <a:lnSpc>
              <a:spcPct val="90000"/>
            </a:lnSpc>
            <a:spcBef>
              <a:spcPct val="0"/>
            </a:spcBef>
            <a:spcAft>
              <a:spcPct val="35000"/>
            </a:spcAft>
            <a:buNone/>
          </a:pPr>
          <a:r>
            <a:rPr lang="cs-CZ" sz="800" kern="1200">
              <a:solidFill>
                <a:sysClr val="windowText" lastClr="000000"/>
              </a:solidFill>
            </a:rPr>
            <a:t>Cloud Computing (104,7; 12)</a:t>
          </a:r>
        </a:p>
        <a:p>
          <a:pPr marL="0" lvl="0" indent="0" algn="ctr" defTabSz="355600">
            <a:lnSpc>
              <a:spcPct val="90000"/>
            </a:lnSpc>
            <a:spcBef>
              <a:spcPct val="0"/>
            </a:spcBef>
            <a:spcAft>
              <a:spcPct val="35000"/>
            </a:spcAft>
            <a:buNone/>
          </a:pPr>
          <a:r>
            <a:rPr lang="cs-CZ" sz="800" kern="1200">
              <a:solidFill>
                <a:sysClr val="windowText" lastClr="000000"/>
              </a:solidFill>
            </a:rPr>
            <a:t>MSP zavádějící produktové inovace (103,0; 17)</a:t>
          </a:r>
        </a:p>
        <a:p>
          <a:pPr marL="0" lvl="0" indent="0" algn="ctr" defTabSz="355600">
            <a:lnSpc>
              <a:spcPct val="90000"/>
            </a:lnSpc>
            <a:spcBef>
              <a:spcPct val="0"/>
            </a:spcBef>
            <a:spcAft>
              <a:spcPct val="35000"/>
            </a:spcAft>
            <a:buNone/>
          </a:pPr>
          <a:r>
            <a:rPr lang="cs-CZ" sz="800" kern="1200">
              <a:solidFill>
                <a:sysClr val="windowText" lastClr="000000"/>
              </a:solidFill>
            </a:rPr>
            <a:t>Mezinárodní společné vědecké publikace (102,4; 14)</a:t>
          </a:r>
        </a:p>
        <a:p>
          <a:pPr marL="0" lvl="0" indent="0" algn="ctr" defTabSz="355600">
            <a:lnSpc>
              <a:spcPct val="90000"/>
            </a:lnSpc>
            <a:spcBef>
              <a:spcPct val="0"/>
            </a:spcBef>
            <a:spcAft>
              <a:spcPct val="35000"/>
            </a:spcAft>
            <a:buNone/>
          </a:pPr>
          <a:r>
            <a:rPr lang="cs-CZ" sz="800" kern="1200">
              <a:solidFill>
                <a:sysClr val="windowText" lastClr="000000"/>
              </a:solidFill>
            </a:rPr>
            <a:t>Noví absolventi doktorských programů (100,0; 9)</a:t>
          </a:r>
        </a:p>
        <a:p>
          <a:pPr marL="0" lvl="0" indent="0" algn="ctr" defTabSz="355600">
            <a:lnSpc>
              <a:spcPct val="90000"/>
            </a:lnSpc>
            <a:spcBef>
              <a:spcPct val="0"/>
            </a:spcBef>
            <a:spcAft>
              <a:spcPct val="35000"/>
            </a:spcAft>
            <a:buNone/>
          </a:pPr>
          <a:endParaRPr lang="cs-CZ" sz="800" kern="1200">
            <a:solidFill>
              <a:sysClr val="windowText" lastClr="000000"/>
            </a:solidFill>
          </a:endParaRPr>
        </a:p>
      </dsp:txBody>
      <dsp:txXfrm rot="-5400000">
        <a:off x="3091195" y="438524"/>
        <a:ext cx="2653371" cy="1604001"/>
      </dsp:txXfrm>
    </dsp:sp>
    <dsp:sp modelId="{42E4343E-730B-4419-84B1-B9D64AFD50D4}">
      <dsp:nvSpPr>
        <dsp:cNvPr id="0" name=""/>
        <dsp:cNvSpPr/>
      </dsp:nvSpPr>
      <dsp:spPr>
        <a:xfrm rot="10800000">
          <a:off x="2958813" y="2173952"/>
          <a:ext cx="2889167" cy="1814986"/>
        </a:xfrm>
        <a:prstGeom prst="flowChartAlternateProcess">
          <a:avLst/>
        </a:prstGeom>
        <a:noFill/>
        <a:ln w="25400" cap="flat" cmpd="sng" algn="ctr">
          <a:solidFill>
            <a:schemeClr val="accent2">
              <a:lumMod val="7500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6896" tIns="56896" rIns="56896" bIns="56896" numCol="1" spcCol="1270" anchor="ctr" anchorCtr="0">
          <a:noAutofit/>
        </a:bodyPr>
        <a:lstStyle/>
        <a:p>
          <a:pPr marL="0" lvl="0" indent="0" algn="ctr" defTabSz="355600">
            <a:lnSpc>
              <a:spcPct val="90000"/>
            </a:lnSpc>
            <a:spcBef>
              <a:spcPct val="0"/>
            </a:spcBef>
            <a:spcAft>
              <a:spcPct val="35000"/>
            </a:spcAft>
            <a:buNone/>
          </a:pPr>
          <a:r>
            <a:rPr lang="cs-CZ" sz="800" kern="1200">
              <a:solidFill>
                <a:sysClr val="windowText" lastClr="000000"/>
              </a:solidFill>
            </a:rPr>
            <a:t>Výdaje na inovace na zaměstnanou osobu (66,8; 13)</a:t>
          </a:r>
        </a:p>
        <a:p>
          <a:pPr marL="0" lvl="0" indent="0" algn="ctr" defTabSz="355600">
            <a:lnSpc>
              <a:spcPct val="90000"/>
            </a:lnSpc>
            <a:spcBef>
              <a:spcPct val="0"/>
            </a:spcBef>
            <a:spcAft>
              <a:spcPct val="35000"/>
            </a:spcAft>
            <a:buNone/>
          </a:pPr>
          <a:r>
            <a:rPr lang="cs-CZ" sz="800" kern="1200">
              <a:solidFill>
                <a:sysClr val="windowText" lastClr="000000"/>
              </a:solidFill>
            </a:rPr>
            <a:t>Přihlášky průmyslových vzorů (63,3; 18)</a:t>
          </a:r>
        </a:p>
        <a:p>
          <a:pPr marL="0" lvl="0" indent="0" algn="ctr" defTabSz="355600">
            <a:lnSpc>
              <a:spcPct val="90000"/>
            </a:lnSpc>
            <a:spcBef>
              <a:spcPct val="0"/>
            </a:spcBef>
            <a:spcAft>
              <a:spcPct val="35000"/>
            </a:spcAft>
            <a:buNone/>
          </a:pPr>
          <a:r>
            <a:rPr lang="cs-CZ" sz="800" kern="1200">
              <a:solidFill>
                <a:sysClr val="windowText" lastClr="000000"/>
              </a:solidFill>
            </a:rPr>
            <a:t>Přímá a nepřímá vládní podpora podnikového VaV (56,6; 14)</a:t>
          </a:r>
        </a:p>
        <a:p>
          <a:pPr marL="0" lvl="0" indent="0" algn="ctr" defTabSz="355600">
            <a:lnSpc>
              <a:spcPct val="90000"/>
            </a:lnSpc>
            <a:spcBef>
              <a:spcPct val="0"/>
            </a:spcBef>
            <a:spcAft>
              <a:spcPct val="35000"/>
            </a:spcAft>
            <a:buNone/>
          </a:pPr>
          <a:r>
            <a:rPr lang="cs-CZ" sz="800" kern="1200">
              <a:solidFill>
                <a:sysClr val="windowText" lastClr="000000"/>
              </a:solidFill>
            </a:rPr>
            <a:t>Export znalostně náročných služeb (55,8; 19)</a:t>
          </a:r>
        </a:p>
        <a:p>
          <a:pPr marL="0" lvl="0" indent="0" algn="ctr" defTabSz="355600">
            <a:lnSpc>
              <a:spcPct val="90000"/>
            </a:lnSpc>
            <a:spcBef>
              <a:spcPct val="0"/>
            </a:spcBef>
            <a:spcAft>
              <a:spcPct val="35000"/>
            </a:spcAft>
            <a:buNone/>
          </a:pPr>
          <a:r>
            <a:rPr lang="cs-CZ" sz="800" kern="1200">
              <a:solidFill>
                <a:sysClr val="windowText" lastClr="000000"/>
              </a:solidFill>
            </a:rPr>
            <a:t>Patentové přihlášky (54,5; 19)</a:t>
          </a:r>
        </a:p>
        <a:p>
          <a:pPr marL="0" lvl="0" indent="0" algn="ctr" defTabSz="355600">
            <a:lnSpc>
              <a:spcPct val="90000"/>
            </a:lnSpc>
            <a:spcBef>
              <a:spcPct val="0"/>
            </a:spcBef>
            <a:spcAft>
              <a:spcPct val="35000"/>
            </a:spcAft>
            <a:buNone/>
          </a:pPr>
          <a:r>
            <a:rPr lang="cs-CZ" sz="800" kern="1200">
              <a:solidFill>
                <a:sysClr val="windowText" lastClr="000000"/>
              </a:solidFill>
            </a:rPr>
            <a:t>Vědecké pubikace mezi 10 % nejcitovanějších (53,2; 22)</a:t>
          </a:r>
        </a:p>
        <a:p>
          <a:pPr marL="0" lvl="0" indent="0" algn="ctr" defTabSz="355600">
            <a:lnSpc>
              <a:spcPct val="90000"/>
            </a:lnSpc>
            <a:spcBef>
              <a:spcPct val="0"/>
            </a:spcBef>
            <a:spcAft>
              <a:spcPct val="35000"/>
            </a:spcAft>
            <a:buNone/>
          </a:pPr>
          <a:r>
            <a:rPr lang="cs-CZ" sz="800" kern="1200">
              <a:solidFill>
                <a:sysClr val="windowText" lastClr="000000"/>
              </a:solidFill>
            </a:rPr>
            <a:t>Přístup k vysokorychlostnímu internetu (52,0; </a:t>
          </a:r>
          <a:r>
            <a:rPr lang="cs-CZ" sz="800" kern="1200">
              <a:solidFill>
                <a:srgbClr val="EE0000"/>
              </a:solidFill>
            </a:rPr>
            <a:t>26</a:t>
          </a:r>
          <a:r>
            <a:rPr lang="cs-CZ" sz="800" kern="1200">
              <a:solidFill>
                <a:sysClr val="windowText" lastClr="000000"/>
              </a:solidFill>
            </a:rPr>
            <a:t>)</a:t>
          </a:r>
        </a:p>
        <a:p>
          <a:pPr marL="0" lvl="0" indent="0" algn="ctr" defTabSz="355600">
            <a:lnSpc>
              <a:spcPct val="90000"/>
            </a:lnSpc>
            <a:spcBef>
              <a:spcPct val="0"/>
            </a:spcBef>
            <a:spcAft>
              <a:spcPct val="35000"/>
            </a:spcAft>
            <a:buNone/>
          </a:pPr>
          <a:r>
            <a:rPr lang="cs-CZ" sz="800" kern="1200">
              <a:solidFill>
                <a:sysClr val="windowText" lastClr="000000"/>
              </a:solidFill>
            </a:rPr>
            <a:t>Produkce CO2 z výroby (51,7; </a:t>
          </a:r>
          <a:r>
            <a:rPr lang="cs-CZ" sz="800" kern="1200">
              <a:solidFill>
                <a:srgbClr val="EE0000"/>
              </a:solidFill>
            </a:rPr>
            <a:t>25</a:t>
          </a:r>
          <a:r>
            <a:rPr lang="cs-CZ" sz="800" kern="1200">
              <a:solidFill>
                <a:sysClr val="windowText" lastClr="000000"/>
              </a:solidFill>
            </a:rPr>
            <a:t>)</a:t>
          </a:r>
        </a:p>
        <a:p>
          <a:pPr marL="0" lvl="0" indent="0" algn="ctr" defTabSz="355600">
            <a:lnSpc>
              <a:spcPct val="90000"/>
            </a:lnSpc>
            <a:spcBef>
              <a:spcPct val="0"/>
            </a:spcBef>
            <a:spcAft>
              <a:spcPct val="35000"/>
            </a:spcAft>
            <a:buNone/>
          </a:pPr>
          <a:r>
            <a:rPr lang="cs-CZ" sz="800" kern="1200">
              <a:solidFill>
                <a:sysClr val="windowText" lastClr="000000"/>
              </a:solidFill>
            </a:rPr>
            <a:t>Mobilita mezi pracovními místy v oblasti HRST (47,9; 22)</a:t>
          </a:r>
        </a:p>
        <a:p>
          <a:pPr marL="0" lvl="0" indent="0" algn="ctr" defTabSz="355600">
            <a:lnSpc>
              <a:spcPct val="90000"/>
            </a:lnSpc>
            <a:spcBef>
              <a:spcPct val="0"/>
            </a:spcBef>
            <a:spcAft>
              <a:spcPct val="35000"/>
            </a:spcAft>
            <a:buNone/>
          </a:pPr>
          <a:r>
            <a:rPr lang="cs-CZ" sz="800" kern="1200">
              <a:solidFill>
                <a:sysClr val="windowText" lastClr="000000"/>
              </a:solidFill>
            </a:rPr>
            <a:t>Produktivita práce (41,9; 19)</a:t>
          </a:r>
        </a:p>
        <a:p>
          <a:pPr marL="0" lvl="0" indent="0" algn="ctr" defTabSz="355600">
            <a:lnSpc>
              <a:spcPct val="90000"/>
            </a:lnSpc>
            <a:spcBef>
              <a:spcPct val="0"/>
            </a:spcBef>
            <a:spcAft>
              <a:spcPct val="35000"/>
            </a:spcAft>
            <a:buNone/>
          </a:pPr>
          <a:r>
            <a:rPr lang="cs-CZ" sz="800" kern="1200">
              <a:solidFill>
                <a:sysClr val="windowText" lastClr="000000"/>
              </a:solidFill>
            </a:rPr>
            <a:t>Populace s terciárním vzděláním (40,1; </a:t>
          </a:r>
          <a:r>
            <a:rPr lang="cs-CZ" sz="800" kern="1200">
              <a:solidFill>
                <a:srgbClr val="EE0000"/>
              </a:solidFill>
            </a:rPr>
            <a:t>24</a:t>
          </a:r>
          <a:r>
            <a:rPr lang="cs-CZ" sz="800" kern="1200">
              <a:solidFill>
                <a:sysClr val="windowText" lastClr="000000"/>
              </a:solidFill>
            </a:rPr>
            <a:t>)</a:t>
          </a:r>
        </a:p>
        <a:p>
          <a:pPr marL="0" lvl="0" indent="0" algn="ctr" defTabSz="355600">
            <a:lnSpc>
              <a:spcPct val="90000"/>
            </a:lnSpc>
            <a:spcBef>
              <a:spcPct val="0"/>
            </a:spcBef>
            <a:spcAft>
              <a:spcPct val="35000"/>
            </a:spcAft>
            <a:buNone/>
          </a:pPr>
          <a:r>
            <a:rPr lang="cs-CZ" sz="800" kern="1200">
              <a:solidFill>
                <a:sysClr val="windowText" lastClr="000000"/>
              </a:solidFill>
            </a:rPr>
            <a:t>Venture capital výdaje (37,8; 17)</a:t>
          </a:r>
        </a:p>
      </dsp:txBody>
      <dsp:txXfrm rot="10800000">
        <a:off x="3047412" y="2262551"/>
        <a:ext cx="2711969" cy="1637788"/>
      </dsp:txXfrm>
    </dsp:sp>
    <dsp:sp modelId="{D8887869-05CC-4A4C-A847-39229A9C8458}">
      <dsp:nvSpPr>
        <dsp:cNvPr id="0" name=""/>
        <dsp:cNvSpPr/>
      </dsp:nvSpPr>
      <dsp:spPr>
        <a:xfrm rot="16200000">
          <a:off x="565683" y="1689423"/>
          <a:ext cx="1814986" cy="2798490"/>
        </a:xfrm>
        <a:prstGeom prst="flowChartAlternateProcess">
          <a:avLst/>
        </a:prstGeom>
        <a:noFill/>
        <a:ln w="25400" cap="flat" cmpd="sng" algn="ctr">
          <a:solidFill>
            <a:schemeClr val="accent2">
              <a:lumMod val="60000"/>
              <a:lumOff val="4000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6896" tIns="56896" rIns="56896" bIns="56896" numCol="1" spcCol="1270" anchor="ctr" anchorCtr="0">
          <a:noAutofit/>
        </a:bodyPr>
        <a:lstStyle/>
        <a:p>
          <a:pPr marL="0" lvl="0" indent="0" algn="ctr" defTabSz="355600">
            <a:lnSpc>
              <a:spcPct val="90000"/>
            </a:lnSpc>
            <a:spcBef>
              <a:spcPct val="0"/>
            </a:spcBef>
            <a:spcAft>
              <a:spcPct val="35000"/>
            </a:spcAft>
            <a:buNone/>
          </a:pPr>
          <a:r>
            <a:rPr lang="cs-CZ" sz="800" kern="1200">
              <a:solidFill>
                <a:sysClr val="windowText" lastClr="000000"/>
              </a:solidFill>
            </a:rPr>
            <a:t>Žádosti o ochranné známky (91,4; 19)</a:t>
          </a:r>
        </a:p>
        <a:p>
          <a:pPr marL="0" lvl="0" indent="0" algn="ctr" defTabSz="355600">
            <a:lnSpc>
              <a:spcPct val="90000"/>
            </a:lnSpc>
            <a:spcBef>
              <a:spcPct val="0"/>
            </a:spcBef>
            <a:spcAft>
              <a:spcPct val="35000"/>
            </a:spcAft>
            <a:buNone/>
          </a:pPr>
          <a:r>
            <a:rPr lang="cs-CZ" sz="800" kern="1200">
              <a:solidFill>
                <a:sysClr val="windowText" lastClr="000000"/>
              </a:solidFill>
            </a:rPr>
            <a:t>Dovoz high-tech produktů ze zemí mimo EU (90,7; </a:t>
          </a:r>
          <a:r>
            <a:rPr lang="cs-CZ" sz="800" kern="1200">
              <a:solidFill>
                <a:srgbClr val="EE0000"/>
              </a:solidFill>
            </a:rPr>
            <a:t>6</a:t>
          </a:r>
          <a:r>
            <a:rPr lang="cs-CZ" sz="800" kern="1200">
              <a:solidFill>
                <a:sysClr val="windowText" lastClr="000000"/>
              </a:solidFill>
            </a:rPr>
            <a:t>)</a:t>
          </a:r>
        </a:p>
        <a:p>
          <a:pPr marL="0" lvl="0" indent="0" algn="ctr" defTabSz="355600">
            <a:lnSpc>
              <a:spcPct val="90000"/>
            </a:lnSpc>
            <a:spcBef>
              <a:spcPct val="0"/>
            </a:spcBef>
            <a:spcAft>
              <a:spcPct val="35000"/>
            </a:spcAft>
            <a:buNone/>
          </a:pPr>
          <a:r>
            <a:rPr lang="cs-CZ" sz="800" kern="1200">
              <a:solidFill>
                <a:sysClr val="windowText" lastClr="000000"/>
              </a:solidFill>
            </a:rPr>
            <a:t>MSP zavádějící inovace v obchodních procesech (90,4; 16)</a:t>
          </a:r>
        </a:p>
        <a:p>
          <a:pPr marL="0" lvl="0" indent="0" algn="ctr" defTabSz="355600">
            <a:lnSpc>
              <a:spcPct val="90000"/>
            </a:lnSpc>
            <a:spcBef>
              <a:spcPct val="0"/>
            </a:spcBef>
            <a:spcAft>
              <a:spcPct val="35000"/>
            </a:spcAft>
            <a:buNone/>
          </a:pPr>
          <a:r>
            <a:rPr lang="cs-CZ" sz="800" kern="1200">
              <a:solidFill>
                <a:sysClr val="windowText" lastClr="000000"/>
              </a:solidFill>
            </a:rPr>
            <a:t>Zaměstnaní specialisté v oblasti ICT (87,2; 21)</a:t>
          </a:r>
        </a:p>
        <a:p>
          <a:pPr marL="0" lvl="0" indent="0" algn="ctr" defTabSz="355600">
            <a:lnSpc>
              <a:spcPct val="90000"/>
            </a:lnSpc>
            <a:spcBef>
              <a:spcPct val="0"/>
            </a:spcBef>
            <a:spcAft>
              <a:spcPct val="35000"/>
            </a:spcAft>
            <a:buNone/>
          </a:pPr>
          <a:r>
            <a:rPr lang="cs-CZ" sz="800" kern="1200">
              <a:solidFill>
                <a:sysClr val="windowText" lastClr="000000"/>
              </a:solidFill>
            </a:rPr>
            <a:t>Výdaje na VaV ve veřejném sektoru (85,0; 13)</a:t>
          </a:r>
        </a:p>
        <a:p>
          <a:pPr marL="0" lvl="0" indent="0" algn="ctr" defTabSz="355600">
            <a:lnSpc>
              <a:spcPct val="90000"/>
            </a:lnSpc>
            <a:spcBef>
              <a:spcPct val="0"/>
            </a:spcBef>
            <a:spcAft>
              <a:spcPct val="35000"/>
            </a:spcAft>
            <a:buNone/>
          </a:pPr>
          <a:r>
            <a:rPr lang="cs-CZ" sz="800" kern="1200">
              <a:solidFill>
                <a:sysClr val="windowText" lastClr="000000"/>
              </a:solidFill>
            </a:rPr>
            <a:t>Zaměstnanost v inovativních podnicích (80,5; 16)</a:t>
          </a:r>
        </a:p>
        <a:p>
          <a:pPr marL="0" lvl="0" indent="0" algn="ctr" defTabSz="355600">
            <a:lnSpc>
              <a:spcPct val="90000"/>
            </a:lnSpc>
            <a:spcBef>
              <a:spcPct val="0"/>
            </a:spcBef>
            <a:spcAft>
              <a:spcPct val="35000"/>
            </a:spcAft>
            <a:buNone/>
          </a:pPr>
          <a:r>
            <a:rPr lang="cs-CZ" sz="800" kern="1200">
              <a:solidFill>
                <a:sysClr val="windowText" lastClr="000000"/>
              </a:solidFill>
            </a:rPr>
            <a:t>Výdaje naVaV v podnikatelském sektoru (79,3; 11)</a:t>
          </a:r>
        </a:p>
        <a:p>
          <a:pPr marL="0" lvl="0" indent="0" algn="ctr" defTabSz="355600">
            <a:lnSpc>
              <a:spcPct val="90000"/>
            </a:lnSpc>
            <a:spcBef>
              <a:spcPct val="0"/>
            </a:spcBef>
            <a:spcAft>
              <a:spcPct val="35000"/>
            </a:spcAft>
            <a:buNone/>
          </a:pPr>
          <a:r>
            <a:rPr lang="cs-CZ" sz="800" kern="1200">
              <a:solidFill>
                <a:sysClr val="windowText" lastClr="000000"/>
              </a:solidFill>
            </a:rPr>
            <a:t>Počet obyvatel zapojených do celoživotního vzděl. (79,2; 19)</a:t>
          </a:r>
        </a:p>
        <a:p>
          <a:pPr marL="0" lvl="0" indent="0" algn="ctr" defTabSz="355600">
            <a:lnSpc>
              <a:spcPct val="90000"/>
            </a:lnSpc>
            <a:spcBef>
              <a:spcPct val="0"/>
            </a:spcBef>
            <a:spcAft>
              <a:spcPct val="35000"/>
            </a:spcAft>
            <a:buNone/>
          </a:pPr>
          <a:r>
            <a:rPr lang="cs-CZ" sz="800" kern="1200">
              <a:solidFill>
                <a:sysClr val="windowText" lastClr="000000"/>
              </a:solidFill>
            </a:rPr>
            <a:t>Produktivita zdrojů (79,1; 15)</a:t>
          </a:r>
        </a:p>
      </dsp:txBody>
      <dsp:txXfrm rot="5400000">
        <a:off x="162530" y="2269774"/>
        <a:ext cx="2621292" cy="1637788"/>
      </dsp:txXfrm>
    </dsp:sp>
    <dsp:sp modelId="{57560A1D-A8E9-4B09-A7A7-D376275AA7B6}">
      <dsp:nvSpPr>
        <dsp:cNvPr id="0" name=""/>
        <dsp:cNvSpPr/>
      </dsp:nvSpPr>
      <dsp:spPr>
        <a:xfrm flipH="1">
          <a:off x="5546579" y="1952929"/>
          <a:ext cx="181459" cy="221377"/>
        </a:xfrm>
        <a:prstGeom prst="circularArrow">
          <a:avLst/>
        </a:prstGeom>
        <a:noFill/>
        <a:ln w="25400" cap="flat" cmpd="sng" algn="ctr">
          <a:noFill/>
          <a:prstDash val="solid"/>
        </a:ln>
        <a:effectLst/>
      </dsp:spPr>
      <dsp:style>
        <a:lnRef idx="2">
          <a:scrgbClr r="0" g="0" b="0"/>
        </a:lnRef>
        <a:fillRef idx="1">
          <a:scrgbClr r="0" g="0" b="0"/>
        </a:fillRef>
        <a:effectRef idx="0">
          <a:scrgbClr r="0" g="0" b="0"/>
        </a:effectRef>
        <a:fontRef idx="minor"/>
      </dsp:style>
    </dsp:sp>
    <dsp:sp modelId="{DB5D8188-F908-414C-A8D5-777DA377E52A}">
      <dsp:nvSpPr>
        <dsp:cNvPr id="0" name=""/>
        <dsp:cNvSpPr/>
      </dsp:nvSpPr>
      <dsp:spPr>
        <a:xfrm rot="10800000" flipH="1" flipV="1">
          <a:off x="5698100" y="1889420"/>
          <a:ext cx="59882" cy="422794"/>
        </a:xfrm>
        <a:prstGeom prst="circularArrow">
          <a:avLst/>
        </a:prstGeom>
        <a:noFill/>
        <a:ln w="25400" cap="flat" cmpd="sng" algn="ctr">
          <a:noFill/>
          <a:prstDash val="solid"/>
        </a:ln>
        <a:effectLst/>
      </dsp:spPr>
      <dsp:style>
        <a:lnRef idx="2">
          <a:scrgbClr r="0" g="0" b="0"/>
        </a:lnRef>
        <a:fillRef idx="1">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5/8/layout/cycle4">
  <dgm:title val=""/>
  <dgm:desc val=""/>
  <dgm:catLst>
    <dgm:cat type="relationship" pri="26000"/>
    <dgm:cat type="cycle" pri="13000"/>
    <dgm:cat type="matrix" pri="4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sampData>
  <dgm:style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cycleMatrixDiagram">
    <dgm:varLst>
      <dgm:chMax val="1"/>
      <dgm:dir/>
      <dgm:animLvl val="lvl"/>
      <dgm:resizeHandles val="exact"/>
    </dgm:varLst>
    <dgm:alg type="composite">
      <dgm:param type="ar" val="1.3"/>
    </dgm:alg>
    <dgm:shape xmlns:r="http://schemas.openxmlformats.org/officeDocument/2006/relationships" r:blip="">
      <dgm:adjLst/>
    </dgm:shape>
    <dgm:presOf/>
    <dgm:constrLst>
      <dgm:constr type="w" for="ch" forName="children" refType="w"/>
      <dgm:constr type="h" for="ch" forName="children" refType="w" refFor="ch" refForName="children" fact="0.77"/>
      <dgm:constr type="ctrX" for="ch" forName="children" refType="w" fact="0.5"/>
      <dgm:constr type="ctrY" for="ch" forName="children" refType="h" fact="0.5"/>
      <dgm:constr type="w" for="ch" forName="circle" refType="w"/>
      <dgm:constr type="h" for="ch" forName="circle" refType="h"/>
      <dgm:constr type="ctrX" for="ch" forName="circle" refType="w" fact="0.5"/>
      <dgm:constr type="ctrY" for="ch" forName="circle" refType="h" fact="0.5"/>
      <dgm:constr type="w" for="ch" forName="center1" refType="w" fact="0.115"/>
      <dgm:constr type="h" for="ch" forName="center1" refType="w" fact="0.1"/>
      <dgm:constr type="ctrX" for="ch" forName="center1" refType="w" fact="0.5"/>
      <dgm:constr type="ctrY" for="ch" forName="center1" refType="h" fact="0.475"/>
      <dgm:constr type="w" for="ch" forName="center2" refType="w" fact="0.115"/>
      <dgm:constr type="h" for="ch" forName="center2" refType="w" fact="0.1"/>
      <dgm:constr type="ctrX" for="ch" forName="center2" refType="w" fact="0.5"/>
      <dgm:constr type="ctrY" for="ch" forName="center2" refType="h" fact="0.525"/>
    </dgm:constrLst>
    <dgm:ruleLst/>
    <dgm:choose name="Name0">
      <dgm:if name="Name1" axis="ch" ptType="node" func="cnt" op="gte" val="1">
        <dgm:layoutNode name="children">
          <dgm:alg type="composite">
            <dgm:param type="ar" val="1.3"/>
          </dgm:alg>
          <dgm:shape xmlns:r="http://schemas.openxmlformats.org/officeDocument/2006/relationships" r:blip="">
            <dgm:adjLst/>
          </dgm:shape>
          <dgm:presOf/>
          <dgm:choose name="Name2">
            <dgm:if name="Name3" func="var" arg="dir" op="equ" val="norm">
              <dgm:constrLst>
                <dgm:constr type="primFontSz" for="des" ptType="node" op="equ" val="65"/>
                <dgm:constr type="w" for="ch" forName="child1group" refType="w" fact="0.38"/>
                <dgm:constr type="h" for="ch" forName="child1group" refType="h" fact="0.32"/>
                <dgm:constr type="t" for="ch" forName="child1group"/>
                <dgm:constr type="l" for="ch" forName="child1group"/>
                <dgm:constr type="w" for="ch" forName="child2group" refType="w" fact="0.38"/>
                <dgm:constr type="h" for="ch" forName="child2group" refType="h" fact="0.32"/>
                <dgm:constr type="t" for="ch" forName="child2group"/>
                <dgm:constr type="r" for="ch" forName="child2group" refType="w"/>
                <dgm:constr type="w" for="ch" forName="child3group" refType="w" fact="0.38"/>
                <dgm:constr type="h" for="ch" forName="child3group" refType="h" fact="0.32"/>
                <dgm:constr type="b" for="ch" forName="child3group" refType="h"/>
                <dgm:constr type="r" for="ch" forName="child3group" refType="w"/>
                <dgm:constr type="w" for="ch" forName="child4group" refType="w" fact="0.38"/>
                <dgm:constr type="h" for="ch" forName="child4group" refType="h" fact="0.32"/>
                <dgm:constr type="b" for="ch" forName="child4group" refType="h"/>
                <dgm:constr type="l" for="ch" forName="child4group"/>
              </dgm:constrLst>
            </dgm:if>
            <dgm:else name="Name4">
              <dgm:constrLst>
                <dgm:constr type="primFontSz" for="des" ptType="node" op="equ" val="65"/>
                <dgm:constr type="w" for="ch" forName="child1group" refType="w" fact="0.38"/>
                <dgm:constr type="h" for="ch" forName="child1group" refType="h" fact="0.32"/>
                <dgm:constr type="t" for="ch" forName="child1group"/>
                <dgm:constr type="r" for="ch" forName="child1group" refType="w"/>
                <dgm:constr type="w" for="ch" forName="child2group" refType="w" fact="0.38"/>
                <dgm:constr type="h" for="ch" forName="child2group" refType="h" fact="0.32"/>
                <dgm:constr type="t" for="ch" forName="child2group"/>
                <dgm:constr type="l" for="ch" forName="child2group"/>
                <dgm:constr type="w" for="ch" forName="child3group" refType="w" fact="0.38"/>
                <dgm:constr type="h" for="ch" forName="child3group" refType="h" fact="0.32"/>
                <dgm:constr type="b" for="ch" forName="child3group" refType="h"/>
                <dgm:constr type="l" for="ch" forName="child3group"/>
                <dgm:constr type="w" for="ch" forName="child4group" refType="w" fact="0.38"/>
                <dgm:constr type="h" for="ch" forName="child4group" refType="h" fact="0.32"/>
                <dgm:constr type="b" for="ch" forName="child4group" refType="h"/>
                <dgm:constr type="r" for="ch" forName="child4group" refType="w"/>
              </dgm:constrLst>
            </dgm:else>
          </dgm:choose>
          <dgm:ruleLst/>
          <dgm:choose name="Name5">
            <dgm:if name="Name6" axis="ch ch" ptType="node node" st="1 1" cnt="1 0" func="cnt" op="gte" val="1">
              <dgm:layoutNode name="child1group">
                <dgm:alg type="composite">
                  <dgm:param type="horzAlign" val="none"/>
                  <dgm:param type="vertAlign" val="none"/>
                </dgm:alg>
                <dgm:shape xmlns:r="http://schemas.openxmlformats.org/officeDocument/2006/relationships" r:blip="">
                  <dgm:adjLst/>
                </dgm:shape>
                <dgm:presOf/>
                <dgm:choose name="Name7">
                  <dgm:if name="Name8" func="var" arg="dir" op="equ" val="norm">
                    <dgm:constrLst>
                      <dgm:constr type="w" for="ch" forName="child1" refType="w"/>
                      <dgm:constr type="h" for="ch" forName="child1" refType="h"/>
                      <dgm:constr type="t" for="ch" forName="child1"/>
                      <dgm:constr type="l" for="ch" forName="child1"/>
                      <dgm:constr type="w" for="ch" forName="child1Text" refType="w" fact="0.7"/>
                      <dgm:constr type="h" for="ch" forName="child1Text" refType="h" fact="0.75"/>
                      <dgm:constr type="t" for="ch" forName="child1Text"/>
                      <dgm:constr type="l" for="ch" forName="child1Text"/>
                    </dgm:constrLst>
                  </dgm:if>
                  <dgm:else name="Name9">
                    <dgm:constrLst>
                      <dgm:constr type="w" for="ch" forName="child1" refType="w"/>
                      <dgm:constr type="h" for="ch" forName="child1" refType="h"/>
                      <dgm:constr type="t" for="ch" forName="child1"/>
                      <dgm:constr type="r" for="ch" forName="child1" refType="w"/>
                      <dgm:constr type="w" for="ch" forName="child1Text" refType="w" fact="0.7"/>
                      <dgm:constr type="h" for="ch" forName="child1Text" refType="h" fact="0.75"/>
                      <dgm:constr type="t" for="ch" forName="child1Text"/>
                      <dgm:constr type="r" for="ch" forName="child1Text" refType="w"/>
                    </dgm:constrLst>
                  </dgm:else>
                </dgm:choose>
                <dgm:ruleLst/>
                <dgm:layoutNode name="child1" styleLbl="bgAcc1">
                  <dgm:alg type="sp"/>
                  <dgm:shape xmlns:r="http://schemas.openxmlformats.org/officeDocument/2006/relationships" type="roundRect" r:blip="" zOrderOff="-2">
                    <dgm:adjLst>
                      <dgm:adj idx="1" val="0.1"/>
                    </dgm:adjLst>
                  </dgm:shape>
                  <dgm:presOf axis="ch des" ptType="node node" st="1 1" cnt="1 0"/>
                  <dgm:constrLst/>
                  <dgm:ruleLst/>
                </dgm:layoutNode>
                <dgm:layoutNode name="child1Text" styleLbl="bgAcc1">
                  <dgm:varLst>
                    <dgm:bulletEnabled val="1"/>
                  </dgm:varLst>
                  <dgm:alg type="tx">
                    <dgm:param type="stBulletLvl" val="1"/>
                  </dgm:alg>
                  <dgm:shape xmlns:r="http://schemas.openxmlformats.org/officeDocument/2006/relationships" type="roundRect" r:blip="" zOrderOff="-2" hideGeom="1">
                    <dgm:adjLst>
                      <dgm:adj idx="1" val="0.1"/>
                    </dgm:adjLst>
                  </dgm:shape>
                  <dgm:presOf axis="ch des" ptType="node node" st="1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10"/>
          </dgm:choose>
          <dgm:choose name="Name11">
            <dgm:if name="Name12" axis="ch ch" ptType="node node" st="2 1" cnt="1 0" func="cnt" op="gte" val="1">
              <dgm:layoutNode name="child2group">
                <dgm:alg type="composite">
                  <dgm:param type="horzAlign" val="none"/>
                  <dgm:param type="vertAlign" val="none"/>
                </dgm:alg>
                <dgm:shape xmlns:r="http://schemas.openxmlformats.org/officeDocument/2006/relationships" r:blip="">
                  <dgm:adjLst/>
                </dgm:shape>
                <dgm:choose name="Name13">
                  <dgm:if name="Name14" func="var" arg="dir" op="equ" val="norm">
                    <dgm:constrLst>
                      <dgm:constr type="w" for="ch" forName="child2" refType="w"/>
                      <dgm:constr type="h" for="ch" forName="child2" refType="h"/>
                      <dgm:constr type="t" for="ch" forName="child2"/>
                      <dgm:constr type="r" for="ch" forName="child2" refType="w"/>
                      <dgm:constr type="w" for="ch" forName="child2Text" refType="w" fact="0.7"/>
                      <dgm:constr type="h" for="ch" forName="child2Text" refType="h" fact="0.75"/>
                      <dgm:constr type="t" for="ch" forName="child2Text"/>
                      <dgm:constr type="r" for="ch" forName="child2Text" refType="w"/>
                    </dgm:constrLst>
                  </dgm:if>
                  <dgm:else name="Name15">
                    <dgm:constrLst>
                      <dgm:constr type="w" for="ch" forName="child2" refType="w"/>
                      <dgm:constr type="h" for="ch" forName="child2" refType="h"/>
                      <dgm:constr type="t" for="ch" forName="child2"/>
                      <dgm:constr type="l" for="ch" forName="child2"/>
                      <dgm:constr type="w" for="ch" forName="child2Text" refType="w" fact="0.7"/>
                      <dgm:constr type="h" for="ch" forName="child2Text" refType="h" fact="0.75"/>
                      <dgm:constr type="t" for="ch" forName="child2Text"/>
                      <dgm:constr type="l" for="ch" forName="child2Text"/>
                    </dgm:constrLst>
                  </dgm:else>
                </dgm:choose>
                <dgm:ruleLst/>
                <dgm:layoutNode name="child2" styleLbl="bgAcc1">
                  <dgm:alg type="sp"/>
                  <dgm:shape xmlns:r="http://schemas.openxmlformats.org/officeDocument/2006/relationships" type="roundRect" r:blip="" zOrderOff="-2">
                    <dgm:adjLst>
                      <dgm:adj idx="1" val="0.1"/>
                    </dgm:adjLst>
                  </dgm:shape>
                  <dgm:presOf axis="ch des" ptType="node node" st="2 1" cnt="1 0"/>
                  <dgm:constrLst/>
                  <dgm:ruleLst/>
                </dgm:layoutNode>
                <dgm:layoutNode name="child2Text" styleLbl="bgAcc1">
                  <dgm:varLst>
                    <dgm:bulletEnabled val="1"/>
                  </dgm:varLst>
                  <dgm:alg type="tx">
                    <dgm:param type="stBulletLvl" val="1"/>
                  </dgm:alg>
                  <dgm:shape xmlns:r="http://schemas.openxmlformats.org/officeDocument/2006/relationships" type="roundRect" r:blip="" zOrderOff="-2" hideGeom="1">
                    <dgm:adjLst>
                      <dgm:adj idx="1" val="0.1"/>
                    </dgm:adjLst>
                  </dgm:shape>
                  <dgm:presOf axis="ch des" ptType="node node" st="2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16"/>
          </dgm:choose>
          <dgm:choose name="Name17">
            <dgm:if name="Name18" axis="ch ch" ptType="node node" st="3 1" cnt="1 0" func="cnt" op="gte" val="1">
              <dgm:layoutNode name="child3group">
                <dgm:alg type="composite">
                  <dgm:param type="horzAlign" val="none"/>
                  <dgm:param type="vertAlign" val="none"/>
                </dgm:alg>
                <dgm:shape xmlns:r="http://schemas.openxmlformats.org/officeDocument/2006/relationships" r:blip="">
                  <dgm:adjLst/>
                </dgm:shape>
                <dgm:presOf/>
                <dgm:choose name="Name19">
                  <dgm:if name="Name20" func="var" arg="dir" op="equ" val="norm">
                    <dgm:constrLst>
                      <dgm:constr type="w" for="ch" forName="child3" refType="w"/>
                      <dgm:constr type="h" for="ch" forName="child3" refType="h"/>
                      <dgm:constr type="b" for="ch" forName="child3" refType="h"/>
                      <dgm:constr type="r" for="ch" forName="child3" refType="w"/>
                      <dgm:constr type="w" for="ch" forName="child3Text" refType="w" fact="0.7"/>
                      <dgm:constr type="h" for="ch" forName="child3Text" refType="h" fact="0.75"/>
                      <dgm:constr type="b" for="ch" forName="child3Text" refType="h"/>
                      <dgm:constr type="r" for="ch" forName="child3Text" refType="w"/>
                    </dgm:constrLst>
                  </dgm:if>
                  <dgm:else name="Name21">
                    <dgm:constrLst>
                      <dgm:constr type="w" for="ch" forName="child3" refType="w"/>
                      <dgm:constr type="h" for="ch" forName="child3" refType="h"/>
                      <dgm:constr type="b" for="ch" forName="child3" refType="h"/>
                      <dgm:constr type="l" for="ch" forName="child3"/>
                      <dgm:constr type="w" for="ch" forName="child3Text" refType="w" fact="0.7"/>
                      <dgm:constr type="h" for="ch" forName="child3Text" refType="h" fact="0.75"/>
                      <dgm:constr type="b" for="ch" forName="child3Text" refType="h"/>
                      <dgm:constr type="l" for="ch" forName="child3Text"/>
                    </dgm:constrLst>
                  </dgm:else>
                </dgm:choose>
                <dgm:ruleLst/>
                <dgm:layoutNode name="child3" styleLbl="bgAcc1">
                  <dgm:alg type="sp"/>
                  <dgm:shape xmlns:r="http://schemas.openxmlformats.org/officeDocument/2006/relationships" type="roundRect" r:blip="" zOrderOff="-4">
                    <dgm:adjLst>
                      <dgm:adj idx="1" val="0.1"/>
                    </dgm:adjLst>
                  </dgm:shape>
                  <dgm:presOf axis="ch des" ptType="node node" st="3 1" cnt="1 0"/>
                  <dgm:constrLst/>
                  <dgm:ruleLst/>
                </dgm:layoutNode>
                <dgm:layoutNode name="child3Text" styleLbl="bgAcc1">
                  <dgm:varLst>
                    <dgm:bulletEnabled val="1"/>
                  </dgm:varLst>
                  <dgm:alg type="tx">
                    <dgm:param type="stBulletLvl" val="1"/>
                  </dgm:alg>
                  <dgm:shape xmlns:r="http://schemas.openxmlformats.org/officeDocument/2006/relationships" type="roundRect" r:blip="" zOrderOff="-4" hideGeom="1">
                    <dgm:adjLst>
                      <dgm:adj idx="1" val="0.1"/>
                    </dgm:adjLst>
                  </dgm:shape>
                  <dgm:presOf axis="ch des" ptType="node node" st="3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22"/>
          </dgm:choose>
          <dgm:choose name="Name23">
            <dgm:if name="Name24" axis="ch ch" ptType="node node" st="4 1" cnt="1 0" func="cnt" op="gte" val="1">
              <dgm:layoutNode name="child4group">
                <dgm:alg type="composite">
                  <dgm:param type="horzAlign" val="none"/>
                  <dgm:param type="vertAlign" val="none"/>
                </dgm:alg>
                <dgm:shape xmlns:r="http://schemas.openxmlformats.org/officeDocument/2006/relationships" r:blip="">
                  <dgm:adjLst/>
                </dgm:shape>
                <dgm:presOf/>
                <dgm:choose name="Name25">
                  <dgm:if name="Name26" func="var" arg="dir" op="equ" val="norm">
                    <dgm:constrLst>
                      <dgm:constr type="w" for="ch" forName="child4" refType="w"/>
                      <dgm:constr type="h" for="ch" forName="child4" refType="h"/>
                      <dgm:constr type="b" for="ch" forName="child4" refType="h"/>
                      <dgm:constr type="l" for="ch" forName="child4"/>
                      <dgm:constr type="w" for="ch" forName="child4Text" refType="w" fact="0.7"/>
                      <dgm:constr type="h" for="ch" forName="child4Text" refType="h" fact="0.75"/>
                      <dgm:constr type="b" for="ch" forName="child4Text" refType="h"/>
                      <dgm:constr type="l" for="ch" forName="child4Text"/>
                    </dgm:constrLst>
                  </dgm:if>
                  <dgm:else name="Name27">
                    <dgm:constrLst>
                      <dgm:constr type="w" for="ch" forName="child4" refType="w"/>
                      <dgm:constr type="h" for="ch" forName="child4" refType="h"/>
                      <dgm:constr type="b" for="ch" forName="child4" refType="h"/>
                      <dgm:constr type="r" for="ch" forName="child4" refType="w"/>
                      <dgm:constr type="w" for="ch" forName="child4Text" refType="w" fact="0.7"/>
                      <dgm:constr type="h" for="ch" forName="child4Text" refType="h" fact="0.75"/>
                      <dgm:constr type="b" for="ch" forName="child4Text" refType="h"/>
                      <dgm:constr type="r" for="ch" forName="child4Text" refType="w"/>
                    </dgm:constrLst>
                  </dgm:else>
                </dgm:choose>
                <dgm:ruleLst/>
                <dgm:layoutNode name="child4" styleLbl="bgAcc1">
                  <dgm:alg type="sp"/>
                  <dgm:shape xmlns:r="http://schemas.openxmlformats.org/officeDocument/2006/relationships" type="roundRect" r:blip="" zOrderOff="-4">
                    <dgm:adjLst>
                      <dgm:adj idx="1" val="0.1"/>
                    </dgm:adjLst>
                  </dgm:shape>
                  <dgm:presOf axis="ch des" ptType="node node" st="4 1" cnt="1 0"/>
                  <dgm:constrLst/>
                  <dgm:ruleLst/>
                </dgm:layoutNode>
                <dgm:layoutNode name="child4Text" styleLbl="bgAcc1">
                  <dgm:varLst>
                    <dgm:bulletEnabled val="1"/>
                  </dgm:varLst>
                  <dgm:alg type="tx">
                    <dgm:param type="stBulletLvl" val="1"/>
                  </dgm:alg>
                  <dgm:shape xmlns:r="http://schemas.openxmlformats.org/officeDocument/2006/relationships" type="roundRect" r:blip="" zOrderOff="-4" hideGeom="1">
                    <dgm:adjLst>
                      <dgm:adj idx="1" val="0.1"/>
                    </dgm:adjLst>
                  </dgm:shape>
                  <dgm:presOf axis="ch des" ptType="node node" st="4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28"/>
          </dgm:choose>
          <dgm:layoutNode name="childPlaceholder">
            <dgm:alg type="sp"/>
            <dgm:shape xmlns:r="http://schemas.openxmlformats.org/officeDocument/2006/relationships" r:blip="">
              <dgm:adjLst/>
            </dgm:shape>
            <dgm:presOf/>
            <dgm:constrLst/>
            <dgm:ruleLst/>
          </dgm:layoutNode>
        </dgm:layoutNode>
        <dgm:layoutNode name="circle">
          <dgm:alg type="composite">
            <dgm:param type="ar" val="1"/>
          </dgm:alg>
          <dgm:shape xmlns:r="http://schemas.openxmlformats.org/officeDocument/2006/relationships" r:blip="">
            <dgm:adjLst/>
          </dgm:shape>
          <dgm:presOf/>
          <dgm:choose name="Name29">
            <dgm:if name="Name30" func="var" arg="dir" op="equ" val="norm">
              <dgm:constrLst>
                <dgm:constr type="primFontSz" for="ch" ptType="node" op="equ" val="65"/>
                <dgm:constr type="w" for="ch" forName="quadrant1" refType="w" fact="0.433"/>
                <dgm:constr type="h" for="ch" forName="quadrant1" refType="h" fact="0.433"/>
                <dgm:constr type="b" for="ch" forName="quadrant1" refType="h" fact="0.5"/>
                <dgm:constr type="bOff" for="ch" forName="quadrant1" refType="h" fact="-0.01"/>
                <dgm:constr type="r" for="ch" forName="quadrant1" refType="w" fact="0.5"/>
                <dgm:constr type="rOff" for="ch" forName="quadrant1" refType="w" fact="-0.01"/>
                <dgm:constr type="w" for="ch" forName="quadrant2" refType="w" fact="0.433"/>
                <dgm:constr type="h" for="ch" forName="quadrant2" refType="h" fact="0.433"/>
                <dgm:constr type="b" for="ch" forName="quadrant2" refType="h" fact="0.5"/>
                <dgm:constr type="bOff" for="ch" forName="quadrant2" refType="h" fact="-0.01"/>
                <dgm:constr type="l" for="ch" forName="quadrant2" refType="w" fact="0.5"/>
                <dgm:constr type="lOff" for="ch" forName="quadrant2" refType="w" fact="0.01"/>
                <dgm:constr type="w" for="ch" forName="quadrant3" refType="w" fact="0.433"/>
                <dgm:constr type="h" for="ch" forName="quadrant3" refType="h" fact="0.433"/>
                <dgm:constr type="t" for="ch" forName="quadrant3" refType="h" fact="0.5"/>
                <dgm:constr type="tOff" for="ch" forName="quadrant3" refType="h" fact="0.01"/>
                <dgm:constr type="l" for="ch" forName="quadrant3" refType="w" fact="0.5"/>
                <dgm:constr type="lOff" for="ch" forName="quadrant3" refType="w" fact="0.01"/>
                <dgm:constr type="w" for="ch" forName="quadrant4" refType="w" fact="0.433"/>
                <dgm:constr type="h" for="ch" forName="quadrant4" refType="h" fact="0.433"/>
                <dgm:constr type="t" for="ch" forName="quadrant4" refType="h" fact="0.5"/>
                <dgm:constr type="tOff" for="ch" forName="quadrant4" refType="h" fact="0.01"/>
                <dgm:constr type="r" for="ch" forName="quadrant4" refType="w" fact="0.5"/>
                <dgm:constr type="rOff" for="ch" forName="quadrant4" refType="w" fact="-0.01"/>
              </dgm:constrLst>
            </dgm:if>
            <dgm:else name="Name31">
              <dgm:constrLst>
                <dgm:constr type="primFontSz" for="ch" ptType="node" op="equ" val="65"/>
                <dgm:constr type="w" for="ch" forName="quadrant1" refType="w" fact="0.433"/>
                <dgm:constr type="h" for="ch" forName="quadrant1" refType="h" fact="0.433"/>
                <dgm:constr type="b" for="ch" forName="quadrant1" refType="h" fact="0.5"/>
                <dgm:constr type="bOff" for="ch" forName="quadrant1" refType="h" fact="-0.01"/>
                <dgm:constr type="l" for="ch" forName="quadrant1" refType="w" fact="0.5"/>
                <dgm:constr type="lOff" for="ch" forName="quadrant1" refType="w" fact="0.01"/>
                <dgm:constr type="w" for="ch" forName="quadrant2" refType="w" fact="0.433"/>
                <dgm:constr type="h" for="ch" forName="quadrant2" refType="h" fact="0.433"/>
                <dgm:constr type="b" for="ch" forName="quadrant2" refType="h" fact="0.5"/>
                <dgm:constr type="bOff" for="ch" forName="quadrant2" refType="h" fact="-0.01"/>
                <dgm:constr type="r" for="ch" forName="quadrant2" refType="w" fact="0.5"/>
                <dgm:constr type="rOff" for="ch" forName="quadrant2" refType="w" fact="-0.01"/>
                <dgm:constr type="w" for="ch" forName="quadrant3" refType="w" fact="0.433"/>
                <dgm:constr type="h" for="ch" forName="quadrant3" refType="h" fact="0.433"/>
                <dgm:constr type="t" for="ch" forName="quadrant3" refType="h" fact="0.5"/>
                <dgm:constr type="tOff" for="ch" forName="quadrant3" refType="h" fact="0.01"/>
                <dgm:constr type="r" for="ch" forName="quadrant3" refType="w" fact="0.5"/>
                <dgm:constr type="rOff" for="ch" forName="quadrant3" refType="w" fact="-0.01"/>
                <dgm:constr type="w" for="ch" forName="quadrant4" refType="w" fact="0.433"/>
                <dgm:constr type="h" for="ch" forName="quadrant4" refType="h" fact="0.433"/>
                <dgm:constr type="t" for="ch" forName="quadrant4" refType="h" fact="0.5"/>
                <dgm:constr type="tOff" for="ch" forName="quadrant4" refType="h" fact="0.01"/>
                <dgm:constr type="l" for="ch" forName="quadrant4" refType="w" fact="0.5"/>
                <dgm:constr type="lOff" for="ch" forName="quadrant4" refType="w" fact="0.01"/>
              </dgm:constrLst>
            </dgm:else>
          </dgm:choose>
          <dgm:ruleLst/>
          <dgm:layoutNode name="quadrant1" styleLbl="node1">
            <dgm:varLst>
              <dgm:chMax val="1"/>
              <dgm:bulletEnabled val="1"/>
            </dgm:varLst>
            <dgm:alg type="tx"/>
            <dgm:choose name="Name32">
              <dgm:if name="Name33" func="var" arg="dir" op="equ" val="norm">
                <dgm:shape xmlns:r="http://schemas.openxmlformats.org/officeDocument/2006/relationships" type="pieWedge" r:blip="">
                  <dgm:adjLst/>
                </dgm:shape>
              </dgm:if>
              <dgm:else name="Name34">
                <dgm:shape xmlns:r="http://schemas.openxmlformats.org/officeDocument/2006/relationships" rot="90" type="pieWedge" r:blip="">
                  <dgm:adjLst/>
                </dgm:shape>
              </dgm:else>
            </dgm:choose>
            <dgm:presOf axis="ch" ptType="node" cnt="1"/>
            <dgm:constrLst/>
            <dgm:ruleLst>
              <dgm:rule type="primFontSz" val="5" fact="NaN" max="NaN"/>
            </dgm:ruleLst>
          </dgm:layoutNode>
          <dgm:layoutNode name="quadrant2" styleLbl="node1">
            <dgm:varLst>
              <dgm:chMax val="1"/>
              <dgm:bulletEnabled val="1"/>
            </dgm:varLst>
            <dgm:alg type="tx"/>
            <dgm:choose name="Name35">
              <dgm:if name="Name36" func="var" arg="dir" op="equ" val="norm">
                <dgm:shape xmlns:r="http://schemas.openxmlformats.org/officeDocument/2006/relationships" rot="90" type="pieWedge" r:blip="">
                  <dgm:adjLst/>
                </dgm:shape>
              </dgm:if>
              <dgm:else name="Name37">
                <dgm:shape xmlns:r="http://schemas.openxmlformats.org/officeDocument/2006/relationships" type="pieWedge" r:blip="">
                  <dgm:adjLst/>
                </dgm:shape>
              </dgm:else>
            </dgm:choose>
            <dgm:presOf axis="ch" ptType="node" st="2" cnt="1"/>
            <dgm:constrLst/>
            <dgm:ruleLst>
              <dgm:rule type="primFontSz" val="5" fact="NaN" max="NaN"/>
            </dgm:ruleLst>
          </dgm:layoutNode>
          <dgm:layoutNode name="quadrant3" styleLbl="node1">
            <dgm:varLst>
              <dgm:chMax val="1"/>
              <dgm:bulletEnabled val="1"/>
            </dgm:varLst>
            <dgm:alg type="tx"/>
            <dgm:choose name="Name38">
              <dgm:if name="Name39" func="var" arg="dir" op="equ" val="norm">
                <dgm:shape xmlns:r="http://schemas.openxmlformats.org/officeDocument/2006/relationships" rot="180" type="pieWedge" r:blip="">
                  <dgm:adjLst/>
                </dgm:shape>
              </dgm:if>
              <dgm:else name="Name40">
                <dgm:shape xmlns:r="http://schemas.openxmlformats.org/officeDocument/2006/relationships" rot="270" type="pieWedge" r:blip="">
                  <dgm:adjLst/>
                </dgm:shape>
              </dgm:else>
            </dgm:choose>
            <dgm:presOf axis="ch" ptType="node" st="3" cnt="1"/>
            <dgm:constrLst/>
            <dgm:ruleLst>
              <dgm:rule type="primFontSz" val="5" fact="NaN" max="NaN"/>
            </dgm:ruleLst>
          </dgm:layoutNode>
          <dgm:layoutNode name="quadrant4" styleLbl="node1">
            <dgm:varLst>
              <dgm:chMax val="1"/>
              <dgm:bulletEnabled val="1"/>
            </dgm:varLst>
            <dgm:alg type="tx"/>
            <dgm:choose name="Name41">
              <dgm:if name="Name42" func="var" arg="dir" op="equ" val="norm">
                <dgm:shape xmlns:r="http://schemas.openxmlformats.org/officeDocument/2006/relationships" rot="270" type="pieWedge" r:blip="">
                  <dgm:adjLst/>
                </dgm:shape>
              </dgm:if>
              <dgm:else name="Name43">
                <dgm:shape xmlns:r="http://schemas.openxmlformats.org/officeDocument/2006/relationships" rot="180" type="pieWedge" r:blip="">
                  <dgm:adjLst/>
                </dgm:shape>
              </dgm:else>
            </dgm:choose>
            <dgm:presOf axis="ch" ptType="node" st="4" cnt="1"/>
            <dgm:constrLst/>
            <dgm:ruleLst>
              <dgm:rule type="primFontSz" val="5" fact="NaN" max="NaN"/>
            </dgm:ruleLst>
          </dgm:layoutNode>
          <dgm:layoutNode name="quadrantPlaceholder">
            <dgm:alg type="sp"/>
            <dgm:shape xmlns:r="http://schemas.openxmlformats.org/officeDocument/2006/relationships" r:blip="">
              <dgm:adjLst/>
            </dgm:shape>
            <dgm:presOf/>
            <dgm:constrLst/>
            <dgm:ruleLst/>
          </dgm:layoutNode>
        </dgm:layoutNode>
        <dgm:layoutNode name="center1" styleLbl="fgShp">
          <dgm:alg type="sp"/>
          <dgm:choose name="Name44">
            <dgm:if name="Name45" func="var" arg="dir" op="equ" val="norm">
              <dgm:shape xmlns:r="http://schemas.openxmlformats.org/officeDocument/2006/relationships" type="circularArrow" r:blip="" zOrderOff="16">
                <dgm:adjLst/>
              </dgm:shape>
            </dgm:if>
            <dgm:else name="Name46">
              <dgm:shape xmlns:r="http://schemas.openxmlformats.org/officeDocument/2006/relationships" rot="180" type="leftCircularArrow" r:blip="" zOrderOff="16">
                <dgm:adjLst/>
              </dgm:shape>
            </dgm:else>
          </dgm:choose>
          <dgm:presOf/>
          <dgm:constrLst/>
          <dgm:ruleLst/>
        </dgm:layoutNode>
        <dgm:layoutNode name="center2" styleLbl="fgShp">
          <dgm:alg type="sp"/>
          <dgm:choose name="Name47">
            <dgm:if name="Name48" func="var" arg="dir" op="equ" val="norm">
              <dgm:shape xmlns:r="http://schemas.openxmlformats.org/officeDocument/2006/relationships" rot="180" type="circularArrow" r:blip="" zOrderOff="16">
                <dgm:adjLst/>
              </dgm:shape>
            </dgm:if>
            <dgm:else name="Name49">
              <dgm:shape xmlns:r="http://schemas.openxmlformats.org/officeDocument/2006/relationships" type="leftCircularArrow" r:blip="" zOrderOff="16">
                <dgm:adjLst/>
              </dgm:shape>
            </dgm:else>
          </dgm:choose>
          <dgm:presOf/>
          <dgm:constrLst/>
          <dgm:ruleLst/>
        </dgm:layoutNode>
      </dgm:if>
      <dgm:else name="Name50"/>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EC layout">
    <a:dk1>
      <a:srgbClr val="000000"/>
    </a:dk1>
    <a:lt1>
      <a:srgbClr val="FFFFFF"/>
    </a:lt1>
    <a:dk2>
      <a:srgbClr val="4D4D4D"/>
    </a:dk2>
    <a:lt2>
      <a:srgbClr val="D3E8F9"/>
    </a:lt2>
    <a:accent1>
      <a:srgbClr val="034EA2"/>
    </a:accent1>
    <a:accent2>
      <a:srgbClr val="4BC5DE"/>
    </a:accent2>
    <a:accent3>
      <a:srgbClr val="1EC08A"/>
    </a:accent3>
    <a:accent4>
      <a:srgbClr val="ED8D2F"/>
    </a:accent4>
    <a:accent5>
      <a:srgbClr val="FFC000"/>
    </a:accent5>
    <a:accent6>
      <a:srgbClr val="E76C53"/>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740526-1C78-4F58-AF87-D469E4A825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764</TotalTime>
  <Pages>1</Pages>
  <Words>25761</Words>
  <Characters>151991</Characters>
  <Application>Microsoft Office Word</Application>
  <DocSecurity>0</DocSecurity>
  <Lines>1266</Lines>
  <Paragraphs>354</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Úřad vlády ČR</Company>
  <LinksUpToDate>false</LinksUpToDate>
  <CharactersWithSpaces>177398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Kureková Lucie</dc:creator>
  <cp:keywords/>
  <dc:description/>
  <cp:lastModifiedBy>Aleš Palucha</cp:lastModifiedBy>
  <cp:revision>67</cp:revision>
  <cp:lastPrinted>2025-12-01T13:09:00Z</cp:lastPrinted>
  <dcterms:created xsi:type="dcterms:W3CDTF">2025-06-19T07:08:00Z</dcterms:created>
  <dcterms:modified xsi:type="dcterms:W3CDTF">2025-12-02T16:35:00Z</dcterms:modified>
</cp:coreProperties>
</file>