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page" w:tblpX="1053" w:tblpY="286"/>
        <w:tblOverlap w:val="never"/>
        <w:tblW w:w="137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bookmarkStart w:id="0" w:name="OLE_LINK1"/>
            <w:r>
              <w:rPr>
                <w:rFonts w:ascii="Calibri" w:eastAsia="Times New Roman" w:hAnsi="Calibri" w:cs="Times New Roman"/>
                <w:noProof/>
                <w:color w:val="000000"/>
                <w:lang w:eastAsia="cs-CZ"/>
              </w:rPr>
              <w:drawing>
                <wp:anchor distT="0" distB="0" distL="114300" distR="114300" simplePos="0" relativeHeight="251661310" behindDoc="0" locked="0" layoutInCell="1" allowOverlap="1" wp14:anchorId="4891FDB3" wp14:editId="23BE8F20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69215</wp:posOffset>
                  </wp:positionV>
                  <wp:extent cx="7920000" cy="6624000"/>
                  <wp:effectExtent l="0" t="0" r="5080" b="0"/>
                  <wp:wrapNone/>
                  <wp:docPr id="1" name="Graf 1"/>
                  <wp:cNvGraphicFramePr>
                    <a:graphicFrameLocks xmlns:a="http://schemas.openxmlformats.org/drawingml/2006/main" noGrp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762576" w:rsidRPr="00C02BF2" w:rsidTr="00CA1FA8">
              <w:trPr>
                <w:trHeight w:val="30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62576" w:rsidRPr="00C02BF2" w:rsidRDefault="00762576" w:rsidP="00177200">
                  <w:pPr>
                    <w:framePr w:hSpace="141" w:wrap="around" w:vAnchor="text" w:hAnchor="page" w:x="1053" w:y="286"/>
                    <w:spacing w:after="0" w:line="240" w:lineRule="auto"/>
                    <w:suppressOverlap/>
                    <w:rPr>
                      <w:rFonts w:ascii="Calibri" w:eastAsia="Times New Roman" w:hAnsi="Calibri" w:cs="Times New Roman"/>
                      <w:color w:val="000000"/>
                      <w:lang w:eastAsia="cs-CZ"/>
                    </w:rPr>
                  </w:pPr>
                </w:p>
              </w:tc>
            </w:tr>
          </w:tbl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cs-CZ"/>
              </w:rPr>
              <w:drawing>
                <wp:anchor distT="0" distB="0" distL="114300" distR="114300" simplePos="0" relativeHeight="251660798" behindDoc="0" locked="0" layoutInCell="1" allowOverlap="1" wp14:anchorId="608582F5" wp14:editId="7CFDE404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90805</wp:posOffset>
                  </wp:positionV>
                  <wp:extent cx="6486525" cy="4781550"/>
                  <wp:effectExtent l="0" t="0" r="0" b="0"/>
                  <wp:wrapNone/>
                  <wp:docPr id="4" name="Graf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762576" w:rsidRPr="00C02BF2" w:rsidTr="0076257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76" w:rsidRPr="00C02BF2" w:rsidRDefault="00762576" w:rsidP="007625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bookmarkEnd w:id="0"/>
    <w:p w:rsidR="00FD5904" w:rsidRDefault="00147B1A" w:rsidP="00FD5904">
      <w:pPr>
        <w:jc w:val="center"/>
      </w:pPr>
      <w:r w:rsidRPr="005C2F8C">
        <w:rPr>
          <w:rFonts w:ascii="Calibri" w:eastAsia="Times New Roman" w:hAnsi="Calibri" w:cs="Times New Roman"/>
          <w:noProof/>
          <w:color w:val="000000"/>
          <w:lang w:eastAsia="cs-CZ"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 wp14:anchorId="4767CFBF" wp14:editId="7499B98F">
                <wp:simplePos x="0" y="0"/>
                <wp:positionH relativeFrom="column">
                  <wp:posOffset>-8871954</wp:posOffset>
                </wp:positionH>
                <wp:positionV relativeFrom="paragraph">
                  <wp:posOffset>-85060</wp:posOffset>
                </wp:positionV>
                <wp:extent cx="6496493" cy="339725"/>
                <wp:effectExtent l="0" t="0" r="0" b="317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493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F8C" w:rsidRPr="00177200" w:rsidRDefault="005C2F8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17720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Struktura a rozdělení celkových institucionální a účelových výdajů</w:t>
                            </w:r>
                            <w:r w:rsidR="00147B1A" w:rsidRPr="0017720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ze SR na </w:t>
                            </w:r>
                            <w:proofErr w:type="spellStart"/>
                            <w:r w:rsidR="00147B1A" w:rsidRPr="0017720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VaVaI</w:t>
                            </w:r>
                            <w:proofErr w:type="spellEnd"/>
                            <w:r w:rsidRPr="0017720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v roce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698.6pt;margin-top:-6.7pt;width:511.55pt;height:26.75pt;z-index:251665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" stroked="f">
                <v:textbox>
                  <w:txbxContent>
                    <w:p w:rsidR="005C2F8C" w:rsidRPr="00177200" w:rsidRDefault="005C2F8C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177200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Struktura a rozdělení celkových institucionální a účelových výdajů</w:t>
                      </w:r>
                      <w:r w:rsidR="00147B1A" w:rsidRPr="00177200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ze SR na </w:t>
                      </w:r>
                      <w:proofErr w:type="spellStart"/>
                      <w:r w:rsidR="00147B1A" w:rsidRPr="00177200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VaVaI</w:t>
                      </w:r>
                      <w:proofErr w:type="spellEnd"/>
                      <w:r w:rsidRPr="00177200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v roce 2014</w:t>
                      </w:r>
                    </w:p>
                  </w:txbxContent>
                </v:textbox>
              </v:shape>
            </w:pict>
          </mc:Fallback>
        </mc:AlternateContent>
      </w:r>
      <w:r w:rsidR="005C2F8C" w:rsidRPr="005C2F8C">
        <w:rPr>
          <w:rFonts w:ascii="Calibri" w:eastAsia="Times New Roman" w:hAnsi="Calibri" w:cs="Times New Roman"/>
          <w:noProof/>
          <w:color w:val="000000"/>
          <w:lang w:eastAsia="cs-CZ"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 wp14:anchorId="4D653233" wp14:editId="3E43BAF3">
                <wp:simplePos x="0" y="0"/>
                <wp:positionH relativeFrom="column">
                  <wp:posOffset>-524938</wp:posOffset>
                </wp:positionH>
                <wp:positionV relativeFrom="paragraph">
                  <wp:posOffset>-74030</wp:posOffset>
                </wp:positionV>
                <wp:extent cx="1041991" cy="340242"/>
                <wp:effectExtent l="0" t="0" r="6350" b="317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991" cy="3402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F8C" w:rsidRPr="005C2F8C" w:rsidRDefault="005C2F8C" w:rsidP="005C2F8C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</w:rPr>
                              <w:t>Příloha č.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41.35pt;margin-top:-5.85pt;width:82.05pt;height:26.8pt;z-index:251667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" stroked="f">
                <v:textbox>
                  <w:txbxContent>
                    <w:p w:rsidR="005C2F8C" w:rsidRPr="005C2F8C" w:rsidRDefault="005C2F8C" w:rsidP="005C2F8C">
                      <w:pPr>
                        <w:rPr>
                          <w:rFonts w:ascii="Times New Roman" w:hAnsi="Times New Roman" w:cs="Times New Roman"/>
                          <w:i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4"/>
                        </w:rPr>
                        <w:t>Příloha č. 1</w:t>
                      </w:r>
                    </w:p>
                  </w:txbxContent>
                </v:textbox>
              </v:shape>
            </w:pict>
          </mc:Fallback>
        </mc:AlternateContent>
      </w:r>
    </w:p>
    <w:p w:rsidR="00BB2770" w:rsidRDefault="00BB2770"/>
    <w:p w:rsidR="00BB2770" w:rsidRDefault="00BB2770">
      <w:bookmarkStart w:id="1" w:name="_GoBack"/>
      <w:bookmarkEnd w:id="1"/>
      <w:r>
        <w:br w:type="page"/>
      </w:r>
    </w:p>
    <w:p w:rsidR="00A80189" w:rsidRDefault="00EB4827">
      <w:r>
        <w:rPr>
          <w:noProof/>
          <w:lang w:eastAsia="cs-CZ"/>
        </w:rPr>
        <w:lastRenderedPageBreak/>
        <w:drawing>
          <wp:anchor distT="0" distB="0" distL="114300" distR="114300" simplePos="0" relativeHeight="251660287" behindDoc="1" locked="0" layoutInCell="1" allowOverlap="1" wp14:anchorId="6647A1A3" wp14:editId="6510E10D">
            <wp:simplePos x="0" y="0"/>
            <wp:positionH relativeFrom="column">
              <wp:posOffset>5030175</wp:posOffset>
            </wp:positionH>
            <wp:positionV relativeFrom="paragraph">
              <wp:posOffset>626745</wp:posOffset>
            </wp:positionV>
            <wp:extent cx="5027295" cy="3902075"/>
            <wp:effectExtent l="0" t="0" r="0" b="3175"/>
            <wp:wrapNone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263" behindDoc="1" locked="0" layoutInCell="1" allowOverlap="1" wp14:anchorId="311C147F" wp14:editId="1D4B2142">
            <wp:simplePos x="0" y="0"/>
            <wp:positionH relativeFrom="column">
              <wp:posOffset>-212725</wp:posOffset>
            </wp:positionH>
            <wp:positionV relativeFrom="paragraph">
              <wp:posOffset>626745</wp:posOffset>
            </wp:positionV>
            <wp:extent cx="5184775" cy="3898265"/>
            <wp:effectExtent l="0" t="0" r="0" b="6985"/>
            <wp:wrapNone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80189" w:rsidSect="00C02BF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15C" w:rsidRDefault="00A5615C" w:rsidP="00FD5904">
      <w:pPr>
        <w:spacing w:after="0" w:line="240" w:lineRule="auto"/>
      </w:pPr>
      <w:r>
        <w:separator/>
      </w:r>
    </w:p>
  </w:endnote>
  <w:endnote w:type="continuationSeparator" w:id="0">
    <w:p w:rsidR="00A5615C" w:rsidRDefault="00A5615C" w:rsidP="00FD5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15C" w:rsidRDefault="00A5615C" w:rsidP="00FD5904">
      <w:pPr>
        <w:spacing w:after="0" w:line="240" w:lineRule="auto"/>
      </w:pPr>
      <w:r>
        <w:separator/>
      </w:r>
    </w:p>
  </w:footnote>
  <w:footnote w:type="continuationSeparator" w:id="0">
    <w:p w:rsidR="00A5615C" w:rsidRDefault="00A5615C" w:rsidP="00FD59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BF2"/>
    <w:rsid w:val="000E0F03"/>
    <w:rsid w:val="00112042"/>
    <w:rsid w:val="00147B1A"/>
    <w:rsid w:val="00177200"/>
    <w:rsid w:val="002A4AA0"/>
    <w:rsid w:val="004A118A"/>
    <w:rsid w:val="004E31F2"/>
    <w:rsid w:val="005559C8"/>
    <w:rsid w:val="00577976"/>
    <w:rsid w:val="00593841"/>
    <w:rsid w:val="005C2F8C"/>
    <w:rsid w:val="005D0CE4"/>
    <w:rsid w:val="006C4A4D"/>
    <w:rsid w:val="00756FA1"/>
    <w:rsid w:val="00762576"/>
    <w:rsid w:val="00816468"/>
    <w:rsid w:val="00A5615C"/>
    <w:rsid w:val="00A80189"/>
    <w:rsid w:val="00AB4B36"/>
    <w:rsid w:val="00B418A8"/>
    <w:rsid w:val="00B80836"/>
    <w:rsid w:val="00BB2770"/>
    <w:rsid w:val="00BD730C"/>
    <w:rsid w:val="00C02BF2"/>
    <w:rsid w:val="00C12D80"/>
    <w:rsid w:val="00C177E5"/>
    <w:rsid w:val="00C26327"/>
    <w:rsid w:val="00C8039B"/>
    <w:rsid w:val="00DB11E8"/>
    <w:rsid w:val="00DE29C7"/>
    <w:rsid w:val="00E978E6"/>
    <w:rsid w:val="00EB4827"/>
    <w:rsid w:val="00F35B8A"/>
    <w:rsid w:val="00F97F2E"/>
    <w:rsid w:val="00FD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59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5904"/>
  </w:style>
  <w:style w:type="paragraph" w:styleId="Zpat">
    <w:name w:val="footer"/>
    <w:basedOn w:val="Normln"/>
    <w:link w:val="ZpatChar"/>
    <w:uiPriority w:val="99"/>
    <w:unhideWhenUsed/>
    <w:rsid w:val="00FD59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5904"/>
  </w:style>
  <w:style w:type="paragraph" w:styleId="Textbubliny">
    <w:name w:val="Balloon Text"/>
    <w:basedOn w:val="Normln"/>
    <w:link w:val="TextbublinyChar"/>
    <w:uiPriority w:val="99"/>
    <w:semiHidden/>
    <w:unhideWhenUsed/>
    <w:rsid w:val="00FD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59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59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5904"/>
  </w:style>
  <w:style w:type="paragraph" w:styleId="Zpat">
    <w:name w:val="footer"/>
    <w:basedOn w:val="Normln"/>
    <w:link w:val="ZpatChar"/>
    <w:uiPriority w:val="99"/>
    <w:unhideWhenUsed/>
    <w:rsid w:val="00FD59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5904"/>
  </w:style>
  <w:style w:type="paragraph" w:styleId="Textbubliny">
    <w:name w:val="Balloon Text"/>
    <w:basedOn w:val="Normln"/>
    <w:link w:val="TextbublinyChar"/>
    <w:uiPriority w:val="99"/>
    <w:semiHidden/>
    <w:unhideWhenUsed/>
    <w:rsid w:val="00FD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59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1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aros\Desktop\Rozepsane%20celkove%20vydaje%20SR%20VaVaI%202014_grafy%20(upr)%20graf%201%20(spr&#225;vn&#233;%20posunut&#237;)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aros\Desktop\Rozepsane%20celkove%20vydaje%20SR%20VaVaI%202014_grafy%20(upr)%20graf%201%20(spr&#225;vn&#233;%20posunut&#237;)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aros\Desktop\Grafy%20rozpo&#269;et\2%20grafy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aros\Desktop\Grafy%20rozpo&#269;et\2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cs-CZ" sz="1600"/>
              <a:t>Výdaje SR</a:t>
            </a:r>
            <a:r>
              <a:rPr lang="cs-CZ" sz="1600" baseline="0"/>
              <a:t> na VaVaI v roce 2014</a:t>
            </a:r>
            <a:endParaRPr lang="cs-CZ" sz="1600"/>
          </a:p>
        </c:rich>
      </c:tx>
      <c:layout>
        <c:manualLayout>
          <c:xMode val="edge"/>
          <c:yMode val="edge"/>
          <c:x val="0.32998807259858792"/>
          <c:y val="1.5338893682293164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32785937865320092"/>
          <c:y val="0.30242773935119205"/>
          <c:w val="0.38470349517655938"/>
          <c:h val="0.46348970370611969"/>
        </c:manualLayout>
      </c:layout>
      <c:pieChart>
        <c:varyColors val="1"/>
        <c:ser>
          <c:idx val="0"/>
          <c:order val="0"/>
          <c:dPt>
            <c:idx val="0"/>
            <c:bubble3D val="0"/>
          </c:dPt>
          <c:dPt>
            <c:idx val="1"/>
            <c:bubble3D val="0"/>
            <c:spPr>
              <a:solidFill>
                <a:schemeClr val="accent1"/>
              </a:solidFill>
            </c:spPr>
          </c:dPt>
          <c:dPt>
            <c:idx val="2"/>
            <c:bubble3D val="0"/>
            <c:spPr>
              <a:pattFill prst="wdUpDiag">
                <a:fgClr>
                  <a:schemeClr val="tx2">
                    <a:lumMod val="60000"/>
                    <a:lumOff val="40000"/>
                  </a:schemeClr>
                </a:fgClr>
                <a:bgClr>
                  <a:srgbClr val="FFC000"/>
                </a:bgClr>
              </a:pattFill>
            </c:spPr>
          </c:dPt>
          <c:dPt>
            <c:idx val="3"/>
            <c:bubble3D val="0"/>
            <c:spPr>
              <a:solidFill>
                <a:srgbClr val="FBD809"/>
              </a:solidFill>
            </c:spPr>
          </c:dPt>
          <c:dPt>
            <c:idx val="4"/>
            <c:bubble3D val="0"/>
            <c:spPr>
              <a:solidFill>
                <a:srgbClr val="FCE55A"/>
              </a:solidFill>
            </c:spPr>
          </c:dPt>
          <c:dPt>
            <c:idx val="5"/>
            <c:bubble3D val="0"/>
            <c:spPr>
              <a:solidFill>
                <a:srgbClr val="FDED8D"/>
              </a:solidFill>
            </c:spPr>
          </c:dPt>
          <c:dPt>
            <c:idx val="6"/>
            <c:bubble3D val="0"/>
            <c:spPr>
              <a:solidFill>
                <a:srgbClr val="92D050"/>
              </a:solidFill>
            </c:spPr>
          </c:dPt>
          <c:dPt>
            <c:idx val="7"/>
            <c:bubble3D val="0"/>
            <c:spPr>
              <a:solidFill>
                <a:schemeClr val="bg1">
                  <a:lumMod val="65000"/>
                </a:schemeClr>
              </a:solidFill>
            </c:spPr>
          </c:dPt>
          <c:dPt>
            <c:idx val="8"/>
            <c:bubble3D val="0"/>
            <c:spPr>
              <a:solidFill>
                <a:srgbClr val="7030A0"/>
              </a:solidFill>
            </c:spPr>
          </c:dPt>
          <c:dPt>
            <c:idx val="9"/>
            <c:bubble3D val="0"/>
            <c:spPr>
              <a:solidFill>
                <a:srgbClr val="863BBF"/>
              </a:solidFill>
            </c:spPr>
          </c:dPt>
          <c:dPt>
            <c:idx val="10"/>
            <c:bubble3D val="0"/>
            <c:spPr>
              <a:solidFill>
                <a:srgbClr val="9A58CC"/>
              </a:solidFill>
            </c:spPr>
          </c:dPt>
          <c:dPt>
            <c:idx val="11"/>
            <c:bubble3D val="0"/>
          </c:dPt>
          <c:dPt>
            <c:idx val="12"/>
            <c:bubble3D val="0"/>
            <c:spPr>
              <a:solidFill>
                <a:srgbClr val="F73521"/>
              </a:solidFill>
            </c:spPr>
          </c:dPt>
          <c:dPt>
            <c:idx val="13"/>
            <c:bubble3D val="0"/>
            <c:spPr>
              <a:solidFill>
                <a:srgbClr val="F96B6B"/>
              </a:solidFill>
            </c:spPr>
          </c:dPt>
          <c:dLbls>
            <c:dLbl>
              <c:idx val="0"/>
              <c:layout>
                <c:manualLayout>
                  <c:x val="7.1806109852706773E-2"/>
                  <c:y val="-7.6595421764166678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3765960761754095"/>
                  <c:y val="-0.18263699656906118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9742199988840375"/>
                  <c:y val="-0.12979452149601106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0.18771884714226575"/>
                  <c:y val="-6.0633916842280623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0.2107076581856063"/>
                  <c:y val="1.68702764151375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0.19455684919345029"/>
                  <c:y val="8.1163528685096187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-1.3583336329534151E-2"/>
                  <c:y val="0.1113870140195831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-6.7082779036182122E-2"/>
                  <c:y val="8.073326096075593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-0.13559115726313556"/>
                  <c:y val="-2.0783446072692165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9"/>
              <c:layout>
                <c:manualLayout>
                  <c:x val="-0.12553943465531223"/>
                  <c:y val="-6.4390185873246783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0"/>
              <c:layout>
                <c:manualLayout>
                  <c:x val="-0.12088411231754156"/>
                  <c:y val="-9.5889635457521369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1"/>
              <c:layout>
                <c:manualLayout>
                  <c:x val="-9.1018141567448363E-2"/>
                  <c:y val="-0.1625744782221964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2"/>
              <c:layout>
                <c:manualLayout>
                  <c:x val="0.10996740133510709"/>
                  <c:y val="-0.1205811123527757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Náklady na činnost GA ČR, TAČR, </a:t>
                    </a:r>
                    <a:r>
                      <a:rPr lang="cs-CZ"/>
                      <a:t>AV ČR, </a:t>
                    </a:r>
                    <a:r>
                      <a:rPr lang="en-US"/>
                      <a:t>RVVI
6,34%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3"/>
              <c:layout>
                <c:manualLayout>
                  <c:x val="0.24109517132276273"/>
                  <c:y val="-0.1150117367224795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.00%" sourceLinked="0"/>
            <c:txPr>
              <a:bodyPr/>
              <a:lstStyle/>
              <a:p>
                <a:pPr>
                  <a:defRPr sz="900" b="0"/>
                </a:pPr>
                <a:endParaRPr lang="cs-CZ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'PODKLAD PRO GRAF'!$J$3:$J$16</c:f>
              <c:strCache>
                <c:ptCount val="14"/>
                <c:pt idx="0">
                  <c:v>Programy aplikovaného VaVaI</c:v>
                </c:pt>
                <c:pt idx="1">
                  <c:v>GAČR</c:v>
                </c:pt>
                <c:pt idx="2">
                  <c:v>Programy mezinárodní spolupráce</c:v>
                </c:pt>
                <c:pt idx="3">
                  <c:v>Podpora projektů mezinárodní spolupráce ve VaV</c:v>
                </c:pt>
                <c:pt idx="4">
                  <c:v>Poplatky za účast v mezinárodních programech</c:v>
                </c:pt>
                <c:pt idx="5">
                  <c:v>Poplatky za členství v mezinárodních organizacích</c:v>
                </c:pt>
                <c:pt idx="6">
                  <c:v>Dlouhodobý rozvoj výzkumných organizací</c:v>
                </c:pt>
                <c:pt idx="7">
                  <c:v>Specifický výzkum</c:v>
                </c:pt>
                <c:pt idx="8">
                  <c:v>Projekty velkých infrastruktur</c:v>
                </c:pt>
                <c:pt idx="9">
                  <c:v>Národní programy udržitelnosti</c:v>
                </c:pt>
                <c:pt idx="10">
                  <c:v>Kofinancování operačních programů</c:v>
                </c:pt>
                <c:pt idx="11">
                  <c:v>Věcná a finanční ocenění</c:v>
                </c:pt>
                <c:pt idx="12">
                  <c:v>Náklady na činnost GA ČR, TA, ČR, RVVI</c:v>
                </c:pt>
                <c:pt idx="13">
                  <c:v>Pořádání veřejných soutěží, administrativní náklady</c:v>
                </c:pt>
              </c:strCache>
            </c:strRef>
          </c:cat>
          <c:val>
            <c:numRef>
              <c:f>'PODKLAD PRO GRAF'!$K$3:$K$16</c:f>
              <c:numCache>
                <c:formatCode>#,##0</c:formatCode>
                <c:ptCount val="14"/>
                <c:pt idx="0">
                  <c:v>6641027</c:v>
                </c:pt>
                <c:pt idx="1">
                  <c:v>3356971</c:v>
                </c:pt>
                <c:pt idx="2">
                  <c:v>788103</c:v>
                </c:pt>
                <c:pt idx="3">
                  <c:v>351609</c:v>
                </c:pt>
                <c:pt idx="4">
                  <c:v>145190</c:v>
                </c:pt>
                <c:pt idx="5">
                  <c:v>580573</c:v>
                </c:pt>
                <c:pt idx="6">
                  <c:v>9400458</c:v>
                </c:pt>
                <c:pt idx="7">
                  <c:v>1165308</c:v>
                </c:pt>
                <c:pt idx="8">
                  <c:v>795745</c:v>
                </c:pt>
                <c:pt idx="9">
                  <c:v>958431</c:v>
                </c:pt>
                <c:pt idx="10">
                  <c:v>706032</c:v>
                </c:pt>
                <c:pt idx="11">
                  <c:v>3261</c:v>
                </c:pt>
                <c:pt idx="12">
                  <c:v>1689709</c:v>
                </c:pt>
                <c:pt idx="13">
                  <c:v>63611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tx2">
                  <a:lumMod val="20000"/>
                  <a:lumOff val="80000"/>
                </a:schemeClr>
              </a:solidFill>
            </c:spPr>
          </c:dPt>
          <c:dPt>
            <c:idx val="1"/>
            <c:bubble3D val="0"/>
            <c:spPr>
              <a:solidFill>
                <a:srgbClr val="FFFF99"/>
              </a:solidFill>
            </c:spPr>
          </c:dPt>
          <c:dPt>
            <c:idx val="2"/>
            <c:bubble3D val="0"/>
            <c:spPr>
              <a:solidFill>
                <a:srgbClr val="CCFF99"/>
              </a:solidFill>
            </c:spPr>
          </c:dPt>
          <c:dPt>
            <c:idx val="3"/>
            <c:bubble3D val="0"/>
            <c:spPr>
              <a:solidFill>
                <a:schemeClr val="bg1">
                  <a:lumMod val="85000"/>
                </a:schemeClr>
              </a:solidFill>
            </c:spPr>
          </c:dPt>
          <c:dPt>
            <c:idx val="4"/>
            <c:bubble3D val="0"/>
            <c:spPr>
              <a:solidFill>
                <a:srgbClr val="C9A6E4"/>
              </a:solidFill>
            </c:spPr>
          </c:dPt>
          <c:dPt>
            <c:idx val="5"/>
            <c:bubble3D val="0"/>
            <c:spPr>
              <a:solidFill>
                <a:schemeClr val="accent2">
                  <a:lumMod val="40000"/>
                  <a:lumOff val="60000"/>
                </a:schemeClr>
              </a:solidFill>
            </c:spPr>
          </c:dPt>
          <c:dLbls>
            <c:dLbl>
              <c:idx val="0"/>
              <c:layout>
                <c:manualLayout>
                  <c:x val="-2.8835316290309526E-2"/>
                  <c:y val="1.3810793571122335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5.1901441835189105E-2"/>
                  <c:y val="-4.2467400738254333E-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2.9734102620432357E-2"/>
                  <c:y val="-7.8136587508234781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2.6619646112517874E-2"/>
                  <c:y val="3.7216174671393168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2.6310235449643685E-2"/>
                  <c:y val="4.2726312597379509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b="1"/>
                </a:pPr>
                <a:endParaRPr lang="cs-CZ"/>
              </a:p>
            </c:txPr>
            <c:dLblPos val="bestFit"/>
            <c:showLegendKey val="0"/>
            <c:showVal val="0"/>
            <c:showCatName val="1"/>
            <c:showSerName val="0"/>
            <c:showPercent val="1"/>
            <c:showBubbleSize val="0"/>
            <c:showLeaderLines val="0"/>
          </c:dLbls>
          <c:cat>
            <c:strRef>
              <c:f>'PODKLAD PRO GRAF'!$J$19:$J$24</c:f>
              <c:strCache>
                <c:ptCount val="6"/>
                <c:pt idx="0">
                  <c:v>Projekty</c:v>
                </c:pt>
                <c:pt idx="1">
                  <c:v>Mezinárodní spolupráce</c:v>
                </c:pt>
                <c:pt idx="2">
                  <c:v>Dlouhodobý rozvoj VO</c:v>
                </c:pt>
                <c:pt idx="3">
                  <c:v>Specifický výzkum</c:v>
                </c:pt>
                <c:pt idx="4">
                  <c:v>Infrastruktura</c:v>
                </c:pt>
                <c:pt idx="5">
                  <c:v>Administrativní n.</c:v>
                </c:pt>
              </c:strCache>
            </c:strRef>
          </c:cat>
          <c:val>
            <c:numRef>
              <c:f>'PODKLAD PRO GRAF'!$K$19:$K$24</c:f>
              <c:numCache>
                <c:formatCode>#,##0</c:formatCode>
                <c:ptCount val="6"/>
                <c:pt idx="0">
                  <c:v>9997998</c:v>
                </c:pt>
                <c:pt idx="1">
                  <c:v>1865475</c:v>
                </c:pt>
                <c:pt idx="2">
                  <c:v>9400458</c:v>
                </c:pt>
                <c:pt idx="3">
                  <c:v>1165308</c:v>
                </c:pt>
                <c:pt idx="4">
                  <c:v>2460208</c:v>
                </c:pt>
                <c:pt idx="5">
                  <c:v>1756581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cs-CZ" sz="1400"/>
              <a:t>Účelové výdaje</a:t>
            </a:r>
            <a:r>
              <a:rPr lang="cs-CZ" sz="1400" baseline="0"/>
              <a:t> SR na VaVaI v roce 2014</a:t>
            </a:r>
            <a:endParaRPr lang="cs-CZ" sz="1400"/>
          </a:p>
        </c:rich>
      </c:tx>
      <c:layout>
        <c:manualLayout>
          <c:xMode val="edge"/>
          <c:yMode val="edge"/>
          <c:x val="0.24485274884406028"/>
          <c:y val="0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8.0783104176753981E-2"/>
                  <c:y val="5.1520293996020622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2.4645705538573776E-2"/>
                  <c:y val="1.10984151709084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1154747639231895"/>
                  <c:y val="1.6908342481148895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7.3871192237333877E-2"/>
                  <c:y val="1.8161787261327027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1.4684442853734192E-2"/>
                  <c:y val="0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4.9574270535504165E-2"/>
                  <c:y val="-1.1844071137594833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-2.7834798303438837E-2"/>
                  <c:y val="-9.9976677697759947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-3.2351094433429178E-2"/>
                  <c:y val="7.7033498970312739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-7.4506882812309785E-2"/>
                  <c:y val="5.2331674931094682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9"/>
              <c:layout>
                <c:manualLayout>
                  <c:x val="-8.1247970171952802E-2"/>
                  <c:y val="3.4869893510356726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0"/>
              <c:layout>
                <c:manualLayout>
                  <c:x val="-3.5816591783904853E-2"/>
                  <c:y val="9.0545408696670921E-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.00%" sourceLinked="0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List1!$O$3:$O$13</c:f>
              <c:strCache>
                <c:ptCount val="11"/>
                <c:pt idx="0">
                  <c:v>ÚV ČR</c:v>
                </c:pt>
                <c:pt idx="1">
                  <c:v>GA ČR</c:v>
                </c:pt>
                <c:pt idx="2">
                  <c:v>TA ČR </c:v>
                </c:pt>
                <c:pt idx="3">
                  <c:v>AV ČR</c:v>
                </c:pt>
                <c:pt idx="4">
                  <c:v>MK</c:v>
                </c:pt>
                <c:pt idx="5">
                  <c:v>MO</c:v>
                </c:pt>
                <c:pt idx="6">
                  <c:v>MPO</c:v>
                </c:pt>
                <c:pt idx="7">
                  <c:v>MŠMT</c:v>
                </c:pt>
                <c:pt idx="8">
                  <c:v>MV</c:v>
                </c:pt>
                <c:pt idx="9">
                  <c:v>MZ</c:v>
                </c:pt>
                <c:pt idx="10">
                  <c:v>MZe</c:v>
                </c:pt>
              </c:strCache>
            </c:strRef>
          </c:cat>
          <c:val>
            <c:numRef>
              <c:f>List1!$Q$3:$Q$13</c:f>
              <c:numCache>
                <c:formatCode>#,##0</c:formatCode>
                <c:ptCount val="11"/>
                <c:pt idx="0">
                  <c:v>0</c:v>
                </c:pt>
                <c:pt idx="1">
                  <c:v>3356971</c:v>
                </c:pt>
                <c:pt idx="2">
                  <c:v>2864414</c:v>
                </c:pt>
                <c:pt idx="3">
                  <c:v>0</c:v>
                </c:pt>
                <c:pt idx="4">
                  <c:v>406079</c:v>
                </c:pt>
                <c:pt idx="5">
                  <c:v>323000</c:v>
                </c:pt>
                <c:pt idx="6">
                  <c:v>1057226</c:v>
                </c:pt>
                <c:pt idx="7">
                  <c:v>3849343</c:v>
                </c:pt>
                <c:pt idx="8">
                  <c:v>570000</c:v>
                </c:pt>
                <c:pt idx="9">
                  <c:v>900000</c:v>
                </c:pt>
                <c:pt idx="10">
                  <c:v>378552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cs-CZ" sz="1400"/>
              <a:t>Institucionální výdaje</a:t>
            </a:r>
            <a:r>
              <a:rPr lang="cs-CZ" sz="1400" baseline="0"/>
              <a:t> SR na VaVaI v roce 2014</a:t>
            </a:r>
            <a:endParaRPr lang="cs-CZ" sz="1400"/>
          </a:p>
        </c:rich>
      </c:tx>
      <c:layout>
        <c:manualLayout>
          <c:xMode val="edge"/>
          <c:yMode val="edge"/>
          <c:x val="0.21434160595204227"/>
          <c:y val="0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dLbls>
            <c:dLbl>
              <c:idx val="2"/>
              <c:layout>
                <c:manualLayout>
                  <c:x val="0.18401630953919065"/>
                  <c:y val="2.520508160639831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7.9173193685956843E-3"/>
                  <c:y val="-1.5019339506762918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-1.4354429203296819E-2"/>
                  <c:y val="2.5717011966229917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-1.2865453101435071E-2"/>
                  <c:y val="5.152616174545873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-0.22432211158660487"/>
                  <c:y val="0.12573013598642294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9"/>
              <c:layout>
                <c:manualLayout>
                  <c:x val="-0.23393341303603946"/>
                  <c:y val="6.2736636870945967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0"/>
              <c:layout>
                <c:manualLayout>
                  <c:x val="-0.16745269586399739"/>
                  <c:y val="2.6010961088887615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1"/>
              <c:layout>
                <c:manualLayout>
                  <c:x val="-4.4263290618084504E-2"/>
                  <c:y val="-2.7667700026862953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.00%" sourceLinked="0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List1!$A$2:$A$12</c:f>
              <c:strCache>
                <c:ptCount val="11"/>
                <c:pt idx="0">
                  <c:v>ÚV ČR</c:v>
                </c:pt>
                <c:pt idx="1">
                  <c:v>GA ČR</c:v>
                </c:pt>
                <c:pt idx="2">
                  <c:v>TA ČR </c:v>
                </c:pt>
                <c:pt idx="3">
                  <c:v>AV ČR</c:v>
                </c:pt>
                <c:pt idx="4">
                  <c:v>MK</c:v>
                </c:pt>
                <c:pt idx="5">
                  <c:v>MO</c:v>
                </c:pt>
                <c:pt idx="6">
                  <c:v>MPO</c:v>
                </c:pt>
                <c:pt idx="7">
                  <c:v>MŠMT</c:v>
                </c:pt>
                <c:pt idx="8">
                  <c:v>MV</c:v>
                </c:pt>
                <c:pt idx="9">
                  <c:v>MZ</c:v>
                </c:pt>
                <c:pt idx="10">
                  <c:v>MZe</c:v>
                </c:pt>
              </c:strCache>
            </c:strRef>
          </c:cat>
          <c:val>
            <c:numRef>
              <c:f>List1!$B$2:$B$12</c:f>
              <c:numCache>
                <c:formatCode>#,##0</c:formatCode>
                <c:ptCount val="11"/>
                <c:pt idx="0">
                  <c:v>33000</c:v>
                </c:pt>
                <c:pt idx="1">
                  <c:v>110276</c:v>
                </c:pt>
                <c:pt idx="2">
                  <c:v>102001</c:v>
                </c:pt>
                <c:pt idx="3">
                  <c:v>4454856</c:v>
                </c:pt>
                <c:pt idx="4">
                  <c:v>74901</c:v>
                </c:pt>
                <c:pt idx="5">
                  <c:v>89977</c:v>
                </c:pt>
                <c:pt idx="6">
                  <c:v>507434</c:v>
                </c:pt>
                <c:pt idx="7">
                  <c:v>6684672</c:v>
                </c:pt>
                <c:pt idx="8">
                  <c:v>59930</c:v>
                </c:pt>
                <c:pt idx="9">
                  <c:v>427744</c:v>
                </c:pt>
                <c:pt idx="10">
                  <c:v>395652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73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Jaroš Pavel</dc:creator>
  <cp:lastModifiedBy>Jaroš Pavel</cp:lastModifiedBy>
  <cp:revision>15</cp:revision>
  <cp:lastPrinted>2013-11-14T08:20:00Z</cp:lastPrinted>
  <dcterms:created xsi:type="dcterms:W3CDTF">2013-11-13T13:48:00Z</dcterms:created>
  <dcterms:modified xsi:type="dcterms:W3CDTF">2013-11-14T13:04:00Z</dcterms:modified>
</cp:coreProperties>
</file>