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254" w:rsidRDefault="00C56254" w:rsidP="00587C5E">
      <w:pPr>
        <w:pStyle w:val="Heading1"/>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369.65pt;margin-top:-19.25pt;width:71.35pt;height:28.25pt;z-index:251658752" fillcolor="silver">
            <v:textbox>
              <w:txbxContent>
                <w:p w:rsidR="00C56254" w:rsidRPr="00F228F5" w:rsidRDefault="00C56254">
                  <w:pPr>
                    <w:rPr>
                      <w:rFonts w:ascii="Times New Roman" w:hAnsi="Times New Roman"/>
                      <w:b/>
                      <w:sz w:val="32"/>
                      <w:szCs w:val="32"/>
                      <w:lang w:val="cs-CZ"/>
                    </w:rPr>
                  </w:pPr>
                  <w:r w:rsidRPr="00F228F5">
                    <w:rPr>
                      <w:rFonts w:ascii="Times New Roman" w:hAnsi="Times New Roman"/>
                      <w:bCs/>
                      <w:sz w:val="32"/>
                      <w:szCs w:val="32"/>
                    </w:rPr>
                    <w:t>288/</w:t>
                  </w:r>
                  <w:r>
                    <w:rPr>
                      <w:rFonts w:ascii="Times New Roman" w:hAnsi="Times New Roman"/>
                      <w:b/>
                      <w:sz w:val="32"/>
                      <w:szCs w:val="32"/>
                    </w:rPr>
                    <w:t>B3</w:t>
                  </w:r>
                </w:p>
              </w:txbxContent>
            </v:textbox>
          </v:shape>
        </w:pict>
      </w:r>
      <w:r>
        <w:t>Open Access k publikacím financovaným z veřejných zdrojů</w:t>
      </w:r>
    </w:p>
    <w:p w:rsidR="00C56254" w:rsidRPr="00F228F5" w:rsidRDefault="00C56254" w:rsidP="00F228F5">
      <w:pPr>
        <w:rPr>
          <w:lang w:val="cs-CZ"/>
        </w:rPr>
      </w:pPr>
    </w:p>
    <w:p w:rsidR="00C56254" w:rsidRDefault="00C56254" w:rsidP="008F0657">
      <w:pPr>
        <w:pStyle w:val="Heading2"/>
        <w:spacing w:after="120"/>
      </w:pPr>
      <w:r>
        <w:t>Úvod</w:t>
      </w:r>
    </w:p>
    <w:p w:rsidR="00C56254" w:rsidRDefault="00C56254" w:rsidP="00F228F5">
      <w:pPr>
        <w:jc w:val="both"/>
        <w:rPr>
          <w:lang w:val="cs-CZ"/>
        </w:rPr>
      </w:pPr>
      <w:r>
        <w:rPr>
          <w:lang w:val="cs-CZ"/>
        </w:rPr>
        <w:t xml:space="preserve">Přístup k elektronickým verzím odborných časopisů je pochopitelně středem zájmu odborných kruhů. Česká republika v současné době vydává z veřejných zdrojů </w:t>
      </w:r>
      <w:r w:rsidRPr="00E07926">
        <w:rPr>
          <w:lang w:val="cs-CZ"/>
        </w:rPr>
        <w:t xml:space="preserve">zhruba </w:t>
      </w:r>
      <w:smartTag w:uri="urn:schemas-microsoft-com:office:smarttags" w:element="metricconverter">
        <w:smartTagPr>
          <w:attr w:name="ProductID" w:val="300 mil"/>
        </w:smartTagPr>
        <w:r w:rsidRPr="00E07926">
          <w:rPr>
            <w:lang w:val="cs-CZ"/>
          </w:rPr>
          <w:t>300 mil</w:t>
        </w:r>
      </w:smartTag>
      <w:r>
        <w:rPr>
          <w:lang w:val="cs-CZ"/>
        </w:rPr>
        <w:t>. Kč ročně na elektronické předplatné. Vzhledem k tomu, že celosvětově je publikováno zhruba 24.000 peer-reviewed periodik, tato částka prokazatelně není dostačující, nicméně umožňuje přístup alespoň k těm nejdůležitějším zdrojům. Je to problém, s kterým celkem bezúspěšně zápolí většina knihoven a odborných institucí ve světě a jehož důsledkem je to, že v době on-line zdrojů všeho druhu vědci mají pouze omezený přístup k nejaktuálnějším informacím.</w:t>
      </w:r>
    </w:p>
    <w:p w:rsidR="00C56254" w:rsidRDefault="00C56254" w:rsidP="00F228F5">
      <w:pPr>
        <w:jc w:val="both"/>
        <w:rPr>
          <w:lang w:val="cs-CZ"/>
        </w:rPr>
      </w:pPr>
      <w:r>
        <w:rPr>
          <w:lang w:val="cs-CZ"/>
        </w:rPr>
        <w:t>Dopad článku, ke kterému většina osob nemá přístup, je následně omezený, protože jeho impakt faktor záleží na tom, kolikrát je čten, použit a citován. V některých oborech je počet citací u volně přístupných článků (ať již z úložiště v autorově instituci či z web-based elektronických publikací) zhruba třikrát větší než u článků uveřejněných v odborných časopisech, za které se buď platí předplatné anebo jsou financovány z poplatků účtovaných autorům (tzv. Advanced Publication Charge - APC). Je ovšem nutné si uvědomit, že volně přístupné odborné publikace nejsou vždy adekvátně peer-reviewed, pokud vůbec reviewed jsou.</w:t>
      </w:r>
    </w:p>
    <w:p w:rsidR="00C56254" w:rsidRDefault="00C56254" w:rsidP="00F228F5">
      <w:pPr>
        <w:jc w:val="both"/>
        <w:rPr>
          <w:lang w:val="cs-CZ"/>
        </w:rPr>
      </w:pPr>
      <w:r>
        <w:rPr>
          <w:lang w:val="cs-CZ"/>
        </w:rPr>
        <w:t xml:space="preserve">Zhruba od roku 2002 se rozmáhá tlak na volný přístup k odborným publikacím, obzvláště k těm, kde výzkum byl financován z veřejných zdrojů. Rozhodující krok v tomto směru udělala před rokem Velká Británie, která zavedla od </w:t>
      </w:r>
      <w:r w:rsidRPr="00E07926">
        <w:rPr>
          <w:lang w:val="cs-CZ"/>
        </w:rPr>
        <w:t>1. ledna</w:t>
      </w:r>
      <w:r>
        <w:rPr>
          <w:lang w:val="cs-CZ"/>
        </w:rPr>
        <w:t xml:space="preserve"> 2014 mandatorní publikaci výsledků výzkumu financovaného z veřejných zdrojů v časopisech s volným, či pouze mírně omezeným přístupem, jinými slovy v časopisech, které mají tak zvaný Open Access.</w:t>
      </w:r>
    </w:p>
    <w:p w:rsidR="00C56254" w:rsidRDefault="00C56254" w:rsidP="00F228F5">
      <w:pPr>
        <w:jc w:val="both"/>
        <w:rPr>
          <w:lang w:val="cs-CZ"/>
        </w:rPr>
      </w:pPr>
      <w:r>
        <w:rPr>
          <w:lang w:val="cs-CZ"/>
        </w:rPr>
        <w:t>Asi bude dobré nejdříve si ujasnit relevantní terminologii.</w:t>
      </w:r>
    </w:p>
    <w:p w:rsidR="00C56254" w:rsidRDefault="00C56254" w:rsidP="00F228F5">
      <w:pPr>
        <w:jc w:val="both"/>
        <w:rPr>
          <w:lang w:val="cs-CZ"/>
        </w:rPr>
      </w:pPr>
      <w:r w:rsidRPr="00B139ED">
        <w:rPr>
          <w:b/>
          <w:lang w:val="cs-CZ"/>
        </w:rPr>
        <w:t>Open Access</w:t>
      </w:r>
      <w:r>
        <w:rPr>
          <w:lang w:val="cs-CZ"/>
        </w:rPr>
        <w:t xml:space="preserve"> (OA)  – znamená:</w:t>
      </w:r>
    </w:p>
    <w:p w:rsidR="00C56254" w:rsidRDefault="00C56254" w:rsidP="00F228F5">
      <w:pPr>
        <w:pStyle w:val="ListParagraph"/>
        <w:numPr>
          <w:ilvl w:val="0"/>
          <w:numId w:val="1"/>
        </w:numPr>
        <w:jc w:val="both"/>
        <w:rPr>
          <w:lang w:val="cs-CZ"/>
        </w:rPr>
      </w:pPr>
      <w:r w:rsidRPr="00F86B6D">
        <w:rPr>
          <w:lang w:val="cs-CZ"/>
        </w:rPr>
        <w:t>neomezený on-line přístup k odborným peer-</w:t>
      </w:r>
      <w:r w:rsidRPr="00121CA5">
        <w:rPr>
          <w:lang w:val="cs-CZ"/>
        </w:rPr>
        <w:t>review studiím</w:t>
      </w:r>
    </w:p>
    <w:p w:rsidR="00C56254" w:rsidRDefault="00C56254" w:rsidP="00F228F5">
      <w:pPr>
        <w:pStyle w:val="ListParagraph"/>
        <w:numPr>
          <w:ilvl w:val="0"/>
          <w:numId w:val="1"/>
        </w:numPr>
        <w:jc w:val="both"/>
        <w:rPr>
          <w:lang w:val="cs-CZ"/>
        </w:rPr>
      </w:pPr>
      <w:r>
        <w:rPr>
          <w:lang w:val="cs-CZ"/>
        </w:rPr>
        <w:t>kde je uživatel schopný:</w:t>
      </w:r>
      <w:r>
        <w:rPr>
          <w:lang w:val="cs-CZ"/>
        </w:rPr>
        <w:tab/>
      </w:r>
    </w:p>
    <w:p w:rsidR="00C56254" w:rsidRDefault="00C56254" w:rsidP="00F228F5">
      <w:pPr>
        <w:pStyle w:val="ListParagraph"/>
        <w:numPr>
          <w:ilvl w:val="1"/>
          <w:numId w:val="1"/>
        </w:numPr>
        <w:jc w:val="both"/>
        <w:rPr>
          <w:lang w:val="cs-CZ"/>
        </w:rPr>
      </w:pPr>
      <w:r>
        <w:rPr>
          <w:lang w:val="cs-CZ"/>
        </w:rPr>
        <w:t>číst publikaci v elektronickém formátu</w:t>
      </w:r>
    </w:p>
    <w:p w:rsidR="00C56254" w:rsidRDefault="00C56254" w:rsidP="00F228F5">
      <w:pPr>
        <w:pStyle w:val="ListParagraph"/>
        <w:numPr>
          <w:ilvl w:val="1"/>
          <w:numId w:val="1"/>
        </w:numPr>
        <w:jc w:val="both"/>
        <w:rPr>
          <w:lang w:val="cs-CZ"/>
        </w:rPr>
      </w:pPr>
      <w:r>
        <w:rPr>
          <w:lang w:val="cs-CZ"/>
        </w:rPr>
        <w:t>vyhledávat publikaci podle klíčových slov a následně stáhnout její obsah</w:t>
      </w:r>
    </w:p>
    <w:p w:rsidR="00C56254" w:rsidRDefault="00C56254" w:rsidP="00F228F5">
      <w:pPr>
        <w:pStyle w:val="ListParagraph"/>
        <w:numPr>
          <w:ilvl w:val="0"/>
          <w:numId w:val="1"/>
        </w:numPr>
        <w:jc w:val="both"/>
        <w:rPr>
          <w:lang w:val="cs-CZ"/>
        </w:rPr>
      </w:pPr>
      <w:r>
        <w:rPr>
          <w:lang w:val="cs-CZ"/>
        </w:rPr>
        <w:t>neomezené manuální či automatické použití data-mining nástrojů a následné použití výsledku s příslušným uvedením zdroje či zdrojů.</w:t>
      </w:r>
    </w:p>
    <w:p w:rsidR="00C56254" w:rsidRDefault="00C56254" w:rsidP="00F228F5">
      <w:pPr>
        <w:jc w:val="both"/>
        <w:rPr>
          <w:lang w:val="cs-CZ"/>
        </w:rPr>
      </w:pPr>
      <w:r w:rsidRPr="00B139ED">
        <w:rPr>
          <w:b/>
          <w:lang w:val="cs-CZ"/>
        </w:rPr>
        <w:t>Podle časového omezení</w:t>
      </w:r>
      <w:r>
        <w:rPr>
          <w:lang w:val="cs-CZ"/>
        </w:rPr>
        <w:t xml:space="preserve"> přístupu k elektronické verzi se OA dělí na:</w:t>
      </w:r>
    </w:p>
    <w:p w:rsidR="00C56254" w:rsidRDefault="00C56254" w:rsidP="00F228F5">
      <w:pPr>
        <w:pStyle w:val="ListParagraph"/>
        <w:numPr>
          <w:ilvl w:val="0"/>
          <w:numId w:val="2"/>
        </w:numPr>
        <w:jc w:val="both"/>
        <w:rPr>
          <w:lang w:val="cs-CZ"/>
        </w:rPr>
      </w:pPr>
      <w:r>
        <w:rPr>
          <w:lang w:val="cs-CZ"/>
        </w:rPr>
        <w:t>GOLD – s okamžitým přístupem po publikování</w:t>
      </w:r>
    </w:p>
    <w:p w:rsidR="00C56254" w:rsidRDefault="00C56254" w:rsidP="00F228F5">
      <w:pPr>
        <w:pStyle w:val="ListParagraph"/>
        <w:numPr>
          <w:ilvl w:val="0"/>
          <w:numId w:val="2"/>
        </w:numPr>
        <w:jc w:val="both"/>
        <w:rPr>
          <w:lang w:val="cs-CZ"/>
        </w:rPr>
      </w:pPr>
      <w:r>
        <w:rPr>
          <w:lang w:val="cs-CZ"/>
        </w:rPr>
        <w:t>GREEN – s přístupem po určité době (6 až max. 24 měsíců od publikování).</w:t>
      </w:r>
    </w:p>
    <w:p w:rsidR="00C56254" w:rsidRDefault="00C56254" w:rsidP="00F228F5">
      <w:pPr>
        <w:pStyle w:val="ListParagraph"/>
        <w:numPr>
          <w:ilvl w:val="0"/>
          <w:numId w:val="2"/>
        </w:numPr>
        <w:jc w:val="both"/>
        <w:rPr>
          <w:lang w:val="cs-CZ"/>
        </w:rPr>
      </w:pPr>
      <w:r>
        <w:rPr>
          <w:lang w:val="cs-CZ"/>
        </w:rPr>
        <w:t>Oba tyto druhy dovolují okamžité archivování autorem či jeho institucí apod., s časovaným veřejným uvolněním.</w:t>
      </w:r>
    </w:p>
    <w:p w:rsidR="00C56254" w:rsidRDefault="00C56254" w:rsidP="008F0657">
      <w:pPr>
        <w:keepNext/>
        <w:jc w:val="both"/>
        <w:rPr>
          <w:lang w:val="cs-CZ"/>
        </w:rPr>
      </w:pPr>
      <w:r w:rsidRPr="00B139ED">
        <w:rPr>
          <w:b/>
          <w:lang w:val="cs-CZ"/>
        </w:rPr>
        <w:t>Podle druhu komerční licence</w:t>
      </w:r>
      <w:r>
        <w:rPr>
          <w:lang w:val="cs-CZ"/>
        </w:rPr>
        <w:t xml:space="preserve"> (tzv. Creative Commons Licence, dále jen „CC“) se publikace dělí na:</w:t>
      </w:r>
    </w:p>
    <w:p w:rsidR="00C56254" w:rsidRDefault="00C56254" w:rsidP="00F228F5">
      <w:pPr>
        <w:pStyle w:val="ListParagraph"/>
        <w:numPr>
          <w:ilvl w:val="0"/>
          <w:numId w:val="3"/>
        </w:numPr>
        <w:jc w:val="both"/>
        <w:rPr>
          <w:lang w:val="cs-CZ"/>
        </w:rPr>
      </w:pPr>
      <w:r>
        <w:rPr>
          <w:lang w:val="cs-CZ"/>
        </w:rPr>
        <w:t>Attribution (</w:t>
      </w:r>
      <w:r w:rsidRPr="00F81F0C">
        <w:rPr>
          <w:b/>
          <w:lang w:val="cs-CZ"/>
        </w:rPr>
        <w:t>BY</w:t>
      </w:r>
      <w:r>
        <w:rPr>
          <w:lang w:val="cs-CZ"/>
        </w:rPr>
        <w:t>) – uživatel může téměř volně používat materiál, pokud uvede zdroj</w:t>
      </w:r>
    </w:p>
    <w:p w:rsidR="00C56254" w:rsidRDefault="00C56254" w:rsidP="00F228F5">
      <w:pPr>
        <w:pStyle w:val="ListParagraph"/>
        <w:numPr>
          <w:ilvl w:val="0"/>
          <w:numId w:val="3"/>
        </w:numPr>
        <w:jc w:val="both"/>
        <w:rPr>
          <w:lang w:val="cs-CZ"/>
        </w:rPr>
      </w:pPr>
      <w:r>
        <w:rPr>
          <w:lang w:val="cs-CZ"/>
        </w:rPr>
        <w:t>Share-alike (</w:t>
      </w:r>
      <w:r w:rsidRPr="00F81F0C">
        <w:rPr>
          <w:b/>
          <w:lang w:val="cs-CZ"/>
        </w:rPr>
        <w:t>SA</w:t>
      </w:r>
      <w:r>
        <w:rPr>
          <w:lang w:val="cs-CZ"/>
        </w:rPr>
        <w:t>) – uživatel musí dodržet podmínky licence platné pro zdroj informace</w:t>
      </w:r>
    </w:p>
    <w:p w:rsidR="00C56254" w:rsidRDefault="00C56254" w:rsidP="00F228F5">
      <w:pPr>
        <w:pStyle w:val="ListParagraph"/>
        <w:numPr>
          <w:ilvl w:val="0"/>
          <w:numId w:val="3"/>
        </w:numPr>
        <w:jc w:val="both"/>
        <w:rPr>
          <w:lang w:val="cs-CZ"/>
        </w:rPr>
      </w:pPr>
      <w:r>
        <w:rPr>
          <w:lang w:val="cs-CZ"/>
        </w:rPr>
        <w:t>Non-commercial (</w:t>
      </w:r>
      <w:r w:rsidRPr="00F81F0C">
        <w:rPr>
          <w:b/>
          <w:lang w:val="cs-CZ"/>
        </w:rPr>
        <w:t>NC</w:t>
      </w:r>
      <w:r>
        <w:rPr>
          <w:lang w:val="cs-CZ"/>
        </w:rPr>
        <w:t>) – volné použití pro nekomerční účely</w:t>
      </w:r>
    </w:p>
    <w:p w:rsidR="00C56254" w:rsidRDefault="00C56254" w:rsidP="00F228F5">
      <w:pPr>
        <w:pStyle w:val="ListParagraph"/>
        <w:numPr>
          <w:ilvl w:val="0"/>
          <w:numId w:val="3"/>
        </w:numPr>
        <w:jc w:val="both"/>
        <w:rPr>
          <w:lang w:val="cs-CZ"/>
        </w:rPr>
      </w:pPr>
      <w:r w:rsidRPr="00596ED0">
        <w:rPr>
          <w:lang w:val="cs-CZ"/>
        </w:rPr>
        <w:t>Non-derivative works</w:t>
      </w:r>
      <w:r>
        <w:rPr>
          <w:lang w:val="cs-CZ"/>
        </w:rPr>
        <w:t xml:space="preserve"> (</w:t>
      </w:r>
      <w:r w:rsidRPr="00F81F0C">
        <w:rPr>
          <w:b/>
          <w:lang w:val="cs-CZ"/>
        </w:rPr>
        <w:t>ND</w:t>
      </w:r>
      <w:r>
        <w:rPr>
          <w:lang w:val="cs-CZ"/>
        </w:rPr>
        <w:t>) – může být použito pouze verbálně, např. zmíněno v přednášce</w:t>
      </w:r>
    </w:p>
    <w:p w:rsidR="00C56254" w:rsidRDefault="00C56254" w:rsidP="00F228F5">
      <w:pPr>
        <w:jc w:val="both"/>
        <w:rPr>
          <w:lang w:val="cs-CZ"/>
        </w:rPr>
      </w:pPr>
      <w:r>
        <w:rPr>
          <w:lang w:val="cs-CZ"/>
        </w:rPr>
        <w:t xml:space="preserve">Ze všech možných kombinací těchto omezení jsou </w:t>
      </w:r>
      <w:r w:rsidRPr="00B139ED">
        <w:rPr>
          <w:b/>
          <w:lang w:val="cs-CZ"/>
        </w:rPr>
        <w:t xml:space="preserve">nejdůležitější </w:t>
      </w:r>
      <w:r>
        <w:rPr>
          <w:b/>
          <w:lang w:val="cs-CZ"/>
        </w:rPr>
        <w:t xml:space="preserve">tyto </w:t>
      </w:r>
      <w:r w:rsidRPr="00B139ED">
        <w:rPr>
          <w:b/>
          <w:lang w:val="cs-CZ"/>
        </w:rPr>
        <w:t>dvě</w:t>
      </w:r>
      <w:r>
        <w:rPr>
          <w:lang w:val="cs-CZ"/>
        </w:rPr>
        <w:t>:</w:t>
      </w:r>
    </w:p>
    <w:p w:rsidR="00C56254" w:rsidRPr="00450346" w:rsidRDefault="00C56254" w:rsidP="00F228F5">
      <w:pPr>
        <w:pStyle w:val="ListParagraph"/>
        <w:numPr>
          <w:ilvl w:val="0"/>
          <w:numId w:val="4"/>
        </w:numPr>
        <w:jc w:val="both"/>
        <w:rPr>
          <w:lang w:val="cs-CZ"/>
        </w:rPr>
      </w:pPr>
      <w:r w:rsidRPr="00993935">
        <w:rPr>
          <w:b/>
          <w:lang w:val="cs-CZ"/>
        </w:rPr>
        <w:t>GOLD CC-BY</w:t>
      </w:r>
      <w:r>
        <w:rPr>
          <w:b/>
          <w:lang w:val="cs-CZ"/>
        </w:rPr>
        <w:t xml:space="preserve"> </w:t>
      </w:r>
    </w:p>
    <w:p w:rsidR="00C56254" w:rsidRDefault="00C56254" w:rsidP="00F228F5">
      <w:pPr>
        <w:pStyle w:val="ListParagraph"/>
        <w:numPr>
          <w:ilvl w:val="0"/>
          <w:numId w:val="4"/>
        </w:numPr>
        <w:jc w:val="both"/>
        <w:rPr>
          <w:lang w:val="cs-CZ"/>
        </w:rPr>
      </w:pPr>
      <w:r w:rsidRPr="00993935">
        <w:rPr>
          <w:b/>
          <w:lang w:val="cs-CZ"/>
        </w:rPr>
        <w:t xml:space="preserve">GREEN </w:t>
      </w:r>
      <w:r>
        <w:rPr>
          <w:b/>
          <w:lang w:val="cs-CZ"/>
        </w:rPr>
        <w:t>CC-</w:t>
      </w:r>
      <w:r w:rsidRPr="00993935">
        <w:rPr>
          <w:b/>
          <w:lang w:val="cs-CZ"/>
        </w:rPr>
        <w:t>BY-NC</w:t>
      </w:r>
      <w:r>
        <w:rPr>
          <w:lang w:val="cs-CZ"/>
        </w:rPr>
        <w:t xml:space="preserve"> </w:t>
      </w:r>
      <w:r w:rsidRPr="00706C35">
        <w:rPr>
          <w:i/>
          <w:lang w:val="cs-CZ"/>
        </w:rPr>
        <w:t>(případně i GREEN-CC-BY)</w:t>
      </w:r>
    </w:p>
    <w:p w:rsidR="00C56254" w:rsidRPr="00F228F5" w:rsidRDefault="00C56254" w:rsidP="008F0657">
      <w:pPr>
        <w:pStyle w:val="Heading2"/>
        <w:spacing w:after="120"/>
        <w:jc w:val="both"/>
        <w:rPr>
          <w:rStyle w:val="Heading2Char"/>
          <w:bCs w:val="0"/>
        </w:rPr>
      </w:pPr>
      <w:r>
        <w:t>Politický vývoj</w:t>
      </w:r>
    </w:p>
    <w:p w:rsidR="00C56254" w:rsidRDefault="00C56254" w:rsidP="00F228F5">
      <w:pPr>
        <w:jc w:val="both"/>
        <w:rPr>
          <w:lang w:val="cs-CZ"/>
        </w:rPr>
      </w:pPr>
      <w:r>
        <w:rPr>
          <w:lang w:val="cs-CZ"/>
        </w:rPr>
        <w:t xml:space="preserve">Myšlenka založená na logice, že když je výzkum financován z veřejných prostředků, musí mít široká (tedy světová) veřejnost k jeho výsledkům volný přístup, neukazuje známky revize a naopak nabývá na síle. Jak zmíněno výše, ve Velké Británii na základě doporučení komise vedené Dame Janet Finch, vládní agentury (RCUK, Royal Society, Royal Academy apod.) zakotvily ve svých předpisech postupný přechod na publikaci výsledků v časopisech s Gold CC-BY Open Access v průběhu příštích pěti let. Během této doby je také možné publikovat snižující se část výsledků v časopisech s OA Green CC-BY-NC. Publikování výsledků financovaných z veřejných zdrojů v časopisech, které vyžadují před platné a současně vybírají od autorů APC – </w:t>
      </w:r>
      <w:r w:rsidRPr="00F81F0C">
        <w:rPr>
          <w:b/>
          <w:lang w:val="cs-CZ"/>
        </w:rPr>
        <w:t>tzv. double dipping – je nepřípustné.</w:t>
      </w:r>
      <w:r>
        <w:rPr>
          <w:lang w:val="cs-CZ"/>
        </w:rPr>
        <w:t xml:space="preserve"> APC byla odhadnuta komisí vedenou Dame Janet Finch </w:t>
      </w:r>
      <w:r w:rsidRPr="00CB1D0E">
        <w:rPr>
          <w:lang w:val="cs-CZ"/>
        </w:rPr>
        <w:t xml:space="preserve">na € 2 500/článek s tím, že se pravděpodobně podaří vyjednat 20% diskont. (Je nutné podotknout, že tento odhad je mírně optimistický. Např. vydavatelé Nature rozhodli, že APC pro Gold CC-BY OA bude € </w:t>
      </w:r>
      <w:smartTag w:uri="urn:schemas-microsoft-com:office:smarttags" w:element="metricconverter">
        <w:smartTagPr>
          <w:attr w:name="ProductID" w:val="700 a"/>
        </w:smartTagPr>
        <w:r w:rsidRPr="00CB1D0E">
          <w:rPr>
            <w:lang w:val="cs-CZ"/>
          </w:rPr>
          <w:t xml:space="preserve">3 </w:t>
        </w:r>
        <w:smartTag w:uri="urn:schemas-microsoft-com:office:smarttags" w:element="metricconverter">
          <w:smartTagPr>
            <w:attr w:name="ProductID" w:val="700 a"/>
          </w:smartTagPr>
          <w:r w:rsidRPr="00CB1D0E">
            <w:rPr>
              <w:lang w:val="cs-CZ"/>
            </w:rPr>
            <w:t>700</w:t>
          </w:r>
          <w:r w:rsidRPr="00F228F5">
            <w:rPr>
              <w:lang w:val="cs-CZ"/>
            </w:rPr>
            <w:t xml:space="preserve"> a</w:t>
          </w:r>
        </w:smartTag>
      </w:smartTag>
      <w:r w:rsidRPr="00F228F5">
        <w:rPr>
          <w:lang w:val="cs-CZ"/>
        </w:rPr>
        <w:t xml:space="preserve"> pro Green CC-BY-NC € 3 450). Podle Dame </w:t>
      </w:r>
      <w:r w:rsidRPr="00CB1D0E">
        <w:rPr>
          <w:lang w:val="cs-CZ"/>
        </w:rPr>
        <w:t xml:space="preserve">Janet </w:t>
      </w:r>
      <w:r w:rsidRPr="00F228F5">
        <w:rPr>
          <w:lang w:val="cs-CZ"/>
        </w:rPr>
        <w:t xml:space="preserve">Finch </w:t>
      </w:r>
      <w:r>
        <w:rPr>
          <w:lang w:val="cs-CZ"/>
        </w:rPr>
        <w:t xml:space="preserve">instituce obdrží grant, který má instituci umožnit toto nařízení dodržovat. Jak se již ukazuje, velikost tohoto grantu však zdaleka nepokrývá  částku potřebnou pro APC a bude tedy na každé instituci, jak se rozhodne tento grant použít a jak a čím ho doplní. Podstata procesu je znázorněna v následujícím grafu, kde je červeně označen kritický bod, kdy instituce bude rozhodovat, zda z nedostatečných APC fondů finančně podpoří či nepodpoří určitou publikaci. </w:t>
      </w:r>
    </w:p>
    <w:p w:rsidR="00C56254" w:rsidRPr="00450346" w:rsidRDefault="00C56254" w:rsidP="00F228F5">
      <w:pPr>
        <w:jc w:val="both"/>
        <w:rPr>
          <w:color w:val="FF0000"/>
          <w:lang w:val="cs-CZ"/>
        </w:rPr>
      </w:pPr>
      <w:r>
        <w:rPr>
          <w:lang w:val="cs-CZ"/>
        </w:rPr>
        <w:br w:type="page"/>
      </w:r>
      <w:r>
        <w:rPr>
          <w:noProof/>
          <w:lang w:val="cs-CZ" w:eastAsia="cs-CZ"/>
        </w:rPr>
        <w:pict>
          <v:rect id="Rectangle 1" o:spid="_x0000_s1027" style="position:absolute;left:0;text-align:left;margin-left:63pt;margin-top:297pt;width:118.45pt;height:19.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" fillcolor="#c6d9f1" strokecolor="#243f60" strokeweight="2pt">
            <v:textbox style="mso-next-textbox:#Rectangle 1">
              <w:txbxContent>
                <w:p w:rsidR="00C56254" w:rsidRPr="001F7247" w:rsidRDefault="00C56254" w:rsidP="001F7247">
                  <w:pPr>
                    <w:pStyle w:val="NormalWeb"/>
                    <w:spacing w:before="0" w:beforeAutospacing="0" w:after="0" w:afterAutospacing="0"/>
                    <w:jc w:val="center"/>
                    <w:rPr>
                      <w:sz w:val="16"/>
                    </w:rPr>
                  </w:pPr>
                  <w:r w:rsidRPr="004D0E31">
                    <w:rPr>
                      <w:rFonts w:ascii="Calibri" w:hAnsi="Calibri"/>
                      <w:color w:val="000000"/>
                      <w:kern w:val="24"/>
                      <w:sz w:val="18"/>
                      <w:szCs w:val="28"/>
                      <w:lang w:val="cs-CZ"/>
                    </w:rPr>
                    <w:t>Okamžitý GOLD OA měsících</w:t>
                  </w:r>
                </w:p>
              </w:txbxContent>
            </v:textbox>
          </v:rect>
        </w:pict>
      </w:r>
      <w:r>
        <w:rPr>
          <w:noProof/>
          <w:lang w:val="cs-CZ" w:eastAsia="cs-CZ"/>
        </w:rPr>
        <w:pict>
          <v:group id="Group 52" o:spid="_x0000_s1028" style="position:absolute;left:0;text-align:left;margin-left:108pt;margin-top:45pt;width:279.9pt;height:271.05pt;z-index:251656704" coordorigin="-621" coordsize="61668,6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">
            <v:rect id="Rectangle 2" o:spid="_x0000_s1029" style="position:absolute;left:14990;width:35464;height:45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cEA&#10;AADaAAAADwAAAGRycy9kb3ducmV2LnhtbESPT4vCMBTE74LfITzBi2i6HhatRhFhxat/dtHbs3lt&#10;is1LaaLWb28WBI/DzPyGmS9bW4k7Nb50rOBrlIAgzpwuuVBwPPwMJyB8QNZYOSYFT/KwXHQ7c0y1&#10;e/CO7vtQiAhhn6ICE0KdSukzQxb9yNXE0ctdYzFE2RRSN/iIcFvJcZJ8S4slxwWDNa0NZdf9zSqQ&#10;v/nZ5pe/YxiY58lsp5uCLhul+r12NQMRqA2f8Lu91QrG8H8l3g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GPv3BAAAA2gAAAA8AAAAAAAAAAAAAAAAAmAIAAGRycy9kb3du&#10;cmV2LnhtbFBLBQYAAAAABAAEAPUAAACGAwAAAAA=&#10;" fillcolor="#c6d9f1" strokecolor="#243f60" strokeweight="2pt">
              <v:textbox>
                <w:txbxContent>
                  <w:p w:rsidR="00C56254" w:rsidRPr="00F228F5" w:rsidRDefault="00C56254" w:rsidP="001F7247">
                    <w:pPr>
                      <w:pStyle w:val="NormalWeb"/>
                      <w:spacing w:before="0" w:beforeAutospacing="0" w:after="0" w:afterAutospacing="0"/>
                      <w:jc w:val="center"/>
                      <w:rPr>
                        <w:sz w:val="14"/>
                        <w:lang w:val="pl-PL"/>
                      </w:rPr>
                    </w:pPr>
                    <w:r w:rsidRPr="004D0E31">
                      <w:rPr>
                        <w:rFonts w:ascii="Calibri" w:hAnsi="Calibri"/>
                        <w:color w:val="000000"/>
                        <w:kern w:val="24"/>
                        <w:sz w:val="16"/>
                        <w:szCs w:val="28"/>
                        <w:lang w:val="cs-CZ"/>
                      </w:rPr>
                      <w:t>Výzkum financován z veřejných prostředků?</w:t>
                    </w:r>
                  </w:p>
                </w:txbxContent>
              </v:textbox>
            </v:rect>
            <v:rect id="Rectangle 3" o:spid="_x0000_s1030" style="position:absolute;left:17153;top:18511;width:26617;height:45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bZsEA&#10;AADaAAAADwAAAGRycy9kb3ducmV2LnhtbESPT4vCMBTE7wt+h/CEvSxrqoK41SgiKF7Xf+zens1r&#10;U2xeShO1fnsjCB6HmfkNM523thJXanzpWEG/l4AgzpwuuVCw362+xyB8QNZYOSYFd/Iwn3U+pphq&#10;d+Nfum5DISKEfYoKTAh1KqXPDFn0PVcTRy93jcUQZVNI3eAtwm0lB0kykhZLjgsGa1oays7bi1Ug&#10;D/m/zU/Hffgy9z+z+VkXdFor9dltFxMQgdrwDr/aG61gCM8r8Qb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Km2bBAAAA2gAAAA8AAAAAAAAAAAAAAAAAmAIAAGRycy9kb3du&#10;cmV2LnhtbFBLBQYAAAAABAAEAPUAAACGAwAAAAA=&#10;" fillcolor="#c6d9f1" strokecolor="#243f60" strokeweight="2pt">
              <v:textbox>
                <w:txbxContent>
                  <w:p w:rsidR="00C56254" w:rsidRPr="001F7247" w:rsidRDefault="00C56254" w:rsidP="001F7247">
                    <w:pPr>
                      <w:pStyle w:val="NormalWeb"/>
                      <w:spacing w:before="0" w:beforeAutospacing="0" w:after="0" w:afterAutospacing="0"/>
                      <w:jc w:val="center"/>
                      <w:rPr>
                        <w:sz w:val="16"/>
                      </w:rPr>
                    </w:pPr>
                    <w:r w:rsidRPr="004D0E31">
                      <w:rPr>
                        <w:rFonts w:ascii="Calibri" w:hAnsi="Calibri"/>
                        <w:color w:val="000000"/>
                        <w:kern w:val="24"/>
                        <w:sz w:val="18"/>
                        <w:szCs w:val="28"/>
                        <w:lang w:val="cs-CZ"/>
                      </w:rPr>
                      <w:t xml:space="preserve">Nabízí vydavatel  GOLD OA ? </w:t>
                    </w:r>
                  </w:p>
                </w:txbxContent>
              </v:textbox>
            </v:rect>
            <v:rect id="Rectangle 4" o:spid="_x0000_s1031" style="position:absolute;left:36564;top:36696;width:24483;height:75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MDEsEA&#10;AADaAAAADwAAAGRycy9kb3ducmV2LnhtbESPT4vCMBTE7wt+h/CEvSxrqoi41SgiKF7Xf+zens1r&#10;U2xeShO1fnsjCB6HmfkNM523thJXanzpWEG/l4AgzpwuuVCw362+xyB8QNZYOSYFd/Iwn3U+pphq&#10;d+Nfum5DISKEfYoKTAh1KqXPDFn0PVcTRy93jcUQZVNI3eAtwm0lB0kykhZLjgsGa1oays7bi1Ug&#10;D/m/zU/Hffgy9z+z+VkXdFor9dltFxMQgdrwDr/aG61gCM8r8Qb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jAxLBAAAA2gAAAA8AAAAAAAAAAAAAAAAAmAIAAGRycy9kb3du&#10;cmV2LnhtbFBLBQYAAAAABAAEAPUAAACGAwAAAAA=&#10;" fillcolor="#c6d9f1" strokecolor="#243f60" strokeweight="2pt">
              <v:textbox>
                <w:txbxContent>
                  <w:p w:rsidR="00C56254" w:rsidRPr="001F7247" w:rsidRDefault="00C56254" w:rsidP="001F7247">
                    <w:pPr>
                      <w:pStyle w:val="NormalWeb"/>
                      <w:spacing w:before="0" w:beforeAutospacing="0" w:after="0" w:afterAutospacing="0"/>
                      <w:jc w:val="center"/>
                      <w:rPr>
                        <w:sz w:val="16"/>
                      </w:rPr>
                    </w:pPr>
                    <w:r w:rsidRPr="004D0E31">
                      <w:rPr>
                        <w:rFonts w:ascii="Calibri" w:hAnsi="Calibri"/>
                        <w:color w:val="000000"/>
                        <w:kern w:val="24"/>
                        <w:sz w:val="18"/>
                        <w:szCs w:val="28"/>
                        <w:lang w:val="cs-CZ"/>
                      </w:rPr>
                      <w:t>Green OA po 6 až 12 měsících</w:t>
                    </w:r>
                  </w:p>
                </w:txbxContent>
              </v:textbox>
            </v:rect>
            <v:rect id="Rectangle 5" o:spid="_x0000_s1032" style="position:absolute;left:3679;top:36863;width:26083;height:720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micEA&#10;AADaAAAADwAAAGRycy9kb3ducmV2LnhtbESPT4vCMBTE7wt+h/CEvSxrqqC41SgiKF7Xf+zens1r&#10;U2xeShO1fnsjCB6HmfkNM523thJXanzpWEG/l4AgzpwuuVCw362+xyB8QNZYOSYFd/Iwn3U+pphq&#10;d+Nfum5DISKEfYoKTAh1KqXPDFn0PVcTRy93jcUQZVNI3eAtwm0lB0kykhZLjgsGa1oays7bi1Ug&#10;D/m/zU/Hffgy9z+z+VkXdFor9dltFxMQgdrwDr/aG61gCM8r8QbI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vponBAAAA2gAAAA8AAAAAAAAAAAAAAAAAmAIAAGRycy9kb3du&#10;cmV2LnhtbFBLBQYAAAAABAAEAPUAAACGAwAAAAA=&#10;" fillcolor="#c6d9f1" strokecolor="#243f60" strokeweight="2pt">
              <v:textbox>
                <w:txbxContent>
                  <w:p w:rsidR="00C56254" w:rsidRPr="001F7247" w:rsidRDefault="00C56254" w:rsidP="001F7247">
                    <w:pPr>
                      <w:pStyle w:val="NormalWeb"/>
                      <w:spacing w:before="0" w:beforeAutospacing="0" w:after="0" w:afterAutospacing="0"/>
                      <w:jc w:val="center"/>
                      <w:rPr>
                        <w:sz w:val="16"/>
                      </w:rPr>
                    </w:pPr>
                    <w:r w:rsidRPr="004D0E31">
                      <w:rPr>
                        <w:rFonts w:ascii="Calibri" w:hAnsi="Calibri"/>
                        <w:color w:val="000000"/>
                        <w:kern w:val="24"/>
                        <w:sz w:val="18"/>
                        <w:szCs w:val="28"/>
                        <w:lang w:val="cs-CZ"/>
                      </w:rPr>
                      <w:t>Jsou dostatečné APC prostředky k dispozici ?</w:t>
                    </w:r>
                  </w:p>
                </w:txbxContent>
              </v:textbox>
            </v:rect>
            <v:rect id="Rectangle 6" o:spid="_x0000_s1033" style="position:absolute;left:27697;top:10054;width:7921;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04/sMA&#10;AADaAAAADwAAAGRycy9kb3ducmV2LnhtbESPQWvCQBSE7wX/w/IKvZRm0x5E06xShIrXpir29pJ9&#10;yYZm34bs1sR/7woFj8PMfMPk68l24kyDbx0reE1SEMSV0y03Cvbfny8LED4ga+wck4ILeVivZg85&#10;ZtqN/EXnIjQiQthnqMCE0GdS+sqQRZ+4njh6tRsshiiHRuoBxwi3nXxL07m02HJcMNjTxlD1W/xZ&#10;BfJQ/9i6PO7Ds7mczG65bajcKvX0OH28gwg0hXv4v73TCuZwuxJvgF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04/sMAAADaAAAADwAAAAAAAAAAAAAAAACYAgAAZHJzL2Rv&#10;d25yZXYueG1sUEsFBgAAAAAEAAQA9QAAAIgDAAAAAA==&#10;" fillcolor="#c6d9f1" strokecolor="#243f60" strokeweight="2pt">
              <v:textbox>
                <w:txbxContent>
                  <w:p w:rsidR="00C56254" w:rsidRPr="001F7247" w:rsidRDefault="00C56254" w:rsidP="001F7247">
                    <w:pPr>
                      <w:pStyle w:val="NormalWeb"/>
                      <w:spacing w:before="0" w:beforeAutospacing="0" w:after="0" w:afterAutospacing="0"/>
                      <w:jc w:val="center"/>
                      <w:rPr>
                        <w:sz w:val="14"/>
                      </w:rPr>
                    </w:pPr>
                    <w:r w:rsidRPr="004D0E31">
                      <w:rPr>
                        <w:rFonts w:ascii="Calibri" w:hAnsi="Calibri"/>
                        <w:color w:val="000000"/>
                        <w:kern w:val="24"/>
                        <w:sz w:val="18"/>
                        <w:szCs w:val="32"/>
                        <w:lang w:val="cs-CZ"/>
                      </w:rPr>
                      <w:t>ANO</w:t>
                    </w:r>
                  </w:p>
                </w:txbxContent>
              </v:textbox>
            </v:rect>
            <v:rect id="Rectangle 7" o:spid="_x0000_s1034" style="position:absolute;left:45424;top:9500;width:7920;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GdZcIA&#10;AADaAAAADwAAAGRycy9kb3ducmV2LnhtbESPT4vCMBTE7wt+h/CEvSxrqgd1q1FEULyu/9i9PZvX&#10;pti8lCZq/fZGEDwOM/MbZjpvbSWu1PjSsYJ+LwFBnDldcqFgv1t9j0H4gKyxckwK7uRhPut8TDHV&#10;7sa/dN2GQkQI+xQVmBDqVEqfGbLoe64mjl7uGoshyqaQusFbhNtKDpJkKC2WHBcM1rQ0lJ23F6tA&#10;HvJ/m5+O+/Bl7n9m87Mu6LRW6rPbLiYgArXhHX61N1rBCJ5X4g2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Z1lwgAAANoAAAAPAAAAAAAAAAAAAAAAAJgCAABkcnMvZG93&#10;bnJldi54bWxQSwUGAAAAAAQABAD1AAAAhwMAAAAA&#10;" fillcolor="#c6d9f1" strokecolor="#243f60" strokeweight="2pt">
              <v:textbox>
                <w:txbxContent>
                  <w:p w:rsidR="00C56254" w:rsidRPr="001F7247" w:rsidRDefault="00C56254" w:rsidP="001F7247">
                    <w:pPr>
                      <w:pStyle w:val="NormalWeb"/>
                      <w:spacing w:before="0" w:beforeAutospacing="0" w:after="0" w:afterAutospacing="0"/>
                      <w:jc w:val="center"/>
                      <w:rPr>
                        <w:sz w:val="18"/>
                        <w:szCs w:val="18"/>
                      </w:rPr>
                    </w:pPr>
                    <w:r w:rsidRPr="004D0E31">
                      <w:rPr>
                        <w:rFonts w:ascii="Calibri" w:hAnsi="Calibri"/>
                        <w:color w:val="000000"/>
                        <w:kern w:val="24"/>
                        <w:sz w:val="18"/>
                        <w:szCs w:val="18"/>
                        <w:lang w:val="cs-CZ"/>
                      </w:rPr>
                      <w:t>NE</w:t>
                    </w:r>
                  </w:p>
                </w:txbxContent>
              </v:textbox>
            </v:rect>
            <v:rect id="Rectangle 8" o:spid="_x0000_s1035" style="position:absolute;left:16406;top:28222;width:7921;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JF78A&#10;AADaAAAADwAAAGRycy9kb3ducmV2LnhtbERPz2vCMBS+D/Y/hDfwMtZUD7JVo4yB4tVaZbu9Nq9N&#10;sXkpTdT635uDsOPH93u5Hm0nrjT41rGCaZKCIK6cbrlRUBw2H58gfEDW2DkmBXfysF69viwx0+7G&#10;e7rmoRExhH2GCkwIfSalrwxZ9InriSNXu8FiiHBopB7wFsNtJ2dpOpcWW44NBnv6MVSd84tVII/1&#10;n63LUxHezf3X7L62DZVbpSZv4/cCRKAx/Iuf7p1WELfGK/EG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7gkXvwAAANoAAAAPAAAAAAAAAAAAAAAAAJgCAABkcnMvZG93bnJl&#10;di54bWxQSwUGAAAAAAQABAD1AAAAhAMAAAAA&#10;" fillcolor="#c6d9f1" strokecolor="#243f60" strokeweight="2pt">
              <v:textbox>
                <w:txbxContent>
                  <w:p w:rsidR="00C56254" w:rsidRDefault="00C56254" w:rsidP="001F7247">
                    <w:pPr>
                      <w:pStyle w:val="NormalWeb"/>
                      <w:spacing w:before="0" w:beforeAutospacing="0" w:after="0" w:afterAutospacing="0"/>
                      <w:jc w:val="center"/>
                    </w:pPr>
                    <w:r w:rsidRPr="004D0E31">
                      <w:rPr>
                        <w:rFonts w:ascii="Calibri" w:hAnsi="Calibri"/>
                        <w:color w:val="000000"/>
                        <w:kern w:val="24"/>
                        <w:sz w:val="18"/>
                        <w:szCs w:val="32"/>
                        <w:lang w:val="cs-CZ"/>
                      </w:rPr>
                      <w:t>ANO</w:t>
                    </w:r>
                  </w:p>
                </w:txbxContent>
              </v:textbox>
            </v:rect>
            <v:rect id="Rectangle 9" o:spid="_x0000_s1036" style="position:absolute;left:35019;top:28147;width:7921;height:432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sjMEA&#10;AADaAAAADwAAAGRycy9kb3ducmV2LnhtbESPT4vCMBTE7wt+h/AEL4umepBtNcoiKF79y+7t2bw2&#10;ZZuX0kSt394Iwh6HmfkNM192thY3an3lWMF4lIAgzp2uuFRwPKyHXyB8QNZYOyYFD/KwXPQ+5php&#10;d+cd3fahFBHCPkMFJoQmk9Lnhiz6kWuIo1e41mKIsi2lbvEe4baWkySZSosVxwWDDa0M5X/7q1Ug&#10;T8WvLS7nY/g0jx+zTTclXTZKDfrd9wxEoC78h9/trVaQwutKv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irIzBAAAA2gAAAA8AAAAAAAAAAAAAAAAAmAIAAGRycy9kb3du&#10;cmV2LnhtbFBLBQYAAAAABAAEAPUAAACGAwAAAAA=&#10;" fillcolor="#c6d9f1" strokecolor="#243f60" strokeweight="2pt">
              <v:textbox>
                <w:txbxContent>
                  <w:p w:rsidR="00C56254" w:rsidRPr="001F7247" w:rsidRDefault="00C56254" w:rsidP="001F7247">
                    <w:pPr>
                      <w:pStyle w:val="NormalWeb"/>
                      <w:spacing w:before="0" w:beforeAutospacing="0" w:after="0" w:afterAutospacing="0"/>
                      <w:jc w:val="center"/>
                      <w:rPr>
                        <w:sz w:val="18"/>
                        <w:szCs w:val="18"/>
                      </w:rPr>
                    </w:pPr>
                    <w:r w:rsidRPr="004D0E31">
                      <w:rPr>
                        <w:rFonts w:ascii="Calibri" w:hAnsi="Calibri"/>
                        <w:color w:val="000000"/>
                        <w:kern w:val="24"/>
                        <w:sz w:val="18"/>
                        <w:szCs w:val="18"/>
                        <w:lang w:val="cs-CZ"/>
                      </w:rPr>
                      <w:t>NE</w:t>
                    </w:r>
                  </w:p>
                </w:txbxContent>
              </v:textbox>
            </v:rect>
            <v:rect id="Rectangle 10" o:spid="_x0000_s1037" style="position:absolute;left:6539;top:49934;width:7921;height:43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fa48QA&#10;AADbAAAADwAAAGRycy9kb3ducmV2LnhtbESPT2/CMAzF75P4DpGRuEyQbodpFAJCSENc+bMJbqZx&#10;m4rGqZoMyrefD0i72XrP7/08X/a+UTfqYh3YwNskA0VcBFtzZeB4+Bp/gooJ2WITmAw8KMJyMXiZ&#10;Y27DnXd026dKSQjHHA24lNpc61g48hgnoSUWrQydxyRrV2nb4V3CfaPfs+xDe6xZGhy2tHZUXPe/&#10;3oD+Ls++vPwc06t7nNx2uqnosjFmNOxXM1CJ+vRvfl5vreALvfwiA+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H2uPEAAAA2wAAAA8AAAAAAAAAAAAAAAAAmAIAAGRycy9k&#10;b3ducmV2LnhtbFBLBQYAAAAABAAEAPUAAACJAwAAAAA=&#10;" fillcolor="#c6d9f1" strokecolor="#243f60" strokeweight="2pt">
              <v:textbox>
                <w:txbxContent>
                  <w:p w:rsidR="00C56254" w:rsidRPr="001F7247" w:rsidRDefault="00C56254" w:rsidP="001F7247">
                    <w:pPr>
                      <w:pStyle w:val="NormalWeb"/>
                      <w:spacing w:before="0" w:beforeAutospacing="0" w:after="0" w:afterAutospacing="0"/>
                      <w:jc w:val="center"/>
                      <w:rPr>
                        <w:sz w:val="18"/>
                        <w:szCs w:val="18"/>
                      </w:rPr>
                    </w:pPr>
                    <w:r w:rsidRPr="004D0E31">
                      <w:rPr>
                        <w:rFonts w:ascii="Calibri" w:hAnsi="Calibri"/>
                        <w:color w:val="000000"/>
                        <w:kern w:val="24"/>
                        <w:sz w:val="18"/>
                        <w:szCs w:val="18"/>
                        <w:lang w:val="cs-CZ"/>
                      </w:rPr>
                      <w:t>ANO</w:t>
                    </w:r>
                  </w:p>
                </w:txbxContent>
              </v:textbox>
            </v:rect>
            <v:rect id="Rectangle 11" o:spid="_x0000_s1038" style="position:absolute;left:21234;top:49934;width:7921;height:43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t/eMEA&#10;AADbAAAADwAAAGRycy9kb3ducmV2LnhtbERPyWrDMBC9F/IPYgq9lEZOD6F1o4QSSPC12WhvY2ts&#10;mVojYyle/r4KBHqbx1tntRltI3rqfO1YwWKegCAunK65UnA67l7eQPiArLFxTAom8rBZzx5WmGo3&#10;8Bf1h1CJGMI+RQUmhDaV0heGLPq5a4kjV7rOYoiwq6TucIjhtpGvSbKUFmuODQZb2hoqfg9Xq0Ce&#10;yx9b5pdTeDbTt8ne9xXle6WeHsfPDxCBxvAvvrszHecv4PZLP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Lf3jBAAAA2wAAAA8AAAAAAAAAAAAAAAAAmAIAAGRycy9kb3du&#10;cmV2LnhtbFBLBQYAAAAABAAEAPUAAACGAwAAAAA=&#10;" fillcolor="#c6d9f1" strokecolor="#243f60" strokeweight="2pt">
              <v:textbox>
                <w:txbxContent>
                  <w:p w:rsidR="00C56254" w:rsidRPr="001F7247" w:rsidRDefault="00C56254" w:rsidP="001F7247">
                    <w:pPr>
                      <w:pStyle w:val="NormalWeb"/>
                      <w:spacing w:before="0" w:beforeAutospacing="0" w:after="0" w:afterAutospacing="0"/>
                      <w:jc w:val="center"/>
                      <w:rPr>
                        <w:sz w:val="12"/>
                      </w:rPr>
                    </w:pPr>
                    <w:r w:rsidRPr="004D0E31">
                      <w:rPr>
                        <w:rFonts w:ascii="Calibri" w:hAnsi="Calibri"/>
                        <w:color w:val="000000"/>
                        <w:kern w:val="24"/>
                        <w:sz w:val="16"/>
                        <w:szCs w:val="32"/>
                        <w:lang w:val="cs-CZ"/>
                      </w:rPr>
                      <w:t>NE</w:t>
                    </w:r>
                  </w:p>
                </w:txbxContent>
              </v:textbox>
            </v:rect>
            <v:rect id="Rectangle 12" o:spid="_x0000_s1039" style="position:absolute;left:29762;top:59834;width:26092;height:45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nhD8AA&#10;AADbAAAADwAAAGRycy9kb3ducmV2LnhtbERPS4vCMBC+L/gfwgheljXVg6xdo4igePWJe5s206Zs&#10;MylN1PrvjSDsbT6+58wWna3FjVpfOVYwGiYgiHOnKy4VHA/rr28QPiBrrB2Tggd5WMx7HzNMtbvz&#10;jm77UIoYwj5FBSaEJpXS54Ys+qFriCNXuNZiiLAtpW7xHsNtLcdJMpEWK44NBhtaGcr/9lerQJ6K&#10;X1tk52P4NI+L2U43JWUbpQb9bvkDIlAX/sVv91bH+WN4/RIPk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1nhD8AAAADbAAAADwAAAAAAAAAAAAAAAACYAgAAZHJzL2Rvd25y&#10;ZXYueG1sUEsFBgAAAAAEAAQA9QAAAIUDAAAAAA==&#10;" fillcolor="#c6d9f1" strokecolor="#243f60" strokeweight="2pt">
              <v:textbox>
                <w:txbxContent>
                  <w:p w:rsidR="00C56254" w:rsidRPr="001F7247" w:rsidRDefault="00C56254" w:rsidP="001F7247">
                    <w:pPr>
                      <w:pStyle w:val="NormalWeb"/>
                      <w:spacing w:before="0" w:beforeAutospacing="0" w:after="0" w:afterAutospacing="0"/>
                      <w:jc w:val="center"/>
                      <w:rPr>
                        <w:sz w:val="16"/>
                      </w:rPr>
                    </w:pPr>
                    <w:r w:rsidRPr="004D0E31">
                      <w:rPr>
                        <w:rFonts w:ascii="Calibri" w:hAnsi="Calibri"/>
                        <w:color w:val="000000"/>
                        <w:kern w:val="24"/>
                        <w:sz w:val="18"/>
                        <w:szCs w:val="28"/>
                        <w:lang w:val="cs-CZ"/>
                      </w:rPr>
                      <w:t>GREEN OA po 12 – 24 měsících</w:t>
                    </w:r>
                    <w:r>
                      <w:rPr>
                        <w:rFonts w:ascii="Calibri" w:hAnsi="Calibri"/>
                        <w:color w:val="000000"/>
                        <w:kern w:val="24"/>
                        <w:sz w:val="18"/>
                        <w:szCs w:val="28"/>
                        <w:lang w:val="cs-CZ"/>
                      </w:rPr>
                      <w:t xml:space="preserve"> měsících měsícíchmmmmmměsících m</w:t>
                    </w:r>
                    <w:r w:rsidRPr="004D0E31">
                      <w:rPr>
                        <w:rFonts w:ascii="Calibri" w:hAnsi="Calibri"/>
                        <w:color w:val="000000"/>
                        <w:kern w:val="24"/>
                        <w:sz w:val="18"/>
                        <w:szCs w:val="28"/>
                        <w:lang w:val="cs-CZ"/>
                      </w:rPr>
                      <w:t>měsících</w:t>
                    </w:r>
                  </w:p>
                </w:txbxContent>
              </v:textbox>
            </v:rect>
            <v:shapetype id="_x0000_t32" coordsize="21600,21600" o:spt="32" o:oned="t" path="m,l21600,21600e" filled="f">
              <v:path arrowok="t" fillok="f" o:connecttype="none"/>
              <o:lock v:ext="edit" shapetype="t"/>
            </v:shapetype>
            <v:shape id="Straight Arrow Connector 13" o:spid="_x0000_s1040" type="#_x0000_t32" style="position:absolute;left:31657;top:4560;width:1065;height:549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Trr8YAAADbAAAADwAAAGRycy9kb3ducmV2LnhtbESPQWvCQBCF74L/YRmhN93YqpTUVcRS&#10;aBEqiYXibcyOSTA7G3a3Jv333YLgbYb35n1vluveNOJKzteWFUwnCQjiwuqaSwVfh7fxMwgfkDU2&#10;lknBL3lYr4aDJabadpzRNQ+liCHsU1RQhdCmUvqiIoN+YlviqJ2tMxji6kqpHXYx3DTyMUkW0mDN&#10;kVBhS9uKikv+YyLkdZbNd9+704yyzb47fRw/gzsq9TDqNy8gAvXhbr5dv+tY/wn+f4kD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66/GAAAA2wAAAA8AAAAAAAAA&#10;AAAAAAAAoQIAAGRycy9kb3ducmV2LnhtbFBLBQYAAAAABAAEAPkAAACUAwAAAAA=&#10;" strokecolor="#4579b8">
              <v:stroke endarrow="open"/>
            </v:shape>
            <v:shape id="Straight Arrow Connector 14" o:spid="_x0000_s1041" type="#_x0000_t32" style="position:absolute;left:32722;top:4560;width:16662;height:49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NE1cEAAADbAAAADwAAAGRycy9kb3ducmV2LnhtbERPS2vCQBC+C/0PyxR6001rU0J0FQkE&#10;e21UaG/T7JgEs7Mhu3n033cLBW/z8T1nu59NK0bqXWNZwfMqAkFcWt1wpeB8ypcJCOeRNbaWScEP&#10;OdjvHhZbTLWd+IPGwlcihLBLUUHtfZdK6cqaDLqV7YgDd7W9QR9gX0nd4xTCTStfouhNGmw4NNTY&#10;UVZTeSsGo2B9/Z6PiT/IJP+02TDEcXzJv5R6epwPGxCeZn8X/7vfdZj/Cn+/h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0TVwQAAANsAAAAPAAAAAAAAAAAAAAAA&#10;AKECAABkcnMvZG93bnJldi54bWxQSwUGAAAAAAQABAD5AAAAjwMAAAAA&#10;" strokecolor="#4579b8">
              <v:stroke endarrow="open"/>
            </v:shape>
            <v:shape id="Straight Arrow Connector 15" o:spid="_x0000_s1042" type="#_x0000_t32" style="position:absolute;left:30462;top:14374;width:1195;height:413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HWQMUAAADbAAAADwAAAGRycy9kb3ducmV2LnhtbESPQWvCQBCF74L/YRnBm24sWiR1FbEU&#10;WgQlKhRvY3aahGZnw+5q0n/vCgVvM7w373uzWHWmFjdyvrKsYDJOQBDnVldcKDgdP0ZzED4ga6wt&#10;k4I/8rBa9nsLTLVtOaPbIRQihrBPUUEZQpNK6fOSDPqxbYij9mOdwRBXV0jtsI3hppYvSfIqDVYc&#10;CSU2tCkp/z1cTYS8T7PZ9nt7mVK23reXr/MuuLNSw0G3fgMRqAtP8//1p471Z/D4JQ4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HWQMUAAADbAAAADwAAAAAAAAAA&#10;AAAAAAChAgAAZHJzL2Rvd25yZXYueG1sUEsFBgAAAAAEAAQA+QAAAJMDAAAAAA==&#10;" strokecolor="#4579b8">
              <v:stroke endarrow="open"/>
            </v:shape>
            <v:shape id="Straight Arrow Connector 16" o:spid="_x0000_s1043" type="#_x0000_t32" style="position:absolute;left:20366;top:23071;width:10096;height:51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NIN8UAAADbAAAADwAAAGRycy9kb3ducmV2LnhtbESPQWvCQBCF70L/wzIFb7ppsVJiNiIt&#10;gkWoxBbE25gdk2B2NuyuJv333YLQ2wzvzfveZMvBtOJGzjeWFTxNExDEpdUNVwq+v9aTVxA+IGts&#10;LZOCH/KwzB9GGaba9lzQbR8qEUPYp6igDqFLpfRlTQb91HbEUTtbZzDE1VVSO+xjuGnlc5LMpcGG&#10;I6HGjt5qKi/7q4mQ91nxsj1sTzMqVrv+9HH8DO6o1PhxWC1ABBrCv/l+vdGx/hz+fokD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8NIN8UAAADbAAAADwAAAAAAAAAA&#10;AAAAAAChAgAAZHJzL2Rvd25yZXYueG1sUEsFBgAAAAAEAAQA+QAAAJMDAAAAAA==&#10;" strokecolor="#4579b8">
              <v:stroke endarrow="open"/>
            </v:shape>
            <v:shape id="Straight Arrow Connector 17" o:spid="_x0000_s1044" type="#_x0000_t32" style="position:absolute;left:30462;top:23071;width:8517;height:50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v:stroke endarrow="open"/>
            </v:shape>
            <v:shape id="Straight Arrow Connector 18" o:spid="_x0000_s1045" type="#_x0000_t32" style="position:absolute;left:16720;top:32542;width:3646;height:432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B53sQAAADbAAAADwAAAGRycy9kb3ducmV2LnhtbESPTWvCQBCG70L/wzKF3nTTolKiq0hL&#10;oSIosQXxNmanSWh2NuxuTfrvOwehtxnm/XhmuR5cq64UYuPZwOMkA0VcettwZeDz4238DComZIut&#10;ZzLwSxHWq7vREnPrey7oekyVkhCOORqoU+pyrWNZk8M48R2x3L58cJhkDZW2AXsJd61+yrK5dtiw&#10;NNTY0UtN5ffxx0nJ67SY7U67y5SKzaG/bM/7FM7GPNwPmwWoREP6F9/c71bwBVZ+kQH0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EHnexAAAANsAAAAPAAAAAAAAAAAA&#10;AAAAAKECAABkcnMvZG93bnJldi54bWxQSwUGAAAAAAQABAD5AAAAkgMAAAAA&#10;" strokecolor="#4579b8">
              <v:stroke endarrow="open"/>
            </v:shape>
            <v:shape id="Straight Arrow Connector 19" o:spid="_x0000_s1046" type="#_x0000_t32" style="position:absolute;left:38979;top:32467;width:8605;height:439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LrS8EAAADbAAAADwAAAGRycy9kb3ducmV2LnhtbERPS2vCQBC+C/0PyxR6000rkZi6igSC&#10;vTYqtLcxOyah2dmQ3Tz677uFQm/z8T1nd5hNK0bqXWNZwfMqAkFcWt1wpeByzpcJCOeRNbaWScE3&#10;OTjsHxY7TLWd+J3GwlcihLBLUUHtfZdK6cqaDLqV7YgDd7e9QR9gX0nd4xTCTStfomgjDTYcGmrs&#10;KKup/CoGo2B9v82nxB9lkn/YbBjiOL7mn0o9Pc7HVxCeZv8v/nO/6TB/C7+/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YutLwQAAANsAAAAPAAAAAAAAAAAAAAAA&#10;AKECAABkcnMvZG93bnJldi54bWxQSwUGAAAAAAQABAD5AAAAjwMAAAAA&#10;" strokecolor="#4579b8">
              <v:stroke endarrow="open"/>
            </v:shape>
            <v:shape id="Straight Arrow Connector 20" o:spid="_x0000_s1047" type="#_x0000_t32" style="position:absolute;left:10500;top:44064;width:6220;height:587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q/ZcIAAADbAAAADwAAAGRycy9kb3ducmV2LnhtbERPTWvCQBC9F/oflil4q5uKlhJdRVoK&#10;FaElVhBvY3ZMQrOzYXc16b/vHAoeH+97sRpcq64UYuPZwNM4A0VcettwZWD//f74AiomZIutZzLw&#10;SxFWy/u7BebW91zQdZcqJSEcczRQp9TlWseyJodx7Dti4c4+OEwCQ6VtwF7CXasnWfasHTYsDTV2&#10;9FpT+bO7OCl5mxaz7WF7mlKx/upPm+NnCkdjRg/Deg4q0ZBu4n/3hzUwkfXyRX6AX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Qq/ZcIAAADbAAAADwAAAAAAAAAAAAAA&#10;AAChAgAAZHJzL2Rvd25yZXYueG1sUEsFBgAAAAAEAAQA+QAAAJADAAAAAA==&#10;" strokecolor="#4579b8">
              <v:stroke endarrow="open"/>
            </v:shape>
            <v:shape id="Straight Arrow Connector 21" o:spid="_x0000_s1048" type="#_x0000_t32" style="position:absolute;left:16720;top:44064;width:8475;height:58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gt8MMAAADbAAAADwAAAGRycy9kb3ducmV2LnhtbESPT4vCMBTE78J+h/CEvdlUpVKqUUQo&#10;63X9A7u3Z/Nsi81LaVLtfvuNIHgcZuY3zGozmEbcqXO1ZQXTKAZBXFhdc6ngdMwnKQjnkTU2lknB&#10;HznYrD9GK8y0ffA33Q++FAHCLkMFlfdtJqUrKjLoItsSB+9qO4M+yK6UusNHgJtGzuJ4IQ3WHBYq&#10;bGlXUXE79EbB/HoZvlK/lWn+Y3d9nyTJOf9V6nM8bJcgPA3+HX6191rBbArPL+E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4LfDDAAAA2wAAAA8AAAAAAAAAAAAA&#10;AAAAoQIAAGRycy9kb3ducmV2LnhtbFBLBQYAAAAABAAEAPkAAACRAwAAAAA=&#10;" strokecolor="#4579b8">
              <v:stroke endarrow="open"/>
            </v:shape>
            <v:shape id="Straight Arrow Connector 22" o:spid="_x0000_s1049" type="#_x0000_t32" style="position:absolute;left:10500;top:54255;width:1649;height:58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zh8IAAADbAAAADwAAAGRycy9kb3ducmV2LnhtbESPT4vCMBTE78J+h/CEvWlqpVKqUUQo&#10;63X9A+7tbfNsi81LaVLtfvuNIHgcZuY3zGozmEbcqXO1ZQWzaQSCuLC65lLB6ZhPUhDOI2tsLJOC&#10;P3KwWX+MVphp++Bvuh98KQKEXYYKKu/bTEpXVGTQTW1LHLyr7Qz6ILtS6g4fAW4aGUfRQhqsOSxU&#10;2NKuouJ26I2C+fV3+Er9Vqb5xe76PkmSc/6j1Od42C5BeBr8O/xq77WCOIbnl/A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qzh8IAAADbAAAADwAAAAAAAAAAAAAA&#10;AAChAgAAZHJzL2Rvd25yZXYueG1sUEsFBgAAAAAEAAQA+QAAAJADAAAAAA==&#10;" strokecolor="#4579b8">
              <v:stroke endarrow="open"/>
            </v:shape>
            <v:shape id="Straight Arrow Connector 23" o:spid="_x0000_s1050" type="#_x0000_t32" style="position:absolute;left:25195;top:54255;width:17613;height:55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YWHMIAAADbAAAADwAAAGRycy9kb3ducmV2LnhtbESPT4vCMBTE7wt+h/AEb2u6SqV0jSJC&#10;0av/QG9vm2dbtnkpTar12xtB8DjMzG+Y+bI3tbhR6yrLCn7GEQji3OqKCwXHQ/adgHAeWWNtmRQ8&#10;yMFyMfiaY6rtnXd02/tCBAi7FBWU3jeplC4vyaAb24Y4eFfbGvRBtoXULd4D3NRyEkUzabDisFBi&#10;Q+uS8v99ZxRMr3/9JvErmWRnu+66OI5P2UWp0bBf/YLw1PtP+N3eagWTKby+h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YWHMIAAADbAAAADwAAAAAAAAAAAAAA&#10;AAChAgAAZHJzL2Rvd25yZXYueG1sUEsFBgAAAAAEAAQA+QAAAJADAAAAAA==&#10;" strokecolor="#4579b8">
              <v:stroke endarrow="open"/>
            </v:shape>
            <v:oval id="Oval 24" o:spid="_x0000_s1051" style="position:absolute;left:-621;top:33576;width:36505;height:137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KnzMIA&#10;AADbAAAADwAAAGRycy9kb3ducmV2LnhtbESPX2vCMBTF3wd+h3AF32ZqaMeoRrGFwdye5sTnS3Nt&#10;i81NaaJWP/0yGOzxcP78OKvNaDtxpcG3jjUs5gkI4sqZlmsNh++351cQPiAb7ByThjt52KwnTyvM&#10;jbvxF133oRZxhH2OGpoQ+lxKXzVk0c9dTxy9kxsshiiHWpoBb3HcdlIlyYu02HIkNNhT2VB13l9s&#10;5H4WqVJHVWTn7lF+4CnrjdtpPZuO2yWIQGP4D/+1340GlcLvl/g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sqfMwgAAANsAAAAPAAAAAAAAAAAAAAAAAJgCAABkcnMvZG93&#10;bnJldi54bWxQSwUGAAAAAAQABAD1AAAAhwMAAAAA&#10;" filled="f" strokecolor="red" strokeweight="2pt">
              <v:textbox>
                <w:txbxContent>
                  <w:p w:rsidR="00C56254" w:rsidRDefault="00C56254" w:rsidP="001F7247"/>
                </w:txbxContent>
              </v:textbox>
            </v:oval>
          </v:group>
        </w:pict>
      </w:r>
      <w:r w:rsidRPr="00450346">
        <w:rPr>
          <w:color w:val="FF0000"/>
          <w:lang w:val="cs-CZ"/>
        </w:rPr>
        <w:br w:type="page"/>
      </w:r>
    </w:p>
    <w:p w:rsidR="00C56254" w:rsidRDefault="00C56254" w:rsidP="00F228F5">
      <w:pPr>
        <w:jc w:val="both"/>
        <w:rPr>
          <w:lang w:val="cs-CZ"/>
        </w:rPr>
      </w:pPr>
      <w:r>
        <w:rPr>
          <w:lang w:val="cs-CZ"/>
        </w:rPr>
        <w:t>Relativně nedávno (na jaře 2013) si britská vláda – a hlavně britský parlament- začal uvědomovat, že celá situace bude podstatně komplikovanější, než bylo prezentováno v </w:t>
      </w:r>
      <w:r w:rsidRPr="00E85FC8">
        <w:rPr>
          <w:lang w:val="cs-CZ"/>
        </w:rPr>
        <w:t>doporučeních Finch komisí</w:t>
      </w:r>
      <w:r>
        <w:rPr>
          <w:lang w:val="cs-CZ"/>
        </w:rPr>
        <w:t xml:space="preserve"> a v současné době probíhají intenzivní diskuse, jak se s tímto celkem náhle nastalým problémem vyrovnat.</w:t>
      </w:r>
      <w:r w:rsidRPr="00BE6F3C">
        <w:rPr>
          <w:lang w:val="cs-CZ"/>
        </w:rPr>
        <w:t xml:space="preserve"> </w:t>
      </w:r>
    </w:p>
    <w:p w:rsidR="00C56254" w:rsidRDefault="00C56254" w:rsidP="00F228F5">
      <w:pPr>
        <w:jc w:val="both"/>
        <w:rPr>
          <w:lang w:val="cs-CZ"/>
        </w:rPr>
      </w:pPr>
      <w:r w:rsidRPr="00596ED0">
        <w:rPr>
          <w:lang w:val="cs-CZ"/>
        </w:rPr>
        <w:t>5. listopadu</w:t>
      </w:r>
      <w:r>
        <w:rPr>
          <w:lang w:val="cs-CZ"/>
        </w:rPr>
        <w:t xml:space="preserve"> 2013 se konala ve Westminster Hall v Londýně konference o Open Access, které se zúčastnilo na pozvání britského velvyslanectví v Praze 8 delegátů z ČR:</w:t>
      </w:r>
    </w:p>
    <w:p w:rsidR="00C56254" w:rsidRDefault="00C56254" w:rsidP="00F228F5">
      <w:pPr>
        <w:pStyle w:val="ListParagraph"/>
        <w:numPr>
          <w:ilvl w:val="0"/>
          <w:numId w:val="5"/>
        </w:numPr>
        <w:jc w:val="both"/>
        <w:rPr>
          <w:lang w:val="cs-CZ"/>
        </w:rPr>
      </w:pPr>
      <w:r>
        <w:rPr>
          <w:lang w:val="cs-CZ"/>
        </w:rPr>
        <w:t>prof. Rudolf Haňka, Úřad vlády ČR</w:t>
      </w:r>
    </w:p>
    <w:p w:rsidR="00C56254" w:rsidRDefault="00C56254" w:rsidP="00F228F5">
      <w:pPr>
        <w:pStyle w:val="ListParagraph"/>
        <w:numPr>
          <w:ilvl w:val="0"/>
          <w:numId w:val="5"/>
        </w:numPr>
        <w:jc w:val="both"/>
        <w:rPr>
          <w:lang w:val="cs-CZ"/>
        </w:rPr>
      </w:pPr>
      <w:r>
        <w:rPr>
          <w:lang w:val="cs-CZ"/>
        </w:rPr>
        <w:t>Dr. Miroslava Kopicová, RVVI</w:t>
      </w:r>
    </w:p>
    <w:p w:rsidR="00C56254" w:rsidRDefault="00C56254" w:rsidP="00F228F5">
      <w:pPr>
        <w:pStyle w:val="ListParagraph"/>
        <w:numPr>
          <w:ilvl w:val="0"/>
          <w:numId w:val="5"/>
        </w:numPr>
        <w:jc w:val="both"/>
        <w:rPr>
          <w:lang w:val="cs-CZ"/>
        </w:rPr>
      </w:pPr>
      <w:r>
        <w:rPr>
          <w:lang w:val="cs-CZ"/>
        </w:rPr>
        <w:t>Ing. Jana Hakenová, MŠMT</w:t>
      </w:r>
    </w:p>
    <w:p w:rsidR="00C56254" w:rsidRDefault="00C56254" w:rsidP="00F228F5">
      <w:pPr>
        <w:pStyle w:val="ListParagraph"/>
        <w:numPr>
          <w:ilvl w:val="0"/>
          <w:numId w:val="5"/>
        </w:numPr>
        <w:jc w:val="both"/>
        <w:rPr>
          <w:lang w:val="cs-CZ"/>
        </w:rPr>
      </w:pPr>
      <w:r>
        <w:rPr>
          <w:lang w:val="cs-CZ"/>
        </w:rPr>
        <w:t>Ing. Martin Lhoták, Knihovna AV ČR</w:t>
      </w:r>
    </w:p>
    <w:p w:rsidR="00C56254" w:rsidRDefault="00C56254" w:rsidP="00F228F5">
      <w:pPr>
        <w:pStyle w:val="ListParagraph"/>
        <w:numPr>
          <w:ilvl w:val="0"/>
          <w:numId w:val="5"/>
        </w:numPr>
        <w:jc w:val="both"/>
        <w:rPr>
          <w:lang w:val="cs-CZ"/>
        </w:rPr>
      </w:pPr>
      <w:r>
        <w:rPr>
          <w:lang w:val="cs-CZ"/>
        </w:rPr>
        <w:t>dr. Eugen Kvašňák, Karlova universita</w:t>
      </w:r>
    </w:p>
    <w:p w:rsidR="00C56254" w:rsidRDefault="00C56254" w:rsidP="00F228F5">
      <w:pPr>
        <w:pStyle w:val="ListParagraph"/>
        <w:numPr>
          <w:ilvl w:val="0"/>
          <w:numId w:val="5"/>
        </w:numPr>
        <w:jc w:val="both"/>
        <w:rPr>
          <w:lang w:val="cs-CZ"/>
        </w:rPr>
      </w:pPr>
      <w:r>
        <w:rPr>
          <w:lang w:val="cs-CZ"/>
        </w:rPr>
        <w:t>Mgr. Iva Burešová, Knihovna AV ČR</w:t>
      </w:r>
    </w:p>
    <w:p w:rsidR="00C56254" w:rsidRDefault="00C56254" w:rsidP="00F228F5">
      <w:pPr>
        <w:pStyle w:val="ListParagraph"/>
        <w:numPr>
          <w:ilvl w:val="0"/>
          <w:numId w:val="5"/>
        </w:numPr>
        <w:jc w:val="both"/>
        <w:rPr>
          <w:lang w:val="cs-CZ"/>
        </w:rPr>
      </w:pPr>
      <w:r>
        <w:rPr>
          <w:lang w:val="cs-CZ"/>
        </w:rPr>
        <w:t>dr. Miroslav Bartošek, Masarykova Universita</w:t>
      </w:r>
    </w:p>
    <w:p w:rsidR="00C56254" w:rsidRDefault="00C56254" w:rsidP="00F228F5">
      <w:pPr>
        <w:pStyle w:val="ListParagraph"/>
        <w:numPr>
          <w:ilvl w:val="0"/>
          <w:numId w:val="5"/>
        </w:numPr>
        <w:jc w:val="both"/>
        <w:rPr>
          <w:lang w:val="cs-CZ"/>
        </w:rPr>
      </w:pPr>
      <w:r>
        <w:rPr>
          <w:lang w:val="cs-CZ"/>
        </w:rPr>
        <w:t>Mgr. Daniela Tkačíková, TU Ostrava</w:t>
      </w:r>
    </w:p>
    <w:p w:rsidR="00C56254" w:rsidRDefault="00C56254" w:rsidP="00F228F5">
      <w:pPr>
        <w:jc w:val="both"/>
        <w:rPr>
          <w:lang w:val="cs-CZ"/>
        </w:rPr>
      </w:pPr>
      <w:r>
        <w:rPr>
          <w:lang w:val="cs-CZ"/>
        </w:rPr>
        <w:t xml:space="preserve">Na této konferenci prof. Haňka v diskuzi upozornil profesora Lorda Krebse, který koncept OA z britského pohledu na konferenci uváděl, na problém, který nastane, kdy čeští vědci budou spoluautory článků s britskými autory, kteří budou povinně muset platit APC a od českých spoluautorů, kteří finance pro APC nemají, budou požadovat alikvotní část. Lord Krebs přiznal, že to je problém, který zatím nebyl vzat v úvahu, a podotkl, že pozice britské vlády k OA pravděpodobně projde revizí. </w:t>
      </w:r>
    </w:p>
    <w:p w:rsidR="00C56254" w:rsidRDefault="00C56254" w:rsidP="00F228F5">
      <w:pPr>
        <w:jc w:val="both"/>
        <w:rPr>
          <w:lang w:val="cs-CZ"/>
        </w:rPr>
      </w:pPr>
      <w:r>
        <w:rPr>
          <w:lang w:val="cs-CZ"/>
        </w:rPr>
        <w:t>To, že revize je britskou vládou připravována, vyplynulo také ze závěrečných poznámek Adriana Bailey (Chairman - Business, Innovation and Skills Select Committee britského parlamentu), který zdůraznil význam archivování ať již mateřskou institucí autora či národním nebo oborově zaměřeným elektronickým archivem a podtrhl negativní finanční dopad Gold CC-BY na britské univerzity a výzkumné ústavy. Jeho Select Committee vyzvalo britskou vládu a relevantní úřady, aby znovu uvážily jejich upřednostňování Gold OA a posoudili vhodnost Green OA a elektronické archivace publikovaných výsledků.</w:t>
      </w:r>
    </w:p>
    <w:p w:rsidR="00C56254" w:rsidRDefault="00C56254" w:rsidP="008F0657">
      <w:pPr>
        <w:pStyle w:val="Heading2"/>
        <w:spacing w:after="120"/>
        <w:jc w:val="both"/>
      </w:pPr>
      <w:r>
        <w:t>Dopad na Českou republiku</w:t>
      </w:r>
    </w:p>
    <w:p w:rsidR="00C56254" w:rsidRDefault="00C56254" w:rsidP="00F228F5">
      <w:pPr>
        <w:jc w:val="both"/>
        <w:rPr>
          <w:lang w:val="cs-CZ"/>
        </w:rPr>
      </w:pPr>
      <w:r>
        <w:rPr>
          <w:lang w:val="cs-CZ"/>
        </w:rPr>
        <w:t xml:space="preserve">Události nabírají rychlý spád a ovlivní pozici českých vědců, aniž si to v tomto okamžiku příliš uvědomujeme. </w:t>
      </w:r>
    </w:p>
    <w:p w:rsidR="00C56254" w:rsidRDefault="00C56254" w:rsidP="00F228F5">
      <w:pPr>
        <w:jc w:val="both"/>
        <w:rPr>
          <w:lang w:val="cs-CZ"/>
        </w:rPr>
      </w:pPr>
      <w:r>
        <w:rPr>
          <w:lang w:val="cs-CZ"/>
        </w:rPr>
        <w:t xml:space="preserve">I když evropská komisařka pro výzkum, inovace a vědu (Máire Geoghegan-Qiunn) před rokem prohlásila, že </w:t>
      </w:r>
      <w:r w:rsidRPr="008C556C">
        <w:rPr>
          <w:i/>
          <w:lang w:val="cs-CZ"/>
        </w:rPr>
        <w:t xml:space="preserve">„..účelem není harmonizovat národní přístupy k OA, ale koordinovat je tak, aby všechny šly stejným směrem…“ </w:t>
      </w:r>
      <w:r>
        <w:rPr>
          <w:lang w:val="cs-CZ"/>
        </w:rPr>
        <w:t xml:space="preserve">(asi bychom měli požádat </w:t>
      </w:r>
      <w:r w:rsidRPr="00ED4A29">
        <w:rPr>
          <w:lang w:val="cs-CZ"/>
        </w:rPr>
        <w:t>Ústav pro jazyk český AV ČR</w:t>
      </w:r>
      <w:r>
        <w:rPr>
          <w:lang w:val="cs-CZ"/>
        </w:rPr>
        <w:t xml:space="preserve"> o výklad tohoto sousloví!), tak dnes Evropská komise a její instituce zcela otevřeně směřují k implementování OA politiky, která podpoří Gold CC-BY s APC. Jak vyplynulo z rozhovorů s profesorkou Anne Glover při její návštěvě Prahy začátkem roku 2013, EK považuje OA Gold CC-BY za cíl a očekává v programu Horizon 2020 od všech států postupný přechod na tento model. Pokud jde o APC, profesorka Glover nás tehdy ujistila, že dodatečné finance na APC budou pro EK financovaný výzkum, vývoj a inovace uvolněny, ale nebyla ochotná ani přibližně indikovat, jak a odkdy tyto prostředky budou k dispozici a ani nemohla naznačit jejich přibližnou velikost. </w:t>
      </w:r>
    </w:p>
    <w:p w:rsidR="00C56254" w:rsidRDefault="00C56254" w:rsidP="00F228F5">
      <w:pPr>
        <w:jc w:val="both"/>
        <w:rPr>
          <w:lang w:val="cs-CZ"/>
        </w:rPr>
      </w:pPr>
      <w:r>
        <w:rPr>
          <w:lang w:val="cs-CZ"/>
        </w:rPr>
        <w:t>V současné době se zdá, že jak EK tak i European Research Council a European Science Foundation budou prosazovat publikování výsledků jimi financovaných projektů, pokud možno v Gold CC-BY, a pokud ne, tak alespoň v Green CC-BY-NC Open Access časopisech.</w:t>
      </w:r>
    </w:p>
    <w:p w:rsidR="00C56254" w:rsidRDefault="00C56254" w:rsidP="00F228F5">
      <w:pPr>
        <w:jc w:val="both"/>
        <w:rPr>
          <w:lang w:val="cs-CZ"/>
        </w:rPr>
      </w:pPr>
      <w:r>
        <w:rPr>
          <w:lang w:val="cs-CZ"/>
        </w:rPr>
        <w:t>Pokud jde o financování APC v České republice, tak i kdybychom přesunuli prostředky použité v současné době na elektronické předplatné na placení APC (což není reálné, protože pouze menšina z  předplacených periodik podporuje OA Gold-CC-BY bez double dipping), tak by to pokrylo méně než polovinu částky potřebné pro APC.</w:t>
      </w:r>
      <w:r w:rsidRPr="009260BD">
        <w:rPr>
          <w:lang w:val="cs-CZ"/>
        </w:rPr>
        <w:t xml:space="preserve"> </w:t>
      </w:r>
      <w:r>
        <w:rPr>
          <w:lang w:val="cs-CZ"/>
        </w:rPr>
        <w:t>To pochopitelně bude představovat na jedné straně neočekávanou finanční zátěž pro vědecké instituce a na druhé straně je to bude stavět do nevděčné pozice, kdy budou muset rozhodovat o tom, za kterou a čí publikaci zaplatí APC a kdy APC zaplatit odmítnou.</w:t>
      </w:r>
    </w:p>
    <w:p w:rsidR="00C56254" w:rsidRDefault="00C56254" w:rsidP="008F0657">
      <w:pPr>
        <w:pStyle w:val="Heading2"/>
        <w:spacing w:after="120"/>
        <w:jc w:val="both"/>
      </w:pPr>
      <w:r>
        <w:t>Ja</w:t>
      </w:r>
      <w:r w:rsidRPr="00F228F5">
        <w:rPr>
          <w:rStyle w:val="Heading2Char"/>
          <w:bCs w:val="0"/>
        </w:rPr>
        <w:t>k</w:t>
      </w:r>
      <w:r>
        <w:t xml:space="preserve"> dál</w:t>
      </w:r>
    </w:p>
    <w:p w:rsidR="00C56254" w:rsidRPr="00BE6F3C" w:rsidRDefault="00C56254" w:rsidP="00F228F5">
      <w:pPr>
        <w:jc w:val="both"/>
        <w:rPr>
          <w:lang w:val="cs-CZ"/>
        </w:rPr>
      </w:pPr>
      <w:r>
        <w:rPr>
          <w:lang w:val="cs-CZ"/>
        </w:rPr>
        <w:t>Jak bylo naznačeno, situace se celkem rychle vyvíjí a Česká republika bude muset pružně zaujmout stanovisko, které jí navíc může být do určité míry vnuceno vývojem ať již v orgánech EK či v zemích, s kterými naši vědci výrazně spolupracují (hlavně USA). Nemůžeme si dovolit vyčkávat, jak se věci jinde vyvinou. Naopak se musíme do tohoto procesu co nejdříve aktivně zapojit. Je proto vhodné, ne-li nutné, aby RVVI založila Open Access pracovní skupinu, která by neměla být velká a při tom by zahrnovala všechny zásadní aktéry, tj. RVVI, AV ČR, a GA ČR. Úkolem skupiny by mělo být sledovat vývoje týkající se Open Access, zúčastňovat se relevantních setkání, diskuzí apod., informovat Radu o vývoji a případně jí navrhovat doporučení.</w:t>
      </w:r>
      <w:bookmarkStart w:id="0" w:name="_GoBack"/>
      <w:bookmarkEnd w:id="0"/>
    </w:p>
    <w:p w:rsidR="00C56254" w:rsidRPr="00504696" w:rsidRDefault="00C56254" w:rsidP="00F228F5">
      <w:pPr>
        <w:jc w:val="both"/>
        <w:rPr>
          <w:lang w:val="cs-CZ"/>
        </w:rPr>
      </w:pPr>
    </w:p>
    <w:p w:rsidR="00C56254" w:rsidRPr="00504696" w:rsidRDefault="00C56254" w:rsidP="00F228F5">
      <w:pPr>
        <w:jc w:val="both"/>
        <w:rPr>
          <w:lang w:val="cs-CZ"/>
        </w:rPr>
      </w:pPr>
    </w:p>
    <w:sectPr w:rsidR="00C56254" w:rsidRPr="00504696" w:rsidSect="00182D72">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254" w:rsidRDefault="00C56254" w:rsidP="006E480A">
      <w:pPr>
        <w:spacing w:after="0" w:line="240" w:lineRule="auto"/>
      </w:pPr>
      <w:r>
        <w:separator/>
      </w:r>
    </w:p>
  </w:endnote>
  <w:endnote w:type="continuationSeparator" w:id="0">
    <w:p w:rsidR="00C56254" w:rsidRDefault="00C56254" w:rsidP="006E48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54" w:rsidRDefault="00C56254" w:rsidP="00D44669">
    <w:pPr>
      <w:pStyle w:val="Footer"/>
      <w:tabs>
        <w:tab w:val="clear" w:pos="4513"/>
      </w:tabs>
    </w:pPr>
    <w:r>
      <w:t>Vypracoval: prof. Haňka, 14. 11. 2013</w:t>
    </w:r>
  </w:p>
  <w:p w:rsidR="00C56254" w:rsidRDefault="00C562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254" w:rsidRDefault="00C56254" w:rsidP="006E480A">
      <w:pPr>
        <w:spacing w:after="0" w:line="240" w:lineRule="auto"/>
      </w:pPr>
      <w:r>
        <w:separator/>
      </w:r>
    </w:p>
  </w:footnote>
  <w:footnote w:type="continuationSeparator" w:id="0">
    <w:p w:rsidR="00C56254" w:rsidRDefault="00C56254" w:rsidP="006E48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D4CF7"/>
    <w:multiLevelType w:val="multilevel"/>
    <w:tmpl w:val="C9C6240E"/>
    <w:lvl w:ilvl="0">
      <w:start w:val="1"/>
      <w:numFmt w:val="decimal"/>
      <w:lvlText w:val="%1.0"/>
      <w:lvlJc w:val="left"/>
      <w:pPr>
        <w:ind w:left="4515" w:hanging="4515"/>
      </w:pPr>
      <w:rPr>
        <w:rFonts w:cs="Times New Roman" w:hint="default"/>
      </w:rPr>
    </w:lvl>
    <w:lvl w:ilvl="1">
      <w:start w:val="1"/>
      <w:numFmt w:val="decimal"/>
      <w:lvlText w:val="%1.%2"/>
      <w:lvlJc w:val="left"/>
      <w:pPr>
        <w:ind w:left="5235" w:hanging="4515"/>
      </w:pPr>
      <w:rPr>
        <w:rFonts w:cs="Times New Roman" w:hint="default"/>
      </w:rPr>
    </w:lvl>
    <w:lvl w:ilvl="2">
      <w:start w:val="1"/>
      <w:numFmt w:val="decimal"/>
      <w:lvlText w:val="%1.%2.%3"/>
      <w:lvlJc w:val="left"/>
      <w:pPr>
        <w:ind w:left="5955" w:hanging="4515"/>
      </w:pPr>
      <w:rPr>
        <w:rFonts w:cs="Times New Roman" w:hint="default"/>
      </w:rPr>
    </w:lvl>
    <w:lvl w:ilvl="3">
      <w:start w:val="1"/>
      <w:numFmt w:val="decimal"/>
      <w:lvlText w:val="%1.%2.%3.%4"/>
      <w:lvlJc w:val="left"/>
      <w:pPr>
        <w:ind w:left="6675" w:hanging="4515"/>
      </w:pPr>
      <w:rPr>
        <w:rFonts w:cs="Times New Roman" w:hint="default"/>
      </w:rPr>
    </w:lvl>
    <w:lvl w:ilvl="4">
      <w:start w:val="1"/>
      <w:numFmt w:val="decimal"/>
      <w:lvlText w:val="%1.%2.%3.%4.%5"/>
      <w:lvlJc w:val="left"/>
      <w:pPr>
        <w:ind w:left="7395" w:hanging="4515"/>
      </w:pPr>
      <w:rPr>
        <w:rFonts w:cs="Times New Roman" w:hint="default"/>
      </w:rPr>
    </w:lvl>
    <w:lvl w:ilvl="5">
      <w:start w:val="1"/>
      <w:numFmt w:val="decimal"/>
      <w:lvlText w:val="%1.%2.%3.%4.%5.%6"/>
      <w:lvlJc w:val="left"/>
      <w:pPr>
        <w:ind w:left="8115" w:hanging="4515"/>
      </w:pPr>
      <w:rPr>
        <w:rFonts w:cs="Times New Roman" w:hint="default"/>
      </w:rPr>
    </w:lvl>
    <w:lvl w:ilvl="6">
      <w:start w:val="1"/>
      <w:numFmt w:val="decimal"/>
      <w:lvlText w:val="%1.%2.%3.%4.%5.%6.%7"/>
      <w:lvlJc w:val="left"/>
      <w:pPr>
        <w:ind w:left="8835" w:hanging="4515"/>
      </w:pPr>
      <w:rPr>
        <w:rFonts w:cs="Times New Roman" w:hint="default"/>
      </w:rPr>
    </w:lvl>
    <w:lvl w:ilvl="7">
      <w:start w:val="1"/>
      <w:numFmt w:val="decimal"/>
      <w:lvlText w:val="%1.%2.%3.%4.%5.%6.%7.%8"/>
      <w:lvlJc w:val="left"/>
      <w:pPr>
        <w:ind w:left="9555" w:hanging="4515"/>
      </w:pPr>
      <w:rPr>
        <w:rFonts w:cs="Times New Roman" w:hint="default"/>
      </w:rPr>
    </w:lvl>
    <w:lvl w:ilvl="8">
      <w:start w:val="1"/>
      <w:numFmt w:val="decimal"/>
      <w:lvlText w:val="%1.%2.%3.%4.%5.%6.%7.%8.%9"/>
      <w:lvlJc w:val="left"/>
      <w:pPr>
        <w:ind w:left="10275" w:hanging="4515"/>
      </w:pPr>
      <w:rPr>
        <w:rFonts w:cs="Times New Roman" w:hint="default"/>
      </w:rPr>
    </w:lvl>
  </w:abstractNum>
  <w:abstractNum w:abstractNumId="1">
    <w:nsid w:val="22FF39E7"/>
    <w:multiLevelType w:val="hybridMultilevel"/>
    <w:tmpl w:val="3D9E5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A1B5BCC"/>
    <w:multiLevelType w:val="hybridMultilevel"/>
    <w:tmpl w:val="DF6A7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842182E"/>
    <w:multiLevelType w:val="hybridMultilevel"/>
    <w:tmpl w:val="9078E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03B05CF"/>
    <w:multiLevelType w:val="hybridMultilevel"/>
    <w:tmpl w:val="12C68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D237782"/>
    <w:multiLevelType w:val="hybridMultilevel"/>
    <w:tmpl w:val="FC305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3D9"/>
    <w:rsid w:val="00011A53"/>
    <w:rsid w:val="00034649"/>
    <w:rsid w:val="00063B90"/>
    <w:rsid w:val="000B6590"/>
    <w:rsid w:val="00121CA5"/>
    <w:rsid w:val="00147186"/>
    <w:rsid w:val="001533D9"/>
    <w:rsid w:val="00182D72"/>
    <w:rsid w:val="001F7247"/>
    <w:rsid w:val="00223FA2"/>
    <w:rsid w:val="002A69AF"/>
    <w:rsid w:val="00305481"/>
    <w:rsid w:val="003A2770"/>
    <w:rsid w:val="003A796C"/>
    <w:rsid w:val="00450346"/>
    <w:rsid w:val="00467D55"/>
    <w:rsid w:val="00476B82"/>
    <w:rsid w:val="00477ADE"/>
    <w:rsid w:val="004901ED"/>
    <w:rsid w:val="004B6B92"/>
    <w:rsid w:val="004D0E31"/>
    <w:rsid w:val="004F090F"/>
    <w:rsid w:val="00504696"/>
    <w:rsid w:val="005077CF"/>
    <w:rsid w:val="00517EEB"/>
    <w:rsid w:val="00587C5E"/>
    <w:rsid w:val="00596ED0"/>
    <w:rsid w:val="00622AB6"/>
    <w:rsid w:val="006A5F60"/>
    <w:rsid w:val="006C3E59"/>
    <w:rsid w:val="006D32CA"/>
    <w:rsid w:val="006E480A"/>
    <w:rsid w:val="00706C35"/>
    <w:rsid w:val="00707972"/>
    <w:rsid w:val="00716141"/>
    <w:rsid w:val="007314AC"/>
    <w:rsid w:val="007C3660"/>
    <w:rsid w:val="007C7361"/>
    <w:rsid w:val="007E33C8"/>
    <w:rsid w:val="008312A1"/>
    <w:rsid w:val="008462D0"/>
    <w:rsid w:val="00847AEA"/>
    <w:rsid w:val="0085453F"/>
    <w:rsid w:val="008C556C"/>
    <w:rsid w:val="008F0657"/>
    <w:rsid w:val="0091080E"/>
    <w:rsid w:val="009260BD"/>
    <w:rsid w:val="00987C9E"/>
    <w:rsid w:val="00993935"/>
    <w:rsid w:val="009D6D21"/>
    <w:rsid w:val="009D724F"/>
    <w:rsid w:val="00A32FB0"/>
    <w:rsid w:val="00A416BE"/>
    <w:rsid w:val="00AE330C"/>
    <w:rsid w:val="00AE5CE8"/>
    <w:rsid w:val="00B139ED"/>
    <w:rsid w:val="00B2216D"/>
    <w:rsid w:val="00B722B1"/>
    <w:rsid w:val="00B83B0B"/>
    <w:rsid w:val="00BA2AA5"/>
    <w:rsid w:val="00BE6F3C"/>
    <w:rsid w:val="00C42F10"/>
    <w:rsid w:val="00C56254"/>
    <w:rsid w:val="00CB1D0E"/>
    <w:rsid w:val="00D0384D"/>
    <w:rsid w:val="00D200B7"/>
    <w:rsid w:val="00D25AEC"/>
    <w:rsid w:val="00D44669"/>
    <w:rsid w:val="00E07926"/>
    <w:rsid w:val="00E07D0D"/>
    <w:rsid w:val="00E311FB"/>
    <w:rsid w:val="00E5686A"/>
    <w:rsid w:val="00E85FC8"/>
    <w:rsid w:val="00E87D50"/>
    <w:rsid w:val="00ED4A29"/>
    <w:rsid w:val="00F1461A"/>
    <w:rsid w:val="00F228F5"/>
    <w:rsid w:val="00F81F0C"/>
    <w:rsid w:val="00F86B6D"/>
    <w:rsid w:val="00FF172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D72"/>
    <w:pPr>
      <w:spacing w:after="200" w:line="276" w:lineRule="auto"/>
    </w:pPr>
    <w:rPr>
      <w:lang w:val="en-GB" w:eastAsia="en-US"/>
    </w:rPr>
  </w:style>
  <w:style w:type="paragraph" w:styleId="Heading1">
    <w:name w:val="heading 1"/>
    <w:basedOn w:val="Normal"/>
    <w:next w:val="Normal"/>
    <w:link w:val="Heading1Char"/>
    <w:uiPriority w:val="99"/>
    <w:qFormat/>
    <w:rsid w:val="00706C35"/>
    <w:pPr>
      <w:keepNext/>
      <w:keepLines/>
      <w:spacing w:before="480" w:after="0"/>
      <w:outlineLvl w:val="0"/>
    </w:pPr>
    <w:rPr>
      <w:rFonts w:ascii="Cambria" w:hAnsi="Cambria"/>
      <w:b/>
      <w:bCs/>
      <w:color w:val="365F91"/>
      <w:sz w:val="28"/>
      <w:szCs w:val="28"/>
      <w:lang w:val="cs-CZ" w:eastAsia="cs-CZ"/>
    </w:rPr>
  </w:style>
  <w:style w:type="paragraph" w:styleId="Heading2">
    <w:name w:val="heading 2"/>
    <w:basedOn w:val="Normal"/>
    <w:next w:val="Normal"/>
    <w:link w:val="Heading2Char"/>
    <w:uiPriority w:val="99"/>
    <w:qFormat/>
    <w:rsid w:val="00587C5E"/>
    <w:pPr>
      <w:keepNext/>
      <w:keepLines/>
      <w:spacing w:before="200" w:after="0"/>
      <w:outlineLvl w:val="1"/>
    </w:pPr>
    <w:rPr>
      <w:rFonts w:ascii="Cambria" w:hAnsi="Cambria"/>
      <w:b/>
      <w:bCs/>
      <w:color w:val="4F81BD"/>
      <w:sz w:val="26"/>
      <w:szCs w:val="26"/>
      <w:lang w:val="cs-CZ"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6C35"/>
    <w:rPr>
      <w:rFonts w:ascii="Cambria" w:hAnsi="Cambria" w:cs="Times New Roman"/>
      <w:b/>
      <w:color w:val="365F91"/>
      <w:sz w:val="28"/>
    </w:rPr>
  </w:style>
  <w:style w:type="character" w:customStyle="1" w:styleId="Heading2Char">
    <w:name w:val="Heading 2 Char"/>
    <w:basedOn w:val="DefaultParagraphFont"/>
    <w:link w:val="Heading2"/>
    <w:uiPriority w:val="99"/>
    <w:locked/>
    <w:rsid w:val="00587C5E"/>
    <w:rPr>
      <w:rFonts w:ascii="Cambria" w:hAnsi="Cambria" w:cs="Times New Roman"/>
      <w:b/>
      <w:color w:val="4F81BD"/>
      <w:sz w:val="26"/>
    </w:rPr>
  </w:style>
  <w:style w:type="paragraph" w:styleId="ListParagraph">
    <w:name w:val="List Paragraph"/>
    <w:basedOn w:val="Normal"/>
    <w:uiPriority w:val="99"/>
    <w:qFormat/>
    <w:rsid w:val="00F86B6D"/>
    <w:pPr>
      <w:ind w:left="720"/>
      <w:contextualSpacing/>
    </w:pPr>
  </w:style>
  <w:style w:type="paragraph" w:styleId="Header">
    <w:name w:val="header"/>
    <w:basedOn w:val="Normal"/>
    <w:link w:val="HeaderChar"/>
    <w:uiPriority w:val="99"/>
    <w:rsid w:val="006E480A"/>
    <w:pPr>
      <w:tabs>
        <w:tab w:val="center" w:pos="4513"/>
        <w:tab w:val="right" w:pos="9026"/>
      </w:tabs>
      <w:spacing w:after="0" w:line="240" w:lineRule="auto"/>
    </w:pPr>
    <w:rPr>
      <w:sz w:val="20"/>
      <w:szCs w:val="20"/>
      <w:lang w:val="cs-CZ" w:eastAsia="cs-CZ"/>
    </w:rPr>
  </w:style>
  <w:style w:type="character" w:customStyle="1" w:styleId="HeaderChar">
    <w:name w:val="Header Char"/>
    <w:basedOn w:val="DefaultParagraphFont"/>
    <w:link w:val="Header"/>
    <w:uiPriority w:val="99"/>
    <w:locked/>
    <w:rsid w:val="006E480A"/>
    <w:rPr>
      <w:rFonts w:cs="Times New Roman"/>
    </w:rPr>
  </w:style>
  <w:style w:type="paragraph" w:styleId="Footer">
    <w:name w:val="footer"/>
    <w:basedOn w:val="Normal"/>
    <w:link w:val="FooterChar"/>
    <w:uiPriority w:val="99"/>
    <w:rsid w:val="006E480A"/>
    <w:pPr>
      <w:tabs>
        <w:tab w:val="center" w:pos="4513"/>
        <w:tab w:val="right" w:pos="9026"/>
      </w:tabs>
      <w:spacing w:after="0" w:line="240" w:lineRule="auto"/>
    </w:pPr>
    <w:rPr>
      <w:sz w:val="20"/>
      <w:szCs w:val="20"/>
      <w:lang w:val="cs-CZ" w:eastAsia="cs-CZ"/>
    </w:rPr>
  </w:style>
  <w:style w:type="character" w:customStyle="1" w:styleId="FooterChar">
    <w:name w:val="Footer Char"/>
    <w:basedOn w:val="DefaultParagraphFont"/>
    <w:link w:val="Footer"/>
    <w:uiPriority w:val="99"/>
    <w:locked/>
    <w:rsid w:val="006E480A"/>
    <w:rPr>
      <w:rFonts w:cs="Times New Roman"/>
    </w:rPr>
  </w:style>
  <w:style w:type="paragraph" w:styleId="BalloonText">
    <w:name w:val="Balloon Text"/>
    <w:basedOn w:val="Normal"/>
    <w:link w:val="BalloonTextChar"/>
    <w:uiPriority w:val="99"/>
    <w:semiHidden/>
    <w:rsid w:val="006E480A"/>
    <w:pPr>
      <w:spacing w:after="0" w:line="240" w:lineRule="auto"/>
    </w:pPr>
    <w:rPr>
      <w:rFonts w:ascii="Tahoma" w:hAnsi="Tahoma"/>
      <w:sz w:val="16"/>
      <w:szCs w:val="16"/>
      <w:lang w:val="cs-CZ" w:eastAsia="cs-CZ"/>
    </w:rPr>
  </w:style>
  <w:style w:type="character" w:customStyle="1" w:styleId="BalloonTextChar">
    <w:name w:val="Balloon Text Char"/>
    <w:basedOn w:val="DefaultParagraphFont"/>
    <w:link w:val="BalloonText"/>
    <w:uiPriority w:val="99"/>
    <w:semiHidden/>
    <w:locked/>
    <w:rsid w:val="006E480A"/>
    <w:rPr>
      <w:rFonts w:ascii="Tahoma" w:hAnsi="Tahoma" w:cs="Times New Roman"/>
      <w:sz w:val="16"/>
    </w:rPr>
  </w:style>
  <w:style w:type="character" w:styleId="CommentReference">
    <w:name w:val="annotation reference"/>
    <w:basedOn w:val="DefaultParagraphFont"/>
    <w:uiPriority w:val="99"/>
    <w:semiHidden/>
    <w:rsid w:val="00A416BE"/>
    <w:rPr>
      <w:rFonts w:cs="Times New Roman"/>
      <w:sz w:val="16"/>
    </w:rPr>
  </w:style>
  <w:style w:type="paragraph" w:styleId="CommentText">
    <w:name w:val="annotation text"/>
    <w:basedOn w:val="Normal"/>
    <w:link w:val="CommentTextChar"/>
    <w:uiPriority w:val="99"/>
    <w:semiHidden/>
    <w:rsid w:val="00A416BE"/>
    <w:pPr>
      <w:spacing w:line="240" w:lineRule="auto"/>
    </w:pPr>
    <w:rPr>
      <w:sz w:val="20"/>
      <w:szCs w:val="20"/>
      <w:lang w:val="cs-CZ" w:eastAsia="cs-CZ"/>
    </w:rPr>
  </w:style>
  <w:style w:type="character" w:customStyle="1" w:styleId="CommentTextChar">
    <w:name w:val="Comment Text Char"/>
    <w:basedOn w:val="DefaultParagraphFont"/>
    <w:link w:val="CommentText"/>
    <w:uiPriority w:val="99"/>
    <w:semiHidden/>
    <w:locked/>
    <w:rsid w:val="00A416BE"/>
    <w:rPr>
      <w:rFonts w:cs="Times New Roman"/>
      <w:sz w:val="20"/>
    </w:rPr>
  </w:style>
  <w:style w:type="paragraph" w:styleId="CommentSubject">
    <w:name w:val="annotation subject"/>
    <w:basedOn w:val="CommentText"/>
    <w:next w:val="CommentText"/>
    <w:link w:val="CommentSubjectChar"/>
    <w:uiPriority w:val="99"/>
    <w:semiHidden/>
    <w:rsid w:val="00A416BE"/>
    <w:rPr>
      <w:b/>
      <w:bCs/>
    </w:rPr>
  </w:style>
  <w:style w:type="character" w:customStyle="1" w:styleId="CommentSubjectChar">
    <w:name w:val="Comment Subject Char"/>
    <w:basedOn w:val="CommentTextChar"/>
    <w:link w:val="CommentSubject"/>
    <w:uiPriority w:val="99"/>
    <w:semiHidden/>
    <w:locked/>
    <w:rsid w:val="00A416BE"/>
    <w:rPr>
      <w:b/>
    </w:rPr>
  </w:style>
  <w:style w:type="paragraph" w:styleId="Revision">
    <w:name w:val="Revision"/>
    <w:hidden/>
    <w:uiPriority w:val="99"/>
    <w:semiHidden/>
    <w:rsid w:val="00A416BE"/>
    <w:rPr>
      <w:lang w:val="en-GB" w:eastAsia="en-US"/>
    </w:rPr>
  </w:style>
  <w:style w:type="paragraph" w:styleId="NormalWeb">
    <w:name w:val="Normal (Web)"/>
    <w:basedOn w:val="Normal"/>
    <w:uiPriority w:val="99"/>
    <w:semiHidden/>
    <w:rsid w:val="001F7247"/>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5</Pages>
  <Words>1301</Words>
  <Characters>7677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k publikacím financovaným z veřejných zdrojů</dc:title>
  <dc:subject/>
  <dc:creator>Fred</dc:creator>
  <cp:keywords/>
  <dc:description/>
  <cp:lastModifiedBy>bartova</cp:lastModifiedBy>
  <cp:revision>6</cp:revision>
  <cp:lastPrinted>2013-11-14T18:10:00Z</cp:lastPrinted>
  <dcterms:created xsi:type="dcterms:W3CDTF">2013-11-18T06:45:00Z</dcterms:created>
  <dcterms:modified xsi:type="dcterms:W3CDTF">2013-11-22T10:11:00Z</dcterms:modified>
</cp:coreProperties>
</file>