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58A" w:rsidRDefault="00D2258A" w:rsidP="00D07AA7">
      <w:pPr>
        <w:pStyle w:val="Title"/>
        <w:jc w:val="center"/>
        <w:rPr>
          <w:b/>
          <w:sz w:val="40"/>
          <w:szCs w:val="40"/>
        </w:rPr>
      </w:pPr>
      <w:r w:rsidRPr="00D07AA7">
        <w:rPr>
          <w:b/>
          <w:sz w:val="40"/>
          <w:szCs w:val="40"/>
        </w:rPr>
        <w:t xml:space="preserve">Jednání zástupců RVVI se zástupci IBM </w:t>
      </w:r>
    </w:p>
    <w:p w:rsidR="00D2258A" w:rsidRPr="00D07AA7" w:rsidRDefault="00D2258A" w:rsidP="00D07AA7">
      <w:pPr>
        <w:pStyle w:val="Title"/>
        <w:jc w:val="center"/>
        <w:rPr>
          <w:b/>
          <w:sz w:val="40"/>
          <w:szCs w:val="40"/>
        </w:rPr>
      </w:pPr>
      <w:r w:rsidRPr="00D07AA7">
        <w:rPr>
          <w:b/>
          <w:sz w:val="40"/>
          <w:szCs w:val="40"/>
        </w:rPr>
        <w:t xml:space="preserve">(téma </w:t>
      </w:r>
      <w:r>
        <w:rPr>
          <w:b/>
          <w:sz w:val="40"/>
          <w:szCs w:val="40"/>
        </w:rPr>
        <w:t xml:space="preserve">ochrany </w:t>
      </w:r>
      <w:r w:rsidRPr="00D07AA7">
        <w:rPr>
          <w:b/>
          <w:sz w:val="40"/>
          <w:szCs w:val="40"/>
        </w:rPr>
        <w:t>práv k duševnímu vlastnictví)</w:t>
      </w:r>
    </w:p>
    <w:p w:rsidR="00D2258A" w:rsidRDefault="00D2258A" w:rsidP="00765DAF">
      <w:pPr>
        <w:pStyle w:val="Heading1"/>
      </w:pPr>
      <w:r>
        <w:t>11. listopadu 2013, Úřad vlády ČR</w:t>
      </w:r>
    </w:p>
    <w:p w:rsidR="00D2258A" w:rsidRDefault="00D2258A" w:rsidP="00CF408E">
      <w:pPr>
        <w:spacing w:before="120" w:after="240" w:line="240" w:lineRule="auto"/>
        <w:jc w:val="both"/>
      </w:pPr>
      <w:r w:rsidRPr="00765DAF">
        <w:rPr>
          <w:b/>
        </w:rPr>
        <w:t>Účastníci jednání</w:t>
      </w:r>
      <w:r>
        <w:t>:</w:t>
      </w:r>
    </w:p>
    <w:p w:rsidR="00D2258A" w:rsidRDefault="00D2258A" w:rsidP="00AF4D7D">
      <w:pPr>
        <w:pStyle w:val="ListParagraph"/>
        <w:spacing w:before="120" w:after="240" w:line="240" w:lineRule="auto"/>
        <w:ind w:left="0"/>
        <w:jc w:val="both"/>
      </w:pPr>
      <w:r w:rsidRPr="00C70EF9">
        <w:rPr>
          <w:b/>
        </w:rPr>
        <w:t>PhDr. Miroslava Kopicová</w:t>
      </w:r>
      <w:r>
        <w:t xml:space="preserve"> </w:t>
      </w:r>
      <w:r>
        <w:tab/>
      </w:r>
      <w:r>
        <w:tab/>
        <w:t>(1. místopředsedkyně Rady pro výzkum, vývoj a inovace)</w:t>
      </w:r>
    </w:p>
    <w:p w:rsidR="00D2258A" w:rsidRDefault="00D2258A" w:rsidP="00AF4D7D">
      <w:pPr>
        <w:pStyle w:val="ListParagraph"/>
        <w:spacing w:before="120" w:after="240" w:line="240" w:lineRule="auto"/>
        <w:ind w:left="0"/>
        <w:jc w:val="both"/>
      </w:pPr>
      <w:r w:rsidRPr="005D4C8B">
        <w:rPr>
          <w:b/>
        </w:rPr>
        <w:t xml:space="preserve">prof. Ing. Vladimír Mařík, DrSc.  </w:t>
      </w:r>
      <w:r>
        <w:rPr>
          <w:b/>
        </w:rPr>
        <w:tab/>
      </w:r>
      <w:r>
        <w:t>(člen Rady pro výzkum, vývoj a inovace)</w:t>
      </w:r>
    </w:p>
    <w:p w:rsidR="00D2258A" w:rsidRDefault="00D2258A" w:rsidP="00AF4D7D">
      <w:pPr>
        <w:pStyle w:val="ListParagraph"/>
        <w:spacing w:before="120" w:after="240" w:line="240" w:lineRule="auto"/>
        <w:ind w:left="2832" w:hanging="2832"/>
        <w:jc w:val="both"/>
      </w:pPr>
      <w:r w:rsidRPr="00C70EF9">
        <w:rPr>
          <w:b/>
        </w:rPr>
        <w:t>RNDr. Zdeněk Havlas</w:t>
      </w:r>
      <w:r>
        <w:rPr>
          <w:b/>
        </w:rPr>
        <w:t xml:space="preserve">, </w:t>
      </w:r>
      <w:r w:rsidRPr="005D4C8B">
        <w:rPr>
          <w:b/>
        </w:rPr>
        <w:t>DrSc.</w:t>
      </w:r>
      <w:r>
        <w:t xml:space="preserve"> </w:t>
      </w:r>
      <w:r>
        <w:tab/>
      </w:r>
      <w:r>
        <w:tab/>
        <w:t>(člen Rady pro výzkum, vývoj a inovace)</w:t>
      </w:r>
    </w:p>
    <w:p w:rsidR="00D2258A" w:rsidRDefault="00D2258A" w:rsidP="00AF4D7D">
      <w:pPr>
        <w:pStyle w:val="ListParagraph"/>
        <w:spacing w:before="120" w:after="240" w:line="240" w:lineRule="auto"/>
        <w:ind w:left="0"/>
        <w:jc w:val="both"/>
      </w:pPr>
      <w:r w:rsidRPr="00C70EF9">
        <w:rPr>
          <w:b/>
        </w:rPr>
        <w:t>Ing. Jan Marek, CSc.</w:t>
      </w:r>
      <w:r>
        <w:t xml:space="preserve"> </w:t>
      </w:r>
      <w:r>
        <w:tab/>
      </w:r>
      <w:r>
        <w:tab/>
      </w:r>
      <w:r>
        <w:tab/>
        <w:t>(ředitel Odboru výzkumu, vývoje a inovací, Úřad vlády ČR)</w:t>
      </w:r>
    </w:p>
    <w:p w:rsidR="00D2258A" w:rsidRDefault="00D2258A" w:rsidP="00AF4D7D">
      <w:pPr>
        <w:pStyle w:val="ListParagraph"/>
        <w:spacing w:before="120" w:after="240" w:line="240" w:lineRule="auto"/>
        <w:ind w:left="0"/>
        <w:jc w:val="both"/>
      </w:pPr>
      <w:r w:rsidRPr="00C70EF9">
        <w:rPr>
          <w:b/>
        </w:rPr>
        <w:t>RNDr. Martin Bunček, Ph.D.</w:t>
      </w:r>
      <w:r>
        <w:t xml:space="preserve"> </w:t>
      </w:r>
      <w:r>
        <w:tab/>
      </w:r>
      <w:r>
        <w:tab/>
        <w:t>(</w:t>
      </w:r>
      <w:r w:rsidRPr="00801323">
        <w:t>člen předsednictva Technologické agentury ČR</w:t>
      </w:r>
      <w:r>
        <w:t>)</w:t>
      </w:r>
    </w:p>
    <w:p w:rsidR="00D2258A" w:rsidRDefault="00D2258A" w:rsidP="005D4C8B">
      <w:pPr>
        <w:pStyle w:val="ListParagraph"/>
        <w:spacing w:before="120" w:after="240" w:line="240" w:lineRule="auto"/>
        <w:ind w:left="3540" w:hanging="3540"/>
        <w:jc w:val="both"/>
      </w:pPr>
      <w:r w:rsidRPr="00C70EF9">
        <w:rPr>
          <w:b/>
        </w:rPr>
        <w:t>Spiros Teleoglou</w:t>
      </w:r>
      <w:r>
        <w:t xml:space="preserve"> </w:t>
      </w:r>
      <w:r>
        <w:tab/>
        <w:t>(</w:t>
      </w:r>
      <w:r w:rsidRPr="00AB075B">
        <w:t>Business Executive</w:t>
      </w:r>
      <w:r>
        <w:t xml:space="preserve"> pro střední a východní Evropu, IBM Research, Technology and IP)</w:t>
      </w:r>
    </w:p>
    <w:p w:rsidR="00D2258A" w:rsidRDefault="00D2258A" w:rsidP="00AF4D7D">
      <w:pPr>
        <w:pStyle w:val="ListParagraph"/>
        <w:spacing w:before="120" w:after="240" w:line="240" w:lineRule="auto"/>
        <w:ind w:left="0"/>
        <w:jc w:val="both"/>
      </w:pPr>
      <w:r w:rsidRPr="00C70EF9">
        <w:rPr>
          <w:b/>
        </w:rPr>
        <w:t xml:space="preserve">Petr Havlík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(</w:t>
      </w:r>
      <w:r w:rsidRPr="00AB075B">
        <w:t>Market, MidMarket and Business Partner Manager Central</w:t>
      </w:r>
      <w:r>
        <w:t>)</w:t>
      </w:r>
      <w:r w:rsidRPr="00AB075B">
        <w:t xml:space="preserve"> </w:t>
      </w:r>
    </w:p>
    <w:p w:rsidR="00D2258A" w:rsidRDefault="00D2258A" w:rsidP="00AF4D7D">
      <w:pPr>
        <w:pStyle w:val="ListParagraph"/>
        <w:spacing w:before="120" w:after="240" w:line="240" w:lineRule="auto"/>
        <w:ind w:left="0"/>
        <w:jc w:val="both"/>
      </w:pPr>
      <w:r w:rsidRPr="00C70EF9">
        <w:rPr>
          <w:b/>
        </w:rPr>
        <w:t>Michal Meliška</w:t>
      </w:r>
      <w:r>
        <w:t xml:space="preserve"> </w:t>
      </w:r>
      <w:r>
        <w:tab/>
      </w:r>
      <w:r>
        <w:tab/>
      </w:r>
      <w:r>
        <w:tab/>
        <w:t>(IBM Global Business Services)</w:t>
      </w:r>
    </w:p>
    <w:p w:rsidR="00D2258A" w:rsidRPr="00353688" w:rsidRDefault="00D2258A" w:rsidP="00AF4D7D">
      <w:pPr>
        <w:pStyle w:val="ListParagraph"/>
        <w:spacing w:before="120" w:after="240" w:line="240" w:lineRule="auto"/>
        <w:ind w:left="0"/>
        <w:jc w:val="both"/>
      </w:pPr>
      <w:r w:rsidRPr="00353688">
        <w:rPr>
          <w:b/>
        </w:rPr>
        <w:t>Tomáš Macek</w:t>
      </w:r>
      <w:r w:rsidRPr="00353688">
        <w:t xml:space="preserve"> </w:t>
      </w:r>
      <w:r w:rsidRPr="00353688">
        <w:tab/>
      </w:r>
      <w:r w:rsidRPr="00353688">
        <w:tab/>
      </w:r>
      <w:r w:rsidRPr="00353688">
        <w:tab/>
      </w:r>
      <w:r w:rsidRPr="00353688">
        <w:tab/>
        <w:t>(výzkumná laboratoř IBM ČR)</w:t>
      </w:r>
    </w:p>
    <w:p w:rsidR="00D2258A" w:rsidRPr="00353688" w:rsidRDefault="00D2258A" w:rsidP="00765DAF">
      <w:pPr>
        <w:spacing w:before="120" w:after="240" w:line="240" w:lineRule="auto"/>
        <w:jc w:val="both"/>
      </w:pPr>
      <w:r w:rsidRPr="00353688">
        <w:rPr>
          <w:b/>
        </w:rPr>
        <w:t>Miroslava Kopicová</w:t>
      </w:r>
      <w:r w:rsidRPr="00353688">
        <w:t xml:space="preserve"> nejprve přivítala všechny účastníky jednání a představila činnost Rady pro výzkum, vývoj a inovace (dále jen „RVVI“). Hovořila o reformě politiky výzkumu, vývoje a inovací v České republice, současném období změn a zmínila problémy v oblasti práv k duševnímu vlastnictví (dále jen „IPR“).</w:t>
      </w:r>
    </w:p>
    <w:p w:rsidR="00D2258A" w:rsidRPr="00353688" w:rsidRDefault="00D2258A" w:rsidP="00765DAF">
      <w:pPr>
        <w:spacing w:before="120" w:after="240" w:line="240" w:lineRule="auto"/>
        <w:jc w:val="both"/>
      </w:pPr>
      <w:r w:rsidRPr="00353688">
        <w:t xml:space="preserve">Dále pokračoval </w:t>
      </w:r>
      <w:r w:rsidRPr="00353688">
        <w:rPr>
          <w:b/>
        </w:rPr>
        <w:t>Spiros Teleoglou</w:t>
      </w:r>
      <w:r w:rsidRPr="00353688">
        <w:t xml:space="preserve">, který poděkoval za přijetí delegace IBM a ve své prezentaci představil činnost a iniciativy společnosti IBM v oblasti výzkumu, vývoje a inovací (dále jen „VaVaI“). Do České republiky přijel, aby zmapoval možnosti a identifikoval oblasti vhodné pro vzájemnou spolupráci. </w:t>
      </w:r>
    </w:p>
    <w:p w:rsidR="00D2258A" w:rsidRPr="00353688" w:rsidRDefault="00D2258A" w:rsidP="00765DAF">
      <w:pPr>
        <w:spacing w:before="120" w:after="240" w:line="240" w:lineRule="auto"/>
        <w:jc w:val="both"/>
      </w:pPr>
      <w:r w:rsidRPr="00353688">
        <w:rPr>
          <w:b/>
        </w:rPr>
        <w:t>IBM Research</w:t>
      </w:r>
      <w:r w:rsidRPr="00353688">
        <w:t xml:space="preserve"> (</w:t>
      </w:r>
      <w:hyperlink r:id="rId7" w:history="1">
        <w:r w:rsidRPr="00353688">
          <w:rPr>
            <w:rStyle w:val="Hyperlink"/>
            <w:color w:val="auto"/>
          </w:rPr>
          <w:t>http://www.research.ibm.com</w:t>
        </w:r>
      </w:hyperlink>
      <w:r w:rsidRPr="00353688">
        <w:t>) je divizí společnosti IBM zodpovědnou za výzkum a vývoj  v jejímž rámci funguje 12 laboratoří rozmístěných na různých místech světa (v Evropě se jedná o Zürich a Dublin). IBM Research ovšem působí i mimo výzkum a vývoj pro IBM, ale navazuje oboustranně prospěšnou spolupráci s vládami, univerzitami a výzkumnými centry různých států s cílem uskutečňovat společné vědecko-výzkumné aktivity. Konkrétně se většinou jedná o vznik společné výzkumné organizace, do které je zapojeno IBM a místní vládní agentury, akademické instituce nebo lokální korporace.</w:t>
      </w:r>
    </w:p>
    <w:p w:rsidR="00D2258A" w:rsidRPr="00353688" w:rsidRDefault="00D2258A" w:rsidP="00765DAF">
      <w:pPr>
        <w:spacing w:before="120" w:after="240" w:line="240" w:lineRule="auto"/>
        <w:jc w:val="both"/>
      </w:pPr>
      <w:r w:rsidRPr="00353688">
        <w:t>IBM v takových případech obvykle umožní místním subjektům přístup k IPR, know-how a zázemí IBM laboratoří. Poskytuje možnosti odborného rozvoje a vzdělávání, podporu komercionalizace, transfer technologií, zlepšení nabídky produktů, jejich prosazení atd. Místní autority zajistí financování projektů (z národních i nadnárodních zdrojů, např. ze zdrojů EU). V případě vzniku nového IPR, toto pak náleží oběma stranám. Oblast IPR je v IBM považována za velmi důležitou, neboť je zdrojem příjmů společnosti. Celosvětově je IBM posledních 20 let na prvním místě v počtu patentů.</w:t>
      </w:r>
    </w:p>
    <w:p w:rsidR="00D2258A" w:rsidRPr="00353688" w:rsidRDefault="00D2258A" w:rsidP="00765DAF">
      <w:pPr>
        <w:spacing w:before="120" w:after="240" w:line="240" w:lineRule="auto"/>
        <w:jc w:val="both"/>
      </w:pPr>
      <w:r w:rsidRPr="00353688">
        <w:t>Dále Spiros Teleoglou představil portfolio IBM Research, příklady různých projektů a spolupráce s institucemi na celém světě. Prov</w:t>
      </w:r>
      <w:bookmarkStart w:id="0" w:name="_GoBack"/>
      <w:bookmarkEnd w:id="0"/>
      <w:r w:rsidRPr="00353688">
        <w:t xml:space="preserve">ádějí výzkum v mnoha vědních oblastech (nanotechnologie, energetika, medicína, analytika, ‘big data’ a life sciences apod.) a získali mnoho mezinárodních ocenění za inovace. </w:t>
      </w:r>
    </w:p>
    <w:p w:rsidR="00D2258A" w:rsidRPr="00353688" w:rsidRDefault="00D2258A" w:rsidP="00D07AA7">
      <w:pPr>
        <w:keepNext/>
        <w:spacing w:before="120" w:after="240" w:line="240" w:lineRule="auto"/>
        <w:jc w:val="both"/>
      </w:pPr>
      <w:r w:rsidRPr="00353688">
        <w:rPr>
          <w:b/>
        </w:rPr>
        <w:t>Vzájemná spolupráce</w:t>
      </w:r>
      <w:r w:rsidRPr="00353688">
        <w:t xml:space="preserve"> </w:t>
      </w:r>
      <w:r w:rsidRPr="00353688">
        <w:rPr>
          <w:b/>
        </w:rPr>
        <w:t>mezi IBM a ČR může mít</w:t>
      </w:r>
      <w:r w:rsidRPr="00353688">
        <w:t xml:space="preserve"> </w:t>
      </w:r>
      <w:r w:rsidRPr="00353688">
        <w:rPr>
          <w:b/>
        </w:rPr>
        <w:t>zejména formu</w:t>
      </w:r>
      <w:r w:rsidRPr="00353688">
        <w:t>:</w:t>
      </w:r>
    </w:p>
    <w:p w:rsidR="00D2258A" w:rsidRPr="00353688" w:rsidRDefault="00D2258A" w:rsidP="009257CF">
      <w:pPr>
        <w:pStyle w:val="ListParagraph"/>
        <w:numPr>
          <w:ilvl w:val="0"/>
          <w:numId w:val="3"/>
        </w:numPr>
        <w:spacing w:before="120" w:after="240" w:line="240" w:lineRule="auto"/>
        <w:jc w:val="both"/>
      </w:pPr>
      <w:r w:rsidRPr="00353688">
        <w:t>Joint Research Projects: společné výzkumné projekty mezi IBM Research a výzkumnými centry v ČR</w:t>
      </w:r>
    </w:p>
    <w:p w:rsidR="00D2258A" w:rsidRPr="00353688" w:rsidRDefault="00D2258A" w:rsidP="00765DAF">
      <w:pPr>
        <w:spacing w:before="120" w:after="240" w:line="240" w:lineRule="auto"/>
        <w:jc w:val="both"/>
      </w:pPr>
      <w:r w:rsidRPr="00353688">
        <w:t xml:space="preserve">Konkrétní formy a oblasti spolupráce jsou věcí vzájemné dohody. IBM přímo neurčuje konkrétní oblasti spolupráce, partneři mohou sami přijít s vlastní iniciativou a myšlenkou, kterou chtějí rozvíjet. IBM také identifikuje potenciálně vhodné oblasti pro spolupráci a pak dojde ke vzájemné diskuzi, co je pro obě strany perspektivní. </w:t>
      </w:r>
      <w:r w:rsidRPr="00353688">
        <w:rPr>
          <w:b/>
        </w:rPr>
        <w:t>V případě České republiky hovořil Spiros Teleoglou o tématu ochrany práv duševního vlastnictví</w:t>
      </w:r>
      <w:r w:rsidRPr="00353688">
        <w:t xml:space="preserve">, protože v tomto ČR v současné době zaostává.  Jako oblast vhodnou pro rozvoj a spolupráci by tedy doporučoval </w:t>
      </w:r>
      <w:r w:rsidRPr="00353688">
        <w:rPr>
          <w:b/>
        </w:rPr>
        <w:t>IP management</w:t>
      </w:r>
      <w:r w:rsidRPr="00353688">
        <w:t>, což souvisí s problémem, jak zajistit udržitelnost a zisk nově vybudovaných výzkumných center. V ČR je nedostatečně rozvinuta činnost kanceláří pro transfer technologií. Ač existují, nejsou dostatečně využívány a instituce by potřebovaly odborné školení a vedení v této oblasti.  IBM může poskytnout potřebné know-how a nástroje k rozvoji IP managementu v ČR. Česká strana může samozřejmě sama identifikovat další vhodné oblasti pro spolupráci, které by byly zajímavé.</w:t>
      </w:r>
    </w:p>
    <w:p w:rsidR="00D2258A" w:rsidRPr="00353688" w:rsidRDefault="00D2258A" w:rsidP="00765DAF">
      <w:pPr>
        <w:spacing w:before="120" w:after="240" w:line="240" w:lineRule="auto"/>
        <w:jc w:val="both"/>
      </w:pPr>
      <w:r w:rsidRPr="00353688">
        <w:rPr>
          <w:b/>
        </w:rPr>
        <w:t>Martin Bunček</w:t>
      </w:r>
      <w:r w:rsidRPr="00353688">
        <w:t xml:space="preserve"> hovořil o programu Technologické agentury GAMA, který je zaměřen na podporu kanceláří transferu technologií (dále jen „TTO“), aby převáděly výsledky výzkumu do praxe a investovaly do tzv. proof of concept. Zmínil, že je třeba získat vhodné lidi do výběrové komise a poukázal na to, že v této oblasti by IBM mohlo také pomoci. </w:t>
      </w:r>
    </w:p>
    <w:p w:rsidR="00D2258A" w:rsidRPr="00353688" w:rsidRDefault="00D2258A" w:rsidP="00765DAF">
      <w:pPr>
        <w:spacing w:before="120" w:after="240" w:line="240" w:lineRule="auto"/>
        <w:jc w:val="both"/>
      </w:pPr>
      <w:r w:rsidRPr="00353688">
        <w:rPr>
          <w:b/>
        </w:rPr>
        <w:t>Miroslava Kopicová</w:t>
      </w:r>
      <w:r w:rsidRPr="00353688">
        <w:t xml:space="preserve"> uvedla, že příští programovací období bude především o investicích do lidských zdrojů a tzv. soft opatřeních, rozvoj TTO je tedy nezbytný. V současné době TTO nefungují tak, jak by měly. V této oblasti by se tedy měla vést další diskuze s IBM. Situaci v ČR ztěžuje současná podoba legislativy v oblasti veřejných zakázek.</w:t>
      </w:r>
    </w:p>
    <w:p w:rsidR="00D2258A" w:rsidRPr="00353688" w:rsidRDefault="00D2258A" w:rsidP="00765DAF">
      <w:pPr>
        <w:spacing w:before="120" w:after="240" w:line="240" w:lineRule="auto"/>
        <w:jc w:val="both"/>
      </w:pPr>
      <w:r w:rsidRPr="00353688">
        <w:rPr>
          <w:b/>
        </w:rPr>
        <w:t>Vladimír Mařík</w:t>
      </w:r>
      <w:r w:rsidRPr="00353688">
        <w:t xml:space="preserve"> dále zmínil, že v ČR neexistuje potřebné kurikulum k odbornému školení a vzdělání lidí v oblasti IPR a transferu technologií. Další oblastí pro spolupráci může být tedy pomoc s tvorbou a rozvojem takového kurikula. Spiros Teleoglou souhlasil a uvedl, že IBM disponuje vhodnými nástroji, které může přizpůsobit „na míru“.</w:t>
      </w:r>
    </w:p>
    <w:p w:rsidR="00D2258A" w:rsidRPr="00353688" w:rsidRDefault="00D2258A" w:rsidP="00765DAF">
      <w:pPr>
        <w:spacing w:before="120" w:after="240" w:line="240" w:lineRule="auto"/>
        <w:jc w:val="both"/>
      </w:pPr>
      <w:r w:rsidRPr="00353688">
        <w:t>IBM může nabídnout možnosti spolupráce také malým a středním podnikům (dále jen „MSP“), např. udělením licence k produktům nebo v rámci trojstranné dohody mezi Výzkumným centrem (univerzitou), IBM a MSP.</w:t>
      </w:r>
    </w:p>
    <w:p w:rsidR="00D2258A" w:rsidRPr="00353688" w:rsidRDefault="00D2258A" w:rsidP="00765DAF">
      <w:pPr>
        <w:spacing w:before="120" w:after="240" w:line="240" w:lineRule="auto"/>
        <w:jc w:val="both"/>
      </w:pPr>
      <w:r w:rsidRPr="00353688">
        <w:rPr>
          <w:b/>
        </w:rPr>
        <w:t>Miroslava Kopicová</w:t>
      </w:r>
      <w:r w:rsidRPr="00353688">
        <w:t xml:space="preserve"> dále zmínila přípravu programu pro excelentní výzkumníky, kteří by měli možnost sestavit si svůj tým a vést dlouhodobý špičkový výzkum v rámci svého projektu. Spiros Teleoglou tuto myšlenku ocenil a upozornil na nutnost pravidelného monitorování a vyhodnocování projektů již v jejich průběhu.</w:t>
      </w:r>
    </w:p>
    <w:p w:rsidR="00D2258A" w:rsidRPr="00353688" w:rsidRDefault="00D2258A" w:rsidP="00765DAF">
      <w:pPr>
        <w:spacing w:before="120" w:after="240" w:line="240" w:lineRule="auto"/>
        <w:jc w:val="both"/>
      </w:pPr>
      <w:r w:rsidRPr="00353688">
        <w:t xml:space="preserve">Účastníci jednání se shodli na budoucím pokračování diskuze o možnostech vzájemné spolupráce. Miroslava Kopicová uvedla, že téma spolupráce s IBM může být projednáno na neformálním setkání RVVI. </w:t>
      </w:r>
    </w:p>
    <w:sectPr w:rsidR="00D2258A" w:rsidRPr="00353688" w:rsidSect="00922D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58A" w:rsidRDefault="00D2258A" w:rsidP="00A04590">
      <w:pPr>
        <w:spacing w:after="0" w:line="240" w:lineRule="auto"/>
      </w:pPr>
      <w:r>
        <w:separator/>
      </w:r>
    </w:p>
  </w:endnote>
  <w:endnote w:type="continuationSeparator" w:id="0">
    <w:p w:rsidR="00D2258A" w:rsidRDefault="00D2258A" w:rsidP="00A04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8A" w:rsidRDefault="00D225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8A" w:rsidRDefault="00D2258A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D2258A" w:rsidRDefault="00D2258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8A" w:rsidRDefault="00D225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58A" w:rsidRDefault="00D2258A" w:rsidP="00A04590">
      <w:pPr>
        <w:spacing w:after="0" w:line="240" w:lineRule="auto"/>
      </w:pPr>
      <w:r>
        <w:separator/>
      </w:r>
    </w:p>
  </w:footnote>
  <w:footnote w:type="continuationSeparator" w:id="0">
    <w:p w:rsidR="00D2258A" w:rsidRDefault="00D2258A" w:rsidP="00A04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8A" w:rsidRDefault="00D225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8A" w:rsidRDefault="00D2258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58A" w:rsidRDefault="00D225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42924"/>
    <w:multiLevelType w:val="hybridMultilevel"/>
    <w:tmpl w:val="E3C82556"/>
    <w:lvl w:ilvl="0" w:tplc="745A3310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56EA0"/>
    <w:multiLevelType w:val="hybridMultilevel"/>
    <w:tmpl w:val="569E6F26"/>
    <w:lvl w:ilvl="0" w:tplc="6CE60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9F51AB"/>
    <w:multiLevelType w:val="hybridMultilevel"/>
    <w:tmpl w:val="5300A240"/>
    <w:lvl w:ilvl="0" w:tplc="745A3310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734"/>
    <w:rsid w:val="000A76EB"/>
    <w:rsid w:val="00146D02"/>
    <w:rsid w:val="001A3D9D"/>
    <w:rsid w:val="00316E2D"/>
    <w:rsid w:val="00316FD4"/>
    <w:rsid w:val="00317905"/>
    <w:rsid w:val="00321BD1"/>
    <w:rsid w:val="00341D0D"/>
    <w:rsid w:val="00353688"/>
    <w:rsid w:val="0036116E"/>
    <w:rsid w:val="00362AD4"/>
    <w:rsid w:val="003733B0"/>
    <w:rsid w:val="003B5734"/>
    <w:rsid w:val="00441B06"/>
    <w:rsid w:val="00463FB4"/>
    <w:rsid w:val="004B1F07"/>
    <w:rsid w:val="00520FFC"/>
    <w:rsid w:val="00590946"/>
    <w:rsid w:val="005D4C8B"/>
    <w:rsid w:val="00643FEC"/>
    <w:rsid w:val="006F0952"/>
    <w:rsid w:val="00706CD9"/>
    <w:rsid w:val="00762F72"/>
    <w:rsid w:val="00765DAF"/>
    <w:rsid w:val="007779FA"/>
    <w:rsid w:val="00780F04"/>
    <w:rsid w:val="007B3C30"/>
    <w:rsid w:val="007D2DE2"/>
    <w:rsid w:val="00801323"/>
    <w:rsid w:val="0084589A"/>
    <w:rsid w:val="00864501"/>
    <w:rsid w:val="00873BD6"/>
    <w:rsid w:val="008C639C"/>
    <w:rsid w:val="00913842"/>
    <w:rsid w:val="00922D1E"/>
    <w:rsid w:val="009257CF"/>
    <w:rsid w:val="00935863"/>
    <w:rsid w:val="009703D7"/>
    <w:rsid w:val="009C652A"/>
    <w:rsid w:val="00A04590"/>
    <w:rsid w:val="00A6295F"/>
    <w:rsid w:val="00A931A7"/>
    <w:rsid w:val="00AB075B"/>
    <w:rsid w:val="00AD180C"/>
    <w:rsid w:val="00AF4D7D"/>
    <w:rsid w:val="00B00A79"/>
    <w:rsid w:val="00B15CE2"/>
    <w:rsid w:val="00B736A2"/>
    <w:rsid w:val="00BA1434"/>
    <w:rsid w:val="00BA5085"/>
    <w:rsid w:val="00C70EF9"/>
    <w:rsid w:val="00CB4C0C"/>
    <w:rsid w:val="00CB5D95"/>
    <w:rsid w:val="00CF408E"/>
    <w:rsid w:val="00D07AA7"/>
    <w:rsid w:val="00D2258A"/>
    <w:rsid w:val="00D52312"/>
    <w:rsid w:val="00D572AE"/>
    <w:rsid w:val="00D83BB4"/>
    <w:rsid w:val="00D9176B"/>
    <w:rsid w:val="00DA6787"/>
    <w:rsid w:val="00DC6549"/>
    <w:rsid w:val="00E00CA3"/>
    <w:rsid w:val="00E01EF9"/>
    <w:rsid w:val="00E66B3D"/>
    <w:rsid w:val="00E816FE"/>
    <w:rsid w:val="00EA22BB"/>
    <w:rsid w:val="00EA26ED"/>
    <w:rsid w:val="00ED6402"/>
    <w:rsid w:val="00F00D53"/>
    <w:rsid w:val="00F6422C"/>
    <w:rsid w:val="00FB7848"/>
    <w:rsid w:val="00FD4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D1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5DA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65DA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65DA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65DAF"/>
    <w:rPr>
      <w:rFonts w:ascii="Cambria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99"/>
    <w:qFormat/>
    <w:rsid w:val="00321BD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765DA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65DA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rsid w:val="00A04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0459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045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04590"/>
    <w:rPr>
      <w:rFonts w:cs="Times New Roman"/>
    </w:rPr>
  </w:style>
  <w:style w:type="character" w:styleId="Hyperlink">
    <w:name w:val="Hyperlink"/>
    <w:basedOn w:val="DefaultParagraphFont"/>
    <w:uiPriority w:val="99"/>
    <w:rsid w:val="00341D0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esearch.ibm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844</Words>
  <Characters>4980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2013-12-10T11:40:00Z</dcterms:created>
  <dcterms:modified xsi:type="dcterms:W3CDTF">2013-12-10T12:06:00Z</dcterms:modified>
</cp:coreProperties>
</file>