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3A6" w:rsidRPr="001B221F" w:rsidRDefault="005413A6" w:rsidP="001B221F">
      <w:pPr>
        <w:pStyle w:val="Nadpishlavn"/>
        <w:spacing w:after="240"/>
        <w:rPr>
          <w:color w:val="333399"/>
          <w:sz w:val="28"/>
          <w:szCs w:val="28"/>
        </w:rPr>
      </w:pPr>
      <w:bookmarkStart w:id="0" w:name="_GoBack"/>
      <w:bookmarkEnd w:id="0"/>
      <w:r w:rsidRPr="001B221F">
        <w:rPr>
          <w:color w:val="333399"/>
          <w:sz w:val="28"/>
          <w:szCs w:val="28"/>
        </w:rPr>
        <w:t xml:space="preserve">Seznam výzkumných organizací zařazených do hodnocení výsledků </w:t>
      </w:r>
    </w:p>
    <w:p w:rsidR="005413A6" w:rsidRPr="001B221F" w:rsidRDefault="005413A6" w:rsidP="001B221F">
      <w:pPr>
        <w:pStyle w:val="Nadpishlavn"/>
        <w:spacing w:after="240"/>
        <w:rPr>
          <w:color w:val="333399"/>
          <w:sz w:val="28"/>
          <w:szCs w:val="28"/>
        </w:rPr>
      </w:pPr>
      <w:r w:rsidRPr="001B221F">
        <w:rPr>
          <w:color w:val="333399"/>
          <w:sz w:val="28"/>
          <w:szCs w:val="28"/>
        </w:rPr>
        <w:t>v roce 2013</w:t>
      </w:r>
    </w:p>
    <w:p w:rsidR="005413A6" w:rsidRPr="00F04ECF" w:rsidRDefault="005413A6" w:rsidP="00BB259D">
      <w:pPr>
        <w:numPr>
          <w:ilvl w:val="0"/>
          <w:numId w:val="2"/>
        </w:numPr>
        <w:spacing w:line="360" w:lineRule="auto"/>
        <w:rPr>
          <w:b/>
        </w:rPr>
      </w:pPr>
      <w:r w:rsidRPr="00F04ECF">
        <w:rPr>
          <w:b/>
        </w:rPr>
        <w:t>Úvod</w:t>
      </w:r>
    </w:p>
    <w:p w:rsidR="005413A6" w:rsidRDefault="005413A6" w:rsidP="00BB259D">
      <w:pPr>
        <w:spacing w:line="360" w:lineRule="auto"/>
      </w:pPr>
      <w:r>
        <w:t>Institucionální podpora na výzkum, vývoj a inovace je podle § 7 odst. 7 zákona č. </w:t>
      </w:r>
      <w:r w:rsidRPr="00DE507F">
        <w:t xml:space="preserve">130/2002 </w:t>
      </w:r>
      <w:r>
        <w:t xml:space="preserve">Sb., </w:t>
      </w:r>
      <w:r w:rsidRPr="00DE507F">
        <w:t>o podpoře výzkumu, experimentálního vývoje a inovací z</w:t>
      </w:r>
      <w:r>
        <w:t> </w:t>
      </w:r>
      <w:r w:rsidRPr="00DE507F">
        <w:t>veřejných prostředků a o změně některých souvisejících zákonů (zákon o podpoře výzkumu, experimentálního vývoje a inovací)</w:t>
      </w:r>
      <w:r>
        <w:t>,</w:t>
      </w:r>
      <w:r w:rsidRPr="00DE507F">
        <w:t xml:space="preserve"> v</w:t>
      </w:r>
      <w:r>
        <w:t>e</w:t>
      </w:r>
      <w:r w:rsidRPr="00DE507F">
        <w:t xml:space="preserve"> znění</w:t>
      </w:r>
      <w:r>
        <w:t xml:space="preserve"> pozdějších předpisů, poskytována výzkumným organizacím (dále jen „VO“) na základě zhodnocení jimi dosažených výsledků. Hodnocení výsledků VO (dále jen „Hodnocení“) je dle § 35 odst. 2 písm. d) </w:t>
      </w:r>
      <w:r w:rsidRPr="00DE507F">
        <w:t>zákon</w:t>
      </w:r>
      <w:r>
        <w:t>a</w:t>
      </w:r>
      <w:r w:rsidRPr="00DE507F">
        <w:t xml:space="preserve"> o podpoře výzkumu, experimentálního vývoje a inovací</w:t>
      </w:r>
      <w:r>
        <w:t xml:space="preserve"> povinností Rady pro výzkum, vývoj a inovace (dále jen „Rada“), která jej provádí podle Metodiky pro hodnocení výsledků výzkumných organizací a hodnocení výsledků ukončených programů (dále jen „Metodika“). V souladu s Metodikou má být vytvořen každoročně aktualizovaný seznam </w:t>
      </w:r>
      <w:r w:rsidRPr="00F45608">
        <w:t>VO zařazených do hodnocení.</w:t>
      </w:r>
      <w:r>
        <w:t xml:space="preserve"> Posuzování odborných předpokladů za účelem zařazení konkrétních subjektů na uvedený seznam provádí </w:t>
      </w:r>
      <w:r w:rsidRPr="00D61256">
        <w:t>Rada</w:t>
      </w:r>
      <w:r>
        <w:t xml:space="preserve"> podle </w:t>
      </w:r>
      <w:r w:rsidRPr="00D61256">
        <w:t>dokument</w:t>
      </w:r>
      <w:r>
        <w:t>u</w:t>
      </w:r>
      <w:r w:rsidRPr="00D61256">
        <w:t xml:space="preserve"> </w:t>
      </w:r>
      <w:r>
        <w:t>„</w:t>
      </w:r>
      <w:r w:rsidRPr="00D61256">
        <w:t>Postup při posuzování výzkumných organizací</w:t>
      </w:r>
      <w:r>
        <w:t>“ (dále jen „Postup“), který schválila</w:t>
      </w:r>
      <w:r w:rsidRPr="00D61256">
        <w:t xml:space="preserve"> na svém 261. zasedání dne 28.</w:t>
      </w:r>
      <w:r>
        <w:t xml:space="preserve"> ledna 2011. Celý proces je rozdělen na dvě fáze, přičemž pro zařazení na seznam VO pro Hodnocení musí </w:t>
      </w:r>
      <w:r w:rsidRPr="00F45608">
        <w:t>subjekt splnit kritéria</w:t>
      </w:r>
      <w:r>
        <w:t xml:space="preserve"> Fáze 1 i </w:t>
      </w:r>
      <w:r w:rsidRPr="00F45608">
        <w:t>Fáze 2.</w:t>
      </w:r>
      <w:r>
        <w:t xml:space="preserve"> Posouzení ve Fázi 2 se v souladu s Postupem děje na základě žádosti ze strany potenciálního poskytovatele institucionální podpory vždy jedenkrát ročně, přičemž základními předpoklady jsou splnění kritérií pro Fázi 1 a žádost poskytovatele doručená Radě nejpozději 30. května daného roku.</w:t>
      </w:r>
    </w:p>
    <w:p w:rsidR="005413A6" w:rsidRDefault="005413A6" w:rsidP="00BB259D">
      <w:pPr>
        <w:spacing w:line="360" w:lineRule="auto"/>
        <w:ind w:firstLine="0"/>
      </w:pPr>
      <w:r>
        <w:t>Do roku 2011 včetně byl seznam VO Fáze 2 podle § 5a odst. 2 písm. b) zákona o </w:t>
      </w:r>
      <w:r w:rsidRPr="00DE507F">
        <w:t>podpoře výzkumu, experimentálního vývoje a inovací</w:t>
      </w:r>
      <w:r>
        <w:t xml:space="preserve"> součástí přípravy návrhu výdajů státního rozpočtu na výzkum, vývoj a inovace. V dalších letech již nebyl tento postup aplikován. </w:t>
      </w:r>
    </w:p>
    <w:p w:rsidR="005413A6" w:rsidRDefault="005413A6" w:rsidP="00BB259D">
      <w:pPr>
        <w:spacing w:line="360" w:lineRule="auto"/>
        <w:ind w:firstLine="0"/>
      </w:pPr>
      <w:r>
        <w:t>Na 270. zasedání Rady dne 24. 2. 2012 byl zpravodajem ve spolupráci se sekretariátem Rady předložen poklad pro posouzení VO ve Fázi 2, který Rada vzala na vědomí (předpokládala se aktualizace Postupu, ke které ale podle stanoviska ÚOHS může dojít až do nabytí účinnosti nových předpisů EU - GBER po 1. července 2014).</w:t>
      </w:r>
    </w:p>
    <w:p w:rsidR="005413A6" w:rsidRDefault="005413A6" w:rsidP="00BB259D">
      <w:pPr>
        <w:spacing w:line="360" w:lineRule="auto"/>
        <w:ind w:firstLine="0"/>
      </w:pPr>
      <w:r>
        <w:t xml:space="preserve">Cílem předkládaného materiálu je sestavit seznam VO pro Hodnocení v roce 2013. Pro vytvoření zmíněného seznamu je výchozím bodem soupis VO, které byly Radou v roce 2011 </w:t>
      </w:r>
      <w:r>
        <w:lastRenderedPageBreak/>
        <w:t xml:space="preserve">schváleny k institucionálnímu financování jako součást přípravy státního rozpočtu na výzkum, vývoj a inovace (příloha 1). </w:t>
      </w:r>
    </w:p>
    <w:p w:rsidR="005413A6" w:rsidRPr="001641B4" w:rsidRDefault="005413A6" w:rsidP="00BB259D">
      <w:pPr>
        <w:numPr>
          <w:ilvl w:val="0"/>
          <w:numId w:val="2"/>
        </w:numPr>
        <w:spacing w:line="360" w:lineRule="auto"/>
        <w:rPr>
          <w:b/>
        </w:rPr>
      </w:pPr>
      <w:r>
        <w:rPr>
          <w:b/>
        </w:rPr>
        <w:t>Uplatnění kritéria K2 Postupu</w:t>
      </w:r>
    </w:p>
    <w:p w:rsidR="005413A6" w:rsidRDefault="005413A6" w:rsidP="00BB259D">
      <w:pPr>
        <w:spacing w:line="360" w:lineRule="auto"/>
      </w:pPr>
      <w:r>
        <w:t xml:space="preserve">Pro zařazení do seznamu VO pro Hodnocení v roce 2013 nebylo použito kritérium K2 Postupu </w:t>
      </w:r>
      <w:r w:rsidRPr="00A55354">
        <w:rPr>
          <w:i/>
          <w:szCs w:val="22"/>
        </w:rPr>
        <w:t xml:space="preserve">„2) zařazení výsledků </w:t>
      </w:r>
      <w:proofErr w:type="spellStart"/>
      <w:r w:rsidRPr="00A55354">
        <w:rPr>
          <w:i/>
          <w:szCs w:val="22"/>
        </w:rPr>
        <w:t>VaVaI</w:t>
      </w:r>
      <w:proofErr w:type="spellEnd"/>
      <w:r w:rsidRPr="00A55354">
        <w:rPr>
          <w:i/>
          <w:szCs w:val="22"/>
        </w:rPr>
        <w:t xml:space="preserve"> do IS </w:t>
      </w:r>
      <w:proofErr w:type="spellStart"/>
      <w:r w:rsidRPr="00A55354">
        <w:rPr>
          <w:i/>
          <w:szCs w:val="22"/>
        </w:rPr>
        <w:t>VaVaI</w:t>
      </w:r>
      <w:proofErr w:type="spellEnd"/>
      <w:r w:rsidRPr="00A55354">
        <w:rPr>
          <w:i/>
          <w:szCs w:val="22"/>
        </w:rPr>
        <w:t>, přičemž za posledních 5 let musí bodová hodnota zařazených výsledků dosahovat alespoň 1500 bodů, …“</w:t>
      </w:r>
      <w:r>
        <w:rPr>
          <w:i/>
          <w:szCs w:val="22"/>
        </w:rPr>
        <w:t xml:space="preserve">, </w:t>
      </w:r>
      <w:r w:rsidRPr="0049793D">
        <w:rPr>
          <w:szCs w:val="22"/>
        </w:rPr>
        <w:t xml:space="preserve">a to </w:t>
      </w:r>
      <w:r>
        <w:t>zejména z následujících důvodů:</w:t>
      </w:r>
    </w:p>
    <w:p w:rsidR="005413A6" w:rsidRDefault="005413A6" w:rsidP="00BB259D">
      <w:pPr>
        <w:numPr>
          <w:ilvl w:val="0"/>
          <w:numId w:val="1"/>
        </w:numPr>
        <w:spacing w:line="360" w:lineRule="auto"/>
        <w:ind w:left="709" w:hanging="709"/>
      </w:pPr>
      <w:r>
        <w:t>Kritérium K2 lze posoudit až na základě provedení hodnocení za rok 2013.</w:t>
      </w:r>
    </w:p>
    <w:p w:rsidR="005413A6" w:rsidRDefault="005413A6" w:rsidP="00BB259D">
      <w:pPr>
        <w:numPr>
          <w:ilvl w:val="0"/>
          <w:numId w:val="1"/>
        </w:numPr>
        <w:spacing w:line="360" w:lineRule="auto"/>
        <w:ind w:left="709" w:hanging="709"/>
      </w:pPr>
      <w:r>
        <w:t>Pokud by bylo kritérium K2 uplatněno za poslední známé Hodnocení, muselo by se aplikovat na všechny subjekty seznamu a ty subjekty, u kterých nebylo naplněno, by musely být ze seznamu vyňaty. Navíc by takto nebylo možné posoudit subjekty, které žádají o posouzení ve Fázi 2 poprvé.</w:t>
      </w:r>
    </w:p>
    <w:p w:rsidR="005413A6" w:rsidRDefault="005413A6" w:rsidP="00BB259D">
      <w:pPr>
        <w:numPr>
          <w:ilvl w:val="0"/>
          <w:numId w:val="1"/>
        </w:numPr>
        <w:spacing w:line="360" w:lineRule="auto"/>
        <w:ind w:left="709" w:hanging="709"/>
      </w:pPr>
      <w:r>
        <w:t xml:space="preserve">Podle kritéria K2 by došlo k vyřazení řady výzkumných organizací, pro které je institucionální podpora na dlouhodobý koncepční rozvoj klíčová (viz tabulka). </w:t>
      </w:r>
    </w:p>
    <w:p w:rsidR="005413A6" w:rsidRDefault="005413A6" w:rsidP="00BB259D">
      <w:pPr>
        <w:numPr>
          <w:ilvl w:val="0"/>
          <w:numId w:val="1"/>
        </w:numPr>
        <w:spacing w:line="360" w:lineRule="auto"/>
        <w:ind w:left="709" w:hanging="709"/>
      </w:pPr>
      <w:r>
        <w:t xml:space="preserve">Některé VO by byly na základě kritéria K2 vyřazeny až v roce 2013, přičemž postup platil již v letech </w:t>
      </w:r>
      <w:smartTag w:uri="urn:schemas-microsoft-com:office:smarttags" w:element="metricconverter">
        <w:smartTagPr>
          <w:attr w:name="ProductID" w:val="2011 a"/>
        </w:smartTagPr>
        <w:r>
          <w:t>2011 a</w:t>
        </w:r>
      </w:smartTag>
      <w:r>
        <w:t xml:space="preserve"> </w:t>
      </w:r>
      <w:smartTag w:uri="urn:schemas-microsoft-com:office:smarttags" w:element="metricconverter">
        <w:smartTagPr>
          <w:attr w:name="ProductID" w:val="2012 a"/>
        </w:smartTagPr>
        <w:r>
          <w:t>2012 a</w:t>
        </w:r>
      </w:smartTag>
      <w:r>
        <w:t xml:space="preserve"> v těchto letech předmětné VO byly institucionálně financovány. </w:t>
      </w:r>
    </w:p>
    <w:p w:rsidR="005413A6" w:rsidRDefault="005413A6" w:rsidP="00BB259D">
      <w:pPr>
        <w:numPr>
          <w:ilvl w:val="0"/>
          <w:numId w:val="1"/>
        </w:numPr>
        <w:spacing w:line="360" w:lineRule="auto"/>
        <w:ind w:left="709" w:hanging="709"/>
      </w:pPr>
      <w:r>
        <w:t>VO vyřazené na základě kritéria K2 Postupu představují z hlediska celkového objemu financí rozdělovaných jako institucionální podpora minoritní skupinu (cca 0,6 % institucionální podpory na rozvoj výzkumných organizací).</w:t>
      </w:r>
    </w:p>
    <w:p w:rsidR="005413A6" w:rsidRDefault="005413A6" w:rsidP="00BB259D">
      <w:pPr>
        <w:pStyle w:val="Normlntext"/>
        <w:spacing w:line="360" w:lineRule="auto"/>
      </w:pPr>
    </w:p>
    <w:p w:rsidR="005413A6" w:rsidRDefault="005413A6" w:rsidP="00BB259D">
      <w:pPr>
        <w:pStyle w:val="Normlntext"/>
        <w:spacing w:line="360" w:lineRule="auto"/>
      </w:pPr>
      <w:r>
        <w:t>Subjekty, které by bylo nutno vyřadit v případě zohlednění kritéria K2 Postupu:</w:t>
      </w:r>
    </w:p>
    <w:tbl>
      <w:tblPr>
        <w:tblW w:w="940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4"/>
        <w:gridCol w:w="5379"/>
        <w:gridCol w:w="2340"/>
      </w:tblGrid>
      <w:tr w:rsidR="005413A6" w:rsidRPr="00593311" w:rsidTr="00E11267">
        <w:trPr>
          <w:trHeight w:val="255"/>
        </w:trPr>
        <w:tc>
          <w:tcPr>
            <w:tcW w:w="1684" w:type="dxa"/>
            <w:shd w:val="clear" w:color="auto" w:fill="E6E6E6"/>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IČ</w:t>
            </w:r>
          </w:p>
        </w:tc>
        <w:tc>
          <w:tcPr>
            <w:tcW w:w="5379" w:type="dxa"/>
            <w:shd w:val="clear" w:color="auto" w:fill="E6E6E6"/>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Poskytovatel/výzkumná organizace</w:t>
            </w:r>
          </w:p>
        </w:tc>
        <w:tc>
          <w:tcPr>
            <w:tcW w:w="2340" w:type="dxa"/>
            <w:shd w:val="clear" w:color="auto" w:fill="E6E6E6"/>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Hodnocení 2012 (body)</w:t>
            </w:r>
          </w:p>
        </w:tc>
      </w:tr>
      <w:tr w:rsidR="005413A6" w:rsidRPr="00593311" w:rsidTr="00E11267">
        <w:trPr>
          <w:trHeight w:val="255"/>
        </w:trPr>
        <w:tc>
          <w:tcPr>
            <w:tcW w:w="9403" w:type="dxa"/>
            <w:gridSpan w:val="3"/>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Akademie věd ČR</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67985971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 xml:space="preserve">Knihovna AV ČR, </w:t>
            </w:r>
            <w:r>
              <w:rPr>
                <w:color w:val="000000"/>
                <w:sz w:val="22"/>
                <w:szCs w:val="22"/>
              </w:rPr>
              <w:t>v. v. i.</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304,485</w:t>
            </w:r>
          </w:p>
        </w:tc>
      </w:tr>
      <w:tr w:rsidR="005413A6" w:rsidRPr="00593311" w:rsidTr="00E11267">
        <w:trPr>
          <w:trHeight w:val="255"/>
        </w:trPr>
        <w:tc>
          <w:tcPr>
            <w:tcW w:w="9403" w:type="dxa"/>
            <w:gridSpan w:val="3"/>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Ministerstvo kultury</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00023311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Památník národního písemnictví</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223,618</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00094927</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Národní ústav lidové kultury</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707,77</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00023205</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Institut umění – Divadelní ústav</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760,498</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00023299</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Národní technické museum</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783,336</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lastRenderedPageBreak/>
              <w:t>00100595</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Slezské zemské muzeum</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977,969</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00094871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Moravská galerie v Brně</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1054,71</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00094943</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Moravská zemská knihovna v Brně</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1474,209</w:t>
            </w:r>
          </w:p>
        </w:tc>
      </w:tr>
      <w:tr w:rsidR="005413A6" w:rsidRPr="00593311"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00023221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Národní knihovna České republiky</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1488,106</w:t>
            </w:r>
          </w:p>
        </w:tc>
      </w:tr>
      <w:tr w:rsidR="005413A6" w:rsidRPr="00593311" w:rsidTr="00E11267">
        <w:trPr>
          <w:trHeight w:val="255"/>
        </w:trPr>
        <w:tc>
          <w:tcPr>
            <w:tcW w:w="9403" w:type="dxa"/>
            <w:gridSpan w:val="3"/>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Ministerstvo obrany</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49366378</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CASRI – vědecké a servisní pracoviště tělesné výchovy</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296,026</w:t>
            </w:r>
          </w:p>
        </w:tc>
      </w:tr>
      <w:tr w:rsidR="005413A6" w:rsidRPr="00292CC8" w:rsidTr="00E11267">
        <w:trPr>
          <w:trHeight w:val="255"/>
        </w:trPr>
        <w:tc>
          <w:tcPr>
            <w:tcW w:w="9403" w:type="dxa"/>
            <w:gridSpan w:val="3"/>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Ministerstvo průmyslu a obchodu</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28676092</w:t>
            </w:r>
          </w:p>
        </w:tc>
        <w:tc>
          <w:tcPr>
            <w:tcW w:w="5379" w:type="dxa"/>
            <w:noWrap/>
            <w:vAlign w:val="bottom"/>
          </w:tcPr>
          <w:p w:rsidR="005413A6" w:rsidRPr="0049793D" w:rsidRDefault="005413A6" w:rsidP="00BB259D">
            <w:pPr>
              <w:spacing w:after="0" w:line="360" w:lineRule="auto"/>
              <w:ind w:firstLine="0"/>
              <w:jc w:val="left"/>
              <w:rPr>
                <w:color w:val="000000"/>
              </w:rPr>
            </w:pPr>
            <w:proofErr w:type="spellStart"/>
            <w:r w:rsidRPr="0049793D">
              <w:rPr>
                <w:color w:val="000000"/>
                <w:sz w:val="22"/>
                <w:szCs w:val="22"/>
              </w:rPr>
              <w:t>MemBrain</w:t>
            </w:r>
            <w:proofErr w:type="spellEnd"/>
            <w:r w:rsidRPr="0049793D">
              <w:rPr>
                <w:color w:val="000000"/>
                <w:sz w:val="22"/>
                <w:szCs w:val="22"/>
              </w:rPr>
              <w:t xml:space="preserve"> s.r.o.</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766,484</w:t>
            </w:r>
          </w:p>
        </w:tc>
      </w:tr>
      <w:tr w:rsidR="005413A6" w:rsidRPr="00292CC8" w:rsidTr="00E11267">
        <w:trPr>
          <w:trHeight w:val="255"/>
        </w:trPr>
        <w:tc>
          <w:tcPr>
            <w:tcW w:w="9403" w:type="dxa"/>
            <w:gridSpan w:val="3"/>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Ministerstvo školství, mládeže a tělovýchovy</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46358978</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Univerzita Jana Amose Komenského Praha s.</w:t>
            </w:r>
            <w:r>
              <w:rPr>
                <w:color w:val="000000"/>
                <w:sz w:val="22"/>
                <w:szCs w:val="22"/>
              </w:rPr>
              <w:t xml:space="preserve"> </w:t>
            </w:r>
            <w:r w:rsidRPr="0049793D">
              <w:rPr>
                <w:color w:val="000000"/>
                <w:sz w:val="22"/>
                <w:szCs w:val="22"/>
              </w:rPr>
              <w:t>r.</w:t>
            </w:r>
            <w:r>
              <w:rPr>
                <w:color w:val="000000"/>
                <w:sz w:val="22"/>
                <w:szCs w:val="22"/>
              </w:rPr>
              <w:t xml:space="preserve"> </w:t>
            </w:r>
            <w:r w:rsidRPr="0049793D">
              <w:rPr>
                <w:color w:val="000000"/>
                <w:sz w:val="22"/>
                <w:szCs w:val="22"/>
              </w:rPr>
              <w:t>o.</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245,354</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00237752</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 xml:space="preserve">Centrum pro studium vysokého školství, </w:t>
            </w:r>
            <w:r>
              <w:rPr>
                <w:color w:val="000000"/>
                <w:sz w:val="22"/>
                <w:szCs w:val="22"/>
              </w:rPr>
              <w:t>v. v. i.</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535,463</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60461446</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Akademie výtvarných umění v Praze</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835,307</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00025950</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 xml:space="preserve">Výzkumný ústav bezpečnosti práce, </w:t>
            </w:r>
            <w:r>
              <w:rPr>
                <w:color w:val="000000"/>
                <w:sz w:val="22"/>
                <w:szCs w:val="22"/>
              </w:rPr>
              <w:t>v. v. i.</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1177,789</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25173154</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ENKI, o.</w:t>
            </w:r>
            <w:r>
              <w:rPr>
                <w:color w:val="000000"/>
                <w:sz w:val="22"/>
                <w:szCs w:val="22"/>
              </w:rPr>
              <w:t xml:space="preserve"> </w:t>
            </w:r>
            <w:r w:rsidRPr="0049793D">
              <w:rPr>
                <w:color w:val="000000"/>
                <w:sz w:val="22"/>
                <w:szCs w:val="22"/>
              </w:rPr>
              <w:t>p.</w:t>
            </w:r>
            <w:r>
              <w:rPr>
                <w:color w:val="000000"/>
                <w:sz w:val="22"/>
                <w:szCs w:val="22"/>
              </w:rPr>
              <w:t xml:space="preserve"> </w:t>
            </w:r>
            <w:r w:rsidRPr="0049793D">
              <w:rPr>
                <w:color w:val="000000"/>
                <w:sz w:val="22"/>
                <w:szCs w:val="22"/>
              </w:rPr>
              <w:t>s.</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1284,488</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60461071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Vysoká škola umělecko-průmyslová v Praze</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1305,814</w:t>
            </w:r>
          </w:p>
        </w:tc>
      </w:tr>
      <w:tr w:rsidR="005413A6" w:rsidRPr="004E178D" w:rsidTr="00E11267">
        <w:trPr>
          <w:trHeight w:val="188"/>
        </w:trPr>
        <w:tc>
          <w:tcPr>
            <w:tcW w:w="9403" w:type="dxa"/>
            <w:gridSpan w:val="3"/>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Ministerstvo zdravotnictví</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00023841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Institut postgraduálního vzdělávání ve zdravotnictví</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458,678</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00098892</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Fakultní nemocnice Olomouc</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883,757</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00064211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Nemocnice Na Bulovce</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1401,235</w:t>
            </w:r>
          </w:p>
        </w:tc>
      </w:tr>
      <w:tr w:rsidR="005413A6" w:rsidRPr="00292CC8" w:rsidTr="00E11267">
        <w:trPr>
          <w:trHeight w:val="255"/>
        </w:trPr>
        <w:tc>
          <w:tcPr>
            <w:tcW w:w="9403" w:type="dxa"/>
            <w:gridSpan w:val="3"/>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Ministerstvo zemědělství</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75075741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Národní zemědělské muzeum Praha</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979,748</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27184145</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Výzkumné centrum SELTON, s.</w:t>
            </w:r>
            <w:r>
              <w:rPr>
                <w:color w:val="000000"/>
                <w:sz w:val="22"/>
                <w:szCs w:val="22"/>
              </w:rPr>
              <w:t xml:space="preserve"> </w:t>
            </w:r>
            <w:r w:rsidRPr="0049793D">
              <w:rPr>
                <w:color w:val="000000"/>
                <w:sz w:val="22"/>
                <w:szCs w:val="22"/>
              </w:rPr>
              <w:t>r.</w:t>
            </w:r>
            <w:r>
              <w:rPr>
                <w:color w:val="000000"/>
                <w:sz w:val="22"/>
                <w:szCs w:val="22"/>
              </w:rPr>
              <w:t xml:space="preserve"> </w:t>
            </w:r>
            <w:r w:rsidRPr="0049793D">
              <w:rPr>
                <w:color w:val="000000"/>
                <w:sz w:val="22"/>
                <w:szCs w:val="22"/>
              </w:rPr>
              <w:t>o.</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989,147</w:t>
            </w:r>
          </w:p>
        </w:tc>
      </w:tr>
      <w:tr w:rsidR="005413A6" w:rsidRPr="00292CC8" w:rsidTr="00E11267">
        <w:trPr>
          <w:trHeight w:val="255"/>
        </w:trPr>
        <w:tc>
          <w:tcPr>
            <w:tcW w:w="1684"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26791251</w:t>
            </w:r>
          </w:p>
        </w:tc>
        <w:tc>
          <w:tcPr>
            <w:tcW w:w="5379" w:type="dxa"/>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OSEVA vývoj a výzkum s.</w:t>
            </w:r>
            <w:r>
              <w:rPr>
                <w:color w:val="000000"/>
                <w:sz w:val="22"/>
                <w:szCs w:val="22"/>
              </w:rPr>
              <w:t xml:space="preserve"> </w:t>
            </w:r>
            <w:r w:rsidRPr="0049793D">
              <w:rPr>
                <w:color w:val="000000"/>
                <w:sz w:val="22"/>
                <w:szCs w:val="22"/>
              </w:rPr>
              <w:t>r.</w:t>
            </w:r>
            <w:r>
              <w:rPr>
                <w:color w:val="000000"/>
                <w:sz w:val="22"/>
                <w:szCs w:val="22"/>
              </w:rPr>
              <w:t xml:space="preserve"> </w:t>
            </w:r>
            <w:r w:rsidRPr="0049793D">
              <w:rPr>
                <w:color w:val="000000"/>
                <w:sz w:val="22"/>
                <w:szCs w:val="22"/>
              </w:rPr>
              <w:t>o.</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1098,901</w:t>
            </w:r>
          </w:p>
        </w:tc>
      </w:tr>
      <w:tr w:rsidR="005413A6" w:rsidRPr="00292CC8" w:rsidTr="00E11267">
        <w:trPr>
          <w:trHeight w:val="255"/>
        </w:trPr>
        <w:tc>
          <w:tcPr>
            <w:tcW w:w="7063" w:type="dxa"/>
            <w:gridSpan w:val="2"/>
            <w:noWrap/>
            <w:vAlign w:val="bottom"/>
          </w:tcPr>
          <w:p w:rsidR="005413A6" w:rsidRPr="0049793D" w:rsidRDefault="005413A6" w:rsidP="00BB259D">
            <w:pPr>
              <w:spacing w:after="0" w:line="360" w:lineRule="auto"/>
              <w:ind w:firstLine="0"/>
              <w:jc w:val="left"/>
              <w:rPr>
                <w:color w:val="000000"/>
              </w:rPr>
            </w:pPr>
            <w:r w:rsidRPr="0049793D">
              <w:rPr>
                <w:color w:val="000000"/>
                <w:sz w:val="22"/>
                <w:szCs w:val="22"/>
              </w:rPr>
              <w:t>Celkem</w:t>
            </w:r>
          </w:p>
        </w:tc>
        <w:tc>
          <w:tcPr>
            <w:tcW w:w="2340" w:type="dxa"/>
            <w:noWrap/>
            <w:vAlign w:val="bottom"/>
          </w:tcPr>
          <w:p w:rsidR="005413A6" w:rsidRPr="0049793D" w:rsidRDefault="005413A6" w:rsidP="00BB259D">
            <w:pPr>
              <w:spacing w:after="0" w:line="360" w:lineRule="auto"/>
              <w:ind w:firstLine="0"/>
              <w:jc w:val="right"/>
              <w:rPr>
                <w:color w:val="000000"/>
              </w:rPr>
            </w:pPr>
            <w:r w:rsidRPr="0049793D">
              <w:rPr>
                <w:color w:val="000000"/>
                <w:sz w:val="22"/>
                <w:szCs w:val="22"/>
              </w:rPr>
              <w:t>20 032,89</w:t>
            </w:r>
          </w:p>
        </w:tc>
      </w:tr>
    </w:tbl>
    <w:p w:rsidR="005413A6" w:rsidRDefault="005413A6" w:rsidP="00BB259D">
      <w:pPr>
        <w:spacing w:line="360" w:lineRule="auto"/>
      </w:pPr>
    </w:p>
    <w:p w:rsidR="005413A6" w:rsidRDefault="005413A6" w:rsidP="00BB259D">
      <w:pPr>
        <w:numPr>
          <w:ilvl w:val="0"/>
          <w:numId w:val="2"/>
        </w:numPr>
        <w:spacing w:line="360" w:lineRule="auto"/>
        <w:rPr>
          <w:b/>
        </w:rPr>
      </w:pPr>
      <w:r w:rsidRPr="00983252">
        <w:rPr>
          <w:b/>
        </w:rPr>
        <w:t>Změny provedené v</w:t>
      </w:r>
      <w:r>
        <w:rPr>
          <w:b/>
        </w:rPr>
        <w:t> </w:t>
      </w:r>
      <w:r w:rsidRPr="00983252">
        <w:rPr>
          <w:b/>
        </w:rPr>
        <w:t>s</w:t>
      </w:r>
      <w:r>
        <w:rPr>
          <w:b/>
        </w:rPr>
        <w:t>oupisu VO</w:t>
      </w:r>
      <w:r w:rsidRPr="00983252">
        <w:rPr>
          <w:b/>
        </w:rPr>
        <w:t xml:space="preserve"> z roku 2011</w:t>
      </w:r>
    </w:p>
    <w:p w:rsidR="005413A6" w:rsidRPr="004D167D" w:rsidRDefault="005413A6" w:rsidP="00BB259D">
      <w:pPr>
        <w:numPr>
          <w:ilvl w:val="0"/>
          <w:numId w:val="3"/>
        </w:numPr>
        <w:spacing w:before="240" w:line="360" w:lineRule="auto"/>
        <w:ind w:left="1066" w:hanging="357"/>
        <w:rPr>
          <w:b/>
        </w:rPr>
      </w:pPr>
      <w:r w:rsidRPr="004D167D">
        <w:rPr>
          <w:b/>
        </w:rPr>
        <w:t>Vyřazení subjektů</w:t>
      </w:r>
    </w:p>
    <w:p w:rsidR="005413A6" w:rsidRDefault="005413A6" w:rsidP="00BB259D">
      <w:pPr>
        <w:spacing w:line="360" w:lineRule="auto"/>
      </w:pPr>
      <w:r w:rsidRPr="0049793D">
        <w:rPr>
          <w:b/>
        </w:rPr>
        <w:t>Národní bezpečnostní úřad</w:t>
      </w:r>
      <w:r w:rsidRPr="0049793D">
        <w:t xml:space="preserve"> a </w:t>
      </w:r>
      <w:r w:rsidRPr="0049793D">
        <w:rPr>
          <w:b/>
        </w:rPr>
        <w:t>Český báňský úřad</w:t>
      </w:r>
      <w:r w:rsidRPr="0049793D">
        <w:t xml:space="preserve"> </w:t>
      </w:r>
      <w:r>
        <w:t xml:space="preserve">nepožádaly o posouzení, ani </w:t>
      </w:r>
      <w:r w:rsidRPr="0049793D">
        <w:t>neprokázaly předpoklady pro Fázi 1</w:t>
      </w:r>
      <w:r>
        <w:t>, nefigurují tudíž</w:t>
      </w:r>
      <w:r w:rsidRPr="0049793D">
        <w:t xml:space="preserve"> na seznamu VO</w:t>
      </w:r>
      <w:r>
        <w:t xml:space="preserve"> pro Fázi </w:t>
      </w:r>
      <w:smartTag w:uri="urn:schemas-microsoft-com:office:smarttags" w:element="metricconverter">
        <w:smartTagPr>
          <w:attr w:name="ProductID" w:val="1, a"/>
        </w:smartTagPr>
        <w:r>
          <w:t>1</w:t>
        </w:r>
        <w:r w:rsidRPr="0049793D">
          <w:t>,</w:t>
        </w:r>
        <w:r>
          <w:t xml:space="preserve"> a</w:t>
        </w:r>
      </w:smartTag>
      <w:r w:rsidRPr="0049793D">
        <w:t xml:space="preserve"> </w:t>
      </w:r>
      <w:r>
        <w:t>proto nemohou být zařazeny na seznam VO ve Fázi 2.</w:t>
      </w:r>
    </w:p>
    <w:p w:rsidR="005413A6" w:rsidRPr="00A6077C" w:rsidRDefault="005413A6" w:rsidP="00BB259D">
      <w:pPr>
        <w:spacing w:after="240" w:line="360" w:lineRule="auto"/>
      </w:pPr>
      <w:r>
        <w:rPr>
          <w:b/>
        </w:rPr>
        <w:t xml:space="preserve">Středisko společných činností AV ČR, v. v. i., </w:t>
      </w:r>
      <w:r>
        <w:t>bylo Radou schváleno ve Fázi 1. O Fázi 2 však poskytovatel nepožádal, protože subjekt má čistě infrastrukturní charakter.</w:t>
      </w:r>
    </w:p>
    <w:p w:rsidR="005413A6" w:rsidRPr="007D4E44" w:rsidRDefault="005413A6" w:rsidP="00BB259D">
      <w:pPr>
        <w:pStyle w:val="Normlntext"/>
        <w:numPr>
          <w:ilvl w:val="0"/>
          <w:numId w:val="3"/>
        </w:numPr>
        <w:spacing w:before="240" w:line="360" w:lineRule="auto"/>
        <w:ind w:left="1066" w:hanging="357"/>
        <w:rPr>
          <w:b/>
        </w:rPr>
      </w:pPr>
      <w:r w:rsidRPr="007D4E44">
        <w:rPr>
          <w:b/>
        </w:rPr>
        <w:lastRenderedPageBreak/>
        <w:t>Změny názvů subjektů</w:t>
      </w:r>
    </w:p>
    <w:p w:rsidR="005413A6" w:rsidRDefault="005413A6" w:rsidP="00BB259D">
      <w:pPr>
        <w:spacing w:line="360" w:lineRule="auto"/>
      </w:pPr>
      <w:r>
        <w:t>Ke změně názvu VO došlo u následujících institucí: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3189"/>
        <w:gridCol w:w="3190"/>
        <w:gridCol w:w="1383"/>
      </w:tblGrid>
      <w:tr w:rsidR="005413A6" w:rsidTr="00E11267">
        <w:tc>
          <w:tcPr>
            <w:tcW w:w="1526" w:type="dxa"/>
          </w:tcPr>
          <w:p w:rsidR="005413A6" w:rsidRPr="00F04ECF" w:rsidRDefault="005413A6" w:rsidP="00BB259D">
            <w:pPr>
              <w:spacing w:line="360" w:lineRule="auto"/>
              <w:ind w:firstLine="0"/>
              <w:jc w:val="left"/>
              <w:rPr>
                <w:b/>
              </w:rPr>
            </w:pPr>
            <w:r w:rsidRPr="00F04ECF">
              <w:rPr>
                <w:b/>
              </w:rPr>
              <w:t>poskytovatel</w:t>
            </w:r>
          </w:p>
        </w:tc>
        <w:tc>
          <w:tcPr>
            <w:tcW w:w="3189" w:type="dxa"/>
          </w:tcPr>
          <w:p w:rsidR="005413A6" w:rsidRPr="00F04ECF" w:rsidRDefault="005413A6" w:rsidP="00BB259D">
            <w:pPr>
              <w:spacing w:line="360" w:lineRule="auto"/>
              <w:ind w:firstLine="0"/>
              <w:jc w:val="left"/>
              <w:rPr>
                <w:b/>
              </w:rPr>
            </w:pPr>
            <w:r w:rsidRPr="00F04ECF">
              <w:rPr>
                <w:b/>
              </w:rPr>
              <w:t>Původní název subjektu</w:t>
            </w:r>
          </w:p>
        </w:tc>
        <w:tc>
          <w:tcPr>
            <w:tcW w:w="3190" w:type="dxa"/>
          </w:tcPr>
          <w:p w:rsidR="005413A6" w:rsidRPr="00F04ECF" w:rsidRDefault="005413A6" w:rsidP="00BB259D">
            <w:pPr>
              <w:spacing w:line="360" w:lineRule="auto"/>
              <w:ind w:firstLine="0"/>
              <w:jc w:val="left"/>
              <w:rPr>
                <w:b/>
              </w:rPr>
            </w:pPr>
            <w:r>
              <w:rPr>
                <w:b/>
              </w:rPr>
              <w:t xml:space="preserve">Platný </w:t>
            </w:r>
            <w:r w:rsidRPr="00F04ECF">
              <w:rPr>
                <w:b/>
              </w:rPr>
              <w:t>název subjektu</w:t>
            </w:r>
          </w:p>
        </w:tc>
        <w:tc>
          <w:tcPr>
            <w:tcW w:w="1383" w:type="dxa"/>
          </w:tcPr>
          <w:p w:rsidR="005413A6" w:rsidRPr="00F04ECF" w:rsidRDefault="005413A6" w:rsidP="00BB259D">
            <w:pPr>
              <w:spacing w:line="360" w:lineRule="auto"/>
              <w:ind w:firstLine="0"/>
              <w:jc w:val="left"/>
              <w:rPr>
                <w:b/>
              </w:rPr>
            </w:pPr>
            <w:r w:rsidRPr="00F04ECF">
              <w:rPr>
                <w:b/>
              </w:rPr>
              <w:t>IČ</w:t>
            </w:r>
          </w:p>
        </w:tc>
      </w:tr>
      <w:tr w:rsidR="005413A6" w:rsidTr="00E11267">
        <w:tc>
          <w:tcPr>
            <w:tcW w:w="1526" w:type="dxa"/>
          </w:tcPr>
          <w:p w:rsidR="005413A6" w:rsidRDefault="005413A6" w:rsidP="00BB259D">
            <w:pPr>
              <w:spacing w:line="360" w:lineRule="auto"/>
              <w:ind w:firstLine="0"/>
              <w:jc w:val="left"/>
            </w:pPr>
            <w:r>
              <w:t>AV ČR</w:t>
            </w:r>
          </w:p>
        </w:tc>
        <w:tc>
          <w:tcPr>
            <w:tcW w:w="3189" w:type="dxa"/>
          </w:tcPr>
          <w:p w:rsidR="005413A6" w:rsidRDefault="005413A6" w:rsidP="00BB259D">
            <w:pPr>
              <w:spacing w:line="360" w:lineRule="auto"/>
              <w:ind w:firstLine="0"/>
              <w:jc w:val="left"/>
            </w:pPr>
            <w:r>
              <w:t>Ústav systémové biologie a ekologie AV ČR, v. v. i.</w:t>
            </w:r>
          </w:p>
        </w:tc>
        <w:tc>
          <w:tcPr>
            <w:tcW w:w="3190" w:type="dxa"/>
          </w:tcPr>
          <w:p w:rsidR="005413A6" w:rsidRDefault="005413A6" w:rsidP="00BB259D">
            <w:pPr>
              <w:spacing w:line="360" w:lineRule="auto"/>
              <w:ind w:firstLine="0"/>
              <w:jc w:val="left"/>
            </w:pPr>
            <w:r>
              <w:t>Centrum výzkumu globální změny AV ČR, v. v. i.</w:t>
            </w:r>
          </w:p>
        </w:tc>
        <w:tc>
          <w:tcPr>
            <w:tcW w:w="1383" w:type="dxa"/>
          </w:tcPr>
          <w:p w:rsidR="005413A6" w:rsidRDefault="005413A6" w:rsidP="00BB259D">
            <w:pPr>
              <w:spacing w:line="360" w:lineRule="auto"/>
              <w:ind w:firstLine="0"/>
              <w:jc w:val="left"/>
            </w:pPr>
            <w:r>
              <w:t>67179843</w:t>
            </w:r>
          </w:p>
        </w:tc>
      </w:tr>
      <w:tr w:rsidR="005413A6" w:rsidTr="00E11267">
        <w:tc>
          <w:tcPr>
            <w:tcW w:w="1526" w:type="dxa"/>
          </w:tcPr>
          <w:p w:rsidR="005413A6" w:rsidRDefault="005413A6" w:rsidP="00BB259D">
            <w:pPr>
              <w:spacing w:line="360" w:lineRule="auto"/>
              <w:ind w:firstLine="0"/>
              <w:jc w:val="left"/>
            </w:pPr>
            <w:r>
              <w:t>MPO</w:t>
            </w:r>
          </w:p>
        </w:tc>
        <w:tc>
          <w:tcPr>
            <w:tcW w:w="3189" w:type="dxa"/>
          </w:tcPr>
          <w:p w:rsidR="005413A6" w:rsidRDefault="005413A6" w:rsidP="00BB259D">
            <w:pPr>
              <w:spacing w:line="360" w:lineRule="auto"/>
              <w:ind w:firstLine="0"/>
              <w:jc w:val="left"/>
            </w:pPr>
            <w:r>
              <w:t>Výzkumný ústav textilních strojů Liberec, a. s.</w:t>
            </w:r>
          </w:p>
        </w:tc>
        <w:tc>
          <w:tcPr>
            <w:tcW w:w="3190" w:type="dxa"/>
          </w:tcPr>
          <w:p w:rsidR="005413A6" w:rsidRDefault="005413A6" w:rsidP="00BB259D">
            <w:pPr>
              <w:spacing w:line="360" w:lineRule="auto"/>
              <w:ind w:firstLine="0"/>
              <w:jc w:val="left"/>
            </w:pPr>
            <w:r>
              <w:t>VÚTS, a.s.</w:t>
            </w:r>
          </w:p>
        </w:tc>
        <w:tc>
          <w:tcPr>
            <w:tcW w:w="1383" w:type="dxa"/>
          </w:tcPr>
          <w:p w:rsidR="005413A6" w:rsidRDefault="005413A6" w:rsidP="00BB259D">
            <w:pPr>
              <w:spacing w:line="360" w:lineRule="auto"/>
              <w:ind w:firstLine="0"/>
              <w:jc w:val="left"/>
            </w:pPr>
            <w:r>
              <w:t>46709002</w:t>
            </w:r>
          </w:p>
        </w:tc>
      </w:tr>
      <w:tr w:rsidR="005413A6" w:rsidTr="00E11267">
        <w:tc>
          <w:tcPr>
            <w:tcW w:w="1526" w:type="dxa"/>
          </w:tcPr>
          <w:p w:rsidR="005413A6" w:rsidRDefault="005413A6" w:rsidP="00BB259D">
            <w:pPr>
              <w:spacing w:line="360" w:lineRule="auto"/>
              <w:ind w:firstLine="0"/>
              <w:jc w:val="left"/>
            </w:pPr>
            <w:r>
              <w:t>MPO</w:t>
            </w:r>
          </w:p>
        </w:tc>
        <w:tc>
          <w:tcPr>
            <w:tcW w:w="3189" w:type="dxa"/>
          </w:tcPr>
          <w:p w:rsidR="005413A6" w:rsidRDefault="005413A6" w:rsidP="00BB259D">
            <w:pPr>
              <w:spacing w:line="360" w:lineRule="auto"/>
              <w:ind w:firstLine="0"/>
              <w:jc w:val="left"/>
            </w:pPr>
            <w:r>
              <w:t>Škoda výzkum, s. r. o.</w:t>
            </w:r>
          </w:p>
        </w:tc>
        <w:tc>
          <w:tcPr>
            <w:tcW w:w="3190" w:type="dxa"/>
          </w:tcPr>
          <w:p w:rsidR="005413A6" w:rsidRDefault="005413A6" w:rsidP="00BB259D">
            <w:pPr>
              <w:spacing w:line="360" w:lineRule="auto"/>
              <w:ind w:firstLine="0"/>
              <w:jc w:val="left"/>
            </w:pPr>
            <w:r>
              <w:t>Výzkumný a zkušební ústav Plzeň, s.r.o.</w:t>
            </w:r>
          </w:p>
        </w:tc>
        <w:tc>
          <w:tcPr>
            <w:tcW w:w="1383" w:type="dxa"/>
          </w:tcPr>
          <w:p w:rsidR="005413A6" w:rsidRDefault="005413A6" w:rsidP="00BB259D">
            <w:pPr>
              <w:spacing w:line="360" w:lineRule="auto"/>
              <w:ind w:firstLine="0"/>
              <w:jc w:val="left"/>
            </w:pPr>
            <w:r>
              <w:t>47718684</w:t>
            </w:r>
          </w:p>
        </w:tc>
      </w:tr>
      <w:tr w:rsidR="005413A6" w:rsidTr="00E11267">
        <w:tc>
          <w:tcPr>
            <w:tcW w:w="1526" w:type="dxa"/>
          </w:tcPr>
          <w:p w:rsidR="005413A6" w:rsidRDefault="005413A6" w:rsidP="00BB259D">
            <w:pPr>
              <w:spacing w:line="360" w:lineRule="auto"/>
              <w:ind w:firstLine="0"/>
              <w:jc w:val="left"/>
            </w:pPr>
            <w:r>
              <w:t>MŠMT</w:t>
            </w:r>
          </w:p>
        </w:tc>
        <w:tc>
          <w:tcPr>
            <w:tcW w:w="3189" w:type="dxa"/>
          </w:tcPr>
          <w:p w:rsidR="005413A6" w:rsidRDefault="005413A6" w:rsidP="00BB259D">
            <w:pPr>
              <w:spacing w:line="360" w:lineRule="auto"/>
              <w:ind w:firstLine="0"/>
              <w:jc w:val="left"/>
            </w:pPr>
            <w:r>
              <w:t>ENKI obecně prospěšná společnost</w:t>
            </w:r>
          </w:p>
        </w:tc>
        <w:tc>
          <w:tcPr>
            <w:tcW w:w="3190" w:type="dxa"/>
          </w:tcPr>
          <w:p w:rsidR="005413A6" w:rsidRDefault="005413A6" w:rsidP="00BB259D">
            <w:pPr>
              <w:spacing w:line="360" w:lineRule="auto"/>
              <w:ind w:firstLine="0"/>
              <w:jc w:val="left"/>
            </w:pPr>
            <w:r>
              <w:t>ENKI, o.p.s.</w:t>
            </w:r>
          </w:p>
        </w:tc>
        <w:tc>
          <w:tcPr>
            <w:tcW w:w="1383" w:type="dxa"/>
          </w:tcPr>
          <w:p w:rsidR="005413A6" w:rsidRDefault="005413A6" w:rsidP="00BB259D">
            <w:pPr>
              <w:spacing w:line="360" w:lineRule="auto"/>
              <w:ind w:firstLine="0"/>
              <w:jc w:val="left"/>
            </w:pPr>
            <w:r>
              <w:t>25173154</w:t>
            </w:r>
          </w:p>
        </w:tc>
      </w:tr>
      <w:tr w:rsidR="005413A6" w:rsidTr="00E11267">
        <w:tc>
          <w:tcPr>
            <w:tcW w:w="1526" w:type="dxa"/>
          </w:tcPr>
          <w:p w:rsidR="005413A6" w:rsidRDefault="005413A6" w:rsidP="00BB259D">
            <w:pPr>
              <w:spacing w:line="360" w:lineRule="auto"/>
              <w:ind w:firstLine="0"/>
              <w:jc w:val="left"/>
            </w:pPr>
            <w:r>
              <w:t>MŠMT</w:t>
            </w:r>
          </w:p>
        </w:tc>
        <w:tc>
          <w:tcPr>
            <w:tcW w:w="3189" w:type="dxa"/>
          </w:tcPr>
          <w:p w:rsidR="005413A6" w:rsidRDefault="005413A6" w:rsidP="00BB259D">
            <w:pPr>
              <w:spacing w:line="360" w:lineRule="auto"/>
              <w:ind w:firstLine="0"/>
              <w:jc w:val="left"/>
            </w:pPr>
            <w:r>
              <w:t>Technologické centrum AV ČR</w:t>
            </w:r>
          </w:p>
        </w:tc>
        <w:tc>
          <w:tcPr>
            <w:tcW w:w="3190" w:type="dxa"/>
          </w:tcPr>
          <w:p w:rsidR="005413A6" w:rsidRDefault="005413A6" w:rsidP="00BB259D">
            <w:pPr>
              <w:spacing w:line="360" w:lineRule="auto"/>
              <w:ind w:firstLine="0"/>
              <w:jc w:val="left"/>
            </w:pPr>
            <w:r>
              <w:t>Technologické centrum Akademie věd České republiky</w:t>
            </w:r>
          </w:p>
        </w:tc>
        <w:tc>
          <w:tcPr>
            <w:tcW w:w="1383" w:type="dxa"/>
          </w:tcPr>
          <w:p w:rsidR="005413A6" w:rsidRDefault="005413A6" w:rsidP="00BB259D">
            <w:pPr>
              <w:spacing w:line="360" w:lineRule="auto"/>
              <w:ind w:firstLine="0"/>
              <w:jc w:val="left"/>
            </w:pPr>
            <w:r>
              <w:t>60456540</w:t>
            </w:r>
          </w:p>
        </w:tc>
      </w:tr>
      <w:tr w:rsidR="005413A6" w:rsidTr="00E11267">
        <w:tc>
          <w:tcPr>
            <w:tcW w:w="1526" w:type="dxa"/>
          </w:tcPr>
          <w:p w:rsidR="005413A6" w:rsidRDefault="005413A6" w:rsidP="00BB259D">
            <w:pPr>
              <w:spacing w:line="360" w:lineRule="auto"/>
              <w:ind w:firstLine="0"/>
              <w:jc w:val="left"/>
            </w:pPr>
            <w:r>
              <w:t>MZ</w:t>
            </w:r>
          </w:p>
        </w:tc>
        <w:tc>
          <w:tcPr>
            <w:tcW w:w="3189" w:type="dxa"/>
          </w:tcPr>
          <w:p w:rsidR="005413A6" w:rsidRDefault="005413A6" w:rsidP="00BB259D">
            <w:pPr>
              <w:spacing w:line="360" w:lineRule="auto"/>
              <w:ind w:firstLine="0"/>
              <w:jc w:val="left"/>
            </w:pPr>
            <w:r>
              <w:t>Fakultní nemocnice na Bulovce</w:t>
            </w:r>
          </w:p>
        </w:tc>
        <w:tc>
          <w:tcPr>
            <w:tcW w:w="3190" w:type="dxa"/>
          </w:tcPr>
          <w:p w:rsidR="005413A6" w:rsidRDefault="005413A6" w:rsidP="00BB259D">
            <w:pPr>
              <w:spacing w:line="360" w:lineRule="auto"/>
              <w:ind w:firstLine="0"/>
              <w:jc w:val="left"/>
            </w:pPr>
            <w:r>
              <w:t>Nemocnice na Bulovce</w:t>
            </w:r>
          </w:p>
        </w:tc>
        <w:tc>
          <w:tcPr>
            <w:tcW w:w="1383" w:type="dxa"/>
          </w:tcPr>
          <w:p w:rsidR="005413A6" w:rsidRDefault="005413A6" w:rsidP="00BB259D">
            <w:pPr>
              <w:spacing w:line="360" w:lineRule="auto"/>
              <w:ind w:firstLine="0"/>
              <w:jc w:val="left"/>
            </w:pPr>
            <w:r>
              <w:t>00064211</w:t>
            </w:r>
          </w:p>
        </w:tc>
      </w:tr>
    </w:tbl>
    <w:p w:rsidR="005413A6" w:rsidRDefault="005413A6" w:rsidP="00BB259D">
      <w:pPr>
        <w:spacing w:line="360" w:lineRule="auto"/>
        <w:ind w:firstLine="0"/>
      </w:pPr>
    </w:p>
    <w:p w:rsidR="005413A6" w:rsidRPr="009740AE" w:rsidRDefault="005413A6" w:rsidP="00BB259D">
      <w:pPr>
        <w:numPr>
          <w:ilvl w:val="0"/>
          <w:numId w:val="3"/>
        </w:numPr>
        <w:spacing w:line="360" w:lineRule="auto"/>
        <w:rPr>
          <w:b/>
        </w:rPr>
      </w:pPr>
      <w:r w:rsidRPr="009740AE">
        <w:rPr>
          <w:b/>
        </w:rPr>
        <w:t xml:space="preserve">Doplnění o </w:t>
      </w:r>
      <w:r>
        <w:rPr>
          <w:b/>
        </w:rPr>
        <w:t xml:space="preserve">další </w:t>
      </w:r>
      <w:r w:rsidRPr="009740AE">
        <w:rPr>
          <w:b/>
        </w:rPr>
        <w:t>VO posouzené dle Postupu</w:t>
      </w:r>
    </w:p>
    <w:p w:rsidR="005413A6" w:rsidRDefault="005413A6" w:rsidP="00BB259D">
      <w:pPr>
        <w:spacing w:line="360" w:lineRule="auto"/>
      </w:pPr>
      <w:r>
        <w:t xml:space="preserve">Na základě žádostí poskytovatelů jsou v tomto materiálu Radou posouzeny ty subjekty, které požádaly o posouzení ve Fázi </w:t>
      </w:r>
      <w:smartTag w:uri="urn:schemas-microsoft-com:office:smarttags" w:element="metricconverter">
        <w:smartTagPr>
          <w:attr w:name="ProductID" w:val="2 a"/>
        </w:smartTagPr>
        <w:r>
          <w:t>2 a</w:t>
        </w:r>
      </w:smartTag>
      <w:r>
        <w:t xml:space="preserve"> v roce 2011 nebyly do Hodnocení zařazeny. Jedná se o sedm subjektů, které byly dříve Radou uznány jako VO Fáze 1 - Metropolitní univerzita Praha, o. p. s., Fakultní nemocnice Královské Vinohrady, Centrum kardio</w:t>
      </w:r>
      <w:r>
        <w:softHyphen/>
        <w:t xml:space="preserve">vaskulární a transplantační chirurgie, Endokrinologický ústav, Nemocnice Na Homolce, Státní zdravotní ústav a Ústav pro péči o matku a dítě. Výsledek posouzení je uveden v příloze 2 materiálu. </w:t>
      </w:r>
    </w:p>
    <w:p w:rsidR="005413A6" w:rsidRDefault="005413A6" w:rsidP="00BB259D">
      <w:pPr>
        <w:spacing w:line="360" w:lineRule="auto"/>
      </w:pPr>
      <w:r>
        <w:t xml:space="preserve">Na základě posouzení za účelem zařazení na seznam VO pro Hodnocení v roce 2013 lze konstatovat, že: </w:t>
      </w:r>
    </w:p>
    <w:p w:rsidR="005413A6" w:rsidRDefault="005413A6" w:rsidP="00BB259D">
      <w:pPr>
        <w:numPr>
          <w:ilvl w:val="0"/>
          <w:numId w:val="4"/>
        </w:numPr>
        <w:spacing w:line="360" w:lineRule="auto"/>
      </w:pPr>
      <w:r w:rsidRPr="004336DB">
        <w:rPr>
          <w:b/>
        </w:rPr>
        <w:t>Metropolitní univerzita Praha, o.</w:t>
      </w:r>
      <w:r>
        <w:rPr>
          <w:b/>
        </w:rPr>
        <w:t xml:space="preserve"> </w:t>
      </w:r>
      <w:r w:rsidRPr="004336DB">
        <w:rPr>
          <w:b/>
        </w:rPr>
        <w:t>p.</w:t>
      </w:r>
      <w:r>
        <w:rPr>
          <w:b/>
        </w:rPr>
        <w:t xml:space="preserve"> </w:t>
      </w:r>
      <w:r w:rsidRPr="004336DB">
        <w:rPr>
          <w:b/>
        </w:rPr>
        <w:t>s. splnila</w:t>
      </w:r>
      <w:r>
        <w:t xml:space="preserve"> kritéria pro posuzování VO ve Fázi 2</w:t>
      </w:r>
    </w:p>
    <w:p w:rsidR="005413A6" w:rsidRDefault="005413A6" w:rsidP="00BB259D">
      <w:pPr>
        <w:numPr>
          <w:ilvl w:val="0"/>
          <w:numId w:val="4"/>
        </w:numPr>
        <w:spacing w:line="360" w:lineRule="auto"/>
      </w:pPr>
      <w:r w:rsidRPr="00913859">
        <w:rPr>
          <w:b/>
        </w:rPr>
        <w:lastRenderedPageBreak/>
        <w:t>Centrum kardiovaskulární a transplantační chirurgie</w:t>
      </w:r>
      <w:r>
        <w:rPr>
          <w:b/>
        </w:rPr>
        <w:t xml:space="preserve"> </w:t>
      </w:r>
      <w:r w:rsidRPr="00913859">
        <w:rPr>
          <w:b/>
        </w:rPr>
        <w:t>splnilo</w:t>
      </w:r>
      <w:r>
        <w:t xml:space="preserve"> kritéria pro posuzování VO ve Fázi 2</w:t>
      </w:r>
    </w:p>
    <w:p w:rsidR="005413A6" w:rsidRDefault="005413A6" w:rsidP="00BB259D">
      <w:pPr>
        <w:numPr>
          <w:ilvl w:val="0"/>
          <w:numId w:val="4"/>
        </w:numPr>
        <w:spacing w:line="360" w:lineRule="auto"/>
      </w:pPr>
      <w:r w:rsidRPr="00913859">
        <w:rPr>
          <w:b/>
        </w:rPr>
        <w:t>Endokrinologický ústav</w:t>
      </w:r>
      <w:r>
        <w:rPr>
          <w:b/>
        </w:rPr>
        <w:t xml:space="preserve"> </w:t>
      </w:r>
      <w:r w:rsidRPr="00913859">
        <w:rPr>
          <w:b/>
        </w:rPr>
        <w:t>splnil</w:t>
      </w:r>
      <w:r>
        <w:t xml:space="preserve"> kritéria pro posuzování VO ve Fázi 2</w:t>
      </w:r>
    </w:p>
    <w:p w:rsidR="005413A6" w:rsidRDefault="005413A6" w:rsidP="00BB259D">
      <w:pPr>
        <w:numPr>
          <w:ilvl w:val="0"/>
          <w:numId w:val="4"/>
        </w:numPr>
        <w:spacing w:line="360" w:lineRule="auto"/>
      </w:pPr>
      <w:r w:rsidRPr="004336DB">
        <w:rPr>
          <w:b/>
        </w:rPr>
        <w:t>Nemocnice Na Homolce splnila</w:t>
      </w:r>
      <w:r>
        <w:t xml:space="preserve"> kritéria pro posuzování VO ve Fázi 2</w:t>
      </w:r>
    </w:p>
    <w:p w:rsidR="005413A6" w:rsidRDefault="005413A6" w:rsidP="00BB259D">
      <w:pPr>
        <w:numPr>
          <w:ilvl w:val="0"/>
          <w:numId w:val="4"/>
        </w:numPr>
        <w:spacing w:line="360" w:lineRule="auto"/>
      </w:pPr>
      <w:r w:rsidRPr="004336DB">
        <w:rPr>
          <w:b/>
        </w:rPr>
        <w:t>Státní zdravotní ústav</w:t>
      </w:r>
      <w:r>
        <w:t xml:space="preserve"> </w:t>
      </w:r>
      <w:r w:rsidRPr="00913859">
        <w:rPr>
          <w:b/>
        </w:rPr>
        <w:t>splnil</w:t>
      </w:r>
      <w:r>
        <w:t xml:space="preserve"> kritéria pro posuzování VO ve Fázi 2</w:t>
      </w:r>
    </w:p>
    <w:p w:rsidR="005413A6" w:rsidRDefault="005413A6" w:rsidP="00BB259D">
      <w:pPr>
        <w:numPr>
          <w:ilvl w:val="0"/>
          <w:numId w:val="4"/>
        </w:numPr>
        <w:spacing w:line="360" w:lineRule="auto"/>
      </w:pPr>
      <w:r w:rsidRPr="004336DB">
        <w:rPr>
          <w:b/>
        </w:rPr>
        <w:t>Ústav pro péči o matku a dítě</w:t>
      </w:r>
      <w:r>
        <w:t xml:space="preserve"> </w:t>
      </w:r>
      <w:r w:rsidRPr="00913859">
        <w:rPr>
          <w:b/>
        </w:rPr>
        <w:t>splnil</w:t>
      </w:r>
      <w:r>
        <w:t xml:space="preserve"> kritéria pro posuzování VO ve Fázi 2</w:t>
      </w:r>
    </w:p>
    <w:p w:rsidR="005413A6" w:rsidRDefault="005413A6" w:rsidP="00BB259D">
      <w:pPr>
        <w:numPr>
          <w:ilvl w:val="0"/>
          <w:numId w:val="4"/>
        </w:numPr>
        <w:spacing w:line="360" w:lineRule="auto"/>
      </w:pPr>
      <w:r w:rsidRPr="004336DB">
        <w:rPr>
          <w:b/>
        </w:rPr>
        <w:t>Fakultní nemocnice Královské Vinohrady nesplnila</w:t>
      </w:r>
      <w:r>
        <w:t xml:space="preserve"> kritérium K3 Postupu, protože nedoložila potvrzení poskytovatele účelové podpory, že u projektů řešených s účelovou podporou byly u všech aplikovaných výsledků předloženy smlouvy o využití výsledků, ani čestné prohlášení, že uvedená výzkumná organizace dosud neřešila žádnou aktivitu </w:t>
      </w:r>
      <w:proofErr w:type="spellStart"/>
      <w:r>
        <w:t>VaVaI</w:t>
      </w:r>
      <w:proofErr w:type="spellEnd"/>
      <w:r>
        <w:t xml:space="preserve"> s podporou podle </w:t>
      </w:r>
      <w:r w:rsidRPr="00DE507F">
        <w:t>zákon</w:t>
      </w:r>
      <w:r>
        <w:t>a o </w:t>
      </w:r>
      <w:r w:rsidRPr="00DE507F">
        <w:t>podpoře výz</w:t>
      </w:r>
      <w:r>
        <w:t>kumu, experimentálního vývoje a </w:t>
      </w:r>
      <w:r w:rsidRPr="00DE507F">
        <w:t>inovací</w:t>
      </w:r>
      <w:r>
        <w:t>.</w:t>
      </w:r>
    </w:p>
    <w:p w:rsidR="005413A6" w:rsidRPr="007D4E44" w:rsidRDefault="005413A6" w:rsidP="00BB259D">
      <w:pPr>
        <w:numPr>
          <w:ilvl w:val="0"/>
          <w:numId w:val="2"/>
        </w:numPr>
        <w:spacing w:line="360" w:lineRule="auto"/>
        <w:rPr>
          <w:b/>
        </w:rPr>
      </w:pPr>
      <w:r w:rsidRPr="007D4E44">
        <w:rPr>
          <w:b/>
        </w:rPr>
        <w:t>Aktuální seznam VO pro hodnocení v roce 2013</w:t>
      </w:r>
    </w:p>
    <w:p w:rsidR="001841C7" w:rsidRDefault="001841C7" w:rsidP="00BB259D">
      <w:pPr>
        <w:spacing w:line="360" w:lineRule="auto"/>
      </w:pPr>
      <w:r>
        <w:t>Bodová hodnota podle výsledků v </w:t>
      </w:r>
      <w:proofErr w:type="gramStart"/>
      <w:r>
        <w:t>RIV</w:t>
      </w:r>
      <w:proofErr w:type="gramEnd"/>
      <w:r>
        <w:t xml:space="preserve"> bude počítána pro všechny VO, které prošly úspěšně Fází 1 (viz příloha 4).</w:t>
      </w:r>
    </w:p>
    <w:p w:rsidR="00147A68" w:rsidRDefault="00147A68" w:rsidP="00BB259D">
      <w:pPr>
        <w:spacing w:line="360" w:lineRule="auto"/>
      </w:pPr>
    </w:p>
    <w:p w:rsidR="001841C7" w:rsidRDefault="001841C7" w:rsidP="001841C7">
      <w:pPr>
        <w:spacing w:line="360" w:lineRule="auto"/>
      </w:pPr>
      <w:r>
        <w:t xml:space="preserve">V příloze 3 jsou uvedeny VO na základě posouzení Radou dle Postupu </w:t>
      </w:r>
      <w:r w:rsidRPr="00D61256">
        <w:t>při posuzování výzkumných organizací</w:t>
      </w:r>
      <w:r>
        <w:t xml:space="preserve"> (dále jen „Postup“) ve Fázi 2. K posouzení kritéria K2 tohoto Postupu je nutné pro každou VO, která přichází v úvahu, tj. splňuje všechna ostatní kritéria Fáze 2 (a o jejíž posouzení ve Fázi 2 již příslušný poskytovatel požádal), provést hodnocení jejího bodového zisku v </w:t>
      </w:r>
      <w:proofErr w:type="gramStart"/>
      <w:r>
        <w:t>RIV</w:t>
      </w:r>
      <w:proofErr w:type="gramEnd"/>
      <w:r>
        <w:t xml:space="preserve"> za období předcházejících 5 let. </w:t>
      </w:r>
    </w:p>
    <w:p w:rsidR="005413A6" w:rsidRDefault="005413A6" w:rsidP="00BB259D">
      <w:pPr>
        <w:spacing w:line="360" w:lineRule="auto"/>
      </w:pPr>
      <w:r>
        <w:t xml:space="preserve">Aktuální seznam pro provedení výše popsaných změn, který je součástí materiálu jako Příloha 3, obsahuje 164 subjektů splňujících podmínky Fáze 2 (mimo kritérium K2) pro posuzování VO dle Postupu. </w:t>
      </w:r>
    </w:p>
    <w:sectPr w:rsidR="005413A6" w:rsidSect="001136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D27" w:rsidRDefault="00E00D27" w:rsidP="00A01DE8">
      <w:pPr>
        <w:spacing w:after="0"/>
      </w:pPr>
      <w:r>
        <w:separator/>
      </w:r>
    </w:p>
  </w:endnote>
  <w:endnote w:type="continuationSeparator" w:id="0">
    <w:p w:rsidR="00E00D27" w:rsidRDefault="00E00D27" w:rsidP="00A01D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3A6" w:rsidRDefault="00AC66A1">
    <w:pPr>
      <w:pStyle w:val="Zpat"/>
      <w:jc w:val="right"/>
    </w:pPr>
    <w:r>
      <w:fldChar w:fldCharType="begin"/>
    </w:r>
    <w:r>
      <w:instrText>PAGE   \* MERGEFORMAT</w:instrText>
    </w:r>
    <w:r>
      <w:fldChar w:fldCharType="separate"/>
    </w:r>
    <w:r w:rsidR="00AF616A">
      <w:rPr>
        <w:noProof/>
      </w:rPr>
      <w:t>1</w:t>
    </w:r>
    <w:r>
      <w:rPr>
        <w:noProof/>
      </w:rPr>
      <w:fldChar w:fldCharType="end"/>
    </w:r>
  </w:p>
  <w:p w:rsidR="005413A6" w:rsidRPr="000D3E91" w:rsidRDefault="005413A6" w:rsidP="00A01DE8">
    <w:pPr>
      <w:pStyle w:val="Zpat"/>
      <w:ind w:firstLine="180"/>
      <w:rPr>
        <w:i/>
      </w:rPr>
    </w:pPr>
    <w:r w:rsidRPr="000D3E91">
      <w:rPr>
        <w:i/>
      </w:rPr>
      <w:t>Vypracoval: Tomáš Vítek</w:t>
    </w:r>
    <w:r w:rsidR="00AF616A">
      <w:rPr>
        <w:i/>
      </w:rPr>
      <w:t xml:space="preserve">, </w:t>
    </w:r>
    <w:proofErr w:type="spellStart"/>
    <w:r w:rsidR="00AF616A">
      <w:rPr>
        <w:i/>
      </w:rPr>
      <w:t>Frantíková</w:t>
    </w:r>
    <w:proofErr w:type="spellEnd"/>
    <w:r w:rsidR="00AF616A">
      <w:rPr>
        <w:i/>
      </w:rPr>
      <w:t xml:space="preserve"> Jana</w:t>
    </w:r>
  </w:p>
  <w:p w:rsidR="005413A6" w:rsidRPr="000D3E91" w:rsidRDefault="005413A6" w:rsidP="00A01DE8">
    <w:pPr>
      <w:pStyle w:val="Zpat"/>
      <w:ind w:firstLine="180"/>
      <w:rPr>
        <w:i/>
      </w:rPr>
    </w:pPr>
    <w:r>
      <w:rPr>
        <w:i/>
      </w:rPr>
      <w:t xml:space="preserve">Datum: </w:t>
    </w:r>
    <w:r w:rsidR="00AF616A">
      <w:rPr>
        <w:i/>
      </w:rPr>
      <w:t>7</w:t>
    </w:r>
    <w:r>
      <w:rPr>
        <w:i/>
      </w:rPr>
      <w:t xml:space="preserve">. </w:t>
    </w:r>
    <w:r w:rsidR="00AF616A">
      <w:rPr>
        <w:i/>
      </w:rPr>
      <w:t>ledna</w:t>
    </w:r>
    <w:r>
      <w:rPr>
        <w:i/>
      </w:rPr>
      <w:t xml:space="preserve"> </w:t>
    </w:r>
    <w:r w:rsidRPr="000D3E91">
      <w:rPr>
        <w:i/>
      </w:rPr>
      <w:t>201</w:t>
    </w:r>
    <w:r w:rsidR="00AF616A">
      <w:rPr>
        <w:i/>
      </w:rPr>
      <w:t>4</w:t>
    </w:r>
  </w:p>
  <w:p w:rsidR="005413A6" w:rsidRDefault="005413A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D27" w:rsidRDefault="00E00D27" w:rsidP="00A01DE8">
      <w:pPr>
        <w:spacing w:after="0"/>
      </w:pPr>
      <w:r>
        <w:separator/>
      </w:r>
    </w:p>
  </w:footnote>
  <w:footnote w:type="continuationSeparator" w:id="0">
    <w:p w:rsidR="00E00D27" w:rsidRDefault="00E00D27" w:rsidP="00A01DE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7F28"/>
    <w:multiLevelType w:val="hybridMultilevel"/>
    <w:tmpl w:val="552006A8"/>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0D2A39C0"/>
    <w:multiLevelType w:val="hybridMultilevel"/>
    <w:tmpl w:val="7E52AE9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1E15485A"/>
    <w:multiLevelType w:val="hybridMultilevel"/>
    <w:tmpl w:val="9988712E"/>
    <w:lvl w:ilvl="0" w:tplc="0405000F">
      <w:start w:val="1"/>
      <w:numFmt w:val="decimal"/>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3">
    <w:nsid w:val="463C226D"/>
    <w:multiLevelType w:val="hybridMultilevel"/>
    <w:tmpl w:val="C7B02A1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594C0597"/>
    <w:multiLevelType w:val="hybridMultilevel"/>
    <w:tmpl w:val="FAB0BB2C"/>
    <w:lvl w:ilvl="0" w:tplc="7AD496C2">
      <w:start w:val="1"/>
      <w:numFmt w:val="decimal"/>
      <w:lvlText w:val="%1)"/>
      <w:lvlJc w:val="left"/>
      <w:pPr>
        <w:ind w:left="1069" w:hanging="360"/>
      </w:pPr>
      <w:rPr>
        <w:rFonts w:cs="Times New Roman" w:hint="default"/>
      </w:rPr>
    </w:lvl>
    <w:lvl w:ilvl="1" w:tplc="04050019" w:tentative="1">
      <w:start w:val="1"/>
      <w:numFmt w:val="lowerLetter"/>
      <w:lvlText w:val="%2."/>
      <w:lvlJc w:val="left"/>
      <w:pPr>
        <w:ind w:left="1789" w:hanging="360"/>
      </w:pPr>
      <w:rPr>
        <w:rFonts w:cs="Times New Roman"/>
      </w:rPr>
    </w:lvl>
    <w:lvl w:ilvl="2" w:tplc="0405001B" w:tentative="1">
      <w:start w:val="1"/>
      <w:numFmt w:val="lowerRoman"/>
      <w:lvlText w:val="%3."/>
      <w:lvlJc w:val="right"/>
      <w:pPr>
        <w:ind w:left="2509" w:hanging="180"/>
      </w:pPr>
      <w:rPr>
        <w:rFonts w:cs="Times New Roman"/>
      </w:rPr>
    </w:lvl>
    <w:lvl w:ilvl="3" w:tplc="0405000F" w:tentative="1">
      <w:start w:val="1"/>
      <w:numFmt w:val="decimal"/>
      <w:lvlText w:val="%4."/>
      <w:lvlJc w:val="left"/>
      <w:pPr>
        <w:ind w:left="3229" w:hanging="360"/>
      </w:pPr>
      <w:rPr>
        <w:rFonts w:cs="Times New Roman"/>
      </w:rPr>
    </w:lvl>
    <w:lvl w:ilvl="4" w:tplc="04050019" w:tentative="1">
      <w:start w:val="1"/>
      <w:numFmt w:val="lowerLetter"/>
      <w:lvlText w:val="%5."/>
      <w:lvlJc w:val="left"/>
      <w:pPr>
        <w:ind w:left="3949" w:hanging="360"/>
      </w:pPr>
      <w:rPr>
        <w:rFonts w:cs="Times New Roman"/>
      </w:rPr>
    </w:lvl>
    <w:lvl w:ilvl="5" w:tplc="0405001B" w:tentative="1">
      <w:start w:val="1"/>
      <w:numFmt w:val="lowerRoman"/>
      <w:lvlText w:val="%6."/>
      <w:lvlJc w:val="right"/>
      <w:pPr>
        <w:ind w:left="4669" w:hanging="180"/>
      </w:pPr>
      <w:rPr>
        <w:rFonts w:cs="Times New Roman"/>
      </w:rPr>
    </w:lvl>
    <w:lvl w:ilvl="6" w:tplc="0405000F" w:tentative="1">
      <w:start w:val="1"/>
      <w:numFmt w:val="decimal"/>
      <w:lvlText w:val="%7."/>
      <w:lvlJc w:val="left"/>
      <w:pPr>
        <w:ind w:left="5389" w:hanging="360"/>
      </w:pPr>
      <w:rPr>
        <w:rFonts w:cs="Times New Roman"/>
      </w:rPr>
    </w:lvl>
    <w:lvl w:ilvl="7" w:tplc="04050019" w:tentative="1">
      <w:start w:val="1"/>
      <w:numFmt w:val="lowerLetter"/>
      <w:lvlText w:val="%8."/>
      <w:lvlJc w:val="left"/>
      <w:pPr>
        <w:ind w:left="6109" w:hanging="360"/>
      </w:pPr>
      <w:rPr>
        <w:rFonts w:cs="Times New Roman"/>
      </w:rPr>
    </w:lvl>
    <w:lvl w:ilvl="8" w:tplc="0405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DE8"/>
    <w:rsid w:val="00017A7A"/>
    <w:rsid w:val="000552CA"/>
    <w:rsid w:val="00080488"/>
    <w:rsid w:val="000D3E91"/>
    <w:rsid w:val="001124AB"/>
    <w:rsid w:val="00113662"/>
    <w:rsid w:val="00147A68"/>
    <w:rsid w:val="001641B4"/>
    <w:rsid w:val="001841C7"/>
    <w:rsid w:val="00193EF8"/>
    <w:rsid w:val="001A0089"/>
    <w:rsid w:val="001B221F"/>
    <w:rsid w:val="001C5D33"/>
    <w:rsid w:val="001E30E1"/>
    <w:rsid w:val="001F3DA1"/>
    <w:rsid w:val="002363C0"/>
    <w:rsid w:val="002430AD"/>
    <w:rsid w:val="00275503"/>
    <w:rsid w:val="00292CC8"/>
    <w:rsid w:val="002A606C"/>
    <w:rsid w:val="003C06EE"/>
    <w:rsid w:val="003E40E7"/>
    <w:rsid w:val="003F6731"/>
    <w:rsid w:val="004336DB"/>
    <w:rsid w:val="0049793D"/>
    <w:rsid w:val="004D167D"/>
    <w:rsid w:val="004E178D"/>
    <w:rsid w:val="005413A6"/>
    <w:rsid w:val="005505BD"/>
    <w:rsid w:val="005913C8"/>
    <w:rsid w:val="00593311"/>
    <w:rsid w:val="006D743C"/>
    <w:rsid w:val="006E07E9"/>
    <w:rsid w:val="007D4E44"/>
    <w:rsid w:val="00913859"/>
    <w:rsid w:val="009740AE"/>
    <w:rsid w:val="00983252"/>
    <w:rsid w:val="00A01DE8"/>
    <w:rsid w:val="00A55354"/>
    <w:rsid w:val="00A562F6"/>
    <w:rsid w:val="00A6077C"/>
    <w:rsid w:val="00AC66A1"/>
    <w:rsid w:val="00AE299B"/>
    <w:rsid w:val="00AF616A"/>
    <w:rsid w:val="00B46E4C"/>
    <w:rsid w:val="00B51191"/>
    <w:rsid w:val="00BB259D"/>
    <w:rsid w:val="00BF05EC"/>
    <w:rsid w:val="00C275BF"/>
    <w:rsid w:val="00C728FE"/>
    <w:rsid w:val="00D421A1"/>
    <w:rsid w:val="00D55C65"/>
    <w:rsid w:val="00D61256"/>
    <w:rsid w:val="00D91224"/>
    <w:rsid w:val="00DC004F"/>
    <w:rsid w:val="00DE507F"/>
    <w:rsid w:val="00E00D27"/>
    <w:rsid w:val="00E11267"/>
    <w:rsid w:val="00EB54C0"/>
    <w:rsid w:val="00EC6A80"/>
    <w:rsid w:val="00EE3013"/>
    <w:rsid w:val="00EE583B"/>
    <w:rsid w:val="00F04ECF"/>
    <w:rsid w:val="00F45608"/>
    <w:rsid w:val="00FA54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1DE8"/>
    <w:pPr>
      <w:spacing w:after="120"/>
      <w:ind w:firstLine="709"/>
      <w:jc w:val="both"/>
    </w:pPr>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text">
    <w:name w:val="Normální text"/>
    <w:basedOn w:val="Normln"/>
    <w:uiPriority w:val="99"/>
    <w:rsid w:val="00A01DE8"/>
  </w:style>
  <w:style w:type="paragraph" w:customStyle="1" w:styleId="Nadpishlavn">
    <w:name w:val="Nadpis hlavní"/>
    <w:basedOn w:val="Normlntext"/>
    <w:next w:val="Normlntext"/>
    <w:uiPriority w:val="99"/>
    <w:rsid w:val="00A01DE8"/>
    <w:pPr>
      <w:ind w:firstLine="0"/>
      <w:jc w:val="center"/>
    </w:pPr>
    <w:rPr>
      <w:b/>
      <w:sz w:val="32"/>
    </w:rPr>
  </w:style>
  <w:style w:type="character" w:styleId="Odkaznakoment">
    <w:name w:val="annotation reference"/>
    <w:uiPriority w:val="99"/>
    <w:rsid w:val="00A01DE8"/>
    <w:rPr>
      <w:rFonts w:cs="Times New Roman"/>
      <w:sz w:val="16"/>
    </w:rPr>
  </w:style>
  <w:style w:type="paragraph" w:styleId="Textkomente">
    <w:name w:val="annotation text"/>
    <w:basedOn w:val="Normln"/>
    <w:link w:val="TextkomenteChar"/>
    <w:uiPriority w:val="99"/>
    <w:rsid w:val="00A01DE8"/>
    <w:rPr>
      <w:rFonts w:eastAsia="Calibri"/>
      <w:sz w:val="20"/>
      <w:szCs w:val="20"/>
    </w:rPr>
  </w:style>
  <w:style w:type="character" w:customStyle="1" w:styleId="TextkomenteChar">
    <w:name w:val="Text komentáře Char"/>
    <w:link w:val="Textkomente"/>
    <w:uiPriority w:val="99"/>
    <w:locked/>
    <w:rsid w:val="00A01DE8"/>
    <w:rPr>
      <w:rFonts w:ascii="Times New Roman" w:hAnsi="Times New Roman"/>
      <w:sz w:val="20"/>
      <w:lang w:eastAsia="cs-CZ"/>
    </w:rPr>
  </w:style>
  <w:style w:type="paragraph" w:styleId="Textbubliny">
    <w:name w:val="Balloon Text"/>
    <w:basedOn w:val="Normln"/>
    <w:link w:val="TextbublinyChar"/>
    <w:uiPriority w:val="99"/>
    <w:semiHidden/>
    <w:rsid w:val="00A01DE8"/>
    <w:pPr>
      <w:spacing w:after="0"/>
    </w:pPr>
    <w:rPr>
      <w:rFonts w:ascii="Tahoma" w:eastAsia="Calibri" w:hAnsi="Tahoma"/>
      <w:sz w:val="16"/>
      <w:szCs w:val="16"/>
    </w:rPr>
  </w:style>
  <w:style w:type="character" w:customStyle="1" w:styleId="TextbublinyChar">
    <w:name w:val="Text bubliny Char"/>
    <w:link w:val="Textbubliny"/>
    <w:uiPriority w:val="99"/>
    <w:semiHidden/>
    <w:locked/>
    <w:rsid w:val="00A01DE8"/>
    <w:rPr>
      <w:rFonts w:ascii="Tahoma" w:hAnsi="Tahoma"/>
      <w:sz w:val="16"/>
      <w:lang w:eastAsia="cs-CZ"/>
    </w:rPr>
  </w:style>
  <w:style w:type="paragraph" w:styleId="Zhlav">
    <w:name w:val="header"/>
    <w:basedOn w:val="Normln"/>
    <w:link w:val="ZhlavChar"/>
    <w:uiPriority w:val="99"/>
    <w:rsid w:val="00A01DE8"/>
    <w:pPr>
      <w:tabs>
        <w:tab w:val="center" w:pos="4536"/>
        <w:tab w:val="right" w:pos="9072"/>
      </w:tabs>
      <w:spacing w:after="0"/>
    </w:pPr>
    <w:rPr>
      <w:rFonts w:eastAsia="Calibri"/>
    </w:rPr>
  </w:style>
  <w:style w:type="character" w:customStyle="1" w:styleId="ZhlavChar">
    <w:name w:val="Záhlaví Char"/>
    <w:link w:val="Zhlav"/>
    <w:uiPriority w:val="99"/>
    <w:locked/>
    <w:rsid w:val="00A01DE8"/>
    <w:rPr>
      <w:rFonts w:ascii="Times New Roman" w:hAnsi="Times New Roman"/>
      <w:sz w:val="24"/>
      <w:lang w:eastAsia="cs-CZ"/>
    </w:rPr>
  </w:style>
  <w:style w:type="paragraph" w:styleId="Zpat">
    <w:name w:val="footer"/>
    <w:basedOn w:val="Normln"/>
    <w:link w:val="ZpatChar"/>
    <w:uiPriority w:val="99"/>
    <w:rsid w:val="00A01DE8"/>
    <w:pPr>
      <w:tabs>
        <w:tab w:val="center" w:pos="4536"/>
        <w:tab w:val="right" w:pos="9072"/>
      </w:tabs>
      <w:spacing w:after="0"/>
    </w:pPr>
    <w:rPr>
      <w:rFonts w:eastAsia="Calibri"/>
    </w:rPr>
  </w:style>
  <w:style w:type="character" w:customStyle="1" w:styleId="ZpatChar">
    <w:name w:val="Zápatí Char"/>
    <w:link w:val="Zpat"/>
    <w:uiPriority w:val="99"/>
    <w:locked/>
    <w:rsid w:val="00A01DE8"/>
    <w:rPr>
      <w:rFonts w:ascii="Times New Roman" w:hAnsi="Times New Roman"/>
      <w:sz w:val="24"/>
      <w:lang w:eastAsia="cs-CZ"/>
    </w:rPr>
  </w:style>
  <w:style w:type="paragraph" w:styleId="Pedmtkomente">
    <w:name w:val="annotation subject"/>
    <w:basedOn w:val="Textkomente"/>
    <w:next w:val="Textkomente"/>
    <w:link w:val="PedmtkomenteChar"/>
    <w:uiPriority w:val="99"/>
    <w:semiHidden/>
    <w:rsid w:val="00C728FE"/>
    <w:rPr>
      <w:b/>
      <w:bCs/>
    </w:rPr>
  </w:style>
  <w:style w:type="character" w:customStyle="1" w:styleId="PedmtkomenteChar">
    <w:name w:val="Předmět komentáře Char"/>
    <w:link w:val="Pedmtkomente"/>
    <w:uiPriority w:val="99"/>
    <w:semiHidden/>
    <w:locked/>
    <w:rsid w:val="00C728FE"/>
    <w:rPr>
      <w:rFonts w:ascii="Times New Roman" w:hAnsi="Times New Roman"/>
      <w:b/>
      <w:sz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1239</Words>
  <Characters>7314</Characters>
  <Application>Microsoft Office Word</Application>
  <DocSecurity>0</DocSecurity>
  <Lines>60</Lines>
  <Paragraphs>17</Paragraphs>
  <ScaleCrop>false</ScaleCrop>
  <Company>Úřad vlády ČR</Company>
  <LinksUpToDate>false</LinksUpToDate>
  <CharactersWithSpaces>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Frantíková Jana</dc:creator>
  <cp:keywords/>
  <dc:description/>
  <cp:lastModifiedBy>Frantíková Jana</cp:lastModifiedBy>
  <cp:revision>9</cp:revision>
  <cp:lastPrinted>2013-11-26T11:44:00Z</cp:lastPrinted>
  <dcterms:created xsi:type="dcterms:W3CDTF">2013-12-04T13:51:00Z</dcterms:created>
  <dcterms:modified xsi:type="dcterms:W3CDTF">2014-01-07T08:05:00Z</dcterms:modified>
</cp:coreProperties>
</file>