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4E0" w:rsidRDefault="001274E0" w:rsidP="001274E0">
      <w:pPr>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III.</w:t>
      </w:r>
    </w:p>
    <w:p w:rsidR="001274E0" w:rsidRDefault="001274E0" w:rsidP="002C69DA">
      <w:pPr>
        <w:spacing w:after="0" w:line="240" w:lineRule="auto"/>
        <w:jc w:val="center"/>
        <w:rPr>
          <w:rFonts w:ascii="Times New Roman" w:hAnsi="Times New Roman" w:cs="Times New Roman"/>
          <w:b/>
          <w:sz w:val="24"/>
          <w:szCs w:val="24"/>
        </w:rPr>
      </w:pPr>
    </w:p>
    <w:p w:rsidR="007A0FB1" w:rsidRPr="00327B80" w:rsidRDefault="002C69DA" w:rsidP="002C69DA">
      <w:pPr>
        <w:spacing w:after="0" w:line="240" w:lineRule="auto"/>
        <w:jc w:val="center"/>
        <w:rPr>
          <w:rFonts w:ascii="Times New Roman" w:hAnsi="Times New Roman" w:cs="Times New Roman"/>
          <w:b/>
          <w:sz w:val="24"/>
          <w:szCs w:val="24"/>
        </w:rPr>
      </w:pPr>
      <w:r w:rsidRPr="00327B80">
        <w:rPr>
          <w:rFonts w:ascii="Times New Roman" w:hAnsi="Times New Roman" w:cs="Times New Roman"/>
          <w:b/>
          <w:sz w:val="24"/>
          <w:szCs w:val="24"/>
        </w:rPr>
        <w:t xml:space="preserve">Souhrnné vyhodnocení </w:t>
      </w:r>
    </w:p>
    <w:p w:rsidR="002C69DA" w:rsidRPr="00327B80" w:rsidRDefault="002C69DA" w:rsidP="002C69DA">
      <w:pPr>
        <w:spacing w:after="0" w:line="240" w:lineRule="auto"/>
        <w:jc w:val="center"/>
        <w:rPr>
          <w:rFonts w:ascii="Times New Roman" w:hAnsi="Times New Roman" w:cs="Times New Roman"/>
          <w:b/>
          <w:sz w:val="24"/>
          <w:szCs w:val="24"/>
        </w:rPr>
      </w:pPr>
      <w:r w:rsidRPr="00327B80">
        <w:rPr>
          <w:rFonts w:ascii="Times New Roman" w:hAnsi="Times New Roman" w:cs="Times New Roman"/>
          <w:b/>
          <w:sz w:val="24"/>
          <w:szCs w:val="24"/>
        </w:rPr>
        <w:t xml:space="preserve">výsledků programů výzkumu, vývoje a inovací </w:t>
      </w:r>
    </w:p>
    <w:p w:rsidR="0049226C" w:rsidRPr="00327B80" w:rsidRDefault="002C69DA" w:rsidP="001F473D">
      <w:pPr>
        <w:spacing w:after="120" w:line="240" w:lineRule="auto"/>
        <w:jc w:val="center"/>
        <w:rPr>
          <w:rFonts w:ascii="Times New Roman" w:hAnsi="Times New Roman" w:cs="Times New Roman"/>
          <w:b/>
          <w:sz w:val="24"/>
          <w:szCs w:val="24"/>
        </w:rPr>
      </w:pPr>
      <w:r w:rsidRPr="00327B80">
        <w:rPr>
          <w:rFonts w:ascii="Times New Roman" w:hAnsi="Times New Roman" w:cs="Times New Roman"/>
          <w:b/>
          <w:sz w:val="24"/>
          <w:szCs w:val="24"/>
        </w:rPr>
        <w:t xml:space="preserve">ukončených </w:t>
      </w:r>
      <w:r w:rsidR="00612AB0">
        <w:rPr>
          <w:rFonts w:ascii="Times New Roman" w:hAnsi="Times New Roman" w:cs="Times New Roman"/>
          <w:b/>
          <w:sz w:val="24"/>
          <w:szCs w:val="24"/>
        </w:rPr>
        <w:t>v roce</w:t>
      </w:r>
      <w:r w:rsidR="00612AB0" w:rsidRPr="00327B80">
        <w:rPr>
          <w:rFonts w:ascii="Times New Roman" w:hAnsi="Times New Roman" w:cs="Times New Roman"/>
          <w:b/>
          <w:sz w:val="24"/>
          <w:szCs w:val="24"/>
        </w:rPr>
        <w:t xml:space="preserve"> </w:t>
      </w:r>
      <w:r w:rsidRPr="00327B80">
        <w:rPr>
          <w:rFonts w:ascii="Times New Roman" w:hAnsi="Times New Roman" w:cs="Times New Roman"/>
          <w:b/>
          <w:sz w:val="24"/>
          <w:szCs w:val="24"/>
        </w:rPr>
        <w:t>2011</w:t>
      </w:r>
    </w:p>
    <w:p w:rsidR="002C69DA" w:rsidRPr="00327B80" w:rsidRDefault="002C69DA" w:rsidP="002927A4">
      <w:pPr>
        <w:pStyle w:val="Nadpis10"/>
        <w:numPr>
          <w:ilvl w:val="0"/>
          <w:numId w:val="34"/>
        </w:numPr>
        <w:spacing w:after="120"/>
        <w:jc w:val="both"/>
        <w:rPr>
          <w:rFonts w:cs="Times New Roman"/>
          <w:szCs w:val="24"/>
        </w:rPr>
      </w:pPr>
      <w:r w:rsidRPr="00327B80">
        <w:rPr>
          <w:rFonts w:cs="Times New Roman"/>
          <w:szCs w:val="24"/>
        </w:rPr>
        <w:t>Úvod</w:t>
      </w:r>
    </w:p>
    <w:p w:rsidR="00213FFC" w:rsidRDefault="002C69DA"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Souhrnné vyhodnocení výsledků programů výzkumu, vývoje a inovací ukončených </w:t>
      </w:r>
      <w:r w:rsidR="00547D20">
        <w:rPr>
          <w:rFonts w:ascii="Times New Roman" w:hAnsi="Times New Roman" w:cs="Times New Roman"/>
          <w:sz w:val="24"/>
          <w:szCs w:val="24"/>
        </w:rPr>
        <w:t>v </w:t>
      </w:r>
      <w:r w:rsidR="005B5A2F">
        <w:rPr>
          <w:rFonts w:ascii="Times New Roman" w:hAnsi="Times New Roman" w:cs="Times New Roman"/>
          <w:sz w:val="24"/>
          <w:szCs w:val="24"/>
        </w:rPr>
        <w:t>ro</w:t>
      </w:r>
      <w:r w:rsidR="00547D20">
        <w:rPr>
          <w:rFonts w:ascii="Times New Roman" w:hAnsi="Times New Roman" w:cs="Times New Roman"/>
          <w:sz w:val="24"/>
          <w:szCs w:val="24"/>
        </w:rPr>
        <w:t>ce</w:t>
      </w:r>
      <w:r w:rsidRPr="00327B80">
        <w:rPr>
          <w:rFonts w:ascii="Times New Roman" w:hAnsi="Times New Roman" w:cs="Times New Roman"/>
          <w:sz w:val="24"/>
          <w:szCs w:val="24"/>
        </w:rPr>
        <w:t xml:space="preserve"> 2011 </w:t>
      </w:r>
      <w:r w:rsidR="00213FFC" w:rsidRPr="00327B80">
        <w:rPr>
          <w:rFonts w:ascii="Times New Roman" w:hAnsi="Times New Roman" w:cs="Times New Roman"/>
          <w:sz w:val="24"/>
          <w:szCs w:val="24"/>
        </w:rPr>
        <w:t xml:space="preserve">(dále jen „Hodnocení“) </w:t>
      </w:r>
      <w:r w:rsidRPr="00327B80">
        <w:rPr>
          <w:rFonts w:ascii="Times New Roman" w:hAnsi="Times New Roman" w:cs="Times New Roman"/>
          <w:sz w:val="24"/>
          <w:szCs w:val="24"/>
        </w:rPr>
        <w:t>bylo provedeno Radou pro výzkum, vývoj a</w:t>
      </w:r>
      <w:r w:rsidR="00213FFC" w:rsidRPr="00327B80">
        <w:rPr>
          <w:rFonts w:ascii="Times New Roman" w:hAnsi="Times New Roman" w:cs="Times New Roman"/>
          <w:sz w:val="24"/>
          <w:szCs w:val="24"/>
        </w:rPr>
        <w:t> </w:t>
      </w:r>
      <w:r w:rsidRPr="00327B80">
        <w:rPr>
          <w:rFonts w:ascii="Times New Roman" w:hAnsi="Times New Roman" w:cs="Times New Roman"/>
          <w:sz w:val="24"/>
          <w:szCs w:val="24"/>
        </w:rPr>
        <w:t>inovace (dále jen „RVVI“) v souladu s</w:t>
      </w:r>
      <w:r w:rsidR="00213FFC" w:rsidRPr="00327B80">
        <w:rPr>
          <w:rFonts w:ascii="Times New Roman" w:hAnsi="Times New Roman" w:cs="Times New Roman"/>
          <w:sz w:val="24"/>
          <w:szCs w:val="24"/>
        </w:rPr>
        <w:t xml:space="preserve"> § 35 odst. 2 písm. d)</w:t>
      </w:r>
      <w:r w:rsidRPr="00327B80">
        <w:rPr>
          <w:rFonts w:ascii="Times New Roman" w:hAnsi="Times New Roman" w:cs="Times New Roman"/>
          <w:sz w:val="24"/>
          <w:szCs w:val="24"/>
        </w:rPr>
        <w:t xml:space="preserve"> zákon</w:t>
      </w:r>
      <w:r w:rsidR="00213FFC" w:rsidRPr="00327B80">
        <w:rPr>
          <w:rFonts w:ascii="Times New Roman" w:hAnsi="Times New Roman" w:cs="Times New Roman"/>
          <w:sz w:val="24"/>
          <w:szCs w:val="24"/>
        </w:rPr>
        <w:t>a</w:t>
      </w:r>
      <w:r w:rsidRPr="00327B80">
        <w:rPr>
          <w:rFonts w:ascii="Times New Roman" w:hAnsi="Times New Roman" w:cs="Times New Roman"/>
          <w:sz w:val="24"/>
          <w:szCs w:val="24"/>
        </w:rPr>
        <w:t xml:space="preserve"> č. 130/2002 Sb., o</w:t>
      </w:r>
      <w:r w:rsidR="00213FFC" w:rsidRPr="00327B80">
        <w:rPr>
          <w:rFonts w:ascii="Times New Roman" w:hAnsi="Times New Roman" w:cs="Times New Roman"/>
          <w:sz w:val="24"/>
          <w:szCs w:val="24"/>
        </w:rPr>
        <w:t> </w:t>
      </w:r>
      <w:r w:rsidRPr="00327B80">
        <w:rPr>
          <w:rFonts w:ascii="Times New Roman" w:hAnsi="Times New Roman" w:cs="Times New Roman"/>
          <w:sz w:val="24"/>
          <w:szCs w:val="24"/>
        </w:rPr>
        <w:t>podpoře výzkumu, experimentálního vývoje a inovací z veřejných prostředků a o změně některých souvisejících zákonů (zákon o podpoře výzkumu, experimentálního vývoje a</w:t>
      </w:r>
      <w:r w:rsidR="00213FFC" w:rsidRPr="00327B80">
        <w:rPr>
          <w:rFonts w:ascii="Times New Roman" w:hAnsi="Times New Roman" w:cs="Times New Roman"/>
          <w:sz w:val="24"/>
          <w:szCs w:val="24"/>
        </w:rPr>
        <w:t> </w:t>
      </w:r>
      <w:r w:rsidRPr="00327B80">
        <w:rPr>
          <w:rFonts w:ascii="Times New Roman" w:hAnsi="Times New Roman" w:cs="Times New Roman"/>
          <w:sz w:val="24"/>
          <w:szCs w:val="24"/>
        </w:rPr>
        <w:t>inovací), ve znění pozdějších předpisů</w:t>
      </w:r>
      <w:r w:rsidR="00566D40">
        <w:rPr>
          <w:rFonts w:ascii="Times New Roman" w:hAnsi="Times New Roman" w:cs="Times New Roman"/>
          <w:sz w:val="24"/>
          <w:szCs w:val="24"/>
        </w:rPr>
        <w:t xml:space="preserve"> (dále jen „zákon o podpoře výzkumu, experimentálního vývoje a inovací“)</w:t>
      </w:r>
      <w:r w:rsidRPr="00327B80">
        <w:rPr>
          <w:rFonts w:ascii="Times New Roman" w:hAnsi="Times New Roman" w:cs="Times New Roman"/>
          <w:sz w:val="24"/>
          <w:szCs w:val="24"/>
        </w:rPr>
        <w:t xml:space="preserve"> a </w:t>
      </w:r>
      <w:r w:rsidR="00213FFC" w:rsidRPr="00327B80">
        <w:rPr>
          <w:rFonts w:ascii="Times New Roman" w:hAnsi="Times New Roman" w:cs="Times New Roman"/>
          <w:sz w:val="24"/>
          <w:szCs w:val="24"/>
        </w:rPr>
        <w:t>podle Metodiky hodnocení výsledků výzkumných organizací a hodnocení výsledků ukončených programů (platn</w:t>
      </w:r>
      <w:r w:rsidR="00566D40">
        <w:rPr>
          <w:rFonts w:ascii="Times New Roman" w:hAnsi="Times New Roman" w:cs="Times New Roman"/>
          <w:sz w:val="24"/>
          <w:szCs w:val="24"/>
        </w:rPr>
        <w:t>é</w:t>
      </w:r>
      <w:r w:rsidR="00213FFC" w:rsidRPr="00327B80">
        <w:rPr>
          <w:rFonts w:ascii="Times New Roman" w:hAnsi="Times New Roman" w:cs="Times New Roman"/>
          <w:sz w:val="24"/>
          <w:szCs w:val="24"/>
        </w:rPr>
        <w:t xml:space="preserve"> pro léta 2010 a 2011 a rok 2012), schválené usnesením vlády ze dne 4.</w:t>
      </w:r>
      <w:r w:rsidR="00566D40">
        <w:rPr>
          <w:rFonts w:ascii="Times New Roman" w:hAnsi="Times New Roman" w:cs="Times New Roman"/>
          <w:sz w:val="24"/>
          <w:szCs w:val="24"/>
        </w:rPr>
        <w:t> </w:t>
      </w:r>
      <w:r w:rsidR="00213FFC" w:rsidRPr="00327B80">
        <w:rPr>
          <w:rFonts w:ascii="Times New Roman" w:hAnsi="Times New Roman" w:cs="Times New Roman"/>
          <w:sz w:val="24"/>
          <w:szCs w:val="24"/>
        </w:rPr>
        <w:t>srpna 2010 č. 555 ve znění změn podle usnesení vlády ze dne 11.</w:t>
      </w:r>
      <w:r w:rsidR="001F473D">
        <w:rPr>
          <w:rFonts w:ascii="Times New Roman" w:hAnsi="Times New Roman" w:cs="Times New Roman"/>
          <w:sz w:val="24"/>
          <w:szCs w:val="24"/>
        </w:rPr>
        <w:t> </w:t>
      </w:r>
      <w:r w:rsidR="00213FFC" w:rsidRPr="00327B80">
        <w:rPr>
          <w:rFonts w:ascii="Times New Roman" w:hAnsi="Times New Roman" w:cs="Times New Roman"/>
          <w:sz w:val="24"/>
          <w:szCs w:val="24"/>
        </w:rPr>
        <w:t xml:space="preserve">května 2011 č. 340 a dne 13. června 2012 č. 411 (dále jen „Metodika hodnocení“). </w:t>
      </w:r>
    </w:p>
    <w:p w:rsidR="00844188" w:rsidRPr="00327B80" w:rsidRDefault="00CD4AD6" w:rsidP="004345AE">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Při</w:t>
      </w:r>
      <w:r w:rsidR="00213FFC" w:rsidRPr="00327B80">
        <w:rPr>
          <w:rFonts w:ascii="Times New Roman" w:hAnsi="Times New Roman" w:cs="Times New Roman"/>
          <w:sz w:val="24"/>
          <w:szCs w:val="24"/>
        </w:rPr>
        <w:t xml:space="preserve"> </w:t>
      </w:r>
      <w:r>
        <w:rPr>
          <w:rFonts w:ascii="Times New Roman" w:hAnsi="Times New Roman" w:cs="Times New Roman"/>
          <w:sz w:val="24"/>
          <w:szCs w:val="24"/>
        </w:rPr>
        <w:t>h</w:t>
      </w:r>
      <w:r w:rsidR="00213FFC" w:rsidRPr="00327B80">
        <w:rPr>
          <w:rFonts w:ascii="Times New Roman" w:hAnsi="Times New Roman" w:cs="Times New Roman"/>
          <w:sz w:val="24"/>
          <w:szCs w:val="24"/>
        </w:rPr>
        <w:t xml:space="preserve">odnocení bylo </w:t>
      </w:r>
      <w:r w:rsidR="007A0FB1" w:rsidRPr="00327B80">
        <w:rPr>
          <w:rFonts w:ascii="Times New Roman" w:hAnsi="Times New Roman" w:cs="Times New Roman"/>
          <w:sz w:val="24"/>
          <w:szCs w:val="24"/>
        </w:rPr>
        <w:t xml:space="preserve">primárně </w:t>
      </w:r>
      <w:r w:rsidR="00213FFC" w:rsidRPr="00327B80">
        <w:rPr>
          <w:rFonts w:ascii="Times New Roman" w:hAnsi="Times New Roman" w:cs="Times New Roman"/>
          <w:sz w:val="24"/>
          <w:szCs w:val="24"/>
        </w:rPr>
        <w:t>využito údajů</w:t>
      </w:r>
      <w:r w:rsidR="00FD1B32" w:rsidRPr="00327B80">
        <w:rPr>
          <w:rFonts w:ascii="Times New Roman" w:hAnsi="Times New Roman" w:cs="Times New Roman"/>
          <w:sz w:val="24"/>
          <w:szCs w:val="24"/>
        </w:rPr>
        <w:t>, které</w:t>
      </w:r>
      <w:r w:rsidR="00213FFC" w:rsidRPr="00327B80">
        <w:rPr>
          <w:rFonts w:ascii="Times New Roman" w:hAnsi="Times New Roman" w:cs="Times New Roman"/>
          <w:sz w:val="24"/>
          <w:szCs w:val="24"/>
        </w:rPr>
        <w:t xml:space="preserve"> </w:t>
      </w:r>
      <w:r w:rsidR="009F5B8C" w:rsidRPr="00327B80">
        <w:rPr>
          <w:rFonts w:ascii="Times New Roman" w:hAnsi="Times New Roman" w:cs="Times New Roman"/>
          <w:sz w:val="24"/>
          <w:szCs w:val="24"/>
        </w:rPr>
        <w:t>předali</w:t>
      </w:r>
      <w:r w:rsidR="007A0FB1" w:rsidRPr="00327B80">
        <w:rPr>
          <w:rFonts w:ascii="Times New Roman" w:hAnsi="Times New Roman" w:cs="Times New Roman"/>
          <w:sz w:val="24"/>
          <w:szCs w:val="24"/>
        </w:rPr>
        <w:t xml:space="preserve"> jednotliv</w:t>
      </w:r>
      <w:r w:rsidR="00FD1B32" w:rsidRPr="00327B80">
        <w:rPr>
          <w:rFonts w:ascii="Times New Roman" w:hAnsi="Times New Roman" w:cs="Times New Roman"/>
          <w:sz w:val="24"/>
          <w:szCs w:val="24"/>
        </w:rPr>
        <w:t>í</w:t>
      </w:r>
      <w:r w:rsidR="00213FFC" w:rsidRPr="00327B80">
        <w:rPr>
          <w:rFonts w:ascii="Times New Roman" w:hAnsi="Times New Roman" w:cs="Times New Roman"/>
          <w:sz w:val="24"/>
          <w:szCs w:val="24"/>
        </w:rPr>
        <w:t xml:space="preserve"> </w:t>
      </w:r>
      <w:r w:rsidR="007A0FB1" w:rsidRPr="00327B80">
        <w:rPr>
          <w:rFonts w:ascii="Times New Roman" w:hAnsi="Times New Roman" w:cs="Times New Roman"/>
          <w:sz w:val="24"/>
          <w:szCs w:val="24"/>
        </w:rPr>
        <w:t>poskytovatel</w:t>
      </w:r>
      <w:r w:rsidR="00FD1B32" w:rsidRPr="00327B80">
        <w:rPr>
          <w:rFonts w:ascii="Times New Roman" w:hAnsi="Times New Roman" w:cs="Times New Roman"/>
          <w:sz w:val="24"/>
          <w:szCs w:val="24"/>
        </w:rPr>
        <w:t>é</w:t>
      </w:r>
      <w:r w:rsidR="007A0FB1" w:rsidRPr="00327B80">
        <w:rPr>
          <w:rFonts w:ascii="Times New Roman" w:hAnsi="Times New Roman" w:cs="Times New Roman"/>
          <w:sz w:val="24"/>
          <w:szCs w:val="24"/>
        </w:rPr>
        <w:t xml:space="preserve"> do</w:t>
      </w:r>
      <w:r w:rsidR="00FB2C8E">
        <w:rPr>
          <w:rFonts w:ascii="Times New Roman" w:hAnsi="Times New Roman" w:cs="Times New Roman"/>
          <w:sz w:val="24"/>
          <w:szCs w:val="24"/>
        </w:rPr>
        <w:t> </w:t>
      </w:r>
      <w:r w:rsidR="007A0FB1" w:rsidRPr="00327B80">
        <w:rPr>
          <w:rFonts w:ascii="Times New Roman" w:hAnsi="Times New Roman" w:cs="Times New Roman"/>
          <w:sz w:val="24"/>
          <w:szCs w:val="24"/>
        </w:rPr>
        <w:t>Informačního systému výzkumu, experimentálního vývoje a inovací (dále jen „IS VaVaI</w:t>
      </w:r>
      <w:r w:rsidR="00551DCD" w:rsidRPr="00327B80">
        <w:rPr>
          <w:rFonts w:ascii="Times New Roman" w:hAnsi="Times New Roman" w:cs="Times New Roman"/>
          <w:sz w:val="24"/>
          <w:szCs w:val="24"/>
        </w:rPr>
        <w:t xml:space="preserve">“), </w:t>
      </w:r>
      <w:r w:rsidR="00722874" w:rsidRPr="00327B80">
        <w:rPr>
          <w:rFonts w:ascii="Times New Roman" w:hAnsi="Times New Roman" w:cs="Times New Roman"/>
          <w:sz w:val="24"/>
          <w:szCs w:val="24"/>
        </w:rPr>
        <w:t>tj. </w:t>
      </w:r>
      <w:r w:rsidR="00551DCD" w:rsidRPr="00327B80">
        <w:rPr>
          <w:rFonts w:ascii="Times New Roman" w:hAnsi="Times New Roman" w:cs="Times New Roman"/>
          <w:sz w:val="24"/>
          <w:szCs w:val="24"/>
        </w:rPr>
        <w:t>do Centrální evidence projektů (CEP) a Rejstříku informací o výsledcích (RIV)</w:t>
      </w:r>
      <w:r w:rsidR="00722874" w:rsidRPr="00327B80">
        <w:rPr>
          <w:rFonts w:ascii="Times New Roman" w:hAnsi="Times New Roman" w:cs="Times New Roman"/>
          <w:sz w:val="24"/>
          <w:szCs w:val="24"/>
        </w:rPr>
        <w:t>, a to podle § 31 zákona o podpoře výzkumu, experimentálního vývoje a inovací</w:t>
      </w:r>
      <w:r w:rsidR="00551DCD" w:rsidRPr="00327B80">
        <w:rPr>
          <w:rFonts w:ascii="Times New Roman" w:hAnsi="Times New Roman" w:cs="Times New Roman"/>
          <w:sz w:val="24"/>
          <w:szCs w:val="24"/>
        </w:rPr>
        <w:t>.</w:t>
      </w:r>
      <w:r w:rsidR="007A0FB1" w:rsidRPr="00327B80">
        <w:rPr>
          <w:rFonts w:ascii="Times New Roman" w:hAnsi="Times New Roman" w:cs="Times New Roman"/>
          <w:sz w:val="24"/>
          <w:szCs w:val="24"/>
        </w:rPr>
        <w:t xml:space="preserve"> </w:t>
      </w:r>
    </w:p>
    <w:p w:rsidR="002C69DA" w:rsidRPr="00327B80" w:rsidRDefault="00FD1B32"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Současně</w:t>
      </w:r>
      <w:r w:rsidR="00720946" w:rsidRPr="00327B80">
        <w:rPr>
          <w:rFonts w:ascii="Times New Roman" w:hAnsi="Times New Roman" w:cs="Times New Roman"/>
          <w:sz w:val="24"/>
          <w:szCs w:val="24"/>
        </w:rPr>
        <w:t xml:space="preserve"> bylo </w:t>
      </w:r>
      <w:r w:rsidR="007A0FB1" w:rsidRPr="00327B80">
        <w:rPr>
          <w:rFonts w:ascii="Times New Roman" w:hAnsi="Times New Roman" w:cs="Times New Roman"/>
          <w:sz w:val="24"/>
          <w:szCs w:val="24"/>
        </w:rPr>
        <w:t>využito informací</w:t>
      </w:r>
      <w:r w:rsidRPr="00327B80">
        <w:rPr>
          <w:rFonts w:ascii="Times New Roman" w:hAnsi="Times New Roman" w:cs="Times New Roman"/>
          <w:sz w:val="24"/>
          <w:szCs w:val="24"/>
        </w:rPr>
        <w:t xml:space="preserve">, které RVVI </w:t>
      </w:r>
      <w:r w:rsidR="009F5B8C" w:rsidRPr="00327B80">
        <w:rPr>
          <w:rFonts w:ascii="Times New Roman" w:hAnsi="Times New Roman" w:cs="Times New Roman"/>
          <w:sz w:val="24"/>
          <w:szCs w:val="24"/>
        </w:rPr>
        <w:t>předložili</w:t>
      </w:r>
      <w:r w:rsidRPr="00327B80">
        <w:rPr>
          <w:rFonts w:ascii="Times New Roman" w:hAnsi="Times New Roman" w:cs="Times New Roman"/>
          <w:sz w:val="24"/>
          <w:szCs w:val="24"/>
        </w:rPr>
        <w:t xml:space="preserve"> jednotliví poskytovatelé v </w:t>
      </w:r>
      <w:r w:rsidR="007A0FB1" w:rsidRPr="00327B80">
        <w:rPr>
          <w:rFonts w:ascii="Times New Roman" w:hAnsi="Times New Roman" w:cs="Times New Roman"/>
          <w:sz w:val="24"/>
          <w:szCs w:val="24"/>
        </w:rPr>
        <w:t>souhrnných zpráv</w:t>
      </w:r>
      <w:r w:rsidR="00CD4AD6">
        <w:rPr>
          <w:rFonts w:ascii="Times New Roman" w:hAnsi="Times New Roman" w:cs="Times New Roman"/>
          <w:sz w:val="24"/>
          <w:szCs w:val="24"/>
        </w:rPr>
        <w:t>ách</w:t>
      </w:r>
      <w:r w:rsidRPr="00327B80">
        <w:rPr>
          <w:rFonts w:ascii="Times New Roman" w:hAnsi="Times New Roman" w:cs="Times New Roman"/>
          <w:sz w:val="24"/>
          <w:szCs w:val="24"/>
        </w:rPr>
        <w:t xml:space="preserve"> </w:t>
      </w:r>
      <w:r w:rsidR="007A0FB1" w:rsidRPr="00327B80">
        <w:rPr>
          <w:rFonts w:ascii="Times New Roman" w:hAnsi="Times New Roman" w:cs="Times New Roman"/>
          <w:sz w:val="24"/>
          <w:szCs w:val="24"/>
        </w:rPr>
        <w:t>o</w:t>
      </w:r>
      <w:r w:rsidRPr="00327B80">
        <w:rPr>
          <w:rFonts w:ascii="Times New Roman" w:hAnsi="Times New Roman" w:cs="Times New Roman"/>
          <w:sz w:val="24"/>
          <w:szCs w:val="24"/>
        </w:rPr>
        <w:t> </w:t>
      </w:r>
      <w:r w:rsidR="007A0FB1" w:rsidRPr="00327B80">
        <w:rPr>
          <w:rFonts w:ascii="Times New Roman" w:hAnsi="Times New Roman" w:cs="Times New Roman"/>
          <w:sz w:val="24"/>
          <w:szCs w:val="24"/>
        </w:rPr>
        <w:t xml:space="preserve">jimi provedeném hodnocení výsledků </w:t>
      </w:r>
      <w:r w:rsidR="00E9235B" w:rsidRPr="00327B80">
        <w:rPr>
          <w:rFonts w:ascii="Times New Roman" w:hAnsi="Times New Roman" w:cs="Times New Roman"/>
          <w:sz w:val="24"/>
          <w:szCs w:val="24"/>
        </w:rPr>
        <w:t xml:space="preserve">ukončených </w:t>
      </w:r>
      <w:r w:rsidRPr="00327B80">
        <w:rPr>
          <w:rFonts w:ascii="Times New Roman" w:hAnsi="Times New Roman" w:cs="Times New Roman"/>
          <w:sz w:val="24"/>
          <w:szCs w:val="24"/>
        </w:rPr>
        <w:t>programů. Tyto zprávy</w:t>
      </w:r>
      <w:r w:rsidR="009F5B8C" w:rsidRPr="00327B80">
        <w:rPr>
          <w:rFonts w:ascii="Times New Roman" w:hAnsi="Times New Roman" w:cs="Times New Roman"/>
          <w:sz w:val="24"/>
          <w:szCs w:val="24"/>
        </w:rPr>
        <w:t xml:space="preserve"> byli poskytovatelé povinni zpracovat podle Metodiky hodnocení </w:t>
      </w:r>
      <w:r w:rsidR="00D17A6F" w:rsidRPr="00327B80">
        <w:rPr>
          <w:rFonts w:ascii="Times New Roman" w:hAnsi="Times New Roman" w:cs="Times New Roman"/>
          <w:sz w:val="24"/>
          <w:szCs w:val="24"/>
        </w:rPr>
        <w:t xml:space="preserve">ve struktuře jí stanovenou </w:t>
      </w:r>
      <w:r w:rsidR="009F5B8C" w:rsidRPr="00327B80">
        <w:rPr>
          <w:rFonts w:ascii="Times New Roman" w:hAnsi="Times New Roman" w:cs="Times New Roman"/>
          <w:sz w:val="24"/>
          <w:szCs w:val="24"/>
        </w:rPr>
        <w:t>a</w:t>
      </w:r>
      <w:r w:rsidR="00720946" w:rsidRPr="00327B80">
        <w:rPr>
          <w:rFonts w:ascii="Times New Roman" w:hAnsi="Times New Roman" w:cs="Times New Roman"/>
          <w:sz w:val="24"/>
          <w:szCs w:val="24"/>
        </w:rPr>
        <w:t> </w:t>
      </w:r>
      <w:r w:rsidR="009F5B8C" w:rsidRPr="00327B80">
        <w:rPr>
          <w:rFonts w:ascii="Times New Roman" w:hAnsi="Times New Roman" w:cs="Times New Roman"/>
          <w:sz w:val="24"/>
          <w:szCs w:val="24"/>
        </w:rPr>
        <w:t xml:space="preserve">předložit </w:t>
      </w:r>
      <w:r w:rsidR="00446422" w:rsidRPr="00327B80">
        <w:rPr>
          <w:rFonts w:ascii="Times New Roman" w:hAnsi="Times New Roman" w:cs="Times New Roman"/>
          <w:sz w:val="24"/>
          <w:szCs w:val="24"/>
        </w:rPr>
        <w:t xml:space="preserve">je </w:t>
      </w:r>
      <w:r w:rsidR="009F5B8C" w:rsidRPr="00327B80">
        <w:rPr>
          <w:rFonts w:ascii="Times New Roman" w:hAnsi="Times New Roman" w:cs="Times New Roman"/>
          <w:sz w:val="24"/>
          <w:szCs w:val="24"/>
        </w:rPr>
        <w:t>RVVI do 3</w:t>
      </w:r>
      <w:r w:rsidR="00AD0D5F" w:rsidRPr="00327B80">
        <w:rPr>
          <w:rFonts w:ascii="Times New Roman" w:hAnsi="Times New Roman" w:cs="Times New Roman"/>
          <w:sz w:val="24"/>
          <w:szCs w:val="24"/>
        </w:rPr>
        <w:t>0</w:t>
      </w:r>
      <w:r w:rsidR="009F5B8C" w:rsidRPr="00327B80">
        <w:rPr>
          <w:rFonts w:ascii="Times New Roman" w:hAnsi="Times New Roman" w:cs="Times New Roman"/>
          <w:sz w:val="24"/>
          <w:szCs w:val="24"/>
        </w:rPr>
        <w:t>. října 2012</w:t>
      </w:r>
      <w:r w:rsidR="00446422" w:rsidRPr="00327B80">
        <w:rPr>
          <w:rFonts w:ascii="Times New Roman" w:hAnsi="Times New Roman" w:cs="Times New Roman"/>
          <w:sz w:val="24"/>
          <w:szCs w:val="24"/>
        </w:rPr>
        <w:t>.</w:t>
      </w:r>
    </w:p>
    <w:p w:rsidR="00741682" w:rsidRPr="00327B80" w:rsidRDefault="00C63A98" w:rsidP="004345AE">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Při</w:t>
      </w:r>
      <w:r w:rsidR="004A6B53" w:rsidRPr="00327B80">
        <w:rPr>
          <w:rFonts w:ascii="Times New Roman" w:hAnsi="Times New Roman" w:cs="Times New Roman"/>
          <w:sz w:val="24"/>
          <w:szCs w:val="24"/>
        </w:rPr>
        <w:t xml:space="preserve"> </w:t>
      </w:r>
      <w:r>
        <w:rPr>
          <w:rFonts w:ascii="Times New Roman" w:hAnsi="Times New Roman" w:cs="Times New Roman"/>
          <w:sz w:val="24"/>
          <w:szCs w:val="24"/>
        </w:rPr>
        <w:t>h</w:t>
      </w:r>
      <w:r w:rsidR="004A6B53" w:rsidRPr="00327B80">
        <w:rPr>
          <w:rFonts w:ascii="Times New Roman" w:hAnsi="Times New Roman" w:cs="Times New Roman"/>
          <w:sz w:val="24"/>
          <w:szCs w:val="24"/>
        </w:rPr>
        <w:t xml:space="preserve">odnocení </w:t>
      </w:r>
      <w:r w:rsidR="00293A1F" w:rsidRPr="00327B80">
        <w:rPr>
          <w:rFonts w:ascii="Times New Roman" w:hAnsi="Times New Roman" w:cs="Times New Roman"/>
          <w:sz w:val="24"/>
          <w:szCs w:val="24"/>
        </w:rPr>
        <w:t>nebyly</w:t>
      </w:r>
      <w:r w:rsidR="004A6B53" w:rsidRPr="00327B80">
        <w:rPr>
          <w:rFonts w:ascii="Times New Roman" w:hAnsi="Times New Roman" w:cs="Times New Roman"/>
          <w:sz w:val="24"/>
          <w:szCs w:val="24"/>
        </w:rPr>
        <w:t xml:space="preserve"> posuzovány výsledky jednotlivých projektů řešených v rámci </w:t>
      </w:r>
      <w:r w:rsidR="00D17A6F" w:rsidRPr="00327B80">
        <w:rPr>
          <w:rFonts w:ascii="Times New Roman" w:hAnsi="Times New Roman" w:cs="Times New Roman"/>
          <w:sz w:val="24"/>
          <w:szCs w:val="24"/>
        </w:rPr>
        <w:t>hodnocených</w:t>
      </w:r>
      <w:r w:rsidR="004A6B53" w:rsidRPr="00327B80">
        <w:rPr>
          <w:rFonts w:ascii="Times New Roman" w:hAnsi="Times New Roman" w:cs="Times New Roman"/>
          <w:sz w:val="24"/>
          <w:szCs w:val="24"/>
        </w:rPr>
        <w:t xml:space="preserve"> programů</w:t>
      </w:r>
      <w:r w:rsidR="00293A1F" w:rsidRPr="00327B80">
        <w:rPr>
          <w:rFonts w:ascii="Times New Roman" w:hAnsi="Times New Roman" w:cs="Times New Roman"/>
          <w:sz w:val="24"/>
          <w:szCs w:val="24"/>
        </w:rPr>
        <w:t xml:space="preserve">, což </w:t>
      </w:r>
      <w:r w:rsidR="00741682" w:rsidRPr="00327B80">
        <w:rPr>
          <w:rFonts w:ascii="Times New Roman" w:hAnsi="Times New Roman" w:cs="Times New Roman"/>
          <w:sz w:val="24"/>
          <w:szCs w:val="24"/>
        </w:rPr>
        <w:t xml:space="preserve">spadá </w:t>
      </w:r>
      <w:r w:rsidR="004A6B53" w:rsidRPr="00327B80">
        <w:rPr>
          <w:rFonts w:ascii="Times New Roman" w:hAnsi="Times New Roman" w:cs="Times New Roman"/>
          <w:sz w:val="24"/>
          <w:szCs w:val="24"/>
        </w:rPr>
        <w:t xml:space="preserve">v souladu s ustanovením § 13 zákona o podpoře výzkumu, experimentálního vývoje a inovací </w:t>
      </w:r>
      <w:r w:rsidR="00293A1F" w:rsidRPr="00327B80">
        <w:rPr>
          <w:rFonts w:ascii="Times New Roman" w:hAnsi="Times New Roman" w:cs="Times New Roman"/>
          <w:sz w:val="24"/>
          <w:szCs w:val="24"/>
        </w:rPr>
        <w:t>plně do</w:t>
      </w:r>
      <w:r w:rsidR="004A6B53" w:rsidRPr="00327B80">
        <w:rPr>
          <w:rFonts w:ascii="Times New Roman" w:hAnsi="Times New Roman" w:cs="Times New Roman"/>
          <w:sz w:val="24"/>
          <w:szCs w:val="24"/>
        </w:rPr>
        <w:t> kompetenc</w:t>
      </w:r>
      <w:r w:rsidR="00293A1F" w:rsidRPr="00327B80">
        <w:rPr>
          <w:rFonts w:ascii="Times New Roman" w:hAnsi="Times New Roman" w:cs="Times New Roman"/>
          <w:sz w:val="24"/>
          <w:szCs w:val="24"/>
        </w:rPr>
        <w:t>e</w:t>
      </w:r>
      <w:r w:rsidR="004A6B53" w:rsidRPr="00327B80">
        <w:rPr>
          <w:rFonts w:ascii="Times New Roman" w:hAnsi="Times New Roman" w:cs="Times New Roman"/>
          <w:sz w:val="24"/>
          <w:szCs w:val="24"/>
        </w:rPr>
        <w:t xml:space="preserve"> jednotlivých poskytovatelů.</w:t>
      </w:r>
      <w:r w:rsidR="00D17A6F" w:rsidRPr="00327B80">
        <w:rPr>
          <w:rFonts w:ascii="Times New Roman" w:hAnsi="Times New Roman" w:cs="Times New Roman"/>
          <w:sz w:val="24"/>
          <w:szCs w:val="24"/>
        </w:rPr>
        <w:t xml:space="preserve"> </w:t>
      </w:r>
    </w:p>
    <w:p w:rsidR="00293A1F" w:rsidRPr="00327B80" w:rsidRDefault="00AE74D1"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Účelem Hodnocení </w:t>
      </w:r>
      <w:r w:rsidR="00691FC8" w:rsidRPr="00327B80">
        <w:rPr>
          <w:rFonts w:ascii="Times New Roman" w:hAnsi="Times New Roman" w:cs="Times New Roman"/>
          <w:sz w:val="24"/>
          <w:szCs w:val="24"/>
        </w:rPr>
        <w:t>bylo</w:t>
      </w:r>
      <w:r w:rsidRPr="00327B80">
        <w:rPr>
          <w:rFonts w:ascii="Times New Roman" w:hAnsi="Times New Roman" w:cs="Times New Roman"/>
          <w:sz w:val="24"/>
          <w:szCs w:val="24"/>
        </w:rPr>
        <w:t xml:space="preserve"> </w:t>
      </w:r>
      <w:r w:rsidR="003E081D" w:rsidRPr="00327B80">
        <w:rPr>
          <w:rFonts w:ascii="Times New Roman" w:hAnsi="Times New Roman" w:cs="Times New Roman"/>
          <w:sz w:val="24"/>
          <w:szCs w:val="24"/>
        </w:rPr>
        <w:t xml:space="preserve">posoudit, zda bylo v  </w:t>
      </w:r>
      <w:r w:rsidR="00595793" w:rsidRPr="00327B80">
        <w:rPr>
          <w:rFonts w:ascii="Times New Roman" w:hAnsi="Times New Roman" w:cs="Times New Roman"/>
          <w:sz w:val="24"/>
          <w:szCs w:val="24"/>
        </w:rPr>
        <w:t xml:space="preserve">ukončených </w:t>
      </w:r>
      <w:r w:rsidR="003E081D" w:rsidRPr="00327B80">
        <w:rPr>
          <w:rFonts w:ascii="Times New Roman" w:hAnsi="Times New Roman" w:cs="Times New Roman"/>
          <w:sz w:val="24"/>
          <w:szCs w:val="24"/>
        </w:rPr>
        <w:t>program</w:t>
      </w:r>
      <w:r w:rsidR="00C63A98">
        <w:rPr>
          <w:rFonts w:ascii="Times New Roman" w:hAnsi="Times New Roman" w:cs="Times New Roman"/>
          <w:sz w:val="24"/>
          <w:szCs w:val="24"/>
        </w:rPr>
        <w:t>ech</w:t>
      </w:r>
      <w:r w:rsidR="003E081D" w:rsidRPr="00327B80">
        <w:rPr>
          <w:rFonts w:ascii="Times New Roman" w:hAnsi="Times New Roman" w:cs="Times New Roman"/>
          <w:sz w:val="24"/>
          <w:szCs w:val="24"/>
        </w:rPr>
        <w:t xml:space="preserve"> dosaženo </w:t>
      </w:r>
      <w:r w:rsidR="00C63A98">
        <w:rPr>
          <w:rFonts w:ascii="Times New Roman" w:hAnsi="Times New Roman" w:cs="Times New Roman"/>
          <w:sz w:val="24"/>
          <w:szCs w:val="24"/>
        </w:rPr>
        <w:t>stanovených</w:t>
      </w:r>
      <w:r w:rsidR="003E081D" w:rsidRPr="00327B80">
        <w:rPr>
          <w:rFonts w:ascii="Times New Roman" w:hAnsi="Times New Roman" w:cs="Times New Roman"/>
          <w:sz w:val="24"/>
          <w:szCs w:val="24"/>
        </w:rPr>
        <w:t xml:space="preserve"> cílů, a dále </w:t>
      </w:r>
      <w:r w:rsidRPr="00327B80">
        <w:rPr>
          <w:rFonts w:ascii="Times New Roman" w:hAnsi="Times New Roman" w:cs="Times New Roman"/>
          <w:sz w:val="24"/>
          <w:szCs w:val="24"/>
        </w:rPr>
        <w:t>zhodnotit efektivnost využití účelové podpory poskytované podle § 3</w:t>
      </w:r>
      <w:r w:rsidR="003E081D" w:rsidRPr="00327B80">
        <w:rPr>
          <w:rFonts w:ascii="Times New Roman" w:hAnsi="Times New Roman" w:cs="Times New Roman"/>
          <w:sz w:val="24"/>
          <w:szCs w:val="24"/>
        </w:rPr>
        <w:t> </w:t>
      </w:r>
      <w:r w:rsidRPr="00327B80">
        <w:rPr>
          <w:rFonts w:ascii="Times New Roman" w:hAnsi="Times New Roman" w:cs="Times New Roman"/>
          <w:sz w:val="24"/>
          <w:szCs w:val="24"/>
        </w:rPr>
        <w:t>odst. 2 zákona o pod</w:t>
      </w:r>
      <w:r w:rsidR="00595793" w:rsidRPr="00327B80">
        <w:rPr>
          <w:rFonts w:ascii="Times New Roman" w:hAnsi="Times New Roman" w:cs="Times New Roman"/>
          <w:sz w:val="24"/>
          <w:szCs w:val="24"/>
        </w:rPr>
        <w:t>p</w:t>
      </w:r>
      <w:r w:rsidRPr="00327B80">
        <w:rPr>
          <w:rFonts w:ascii="Times New Roman" w:hAnsi="Times New Roman" w:cs="Times New Roman"/>
          <w:sz w:val="24"/>
          <w:szCs w:val="24"/>
        </w:rPr>
        <w:t xml:space="preserve">oře výzkumu, experimentálního vývoje a inovací. </w:t>
      </w:r>
    </w:p>
    <w:p w:rsidR="00720946" w:rsidRPr="00327B80" w:rsidRDefault="00720946" w:rsidP="002927A4">
      <w:pPr>
        <w:pStyle w:val="Nadpis10"/>
        <w:numPr>
          <w:ilvl w:val="0"/>
          <w:numId w:val="34"/>
        </w:numPr>
        <w:spacing w:after="120"/>
        <w:jc w:val="both"/>
        <w:rPr>
          <w:rFonts w:cs="Times New Roman"/>
          <w:szCs w:val="24"/>
        </w:rPr>
      </w:pPr>
      <w:r w:rsidRPr="00327B80">
        <w:rPr>
          <w:rFonts w:cs="Times New Roman"/>
          <w:szCs w:val="24"/>
        </w:rPr>
        <w:t>Přehled hodnocených programů</w:t>
      </w:r>
    </w:p>
    <w:p w:rsidR="00741682" w:rsidRPr="00327B80" w:rsidRDefault="00720946"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Do Hodnocení bylo zahrnuto celkem 1</w:t>
      </w:r>
      <w:r w:rsidR="00881120" w:rsidRPr="00327B80">
        <w:rPr>
          <w:rFonts w:ascii="Times New Roman" w:hAnsi="Times New Roman" w:cs="Times New Roman"/>
          <w:sz w:val="24"/>
          <w:szCs w:val="24"/>
        </w:rPr>
        <w:t>5</w:t>
      </w:r>
      <w:r w:rsidRPr="00327B80">
        <w:rPr>
          <w:rFonts w:ascii="Times New Roman" w:hAnsi="Times New Roman" w:cs="Times New Roman"/>
          <w:sz w:val="24"/>
          <w:szCs w:val="24"/>
        </w:rPr>
        <w:t xml:space="preserve"> programů</w:t>
      </w:r>
      <w:r w:rsidR="001F1916" w:rsidRPr="00327B80">
        <w:rPr>
          <w:rFonts w:ascii="Times New Roman" w:hAnsi="Times New Roman" w:cs="Times New Roman"/>
          <w:sz w:val="24"/>
          <w:szCs w:val="24"/>
        </w:rPr>
        <w:t xml:space="preserve"> účelové podpory</w:t>
      </w:r>
      <w:r w:rsidRPr="00327B80">
        <w:rPr>
          <w:rFonts w:ascii="Times New Roman" w:hAnsi="Times New Roman" w:cs="Times New Roman"/>
          <w:sz w:val="24"/>
          <w:szCs w:val="24"/>
        </w:rPr>
        <w:t>. V </w:t>
      </w:r>
      <w:r w:rsidR="004A6B53" w:rsidRPr="00327B80">
        <w:rPr>
          <w:rFonts w:ascii="Times New Roman" w:hAnsi="Times New Roman" w:cs="Times New Roman"/>
          <w:sz w:val="24"/>
          <w:szCs w:val="24"/>
        </w:rPr>
        <w:t>11</w:t>
      </w:r>
      <w:r w:rsidRPr="00327B80">
        <w:rPr>
          <w:rFonts w:ascii="Times New Roman" w:hAnsi="Times New Roman" w:cs="Times New Roman"/>
          <w:sz w:val="24"/>
          <w:szCs w:val="24"/>
        </w:rPr>
        <w:t xml:space="preserve"> </w:t>
      </w:r>
      <w:r w:rsidR="001F1916" w:rsidRPr="00327B80">
        <w:rPr>
          <w:rFonts w:ascii="Times New Roman" w:hAnsi="Times New Roman" w:cs="Times New Roman"/>
          <w:sz w:val="24"/>
          <w:szCs w:val="24"/>
        </w:rPr>
        <w:t>z </w:t>
      </w:r>
      <w:r w:rsidR="00D57BF7">
        <w:rPr>
          <w:rFonts w:ascii="Times New Roman" w:hAnsi="Times New Roman" w:cs="Times New Roman"/>
          <w:sz w:val="24"/>
          <w:szCs w:val="24"/>
        </w:rPr>
        <w:t>nich</w:t>
      </w:r>
      <w:r w:rsidR="001F1916" w:rsidRPr="00327B80">
        <w:rPr>
          <w:rFonts w:ascii="Times New Roman" w:hAnsi="Times New Roman" w:cs="Times New Roman"/>
          <w:sz w:val="24"/>
          <w:szCs w:val="24"/>
        </w:rPr>
        <w:t xml:space="preserve"> </w:t>
      </w:r>
      <w:r w:rsidR="00D57BF7">
        <w:rPr>
          <w:rFonts w:ascii="Times New Roman" w:hAnsi="Times New Roman" w:cs="Times New Roman"/>
          <w:sz w:val="24"/>
          <w:szCs w:val="24"/>
        </w:rPr>
        <w:t>b</w:t>
      </w:r>
      <w:r w:rsidRPr="00327B80">
        <w:rPr>
          <w:rFonts w:ascii="Times New Roman" w:hAnsi="Times New Roman" w:cs="Times New Roman"/>
          <w:sz w:val="24"/>
          <w:szCs w:val="24"/>
        </w:rPr>
        <w:t xml:space="preserve">yly jednotlivé projekty zadávány </w:t>
      </w:r>
      <w:r w:rsidR="00D57BF7">
        <w:rPr>
          <w:rFonts w:ascii="Times New Roman" w:hAnsi="Times New Roman" w:cs="Times New Roman"/>
          <w:sz w:val="24"/>
          <w:szCs w:val="24"/>
        </w:rPr>
        <w:t>prostřednictvím</w:t>
      </w:r>
      <w:r w:rsidR="004A6B53" w:rsidRPr="00327B80">
        <w:rPr>
          <w:rFonts w:ascii="Times New Roman" w:hAnsi="Times New Roman" w:cs="Times New Roman"/>
          <w:sz w:val="24"/>
          <w:szCs w:val="24"/>
        </w:rPr>
        <w:t xml:space="preserve"> veřejných soutěží ve výzkumu, vývoji a inovacích</w:t>
      </w:r>
      <w:r w:rsidRPr="00327B80">
        <w:rPr>
          <w:rFonts w:ascii="Times New Roman" w:hAnsi="Times New Roman" w:cs="Times New Roman"/>
          <w:sz w:val="24"/>
          <w:szCs w:val="24"/>
        </w:rPr>
        <w:t xml:space="preserve">. </w:t>
      </w:r>
      <w:r w:rsidR="006D3864" w:rsidRPr="00327B80">
        <w:rPr>
          <w:rFonts w:ascii="Times New Roman" w:hAnsi="Times New Roman" w:cs="Times New Roman"/>
          <w:sz w:val="24"/>
          <w:szCs w:val="24"/>
        </w:rPr>
        <w:t>U</w:t>
      </w:r>
      <w:r w:rsidRPr="00327B80">
        <w:rPr>
          <w:rFonts w:ascii="Times New Roman" w:hAnsi="Times New Roman" w:cs="Times New Roman"/>
          <w:sz w:val="24"/>
          <w:szCs w:val="24"/>
        </w:rPr>
        <w:t xml:space="preserve"> </w:t>
      </w:r>
      <w:r w:rsidR="00500C7D">
        <w:rPr>
          <w:rFonts w:ascii="Times New Roman" w:hAnsi="Times New Roman" w:cs="Times New Roman"/>
          <w:sz w:val="24"/>
          <w:szCs w:val="24"/>
        </w:rPr>
        <w:t>zbývajících</w:t>
      </w:r>
      <w:r w:rsidRPr="00327B80">
        <w:rPr>
          <w:rFonts w:ascii="Times New Roman" w:hAnsi="Times New Roman" w:cs="Times New Roman"/>
          <w:sz w:val="24"/>
          <w:szCs w:val="24"/>
        </w:rPr>
        <w:t xml:space="preserve"> </w:t>
      </w:r>
      <w:r w:rsidR="00FB2C8E">
        <w:rPr>
          <w:rFonts w:ascii="Times New Roman" w:hAnsi="Times New Roman" w:cs="Times New Roman"/>
          <w:sz w:val="24"/>
          <w:szCs w:val="24"/>
        </w:rPr>
        <w:t>čtyř</w:t>
      </w:r>
      <w:r w:rsidR="00551DCD" w:rsidRPr="00327B80">
        <w:rPr>
          <w:rFonts w:ascii="Times New Roman" w:hAnsi="Times New Roman" w:cs="Times New Roman"/>
          <w:sz w:val="24"/>
          <w:szCs w:val="24"/>
        </w:rPr>
        <w:t> </w:t>
      </w:r>
      <w:r w:rsidRPr="00327B80">
        <w:rPr>
          <w:rFonts w:ascii="Times New Roman" w:hAnsi="Times New Roman" w:cs="Times New Roman"/>
          <w:sz w:val="24"/>
          <w:szCs w:val="24"/>
        </w:rPr>
        <w:t>program</w:t>
      </w:r>
      <w:r w:rsidR="006D3864" w:rsidRPr="00327B80">
        <w:rPr>
          <w:rFonts w:ascii="Times New Roman" w:hAnsi="Times New Roman" w:cs="Times New Roman"/>
          <w:sz w:val="24"/>
          <w:szCs w:val="24"/>
        </w:rPr>
        <w:t>ů</w:t>
      </w:r>
      <w:r w:rsidRPr="00327B80">
        <w:rPr>
          <w:rFonts w:ascii="Times New Roman" w:hAnsi="Times New Roman" w:cs="Times New Roman"/>
          <w:sz w:val="24"/>
          <w:szCs w:val="24"/>
        </w:rPr>
        <w:t xml:space="preserve"> byly </w:t>
      </w:r>
      <w:r w:rsidR="00551DCD" w:rsidRPr="00327B80">
        <w:rPr>
          <w:rFonts w:ascii="Times New Roman" w:hAnsi="Times New Roman" w:cs="Times New Roman"/>
          <w:sz w:val="24"/>
          <w:szCs w:val="24"/>
        </w:rPr>
        <w:t xml:space="preserve">jednotlivé </w:t>
      </w:r>
      <w:r w:rsidRPr="00327B80">
        <w:rPr>
          <w:rFonts w:ascii="Times New Roman" w:hAnsi="Times New Roman" w:cs="Times New Roman"/>
          <w:sz w:val="24"/>
          <w:szCs w:val="24"/>
        </w:rPr>
        <w:t>projekty zadávány</w:t>
      </w:r>
      <w:r w:rsidR="004A6B53" w:rsidRPr="00327B80">
        <w:rPr>
          <w:rFonts w:ascii="Times New Roman" w:hAnsi="Times New Roman" w:cs="Times New Roman"/>
          <w:sz w:val="24"/>
          <w:szCs w:val="24"/>
        </w:rPr>
        <w:t xml:space="preserve"> ve formě veřejných zakázek ve výzkumu, vývoji a inovacích</w:t>
      </w:r>
      <w:r w:rsidR="00551DCD" w:rsidRPr="00327B80">
        <w:rPr>
          <w:rFonts w:ascii="Times New Roman" w:hAnsi="Times New Roman" w:cs="Times New Roman"/>
          <w:sz w:val="24"/>
          <w:szCs w:val="24"/>
        </w:rPr>
        <w:t xml:space="preserve">. </w:t>
      </w:r>
    </w:p>
    <w:p w:rsidR="00741682" w:rsidRPr="00327B80" w:rsidRDefault="00551DCD"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Podrobné údaje o </w:t>
      </w:r>
      <w:r w:rsidR="006D3864" w:rsidRPr="00327B80">
        <w:rPr>
          <w:rFonts w:ascii="Times New Roman" w:hAnsi="Times New Roman" w:cs="Times New Roman"/>
          <w:sz w:val="24"/>
          <w:szCs w:val="24"/>
        </w:rPr>
        <w:t xml:space="preserve">hodnocených </w:t>
      </w:r>
      <w:r w:rsidRPr="00327B80">
        <w:rPr>
          <w:rFonts w:ascii="Times New Roman" w:hAnsi="Times New Roman" w:cs="Times New Roman"/>
          <w:sz w:val="24"/>
          <w:szCs w:val="24"/>
        </w:rPr>
        <w:t xml:space="preserve">programech, </w:t>
      </w:r>
      <w:r w:rsidR="001F1916" w:rsidRPr="00327B80">
        <w:rPr>
          <w:rFonts w:ascii="Times New Roman" w:hAnsi="Times New Roman" w:cs="Times New Roman"/>
          <w:sz w:val="24"/>
          <w:szCs w:val="24"/>
        </w:rPr>
        <w:t xml:space="preserve">včetně </w:t>
      </w:r>
      <w:r w:rsidRPr="00327B80">
        <w:rPr>
          <w:rFonts w:ascii="Times New Roman" w:hAnsi="Times New Roman" w:cs="Times New Roman"/>
          <w:sz w:val="24"/>
          <w:szCs w:val="24"/>
        </w:rPr>
        <w:t>stanoven</w:t>
      </w:r>
      <w:r w:rsidR="001F1916" w:rsidRPr="00327B80">
        <w:rPr>
          <w:rFonts w:ascii="Times New Roman" w:hAnsi="Times New Roman" w:cs="Times New Roman"/>
          <w:sz w:val="24"/>
          <w:szCs w:val="24"/>
        </w:rPr>
        <w:t>ých</w:t>
      </w:r>
      <w:r w:rsidRPr="00327B80">
        <w:rPr>
          <w:rFonts w:ascii="Times New Roman" w:hAnsi="Times New Roman" w:cs="Times New Roman"/>
          <w:sz w:val="24"/>
          <w:szCs w:val="24"/>
        </w:rPr>
        <w:t xml:space="preserve"> cíl</w:t>
      </w:r>
      <w:r w:rsidR="001F1916" w:rsidRPr="00327B80">
        <w:rPr>
          <w:rFonts w:ascii="Times New Roman" w:hAnsi="Times New Roman" w:cs="Times New Roman"/>
          <w:sz w:val="24"/>
          <w:szCs w:val="24"/>
        </w:rPr>
        <w:t>ů</w:t>
      </w:r>
      <w:r w:rsidRPr="00327B80">
        <w:rPr>
          <w:rFonts w:ascii="Times New Roman" w:hAnsi="Times New Roman" w:cs="Times New Roman"/>
          <w:sz w:val="24"/>
          <w:szCs w:val="24"/>
        </w:rPr>
        <w:t xml:space="preserve"> a údaj</w:t>
      </w:r>
      <w:r w:rsidR="001F1916" w:rsidRPr="00327B80">
        <w:rPr>
          <w:rFonts w:ascii="Times New Roman" w:hAnsi="Times New Roman" w:cs="Times New Roman"/>
          <w:sz w:val="24"/>
          <w:szCs w:val="24"/>
        </w:rPr>
        <w:t>ů</w:t>
      </w:r>
      <w:r w:rsidR="00495517">
        <w:rPr>
          <w:rFonts w:ascii="Times New Roman" w:hAnsi="Times New Roman" w:cs="Times New Roman"/>
          <w:sz w:val="24"/>
          <w:szCs w:val="24"/>
        </w:rPr>
        <w:t xml:space="preserve"> o </w:t>
      </w:r>
      <w:r w:rsidR="001F1916" w:rsidRPr="00327B80">
        <w:rPr>
          <w:rFonts w:ascii="Times New Roman" w:hAnsi="Times New Roman" w:cs="Times New Roman"/>
          <w:sz w:val="24"/>
          <w:szCs w:val="24"/>
        </w:rPr>
        <w:t xml:space="preserve">finančních </w:t>
      </w:r>
      <w:r w:rsidRPr="00327B80">
        <w:rPr>
          <w:rFonts w:ascii="Times New Roman" w:hAnsi="Times New Roman" w:cs="Times New Roman"/>
          <w:sz w:val="24"/>
          <w:szCs w:val="24"/>
        </w:rPr>
        <w:t xml:space="preserve">nákladech </w:t>
      </w:r>
      <w:r w:rsidR="001F1916" w:rsidRPr="00327B80">
        <w:rPr>
          <w:rFonts w:ascii="Times New Roman" w:hAnsi="Times New Roman" w:cs="Times New Roman"/>
          <w:sz w:val="24"/>
          <w:szCs w:val="24"/>
        </w:rPr>
        <w:t xml:space="preserve">vynaložených </w:t>
      </w:r>
      <w:r w:rsidRPr="00327B80">
        <w:rPr>
          <w:rFonts w:ascii="Times New Roman" w:hAnsi="Times New Roman" w:cs="Times New Roman"/>
          <w:sz w:val="24"/>
          <w:szCs w:val="24"/>
        </w:rPr>
        <w:t xml:space="preserve">na </w:t>
      </w:r>
      <w:r w:rsidR="001F1916" w:rsidRPr="00327B80">
        <w:rPr>
          <w:rFonts w:ascii="Times New Roman" w:hAnsi="Times New Roman" w:cs="Times New Roman"/>
          <w:sz w:val="24"/>
          <w:szCs w:val="24"/>
        </w:rPr>
        <w:t xml:space="preserve">řešení </w:t>
      </w:r>
      <w:r w:rsidRPr="00327B80">
        <w:rPr>
          <w:rFonts w:ascii="Times New Roman" w:hAnsi="Times New Roman" w:cs="Times New Roman"/>
          <w:sz w:val="24"/>
          <w:szCs w:val="24"/>
        </w:rPr>
        <w:t>projekt</w:t>
      </w:r>
      <w:r w:rsidR="001F1916" w:rsidRPr="00327B80">
        <w:rPr>
          <w:rFonts w:ascii="Times New Roman" w:hAnsi="Times New Roman" w:cs="Times New Roman"/>
          <w:sz w:val="24"/>
          <w:szCs w:val="24"/>
        </w:rPr>
        <w:t>ů</w:t>
      </w:r>
      <w:r w:rsidRPr="00327B80">
        <w:rPr>
          <w:rFonts w:ascii="Times New Roman" w:hAnsi="Times New Roman" w:cs="Times New Roman"/>
          <w:sz w:val="24"/>
          <w:szCs w:val="24"/>
        </w:rPr>
        <w:t xml:space="preserve"> </w:t>
      </w:r>
      <w:r w:rsidR="006D3864" w:rsidRPr="00327B80">
        <w:rPr>
          <w:rFonts w:ascii="Times New Roman" w:hAnsi="Times New Roman" w:cs="Times New Roman"/>
          <w:sz w:val="24"/>
          <w:szCs w:val="24"/>
        </w:rPr>
        <w:t>v jejich rámci</w:t>
      </w:r>
      <w:r w:rsidR="007735D7">
        <w:rPr>
          <w:rFonts w:ascii="Times New Roman" w:hAnsi="Times New Roman" w:cs="Times New Roman"/>
          <w:sz w:val="24"/>
          <w:szCs w:val="24"/>
        </w:rPr>
        <w:t>,</w:t>
      </w:r>
      <w:r w:rsidR="006D3864" w:rsidRPr="00327B80">
        <w:rPr>
          <w:rFonts w:ascii="Times New Roman" w:hAnsi="Times New Roman" w:cs="Times New Roman"/>
          <w:sz w:val="24"/>
          <w:szCs w:val="24"/>
        </w:rPr>
        <w:t xml:space="preserve"> </w:t>
      </w:r>
      <w:r w:rsidRPr="00327B80">
        <w:rPr>
          <w:rFonts w:ascii="Times New Roman" w:hAnsi="Times New Roman" w:cs="Times New Roman"/>
          <w:sz w:val="24"/>
          <w:szCs w:val="24"/>
        </w:rPr>
        <w:t xml:space="preserve">jsou uvedeny v Příloze č. </w:t>
      </w:r>
      <w:r w:rsidR="003736F8">
        <w:rPr>
          <w:rFonts w:ascii="Times New Roman" w:hAnsi="Times New Roman" w:cs="Times New Roman"/>
          <w:sz w:val="24"/>
          <w:szCs w:val="24"/>
        </w:rPr>
        <w:t>2</w:t>
      </w:r>
      <w:r w:rsidRPr="00327B80">
        <w:rPr>
          <w:rFonts w:ascii="Times New Roman" w:hAnsi="Times New Roman" w:cs="Times New Roman"/>
          <w:sz w:val="24"/>
          <w:szCs w:val="24"/>
        </w:rPr>
        <w:t>.</w:t>
      </w:r>
      <w:r w:rsidR="002D4318" w:rsidRPr="00327B80">
        <w:rPr>
          <w:rFonts w:ascii="Times New Roman" w:hAnsi="Times New Roman" w:cs="Times New Roman"/>
          <w:sz w:val="24"/>
          <w:szCs w:val="24"/>
        </w:rPr>
        <w:t xml:space="preserve"> </w:t>
      </w:r>
    </w:p>
    <w:p w:rsidR="00551DCD" w:rsidRPr="00327B80" w:rsidRDefault="00741682" w:rsidP="004345AE">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Stručný p</w:t>
      </w:r>
      <w:r w:rsidR="00032242" w:rsidRPr="00327B80">
        <w:rPr>
          <w:rFonts w:ascii="Times New Roman" w:hAnsi="Times New Roman" w:cs="Times New Roman"/>
          <w:sz w:val="24"/>
          <w:szCs w:val="24"/>
        </w:rPr>
        <w:t xml:space="preserve">řehled </w:t>
      </w:r>
      <w:r w:rsidR="006D3864" w:rsidRPr="00327B80">
        <w:rPr>
          <w:rFonts w:ascii="Times New Roman" w:hAnsi="Times New Roman" w:cs="Times New Roman"/>
          <w:sz w:val="24"/>
          <w:szCs w:val="24"/>
        </w:rPr>
        <w:t xml:space="preserve">hodnocených </w:t>
      </w:r>
      <w:r w:rsidR="00032242" w:rsidRPr="00327B80">
        <w:rPr>
          <w:rFonts w:ascii="Times New Roman" w:hAnsi="Times New Roman" w:cs="Times New Roman"/>
          <w:sz w:val="24"/>
          <w:szCs w:val="24"/>
        </w:rPr>
        <w:t>programů je uveden v</w:t>
      </w:r>
      <w:r w:rsidR="00AF57D3" w:rsidRPr="00327B80">
        <w:rPr>
          <w:rFonts w:ascii="Times New Roman" w:hAnsi="Times New Roman" w:cs="Times New Roman"/>
          <w:sz w:val="24"/>
          <w:szCs w:val="24"/>
        </w:rPr>
        <w:t> </w:t>
      </w:r>
      <w:r w:rsidR="00032242" w:rsidRPr="00327B80">
        <w:rPr>
          <w:rFonts w:ascii="Times New Roman" w:hAnsi="Times New Roman" w:cs="Times New Roman"/>
          <w:sz w:val="24"/>
          <w:szCs w:val="24"/>
        </w:rPr>
        <w:t>Tabulce č. 1.</w:t>
      </w:r>
      <w:r w:rsidR="004A6B53" w:rsidRPr="00327B80">
        <w:rPr>
          <w:rFonts w:ascii="Times New Roman" w:hAnsi="Times New Roman" w:cs="Times New Roman"/>
          <w:sz w:val="24"/>
          <w:szCs w:val="24"/>
        </w:rPr>
        <w:t xml:space="preserve"> </w:t>
      </w:r>
    </w:p>
    <w:p w:rsidR="001F473D" w:rsidRDefault="001F473D" w:rsidP="004345AE">
      <w:pPr>
        <w:spacing w:after="120" w:line="240" w:lineRule="auto"/>
        <w:ind w:firstLine="709"/>
        <w:rPr>
          <w:rFonts w:ascii="Times New Roman" w:hAnsi="Times New Roman" w:cs="Times New Roman"/>
          <w:b/>
          <w:sz w:val="24"/>
          <w:szCs w:val="24"/>
        </w:rPr>
      </w:pPr>
      <w:r>
        <w:rPr>
          <w:rFonts w:ascii="Times New Roman" w:hAnsi="Times New Roman" w:cs="Times New Roman"/>
          <w:b/>
          <w:sz w:val="24"/>
          <w:szCs w:val="24"/>
        </w:rPr>
        <w:br w:type="page"/>
      </w:r>
    </w:p>
    <w:p w:rsidR="00551DCD" w:rsidRDefault="00032242" w:rsidP="001F6CB0">
      <w:pPr>
        <w:keepNext/>
        <w:spacing w:after="120" w:line="240" w:lineRule="auto"/>
        <w:jc w:val="both"/>
        <w:rPr>
          <w:rFonts w:ascii="Times New Roman" w:hAnsi="Times New Roman" w:cs="Times New Roman"/>
          <w:b/>
          <w:sz w:val="24"/>
          <w:szCs w:val="24"/>
        </w:rPr>
      </w:pPr>
      <w:r w:rsidRPr="00327B80">
        <w:rPr>
          <w:rFonts w:ascii="Times New Roman" w:hAnsi="Times New Roman" w:cs="Times New Roman"/>
          <w:b/>
          <w:sz w:val="24"/>
          <w:szCs w:val="24"/>
        </w:rPr>
        <w:lastRenderedPageBreak/>
        <w:t xml:space="preserve">Tabulka č. 1: Přehled programů </w:t>
      </w:r>
      <w:r w:rsidR="00017524">
        <w:rPr>
          <w:rFonts w:ascii="Times New Roman" w:hAnsi="Times New Roman" w:cs="Times New Roman"/>
          <w:b/>
          <w:sz w:val="24"/>
          <w:szCs w:val="24"/>
        </w:rPr>
        <w:t xml:space="preserve">výzkumu, vývoje a inovací </w:t>
      </w:r>
      <w:r w:rsidRPr="00327B80">
        <w:rPr>
          <w:rFonts w:ascii="Times New Roman" w:hAnsi="Times New Roman" w:cs="Times New Roman"/>
          <w:b/>
          <w:sz w:val="24"/>
          <w:szCs w:val="24"/>
        </w:rPr>
        <w:t xml:space="preserve">ukončených </w:t>
      </w:r>
      <w:r w:rsidR="00D01AC1">
        <w:rPr>
          <w:rFonts w:ascii="Times New Roman" w:hAnsi="Times New Roman" w:cs="Times New Roman"/>
          <w:b/>
          <w:sz w:val="24"/>
          <w:szCs w:val="24"/>
        </w:rPr>
        <w:t>v roce</w:t>
      </w:r>
      <w:r w:rsidR="00D01AC1" w:rsidRPr="00327B80">
        <w:rPr>
          <w:rFonts w:ascii="Times New Roman" w:hAnsi="Times New Roman" w:cs="Times New Roman"/>
          <w:b/>
          <w:sz w:val="24"/>
          <w:szCs w:val="24"/>
        </w:rPr>
        <w:t xml:space="preserve"> </w:t>
      </w:r>
      <w:r w:rsidRPr="00327B80">
        <w:rPr>
          <w:rFonts w:ascii="Times New Roman" w:hAnsi="Times New Roman" w:cs="Times New Roman"/>
          <w:b/>
          <w:sz w:val="24"/>
          <w:szCs w:val="24"/>
        </w:rPr>
        <w:t xml:space="preserve">2011 </w:t>
      </w:r>
    </w:p>
    <w:tbl>
      <w:tblPr>
        <w:tblW w:w="9560" w:type="dxa"/>
        <w:tblInd w:w="70" w:type="dxa"/>
        <w:tblLayout w:type="fixed"/>
        <w:tblCellMar>
          <w:left w:w="70" w:type="dxa"/>
          <w:right w:w="70" w:type="dxa"/>
        </w:tblCellMar>
        <w:tblLook w:val="0000" w:firstRow="0" w:lastRow="0" w:firstColumn="0" w:lastColumn="0" w:noHBand="0" w:noVBand="0"/>
      </w:tblPr>
      <w:tblGrid>
        <w:gridCol w:w="2320"/>
        <w:gridCol w:w="720"/>
        <w:gridCol w:w="5040"/>
        <w:gridCol w:w="720"/>
        <w:gridCol w:w="760"/>
      </w:tblGrid>
      <w:tr w:rsidR="00F26E41" w:rsidRPr="006E59C2" w:rsidTr="00FC1B69">
        <w:trPr>
          <w:trHeight w:val="490"/>
        </w:trPr>
        <w:tc>
          <w:tcPr>
            <w:tcW w:w="2320" w:type="dxa"/>
            <w:vMerge w:val="restart"/>
            <w:tcBorders>
              <w:top w:val="single" w:sz="4" w:space="0" w:color="000000"/>
              <w:left w:val="single" w:sz="4" w:space="0" w:color="000000"/>
              <w:bottom w:val="double" w:sz="2" w:space="0" w:color="000000"/>
              <w:right w:val="nil"/>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Poskytovatel</w:t>
            </w:r>
          </w:p>
        </w:tc>
        <w:tc>
          <w:tcPr>
            <w:tcW w:w="5760" w:type="dxa"/>
            <w:gridSpan w:val="2"/>
            <w:tcBorders>
              <w:top w:val="single" w:sz="4" w:space="0" w:color="000000"/>
              <w:left w:val="single" w:sz="4" w:space="0" w:color="000000"/>
              <w:bottom w:val="single" w:sz="4" w:space="0" w:color="000000"/>
              <w:right w:val="nil"/>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Program VaVaI</w:t>
            </w:r>
          </w:p>
        </w:tc>
        <w:tc>
          <w:tcPr>
            <w:tcW w:w="1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26E41" w:rsidRPr="006E59C2" w:rsidRDefault="003341AB" w:rsidP="00FE16C6">
            <w:pPr>
              <w:suppressAutoHyphens/>
              <w:snapToGrid w:val="0"/>
              <w:spacing w:after="120" w:line="240" w:lineRule="auto"/>
              <w:jc w:val="center"/>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Doba trvání</w:t>
            </w:r>
          </w:p>
        </w:tc>
      </w:tr>
      <w:tr w:rsidR="00F26E41" w:rsidRPr="006E59C2" w:rsidTr="00FC1B69">
        <w:trPr>
          <w:trHeight w:val="423"/>
        </w:trPr>
        <w:tc>
          <w:tcPr>
            <w:tcW w:w="2320" w:type="dxa"/>
            <w:vMerge/>
            <w:tcBorders>
              <w:top w:val="single" w:sz="4" w:space="0" w:color="000000"/>
              <w:left w:val="single" w:sz="4" w:space="0" w:color="000000"/>
              <w:bottom w:val="double" w:sz="2" w:space="0" w:color="000000"/>
              <w:right w:val="nil"/>
            </w:tcBorders>
            <w:shd w:val="clear" w:color="auto" w:fill="auto"/>
            <w:vAlign w:val="center"/>
          </w:tcPr>
          <w:p w:rsidR="00F26E41" w:rsidRPr="006E59C2" w:rsidRDefault="00F26E41" w:rsidP="00FE16C6">
            <w:pPr>
              <w:spacing w:after="120" w:line="240" w:lineRule="auto"/>
              <w:jc w:val="center"/>
              <w:rPr>
                <w:rFonts w:ascii="Times New Roman" w:eastAsia="Times New Roman" w:hAnsi="Times New Roman" w:cs="Times New Roman"/>
                <w:b/>
                <w:sz w:val="20"/>
                <w:szCs w:val="20"/>
                <w:lang w:eastAsia="ar-SA"/>
              </w:rPr>
            </w:pPr>
          </w:p>
        </w:tc>
        <w:tc>
          <w:tcPr>
            <w:tcW w:w="720" w:type="dxa"/>
            <w:tcBorders>
              <w:top w:val="single" w:sz="4" w:space="0" w:color="000000"/>
              <w:left w:val="single" w:sz="4" w:space="0" w:color="000000"/>
              <w:bottom w:val="double" w:sz="2" w:space="0" w:color="000000"/>
              <w:right w:val="nil"/>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Kód</w:t>
            </w:r>
          </w:p>
        </w:tc>
        <w:tc>
          <w:tcPr>
            <w:tcW w:w="5040" w:type="dxa"/>
            <w:tcBorders>
              <w:top w:val="single" w:sz="4" w:space="0" w:color="000000"/>
              <w:left w:val="single" w:sz="4" w:space="0" w:color="000000"/>
              <w:bottom w:val="double" w:sz="2" w:space="0" w:color="000000"/>
              <w:right w:val="nil"/>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Název</w:t>
            </w:r>
          </w:p>
        </w:tc>
        <w:tc>
          <w:tcPr>
            <w:tcW w:w="720" w:type="dxa"/>
            <w:tcBorders>
              <w:top w:val="single" w:sz="4" w:space="0" w:color="000000"/>
              <w:left w:val="single" w:sz="4" w:space="0" w:color="000000"/>
              <w:bottom w:val="double" w:sz="2" w:space="0" w:color="000000"/>
              <w:right w:val="nil"/>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proofErr w:type="gramStart"/>
            <w:r w:rsidRPr="006E59C2">
              <w:rPr>
                <w:rFonts w:ascii="Times New Roman" w:eastAsia="Times New Roman" w:hAnsi="Times New Roman" w:cs="Times New Roman"/>
                <w:b/>
                <w:sz w:val="20"/>
                <w:szCs w:val="20"/>
                <w:lang w:eastAsia="ar-SA"/>
              </w:rPr>
              <w:t>od</w:t>
            </w:r>
            <w:proofErr w:type="gramEnd"/>
          </w:p>
        </w:tc>
        <w:tc>
          <w:tcPr>
            <w:tcW w:w="760" w:type="dxa"/>
            <w:tcBorders>
              <w:top w:val="single" w:sz="4" w:space="0" w:color="000000"/>
              <w:left w:val="single" w:sz="4" w:space="0" w:color="000000"/>
              <w:bottom w:val="double" w:sz="2" w:space="0" w:color="000000"/>
              <w:right w:val="single" w:sz="4" w:space="0" w:color="000000"/>
            </w:tcBorders>
            <w:shd w:val="clear" w:color="auto" w:fill="auto"/>
            <w:vAlign w:val="center"/>
          </w:tcPr>
          <w:p w:rsidR="00F26E41" w:rsidRPr="006E59C2" w:rsidRDefault="00F26E41" w:rsidP="00FE16C6">
            <w:pPr>
              <w:suppressAutoHyphens/>
              <w:snapToGrid w:val="0"/>
              <w:spacing w:after="120" w:line="240" w:lineRule="auto"/>
              <w:jc w:val="center"/>
              <w:rPr>
                <w:rFonts w:ascii="Times New Roman" w:eastAsia="Times New Roman" w:hAnsi="Times New Roman" w:cs="Times New Roman"/>
                <w:b/>
                <w:sz w:val="20"/>
                <w:szCs w:val="20"/>
                <w:lang w:eastAsia="ar-SA"/>
              </w:rPr>
            </w:pPr>
            <w:proofErr w:type="gramStart"/>
            <w:r w:rsidRPr="006E59C2">
              <w:rPr>
                <w:rFonts w:ascii="Times New Roman" w:eastAsia="Times New Roman" w:hAnsi="Times New Roman" w:cs="Times New Roman"/>
                <w:b/>
                <w:sz w:val="20"/>
                <w:szCs w:val="20"/>
                <w:lang w:eastAsia="ar-SA"/>
              </w:rPr>
              <w:t>do</w:t>
            </w:r>
            <w:proofErr w:type="gramEnd"/>
          </w:p>
        </w:tc>
      </w:tr>
      <w:tr w:rsidR="00F26E41" w:rsidRPr="006E59C2" w:rsidTr="00FC1B69">
        <w:tc>
          <w:tcPr>
            <w:tcW w:w="9560" w:type="dxa"/>
            <w:gridSpan w:val="5"/>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Programy realizované ve formě veřejných soutěží ve výzkumu, vývoji a inovacích</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dopravy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CG</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Podpora realizace udržitelného rozvoje dopravy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2007</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val="restart"/>
            <w:tcBorders>
              <w:top w:val="single" w:sz="4" w:space="0" w:color="000000"/>
              <w:left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kultury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DB</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Výzkum a vědecké zhodnocení kulturně-historických hodnot prostředí, způsoby a nástroje jejich zachování a výzkum jevů tradiční lidové kultury jako nedílné součásti nehmotného kulturního dědictví</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tcBorders>
              <w:left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DC</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Zpřístupnění a ochrana kulturních, uměleckých</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a vědeckých zdrojů</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tcBorders>
              <w:left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DD</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Vědecko-dokumentární zhodnocení vývoje hudebního, divadelního a výtvarného umění, literární historie, teorie a kritiky, analyticko-sociologické studie</w:t>
            </w:r>
            <w:r w:rsidR="00FD1744" w:rsidRPr="006E59C2">
              <w:rPr>
                <w:rFonts w:ascii="Times New Roman" w:eastAsia="Times New Roman" w:hAnsi="Times New Roman" w:cs="Times New Roman"/>
                <w:sz w:val="20"/>
                <w:szCs w:val="20"/>
                <w:lang w:eastAsia="ar-SA"/>
              </w:rPr>
              <w:t xml:space="preserve"> </w:t>
            </w:r>
            <w:r w:rsidRPr="006E59C2">
              <w:rPr>
                <w:rFonts w:ascii="Times New Roman" w:eastAsia="Times New Roman" w:hAnsi="Times New Roman" w:cs="Times New Roman"/>
                <w:sz w:val="20"/>
                <w:szCs w:val="20"/>
                <w:lang w:eastAsia="ar-SA"/>
              </w:rPr>
              <w:t>současného stavu kultury na území ČR a výzkum a</w:t>
            </w:r>
            <w:r w:rsidR="00FD1744" w:rsidRPr="006E59C2">
              <w:rPr>
                <w:rFonts w:ascii="Times New Roman" w:eastAsia="Times New Roman" w:hAnsi="Times New Roman" w:cs="Times New Roman"/>
                <w:sz w:val="20"/>
                <w:szCs w:val="20"/>
                <w:lang w:eastAsia="ar-SA"/>
              </w:rPr>
              <w:t> </w:t>
            </w:r>
            <w:r w:rsidRPr="006E59C2">
              <w:rPr>
                <w:rFonts w:ascii="Times New Roman" w:eastAsia="Times New Roman" w:hAnsi="Times New Roman" w:cs="Times New Roman"/>
                <w:sz w:val="20"/>
                <w:szCs w:val="20"/>
                <w:lang w:eastAsia="ar-SA"/>
              </w:rPr>
              <w:t>vědecké zhodnocení masmédií a audiovize</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tcBorders>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roofErr w:type="gramStart"/>
            <w:r w:rsidRPr="006E59C2">
              <w:rPr>
                <w:rFonts w:ascii="Times New Roman" w:eastAsia="Times New Roman" w:hAnsi="Times New Roman" w:cs="Times New Roman"/>
                <w:sz w:val="20"/>
                <w:szCs w:val="20"/>
                <w:lang w:eastAsia="ar-SA"/>
              </w:rPr>
              <w:t>DE</w:t>
            </w:r>
            <w:proofErr w:type="gramEnd"/>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Výpověď sbírek českých, moravských a slezských muzeí a galerií o přírodním a kulturním dědictví</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Evropy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pro místní rozvoj</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WD</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Výzkum pro řešení regionálních disparit</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2007</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val="restart"/>
            <w:tcBorders>
              <w:top w:val="single" w:sz="4" w:space="0" w:color="000000"/>
              <w:left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školství, mládeže a tělovýchovy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LC</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Centra základního výzkumu</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2005</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tcBorders>
              <w:left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1A</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1R</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Národní program výzkumu</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2004</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vMerge/>
            <w:tcBorders>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2A</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2G</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Národní program výzkumu II</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zdravotnictví</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NS</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 xml:space="preserve">Resortní program výzkumu a vývoje – MZ II </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 xml:space="preserve">na léta 2008 - 2011 </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2008</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životního prostředí</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SP</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Resortní program výzkumu v působnosti Ministerstva životního prostředí na léta 2007 - 2011</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2007</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9560" w:type="dxa"/>
            <w:gridSpan w:val="5"/>
            <w:tcBorders>
              <w:top w:val="single" w:sz="4" w:space="0" w:color="000000"/>
              <w:left w:val="single" w:sz="4" w:space="0" w:color="000000"/>
              <w:bottom w:val="single" w:sz="4" w:space="0" w:color="000000"/>
              <w:right w:val="single" w:sz="4" w:space="0" w:color="000000"/>
            </w:tcBorders>
            <w:vAlign w:val="center"/>
          </w:tcPr>
          <w:p w:rsidR="00F26E41" w:rsidRPr="006E59C2" w:rsidRDefault="004A6B53" w:rsidP="00DE2C54">
            <w:pPr>
              <w:suppressAutoHyphens/>
              <w:snapToGrid w:val="0"/>
              <w:spacing w:after="120" w:line="240" w:lineRule="auto"/>
              <w:rPr>
                <w:rFonts w:ascii="Times New Roman" w:eastAsia="Times New Roman" w:hAnsi="Times New Roman" w:cs="Times New Roman"/>
                <w:b/>
                <w:sz w:val="20"/>
                <w:szCs w:val="20"/>
                <w:lang w:eastAsia="ar-SA"/>
              </w:rPr>
            </w:pPr>
            <w:r w:rsidRPr="006E59C2">
              <w:rPr>
                <w:rFonts w:ascii="Times New Roman" w:eastAsia="Times New Roman" w:hAnsi="Times New Roman" w:cs="Times New Roman"/>
                <w:b/>
                <w:sz w:val="20"/>
                <w:szCs w:val="20"/>
                <w:lang w:eastAsia="ar-SA"/>
              </w:rPr>
              <w:t>Programy realizované ve formě v</w:t>
            </w:r>
            <w:r w:rsidR="00F26E41" w:rsidRPr="006E59C2">
              <w:rPr>
                <w:rFonts w:ascii="Times New Roman" w:eastAsia="Times New Roman" w:hAnsi="Times New Roman" w:cs="Times New Roman"/>
                <w:b/>
                <w:sz w:val="20"/>
                <w:szCs w:val="20"/>
                <w:lang w:eastAsia="ar-SA"/>
              </w:rPr>
              <w:t>eřejn</w:t>
            </w:r>
            <w:r w:rsidRPr="006E59C2">
              <w:rPr>
                <w:rFonts w:ascii="Times New Roman" w:eastAsia="Times New Roman" w:hAnsi="Times New Roman" w:cs="Times New Roman"/>
                <w:b/>
                <w:sz w:val="20"/>
                <w:szCs w:val="20"/>
                <w:lang w:eastAsia="ar-SA"/>
              </w:rPr>
              <w:t>ých</w:t>
            </w:r>
            <w:r w:rsidR="00F26E41" w:rsidRPr="006E59C2">
              <w:rPr>
                <w:rFonts w:ascii="Times New Roman" w:eastAsia="Times New Roman" w:hAnsi="Times New Roman" w:cs="Times New Roman"/>
                <w:b/>
                <w:sz w:val="20"/>
                <w:szCs w:val="20"/>
                <w:lang w:eastAsia="ar-SA"/>
              </w:rPr>
              <w:t xml:space="preserve"> zakáz</w:t>
            </w:r>
            <w:r w:rsidRPr="006E59C2">
              <w:rPr>
                <w:rFonts w:ascii="Times New Roman" w:eastAsia="Times New Roman" w:hAnsi="Times New Roman" w:cs="Times New Roman"/>
                <w:b/>
                <w:sz w:val="20"/>
                <w:szCs w:val="20"/>
                <w:lang w:eastAsia="ar-SA"/>
              </w:rPr>
              <w:t>e</w:t>
            </w:r>
            <w:r w:rsidR="00F26E41" w:rsidRPr="006E59C2">
              <w:rPr>
                <w:rFonts w:ascii="Times New Roman" w:eastAsia="Times New Roman" w:hAnsi="Times New Roman" w:cs="Times New Roman"/>
                <w:b/>
                <w:sz w:val="20"/>
                <w:szCs w:val="20"/>
                <w:lang w:eastAsia="ar-SA"/>
              </w:rPr>
              <w:t>k ve výzkumu, vývoji a inovacích</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obrany</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OS</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Schopnosti - dosažení deklarovaných aliančních</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požadavků</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2006</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práce a sociálních věcí</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HC</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 xml:space="preserve">Sociálně ekonomický výzkum pro potřeby státu </w:t>
            </w:r>
          </w:p>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v letech 2010 až 2011</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2010</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spravedlnosti</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RD</w:t>
            </w:r>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Společnost, sankční politika, kriminalita</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2008</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r w:rsidR="00F26E41" w:rsidRPr="006E59C2" w:rsidTr="00FC1B69">
        <w:tc>
          <w:tcPr>
            <w:tcW w:w="23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Ministerstvo vnitra</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proofErr w:type="gramStart"/>
            <w:r w:rsidRPr="006E59C2">
              <w:rPr>
                <w:rFonts w:ascii="Times New Roman" w:eastAsia="Times New Roman" w:hAnsi="Times New Roman" w:cs="Times New Roman"/>
                <w:sz w:val="20"/>
                <w:szCs w:val="20"/>
                <w:lang w:eastAsia="ar-SA"/>
              </w:rPr>
              <w:t>VE</w:t>
            </w:r>
            <w:proofErr w:type="gramEnd"/>
          </w:p>
        </w:tc>
        <w:tc>
          <w:tcPr>
            <w:tcW w:w="504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Resortní výzkum a vývoj</w:t>
            </w:r>
          </w:p>
        </w:tc>
        <w:tc>
          <w:tcPr>
            <w:tcW w:w="720" w:type="dxa"/>
            <w:tcBorders>
              <w:top w:val="single" w:sz="4" w:space="0" w:color="000000"/>
              <w:left w:val="single" w:sz="4" w:space="0" w:color="000000"/>
              <w:bottom w:val="single" w:sz="4" w:space="0" w:color="000000"/>
              <w:right w:val="nil"/>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2007</w:t>
            </w:r>
          </w:p>
        </w:tc>
        <w:tc>
          <w:tcPr>
            <w:tcW w:w="760" w:type="dxa"/>
            <w:tcBorders>
              <w:top w:val="single" w:sz="4" w:space="0" w:color="000000"/>
              <w:left w:val="single" w:sz="4" w:space="0" w:color="000000"/>
              <w:bottom w:val="single" w:sz="4" w:space="0" w:color="000000"/>
              <w:right w:val="single" w:sz="4" w:space="0" w:color="000000"/>
            </w:tcBorders>
            <w:vAlign w:val="center"/>
          </w:tcPr>
          <w:p w:rsidR="00F26E41" w:rsidRPr="006E59C2" w:rsidRDefault="00F26E41" w:rsidP="001F473D">
            <w:pPr>
              <w:suppressAutoHyphens/>
              <w:snapToGrid w:val="0"/>
              <w:spacing w:after="120" w:line="240" w:lineRule="auto"/>
              <w:jc w:val="both"/>
              <w:rPr>
                <w:rFonts w:ascii="Times New Roman" w:eastAsia="Times New Roman" w:hAnsi="Times New Roman" w:cs="Times New Roman"/>
                <w:sz w:val="20"/>
                <w:szCs w:val="20"/>
                <w:lang w:eastAsia="ar-SA"/>
              </w:rPr>
            </w:pPr>
            <w:r w:rsidRPr="006E59C2">
              <w:rPr>
                <w:rFonts w:ascii="Times New Roman" w:eastAsia="Times New Roman" w:hAnsi="Times New Roman" w:cs="Times New Roman"/>
                <w:sz w:val="20"/>
                <w:szCs w:val="20"/>
                <w:lang w:eastAsia="ar-SA"/>
              </w:rPr>
              <w:t>2011</w:t>
            </w:r>
          </w:p>
        </w:tc>
      </w:tr>
    </w:tbl>
    <w:p w:rsidR="004E0850" w:rsidRDefault="00C63A98" w:rsidP="00E17B96">
      <w:pPr>
        <w:pStyle w:val="Nadpis10"/>
        <w:spacing w:after="120"/>
        <w:ind w:firstLine="709"/>
        <w:jc w:val="both"/>
        <w:rPr>
          <w:rFonts w:cs="Times New Roman"/>
          <w:b w:val="0"/>
          <w:szCs w:val="24"/>
        </w:rPr>
      </w:pPr>
      <w:r>
        <w:rPr>
          <w:rFonts w:cs="Times New Roman"/>
          <w:b w:val="0"/>
          <w:szCs w:val="24"/>
        </w:rPr>
        <w:lastRenderedPageBreak/>
        <w:t>Do</w:t>
      </w:r>
      <w:r w:rsidR="003A6300" w:rsidRPr="00327B80">
        <w:rPr>
          <w:rFonts w:cs="Times New Roman"/>
          <w:b w:val="0"/>
          <w:szCs w:val="24"/>
        </w:rPr>
        <w:t xml:space="preserve"> </w:t>
      </w:r>
      <w:r>
        <w:rPr>
          <w:rFonts w:cs="Times New Roman"/>
          <w:b w:val="0"/>
          <w:szCs w:val="24"/>
        </w:rPr>
        <w:t>h</w:t>
      </w:r>
      <w:r w:rsidR="003A6300" w:rsidRPr="00327B80">
        <w:rPr>
          <w:rFonts w:cs="Times New Roman"/>
          <w:b w:val="0"/>
          <w:szCs w:val="24"/>
        </w:rPr>
        <w:t xml:space="preserve">odnocení </w:t>
      </w:r>
      <w:r w:rsidR="00293A1F" w:rsidRPr="00327B80">
        <w:rPr>
          <w:rFonts w:cs="Times New Roman"/>
          <w:b w:val="0"/>
          <w:szCs w:val="24"/>
        </w:rPr>
        <w:t>nebyly</w:t>
      </w:r>
      <w:r w:rsidR="003A6300" w:rsidRPr="00327B80">
        <w:rPr>
          <w:rFonts w:cs="Times New Roman"/>
          <w:b w:val="0"/>
          <w:szCs w:val="24"/>
        </w:rPr>
        <w:t xml:space="preserve"> </w:t>
      </w:r>
      <w:r>
        <w:rPr>
          <w:rFonts w:cs="Times New Roman"/>
          <w:b w:val="0"/>
          <w:szCs w:val="24"/>
        </w:rPr>
        <w:t>zařaz</w:t>
      </w:r>
      <w:r w:rsidR="003A6300" w:rsidRPr="00327B80">
        <w:rPr>
          <w:rFonts w:cs="Times New Roman"/>
          <w:b w:val="0"/>
          <w:szCs w:val="24"/>
        </w:rPr>
        <w:t xml:space="preserve">eny jednotlivé dílčí programy Národního programu výzkumu (dále jen „NPV“) a Národního programu výzkumu II (dále jen „NPV II“) </w:t>
      </w:r>
      <w:r w:rsidR="00293A1F" w:rsidRPr="00327B80">
        <w:rPr>
          <w:rFonts w:cs="Times New Roman"/>
          <w:b w:val="0"/>
          <w:szCs w:val="24"/>
        </w:rPr>
        <w:t>evidované</w:t>
      </w:r>
      <w:r w:rsidR="003A6300" w:rsidRPr="00327B80">
        <w:rPr>
          <w:rFonts w:cs="Times New Roman"/>
          <w:b w:val="0"/>
          <w:szCs w:val="24"/>
        </w:rPr>
        <w:t xml:space="preserve"> v</w:t>
      </w:r>
      <w:r w:rsidR="001F473D">
        <w:rPr>
          <w:rFonts w:cs="Times New Roman"/>
          <w:b w:val="0"/>
          <w:szCs w:val="24"/>
        </w:rPr>
        <w:t> </w:t>
      </w:r>
      <w:r w:rsidR="003A6300" w:rsidRPr="00327B80">
        <w:rPr>
          <w:rFonts w:cs="Times New Roman"/>
          <w:b w:val="0"/>
          <w:szCs w:val="24"/>
        </w:rPr>
        <w:t>IS</w:t>
      </w:r>
      <w:r w:rsidR="001F473D">
        <w:rPr>
          <w:rFonts w:cs="Times New Roman"/>
          <w:b w:val="0"/>
          <w:szCs w:val="24"/>
        </w:rPr>
        <w:t> </w:t>
      </w:r>
      <w:r w:rsidR="003A6300" w:rsidRPr="00327B80">
        <w:rPr>
          <w:rFonts w:cs="Times New Roman"/>
          <w:b w:val="0"/>
          <w:szCs w:val="24"/>
        </w:rPr>
        <w:t xml:space="preserve">VaVaI pod identifikačními kódy 1A-1R a 2A-2G. </w:t>
      </w:r>
      <w:r w:rsidR="00B61ED9" w:rsidRPr="00327B80">
        <w:rPr>
          <w:rFonts w:cs="Times New Roman"/>
          <w:b w:val="0"/>
          <w:szCs w:val="24"/>
        </w:rPr>
        <w:t>V souladu s</w:t>
      </w:r>
      <w:r w:rsidR="00774AA8" w:rsidRPr="00327B80">
        <w:rPr>
          <w:rFonts w:cs="Times New Roman"/>
          <w:b w:val="0"/>
          <w:szCs w:val="24"/>
        </w:rPr>
        <w:t> </w:t>
      </w:r>
      <w:r w:rsidR="003A6300" w:rsidRPr="00327B80">
        <w:rPr>
          <w:rFonts w:cs="Times New Roman"/>
          <w:b w:val="0"/>
          <w:szCs w:val="24"/>
        </w:rPr>
        <w:t>NPV</w:t>
      </w:r>
      <w:r w:rsidR="00774AA8" w:rsidRPr="00327B80">
        <w:rPr>
          <w:rFonts w:cs="Times New Roman"/>
          <w:b w:val="0"/>
          <w:szCs w:val="24"/>
        </w:rPr>
        <w:t>,</w:t>
      </w:r>
      <w:r w:rsidR="003A6300" w:rsidRPr="00327B80">
        <w:rPr>
          <w:rFonts w:cs="Times New Roman"/>
          <w:b w:val="0"/>
          <w:szCs w:val="24"/>
        </w:rPr>
        <w:t xml:space="preserve"> NPV II </w:t>
      </w:r>
      <w:r w:rsidR="00774AA8" w:rsidRPr="00327B80">
        <w:rPr>
          <w:rFonts w:cs="Times New Roman"/>
          <w:b w:val="0"/>
          <w:szCs w:val="24"/>
        </w:rPr>
        <w:t xml:space="preserve">a Metodikou hodnocení zpracovalo </w:t>
      </w:r>
      <w:r w:rsidR="00BA00DD">
        <w:rPr>
          <w:rFonts w:cs="Times New Roman"/>
          <w:b w:val="0"/>
          <w:szCs w:val="24"/>
        </w:rPr>
        <w:t>vy</w:t>
      </w:r>
      <w:r w:rsidR="003A6300" w:rsidRPr="00327B80">
        <w:rPr>
          <w:rFonts w:cs="Times New Roman"/>
          <w:b w:val="0"/>
          <w:szCs w:val="24"/>
        </w:rPr>
        <w:t xml:space="preserve">hodnocení </w:t>
      </w:r>
      <w:r w:rsidR="00D71818" w:rsidRPr="00327B80">
        <w:rPr>
          <w:rFonts w:cs="Times New Roman"/>
          <w:b w:val="0"/>
          <w:szCs w:val="24"/>
        </w:rPr>
        <w:t xml:space="preserve">těchto programů </w:t>
      </w:r>
      <w:r w:rsidR="003A6300" w:rsidRPr="00327B80">
        <w:rPr>
          <w:rFonts w:cs="Times New Roman"/>
          <w:b w:val="0"/>
          <w:szCs w:val="24"/>
        </w:rPr>
        <w:t>Ministerstvo školství, mládeže a tělovýchovy</w:t>
      </w:r>
      <w:r w:rsidR="00565270" w:rsidRPr="00327B80">
        <w:rPr>
          <w:rFonts w:cs="Times New Roman"/>
          <w:b w:val="0"/>
          <w:szCs w:val="24"/>
        </w:rPr>
        <w:t xml:space="preserve"> a </w:t>
      </w:r>
      <w:r w:rsidR="0057011C" w:rsidRPr="00327B80">
        <w:rPr>
          <w:rFonts w:cs="Times New Roman"/>
          <w:b w:val="0"/>
          <w:szCs w:val="24"/>
        </w:rPr>
        <w:t xml:space="preserve">předložilo RVVI </w:t>
      </w:r>
      <w:r w:rsidR="00D71818" w:rsidRPr="00327B80">
        <w:rPr>
          <w:rFonts w:cs="Times New Roman"/>
          <w:b w:val="0"/>
          <w:szCs w:val="24"/>
        </w:rPr>
        <w:t xml:space="preserve">již </w:t>
      </w:r>
      <w:r w:rsidR="00565270" w:rsidRPr="00327B80">
        <w:rPr>
          <w:rFonts w:cs="Times New Roman"/>
          <w:b w:val="0"/>
          <w:szCs w:val="24"/>
        </w:rPr>
        <w:t xml:space="preserve">souhrnné </w:t>
      </w:r>
      <w:r w:rsidR="00293A1F" w:rsidRPr="00327B80">
        <w:rPr>
          <w:rFonts w:cs="Times New Roman"/>
          <w:b w:val="0"/>
          <w:szCs w:val="24"/>
        </w:rPr>
        <w:t xml:space="preserve">hodnotící </w:t>
      </w:r>
      <w:r w:rsidR="00565270" w:rsidRPr="00327B80">
        <w:rPr>
          <w:rFonts w:cs="Times New Roman"/>
          <w:b w:val="0"/>
          <w:szCs w:val="24"/>
        </w:rPr>
        <w:t>zprávy</w:t>
      </w:r>
      <w:r w:rsidR="003A6300" w:rsidRPr="00327B80">
        <w:rPr>
          <w:rFonts w:cs="Times New Roman"/>
          <w:b w:val="0"/>
          <w:szCs w:val="24"/>
        </w:rPr>
        <w:t xml:space="preserve">. </w:t>
      </w:r>
    </w:p>
    <w:p w:rsidR="00881120" w:rsidRPr="00327B80" w:rsidRDefault="00774AA8" w:rsidP="00E17B96">
      <w:pPr>
        <w:pStyle w:val="Nadpis10"/>
        <w:spacing w:after="120"/>
        <w:ind w:firstLine="709"/>
        <w:jc w:val="both"/>
        <w:rPr>
          <w:rFonts w:cs="Times New Roman"/>
          <w:b w:val="0"/>
          <w:szCs w:val="24"/>
        </w:rPr>
      </w:pPr>
      <w:r w:rsidRPr="00327B80">
        <w:rPr>
          <w:rFonts w:cs="Times New Roman"/>
          <w:b w:val="0"/>
          <w:szCs w:val="24"/>
        </w:rPr>
        <w:t>V souladu s Metodikou hodnocení nebyl hodnocen</w:t>
      </w:r>
      <w:r w:rsidR="003A6300" w:rsidRPr="00327B80">
        <w:rPr>
          <w:rFonts w:cs="Times New Roman"/>
          <w:b w:val="0"/>
          <w:szCs w:val="24"/>
        </w:rPr>
        <w:t xml:space="preserve"> </w:t>
      </w:r>
      <w:r w:rsidRPr="00327B80">
        <w:rPr>
          <w:rFonts w:cs="Times New Roman"/>
          <w:b w:val="0"/>
          <w:szCs w:val="24"/>
        </w:rPr>
        <w:t xml:space="preserve">rovněž </w:t>
      </w:r>
      <w:r w:rsidR="003A6300" w:rsidRPr="00327B80">
        <w:rPr>
          <w:rFonts w:cs="Times New Roman"/>
          <w:b w:val="0"/>
          <w:szCs w:val="24"/>
        </w:rPr>
        <w:t xml:space="preserve">program </w:t>
      </w:r>
      <w:r w:rsidR="002D4318" w:rsidRPr="00327B80">
        <w:rPr>
          <w:rFonts w:cs="Times New Roman"/>
          <w:b w:val="0"/>
          <w:szCs w:val="24"/>
        </w:rPr>
        <w:t>„</w:t>
      </w:r>
      <w:r w:rsidR="003A6300" w:rsidRPr="00327B80">
        <w:rPr>
          <w:rFonts w:cs="Times New Roman"/>
          <w:b w:val="0"/>
          <w:szCs w:val="24"/>
        </w:rPr>
        <w:t xml:space="preserve">INFOZ </w:t>
      </w:r>
      <w:r w:rsidR="00122421" w:rsidRPr="00327B80">
        <w:rPr>
          <w:rFonts w:cs="Times New Roman"/>
          <w:b w:val="0"/>
          <w:szCs w:val="24"/>
        </w:rPr>
        <w:t>(</w:t>
      </w:r>
      <w:r w:rsidR="003A6300" w:rsidRPr="00327B80">
        <w:rPr>
          <w:rFonts w:cs="Times New Roman"/>
          <w:b w:val="0"/>
          <w:szCs w:val="24"/>
        </w:rPr>
        <w:t xml:space="preserve">Informační zdroje </w:t>
      </w:r>
      <w:r w:rsidR="00122421" w:rsidRPr="00327B80">
        <w:rPr>
          <w:rFonts w:cs="Times New Roman"/>
          <w:b w:val="0"/>
          <w:szCs w:val="24"/>
        </w:rPr>
        <w:t>pro</w:t>
      </w:r>
      <w:r w:rsidR="003A6300" w:rsidRPr="00327B80">
        <w:rPr>
          <w:rFonts w:cs="Times New Roman"/>
          <w:b w:val="0"/>
          <w:szCs w:val="24"/>
        </w:rPr>
        <w:t xml:space="preserve"> výzkum</w:t>
      </w:r>
      <w:r w:rsidR="00122421" w:rsidRPr="00327B80">
        <w:rPr>
          <w:rFonts w:cs="Times New Roman"/>
          <w:b w:val="0"/>
          <w:szCs w:val="24"/>
        </w:rPr>
        <w:t>)</w:t>
      </w:r>
      <w:r w:rsidR="002D4318" w:rsidRPr="00327B80">
        <w:rPr>
          <w:rFonts w:cs="Times New Roman"/>
          <w:b w:val="0"/>
          <w:szCs w:val="24"/>
        </w:rPr>
        <w:t>“</w:t>
      </w:r>
      <w:r w:rsidR="003A6300" w:rsidRPr="00327B80">
        <w:rPr>
          <w:rFonts w:cs="Times New Roman"/>
          <w:b w:val="0"/>
          <w:szCs w:val="24"/>
        </w:rPr>
        <w:t xml:space="preserve"> </w:t>
      </w:r>
      <w:r w:rsidR="00881120" w:rsidRPr="00327B80">
        <w:rPr>
          <w:rFonts w:cs="Times New Roman"/>
          <w:b w:val="0"/>
          <w:szCs w:val="24"/>
        </w:rPr>
        <w:t>evidovaný v IS VaVaI pod identifikačním kódem VZ</w:t>
      </w:r>
      <w:r w:rsidRPr="00327B80">
        <w:rPr>
          <w:rFonts w:cs="Times New Roman"/>
          <w:b w:val="0"/>
          <w:szCs w:val="24"/>
        </w:rPr>
        <w:t xml:space="preserve"> a</w:t>
      </w:r>
      <w:r w:rsidR="00495517">
        <w:rPr>
          <w:rFonts w:cs="Times New Roman"/>
          <w:b w:val="0"/>
          <w:szCs w:val="24"/>
        </w:rPr>
        <w:t> </w:t>
      </w:r>
      <w:r w:rsidR="00565270" w:rsidRPr="00327B80">
        <w:rPr>
          <w:rFonts w:cs="Times New Roman"/>
          <w:b w:val="0"/>
          <w:szCs w:val="24"/>
        </w:rPr>
        <w:t>program</w:t>
      </w:r>
      <w:r w:rsidR="00881120" w:rsidRPr="00327B80">
        <w:rPr>
          <w:rFonts w:cs="Times New Roman"/>
          <w:b w:val="0"/>
          <w:szCs w:val="24"/>
        </w:rPr>
        <w:t xml:space="preserve"> </w:t>
      </w:r>
      <w:r w:rsidR="002D4318" w:rsidRPr="00327B80">
        <w:rPr>
          <w:rFonts w:cs="Times New Roman"/>
          <w:b w:val="0"/>
          <w:szCs w:val="24"/>
        </w:rPr>
        <w:t>„</w:t>
      </w:r>
      <w:r w:rsidR="003A6300" w:rsidRPr="00327B80">
        <w:rPr>
          <w:rFonts w:cs="Times New Roman"/>
          <w:b w:val="0"/>
          <w:szCs w:val="24"/>
        </w:rPr>
        <w:t>Projekty pro státní správu</w:t>
      </w:r>
      <w:r w:rsidR="002D4318" w:rsidRPr="00327B80">
        <w:rPr>
          <w:rFonts w:cs="Times New Roman"/>
          <w:b w:val="0"/>
          <w:szCs w:val="24"/>
        </w:rPr>
        <w:t>“</w:t>
      </w:r>
      <w:r w:rsidR="00881120" w:rsidRPr="00327B80">
        <w:rPr>
          <w:rFonts w:cs="Times New Roman"/>
          <w:b w:val="0"/>
          <w:szCs w:val="24"/>
        </w:rPr>
        <w:t xml:space="preserve"> evidovaný v IS VaVaI pod identifikačním kódem LS</w:t>
      </w:r>
      <w:r w:rsidRPr="00327B80">
        <w:rPr>
          <w:rFonts w:cs="Times New Roman"/>
          <w:b w:val="0"/>
          <w:szCs w:val="24"/>
        </w:rPr>
        <w:t xml:space="preserve">. RVVI dále nehodnotila </w:t>
      </w:r>
      <w:r w:rsidR="00122421" w:rsidRPr="00327B80">
        <w:rPr>
          <w:rFonts w:cs="Times New Roman"/>
          <w:b w:val="0"/>
          <w:szCs w:val="24"/>
        </w:rPr>
        <w:t>p</w:t>
      </w:r>
      <w:r w:rsidR="00881120" w:rsidRPr="00327B80">
        <w:rPr>
          <w:rFonts w:cs="Times New Roman"/>
          <w:b w:val="0"/>
          <w:szCs w:val="24"/>
        </w:rPr>
        <w:t xml:space="preserve">rogram </w:t>
      </w:r>
      <w:r w:rsidR="002D4318" w:rsidRPr="00327B80">
        <w:rPr>
          <w:rFonts w:cs="Times New Roman"/>
          <w:b w:val="0"/>
          <w:szCs w:val="24"/>
        </w:rPr>
        <w:t>„</w:t>
      </w:r>
      <w:r w:rsidR="00881120" w:rsidRPr="00327B80">
        <w:rPr>
          <w:rFonts w:cs="Times New Roman"/>
          <w:b w:val="0"/>
          <w:szCs w:val="24"/>
        </w:rPr>
        <w:t>Výzkum a vývoj pro potřeby státní správy</w:t>
      </w:r>
      <w:r w:rsidR="002D4318" w:rsidRPr="00327B80">
        <w:rPr>
          <w:rFonts w:cs="Times New Roman"/>
          <w:b w:val="0"/>
          <w:szCs w:val="24"/>
        </w:rPr>
        <w:t>“</w:t>
      </w:r>
      <w:r w:rsidR="00947C9D">
        <w:rPr>
          <w:rFonts w:cs="Times New Roman"/>
          <w:b w:val="0"/>
          <w:szCs w:val="24"/>
        </w:rPr>
        <w:t xml:space="preserve"> evidovaný v IS </w:t>
      </w:r>
      <w:proofErr w:type="spellStart"/>
      <w:r w:rsidR="00881120" w:rsidRPr="00327B80">
        <w:rPr>
          <w:rFonts w:cs="Times New Roman"/>
          <w:b w:val="0"/>
          <w:szCs w:val="24"/>
        </w:rPr>
        <w:t>VaVaI</w:t>
      </w:r>
      <w:proofErr w:type="spellEnd"/>
      <w:r w:rsidR="00881120" w:rsidRPr="00327B80">
        <w:rPr>
          <w:rFonts w:cs="Times New Roman"/>
          <w:b w:val="0"/>
          <w:szCs w:val="24"/>
        </w:rPr>
        <w:t xml:space="preserve"> pod</w:t>
      </w:r>
      <w:r w:rsidR="001F473D">
        <w:rPr>
          <w:rFonts w:cs="Times New Roman"/>
          <w:b w:val="0"/>
          <w:szCs w:val="24"/>
        </w:rPr>
        <w:t> </w:t>
      </w:r>
      <w:r w:rsidR="00881120" w:rsidRPr="00327B80">
        <w:rPr>
          <w:rFonts w:cs="Times New Roman"/>
          <w:b w:val="0"/>
          <w:szCs w:val="24"/>
        </w:rPr>
        <w:t>identifikačním kódem WE</w:t>
      </w:r>
      <w:r w:rsidR="00122421" w:rsidRPr="00327B80">
        <w:rPr>
          <w:rFonts w:cs="Times New Roman"/>
          <w:b w:val="0"/>
          <w:szCs w:val="24"/>
        </w:rPr>
        <w:t xml:space="preserve">, </w:t>
      </w:r>
      <w:r w:rsidRPr="00327B80">
        <w:rPr>
          <w:rFonts w:cs="Times New Roman"/>
          <w:b w:val="0"/>
          <w:szCs w:val="24"/>
        </w:rPr>
        <w:t xml:space="preserve">který </w:t>
      </w:r>
      <w:r w:rsidR="00881120" w:rsidRPr="00327B80">
        <w:rPr>
          <w:rFonts w:cs="Times New Roman"/>
          <w:b w:val="0"/>
          <w:szCs w:val="24"/>
        </w:rPr>
        <w:t>v důsledku snížení výdajů státního rozpočtu na</w:t>
      </w:r>
      <w:r w:rsidR="00FB2C8E">
        <w:rPr>
          <w:rFonts w:cs="Times New Roman"/>
          <w:b w:val="0"/>
          <w:szCs w:val="24"/>
        </w:rPr>
        <w:t> </w:t>
      </w:r>
      <w:r w:rsidR="00881120" w:rsidRPr="00327B80">
        <w:rPr>
          <w:rFonts w:cs="Times New Roman"/>
          <w:b w:val="0"/>
          <w:szCs w:val="24"/>
        </w:rPr>
        <w:t>výzkum, vývoj a inovace</w:t>
      </w:r>
      <w:r w:rsidR="00122421" w:rsidRPr="00327B80">
        <w:rPr>
          <w:rFonts w:cs="Times New Roman"/>
          <w:b w:val="0"/>
          <w:szCs w:val="24"/>
        </w:rPr>
        <w:t xml:space="preserve"> </w:t>
      </w:r>
      <w:r w:rsidRPr="00327B80">
        <w:rPr>
          <w:rFonts w:cs="Times New Roman"/>
          <w:b w:val="0"/>
          <w:szCs w:val="24"/>
        </w:rPr>
        <w:t xml:space="preserve">nebyl </w:t>
      </w:r>
      <w:r w:rsidR="00122421" w:rsidRPr="00327B80">
        <w:rPr>
          <w:rFonts w:cs="Times New Roman"/>
          <w:b w:val="0"/>
          <w:szCs w:val="24"/>
        </w:rPr>
        <w:t>realizován</w:t>
      </w:r>
      <w:r w:rsidR="00881120" w:rsidRPr="00327B80">
        <w:rPr>
          <w:rFonts w:cs="Times New Roman"/>
          <w:b w:val="0"/>
          <w:szCs w:val="24"/>
        </w:rPr>
        <w:t>.</w:t>
      </w:r>
    </w:p>
    <w:p w:rsidR="00032242" w:rsidRPr="00327B80" w:rsidRDefault="00AF57D3" w:rsidP="002927A4">
      <w:pPr>
        <w:pStyle w:val="Nadpis10"/>
        <w:numPr>
          <w:ilvl w:val="0"/>
          <w:numId w:val="34"/>
        </w:numPr>
        <w:spacing w:after="120"/>
        <w:jc w:val="both"/>
        <w:rPr>
          <w:rFonts w:cs="Times New Roman"/>
          <w:szCs w:val="24"/>
        </w:rPr>
      </w:pPr>
      <w:r w:rsidRPr="00327B80">
        <w:rPr>
          <w:rFonts w:cs="Times New Roman"/>
          <w:szCs w:val="24"/>
        </w:rPr>
        <w:t>Harmonogram hodnocení</w:t>
      </w:r>
    </w:p>
    <w:p w:rsidR="00AD0D5F" w:rsidRPr="00327B80" w:rsidRDefault="00032242" w:rsidP="001F6CB0">
      <w:pPr>
        <w:spacing w:after="120" w:line="240" w:lineRule="auto"/>
        <w:jc w:val="both"/>
        <w:rPr>
          <w:rFonts w:ascii="Times New Roman" w:hAnsi="Times New Roman" w:cs="Times New Roman"/>
          <w:sz w:val="24"/>
          <w:szCs w:val="24"/>
        </w:rPr>
      </w:pPr>
      <w:r w:rsidRPr="00327B80">
        <w:rPr>
          <w:rFonts w:ascii="Times New Roman" w:hAnsi="Times New Roman" w:cs="Times New Roman"/>
          <w:sz w:val="24"/>
          <w:szCs w:val="24"/>
        </w:rPr>
        <w:t xml:space="preserve">Hodnocení probíhalo </w:t>
      </w:r>
      <w:r w:rsidR="00AD0D5F" w:rsidRPr="00327B80">
        <w:rPr>
          <w:rFonts w:ascii="Times New Roman" w:hAnsi="Times New Roman" w:cs="Times New Roman"/>
          <w:sz w:val="24"/>
          <w:szCs w:val="24"/>
        </w:rPr>
        <w:t xml:space="preserve">v souladu s Metodikou hodnocení </w:t>
      </w:r>
      <w:r w:rsidRPr="00327B80">
        <w:rPr>
          <w:rFonts w:ascii="Times New Roman" w:hAnsi="Times New Roman" w:cs="Times New Roman"/>
          <w:sz w:val="24"/>
          <w:szCs w:val="24"/>
        </w:rPr>
        <w:t>v</w:t>
      </w:r>
      <w:r w:rsidR="00AD0D5F" w:rsidRPr="00327B80">
        <w:rPr>
          <w:rFonts w:ascii="Times New Roman" w:hAnsi="Times New Roman" w:cs="Times New Roman"/>
          <w:sz w:val="24"/>
          <w:szCs w:val="24"/>
        </w:rPr>
        <w:t> </w:t>
      </w:r>
      <w:r w:rsidR="00AF57D3" w:rsidRPr="00327B80">
        <w:rPr>
          <w:rFonts w:ascii="Times New Roman" w:hAnsi="Times New Roman" w:cs="Times New Roman"/>
          <w:sz w:val="24"/>
          <w:szCs w:val="24"/>
        </w:rPr>
        <w:t>následujících</w:t>
      </w:r>
      <w:r w:rsidRPr="00327B80">
        <w:rPr>
          <w:rFonts w:ascii="Times New Roman" w:hAnsi="Times New Roman" w:cs="Times New Roman"/>
          <w:sz w:val="24"/>
          <w:szCs w:val="24"/>
        </w:rPr>
        <w:t xml:space="preserve"> etapách</w:t>
      </w:r>
      <w:r w:rsidR="00AD0D5F" w:rsidRPr="00327B80">
        <w:rPr>
          <w:rFonts w:ascii="Times New Roman" w:hAnsi="Times New Roman" w:cs="Times New Roman"/>
          <w:sz w:val="24"/>
          <w:szCs w:val="24"/>
        </w:rPr>
        <w:t>:</w:t>
      </w:r>
    </w:p>
    <w:p w:rsidR="00AD0D5F" w:rsidRPr="00947C9D" w:rsidRDefault="00AD0D5F" w:rsidP="00947C9D">
      <w:pPr>
        <w:pStyle w:val="Odstavecseseznamem"/>
        <w:numPr>
          <w:ilvl w:val="0"/>
          <w:numId w:val="37"/>
        </w:numPr>
        <w:spacing w:after="120" w:line="240" w:lineRule="auto"/>
        <w:ind w:left="714" w:hanging="357"/>
        <w:contextualSpacing w:val="0"/>
        <w:jc w:val="both"/>
        <w:rPr>
          <w:rFonts w:ascii="Times New Roman" w:hAnsi="Times New Roman" w:cs="Times New Roman"/>
          <w:sz w:val="24"/>
          <w:szCs w:val="24"/>
        </w:rPr>
      </w:pPr>
      <w:r w:rsidRPr="00947C9D">
        <w:rPr>
          <w:rFonts w:ascii="Times New Roman" w:hAnsi="Times New Roman" w:cs="Times New Roman"/>
          <w:sz w:val="24"/>
          <w:szCs w:val="24"/>
        </w:rPr>
        <w:t>do 6. září 2012 – provozovatel IS VaVaI provedl v souladu s Metodikou hodnocení uzávěrku údajů, které byly vloženy do IS VaVaI pro účely Hodnocení;</w:t>
      </w:r>
    </w:p>
    <w:p w:rsidR="00AD0D5F" w:rsidRPr="00947C9D" w:rsidRDefault="00AD0D5F" w:rsidP="00947C9D">
      <w:pPr>
        <w:pStyle w:val="Odstavecseseznamem"/>
        <w:numPr>
          <w:ilvl w:val="0"/>
          <w:numId w:val="37"/>
        </w:numPr>
        <w:tabs>
          <w:tab w:val="left" w:pos="0"/>
        </w:tabs>
        <w:spacing w:after="120" w:line="240" w:lineRule="auto"/>
        <w:ind w:left="714" w:hanging="357"/>
        <w:contextualSpacing w:val="0"/>
        <w:jc w:val="both"/>
        <w:rPr>
          <w:rFonts w:ascii="Times New Roman" w:hAnsi="Times New Roman" w:cs="Times New Roman"/>
          <w:sz w:val="24"/>
          <w:szCs w:val="24"/>
        </w:rPr>
      </w:pPr>
      <w:r w:rsidRPr="00947C9D">
        <w:rPr>
          <w:rFonts w:ascii="Times New Roman" w:hAnsi="Times New Roman" w:cs="Times New Roman"/>
          <w:sz w:val="24"/>
          <w:szCs w:val="24"/>
        </w:rPr>
        <w:t>do 30. října 201</w:t>
      </w:r>
      <w:r w:rsidR="00595793" w:rsidRPr="00947C9D">
        <w:rPr>
          <w:rFonts w:ascii="Times New Roman" w:hAnsi="Times New Roman" w:cs="Times New Roman"/>
          <w:sz w:val="24"/>
          <w:szCs w:val="24"/>
        </w:rPr>
        <w:t>2</w:t>
      </w:r>
      <w:r w:rsidRPr="00947C9D">
        <w:rPr>
          <w:rFonts w:ascii="Times New Roman" w:hAnsi="Times New Roman" w:cs="Times New Roman"/>
          <w:sz w:val="24"/>
          <w:szCs w:val="24"/>
        </w:rPr>
        <w:t xml:space="preserve"> – poskytovatelé zaslali RVVI souhrnné zprávy o jimi provedeném hodnocení programů ukončených v roce 2011</w:t>
      </w:r>
      <w:r w:rsidR="00EF0527" w:rsidRPr="00947C9D">
        <w:rPr>
          <w:rFonts w:ascii="Times New Roman" w:hAnsi="Times New Roman" w:cs="Times New Roman"/>
          <w:sz w:val="24"/>
          <w:szCs w:val="24"/>
        </w:rPr>
        <w:t xml:space="preserve"> dle předepsané struktury (základní údaje o schválených programech a jejich realizaci, výčet zvlášť významných výsledků projektů řešených v rámci programů, včetně informací o způsobu jejich využití, srovnání dosažených výsledků se schválenými cíli programů a srovnání dosažených výsledků programů se stavem v zahraničí)</w:t>
      </w:r>
      <w:r w:rsidRPr="00947C9D">
        <w:rPr>
          <w:rFonts w:ascii="Times New Roman" w:hAnsi="Times New Roman" w:cs="Times New Roman"/>
          <w:sz w:val="24"/>
          <w:szCs w:val="24"/>
        </w:rPr>
        <w:t xml:space="preserve">; </w:t>
      </w:r>
    </w:p>
    <w:p w:rsidR="00032242" w:rsidRPr="00947C9D" w:rsidRDefault="00AD0D5F" w:rsidP="00947C9D">
      <w:pPr>
        <w:pStyle w:val="Odstavecseseznamem"/>
        <w:numPr>
          <w:ilvl w:val="0"/>
          <w:numId w:val="37"/>
        </w:numPr>
        <w:spacing w:after="120" w:line="240" w:lineRule="auto"/>
        <w:ind w:left="714" w:hanging="357"/>
        <w:contextualSpacing w:val="0"/>
        <w:jc w:val="both"/>
        <w:rPr>
          <w:rFonts w:ascii="Times New Roman" w:hAnsi="Times New Roman" w:cs="Times New Roman"/>
          <w:sz w:val="24"/>
          <w:szCs w:val="24"/>
        </w:rPr>
      </w:pPr>
      <w:r w:rsidRPr="00947C9D">
        <w:rPr>
          <w:rFonts w:ascii="Times New Roman" w:hAnsi="Times New Roman" w:cs="Times New Roman"/>
          <w:sz w:val="24"/>
          <w:szCs w:val="24"/>
        </w:rPr>
        <w:t>led</w:t>
      </w:r>
      <w:r w:rsidR="00AF57D3" w:rsidRPr="00947C9D">
        <w:rPr>
          <w:rFonts w:ascii="Times New Roman" w:hAnsi="Times New Roman" w:cs="Times New Roman"/>
          <w:sz w:val="24"/>
          <w:szCs w:val="24"/>
        </w:rPr>
        <w:t>en</w:t>
      </w:r>
      <w:r w:rsidRPr="00947C9D">
        <w:rPr>
          <w:rFonts w:ascii="Times New Roman" w:hAnsi="Times New Roman" w:cs="Times New Roman"/>
          <w:sz w:val="24"/>
          <w:szCs w:val="24"/>
        </w:rPr>
        <w:t xml:space="preserve"> 201</w:t>
      </w:r>
      <w:r w:rsidR="007170A6" w:rsidRPr="00947C9D">
        <w:rPr>
          <w:rFonts w:ascii="Times New Roman" w:hAnsi="Times New Roman" w:cs="Times New Roman"/>
          <w:sz w:val="24"/>
          <w:szCs w:val="24"/>
        </w:rPr>
        <w:t>3</w:t>
      </w:r>
      <w:r w:rsidRPr="00947C9D">
        <w:rPr>
          <w:rFonts w:ascii="Times New Roman" w:hAnsi="Times New Roman" w:cs="Times New Roman"/>
          <w:sz w:val="24"/>
          <w:szCs w:val="24"/>
        </w:rPr>
        <w:t xml:space="preserve"> – RVVI projednala materiál „Souhrnné vyhodnocení výsledků programů výzkumu, vývoje a inovací ukončených v roce 2011“</w:t>
      </w:r>
      <w:r w:rsidR="00AF57D3" w:rsidRPr="00947C9D">
        <w:rPr>
          <w:rFonts w:ascii="Times New Roman" w:hAnsi="Times New Roman" w:cs="Times New Roman"/>
          <w:sz w:val="24"/>
          <w:szCs w:val="24"/>
        </w:rPr>
        <w:t>.</w:t>
      </w:r>
      <w:r w:rsidRPr="00947C9D">
        <w:rPr>
          <w:rFonts w:ascii="Times New Roman" w:hAnsi="Times New Roman" w:cs="Times New Roman"/>
          <w:sz w:val="24"/>
          <w:szCs w:val="24"/>
        </w:rPr>
        <w:t xml:space="preserve"> </w:t>
      </w:r>
    </w:p>
    <w:p w:rsidR="00AF57D3" w:rsidRPr="00327B80" w:rsidRDefault="00EF0527" w:rsidP="002927A4">
      <w:pPr>
        <w:pStyle w:val="Nadpis10"/>
        <w:numPr>
          <w:ilvl w:val="0"/>
          <w:numId w:val="34"/>
        </w:numPr>
        <w:spacing w:after="120"/>
        <w:jc w:val="both"/>
        <w:rPr>
          <w:rFonts w:cs="Times New Roman"/>
          <w:szCs w:val="24"/>
        </w:rPr>
      </w:pPr>
      <w:r>
        <w:rPr>
          <w:rFonts w:cs="Times New Roman"/>
          <w:szCs w:val="24"/>
        </w:rPr>
        <w:t>Postup</w:t>
      </w:r>
      <w:r w:rsidR="00AF57D3" w:rsidRPr="00327B80">
        <w:rPr>
          <w:rFonts w:cs="Times New Roman"/>
          <w:szCs w:val="24"/>
        </w:rPr>
        <w:t xml:space="preserve"> hodnocení</w:t>
      </w:r>
    </w:p>
    <w:p w:rsidR="00FC2DC3" w:rsidRPr="00327B80" w:rsidRDefault="00EF0527"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Hodnocení bylo provedeno v souladu s platnou </w:t>
      </w:r>
      <w:r w:rsidR="00500C7D">
        <w:rPr>
          <w:rFonts w:ascii="Times New Roman" w:hAnsi="Times New Roman" w:cs="Times New Roman"/>
          <w:sz w:val="24"/>
          <w:szCs w:val="24"/>
        </w:rPr>
        <w:t>M</w:t>
      </w:r>
      <w:r>
        <w:rPr>
          <w:rFonts w:ascii="Times New Roman" w:hAnsi="Times New Roman" w:cs="Times New Roman"/>
          <w:sz w:val="24"/>
          <w:szCs w:val="24"/>
        </w:rPr>
        <w:t xml:space="preserve">etodikou </w:t>
      </w:r>
      <w:r w:rsidRPr="00EF0527">
        <w:rPr>
          <w:rFonts w:ascii="Times New Roman" w:hAnsi="Times New Roman" w:cs="Times New Roman"/>
          <w:sz w:val="24"/>
          <w:szCs w:val="24"/>
        </w:rPr>
        <w:t>porovnáním hodnoty Indexu SR programů pro každý hodnocený ukončený program s průměrnou hodnotou Indexu SR programů všech ukončených programů.</w:t>
      </w:r>
      <w:r w:rsidR="00500C7D">
        <w:rPr>
          <w:rFonts w:ascii="Times New Roman" w:hAnsi="Times New Roman" w:cs="Times New Roman"/>
          <w:sz w:val="24"/>
          <w:szCs w:val="24"/>
        </w:rPr>
        <w:t xml:space="preserve"> </w:t>
      </w:r>
      <w:r w:rsidR="00843FBD" w:rsidRPr="00327B80">
        <w:rPr>
          <w:rFonts w:ascii="Times New Roman" w:hAnsi="Times New Roman" w:cs="Times New Roman"/>
          <w:sz w:val="24"/>
          <w:szCs w:val="24"/>
        </w:rPr>
        <w:t>RVVI</w:t>
      </w:r>
      <w:r w:rsidR="00FC2DC3" w:rsidRPr="00327B80">
        <w:rPr>
          <w:rFonts w:ascii="Times New Roman" w:hAnsi="Times New Roman" w:cs="Times New Roman"/>
          <w:sz w:val="24"/>
          <w:szCs w:val="24"/>
        </w:rPr>
        <w:t xml:space="preserve"> zahrnu</w:t>
      </w:r>
      <w:r w:rsidR="00843FBD" w:rsidRPr="00327B80">
        <w:rPr>
          <w:rFonts w:ascii="Times New Roman" w:hAnsi="Times New Roman" w:cs="Times New Roman"/>
          <w:sz w:val="24"/>
          <w:szCs w:val="24"/>
        </w:rPr>
        <w:t>la</w:t>
      </w:r>
      <w:r w:rsidR="00FC2DC3" w:rsidRPr="00327B80">
        <w:rPr>
          <w:rFonts w:ascii="Times New Roman" w:hAnsi="Times New Roman" w:cs="Times New Roman"/>
          <w:sz w:val="24"/>
          <w:szCs w:val="24"/>
        </w:rPr>
        <w:t xml:space="preserve"> </w:t>
      </w:r>
      <w:r w:rsidR="002D4318" w:rsidRPr="00327B80">
        <w:rPr>
          <w:rFonts w:ascii="Times New Roman" w:hAnsi="Times New Roman" w:cs="Times New Roman"/>
          <w:sz w:val="24"/>
          <w:szCs w:val="24"/>
        </w:rPr>
        <w:t xml:space="preserve">do </w:t>
      </w:r>
      <w:r w:rsidR="00500C7D">
        <w:rPr>
          <w:rFonts w:ascii="Times New Roman" w:hAnsi="Times New Roman" w:cs="Times New Roman"/>
          <w:sz w:val="24"/>
          <w:szCs w:val="24"/>
        </w:rPr>
        <w:t>H</w:t>
      </w:r>
      <w:r w:rsidR="002D4318" w:rsidRPr="00327B80">
        <w:rPr>
          <w:rFonts w:ascii="Times New Roman" w:hAnsi="Times New Roman" w:cs="Times New Roman"/>
          <w:sz w:val="24"/>
          <w:szCs w:val="24"/>
        </w:rPr>
        <w:t xml:space="preserve">odnocení </w:t>
      </w:r>
      <w:r w:rsidR="00FC2DC3" w:rsidRPr="00327B80">
        <w:rPr>
          <w:rFonts w:ascii="Times New Roman" w:hAnsi="Times New Roman" w:cs="Times New Roman"/>
          <w:sz w:val="24"/>
          <w:szCs w:val="24"/>
        </w:rPr>
        <w:t>všechny projekty, kterým byla poskytnuta podpora z veřejných prostředků, a jejichž řešení bylo ukončeno do</w:t>
      </w:r>
      <w:r w:rsidR="0014285B">
        <w:rPr>
          <w:rFonts w:ascii="Times New Roman" w:hAnsi="Times New Roman" w:cs="Times New Roman"/>
          <w:sz w:val="24"/>
          <w:szCs w:val="24"/>
        </w:rPr>
        <w:t> </w:t>
      </w:r>
      <w:r w:rsidR="00FC2DC3" w:rsidRPr="00327B80">
        <w:rPr>
          <w:rFonts w:ascii="Times New Roman" w:hAnsi="Times New Roman" w:cs="Times New Roman"/>
          <w:sz w:val="24"/>
          <w:szCs w:val="24"/>
        </w:rPr>
        <w:t>31.</w:t>
      </w:r>
      <w:r w:rsidR="00843FBD" w:rsidRPr="00327B80">
        <w:rPr>
          <w:rFonts w:ascii="Times New Roman" w:hAnsi="Times New Roman" w:cs="Times New Roman"/>
          <w:sz w:val="24"/>
          <w:szCs w:val="24"/>
        </w:rPr>
        <w:t> </w:t>
      </w:r>
      <w:r w:rsidR="00FC2DC3" w:rsidRPr="00327B80">
        <w:rPr>
          <w:rFonts w:ascii="Times New Roman" w:hAnsi="Times New Roman" w:cs="Times New Roman"/>
          <w:sz w:val="24"/>
          <w:szCs w:val="24"/>
        </w:rPr>
        <w:t xml:space="preserve">prosince 2011. </w:t>
      </w:r>
    </w:p>
    <w:p w:rsidR="00843FBD" w:rsidRPr="001B2B7A" w:rsidRDefault="001844AD" w:rsidP="00E17B96">
      <w:pPr>
        <w:spacing w:after="120" w:line="240" w:lineRule="auto"/>
        <w:ind w:firstLine="709"/>
        <w:jc w:val="both"/>
        <w:rPr>
          <w:rFonts w:ascii="Times New Roman" w:hAnsi="Times New Roman" w:cs="Times New Roman"/>
          <w:sz w:val="24"/>
          <w:szCs w:val="24"/>
        </w:rPr>
      </w:pPr>
      <w:r w:rsidRPr="001B2B7A">
        <w:rPr>
          <w:rFonts w:ascii="Times New Roman" w:hAnsi="Times New Roman" w:cs="Times New Roman"/>
          <w:sz w:val="24"/>
          <w:szCs w:val="24"/>
        </w:rPr>
        <w:t>Údaje obsažené</w:t>
      </w:r>
      <w:r w:rsidR="00F977FB" w:rsidRPr="001B2B7A">
        <w:rPr>
          <w:rFonts w:ascii="Times New Roman" w:hAnsi="Times New Roman" w:cs="Times New Roman"/>
          <w:sz w:val="24"/>
          <w:szCs w:val="24"/>
        </w:rPr>
        <w:t xml:space="preserve"> </w:t>
      </w:r>
      <w:r w:rsidR="00FC2DC3" w:rsidRPr="001B2B7A">
        <w:rPr>
          <w:rFonts w:ascii="Times New Roman" w:hAnsi="Times New Roman" w:cs="Times New Roman"/>
          <w:sz w:val="24"/>
          <w:szCs w:val="24"/>
        </w:rPr>
        <w:t>v</w:t>
      </w:r>
      <w:r w:rsidR="00C92BE5" w:rsidRPr="001B2B7A">
        <w:rPr>
          <w:rFonts w:ascii="Times New Roman" w:hAnsi="Times New Roman" w:cs="Times New Roman"/>
          <w:sz w:val="24"/>
          <w:szCs w:val="24"/>
        </w:rPr>
        <w:t> IS VaVaI</w:t>
      </w:r>
      <w:r w:rsidR="00FC2DC3" w:rsidRPr="001B2B7A">
        <w:rPr>
          <w:rFonts w:ascii="Times New Roman" w:hAnsi="Times New Roman" w:cs="Times New Roman"/>
          <w:sz w:val="24"/>
          <w:szCs w:val="24"/>
        </w:rPr>
        <w:t xml:space="preserve"> (</w:t>
      </w:r>
      <w:r w:rsidR="00500C7D" w:rsidRPr="001B2B7A">
        <w:rPr>
          <w:rFonts w:ascii="Times New Roman" w:hAnsi="Times New Roman" w:cs="Times New Roman"/>
          <w:sz w:val="24"/>
          <w:szCs w:val="24"/>
        </w:rPr>
        <w:t>p</w:t>
      </w:r>
      <w:r w:rsidR="00FC2DC3" w:rsidRPr="001B2B7A">
        <w:rPr>
          <w:rFonts w:ascii="Times New Roman" w:hAnsi="Times New Roman" w:cs="Times New Roman"/>
          <w:sz w:val="24"/>
          <w:szCs w:val="24"/>
        </w:rPr>
        <w:t xml:space="preserve">oskytovatelům </w:t>
      </w:r>
      <w:r w:rsidR="00A4687A" w:rsidRPr="001B2B7A">
        <w:rPr>
          <w:rFonts w:ascii="Times New Roman" w:hAnsi="Times New Roman" w:cs="Times New Roman"/>
          <w:sz w:val="24"/>
          <w:szCs w:val="24"/>
        </w:rPr>
        <w:t>je</w:t>
      </w:r>
      <w:r w:rsidR="00293A1F" w:rsidRPr="001B2B7A">
        <w:rPr>
          <w:rFonts w:ascii="Times New Roman" w:hAnsi="Times New Roman" w:cs="Times New Roman"/>
          <w:sz w:val="24"/>
          <w:szCs w:val="24"/>
        </w:rPr>
        <w:t xml:space="preserve"> </w:t>
      </w:r>
      <w:r w:rsidR="00500C7D" w:rsidRPr="001B2B7A">
        <w:rPr>
          <w:rFonts w:ascii="Times New Roman" w:hAnsi="Times New Roman" w:cs="Times New Roman"/>
          <w:sz w:val="24"/>
          <w:szCs w:val="24"/>
        </w:rPr>
        <w:t xml:space="preserve">podle </w:t>
      </w:r>
      <w:r w:rsidR="00F977FB" w:rsidRPr="001B2B7A">
        <w:rPr>
          <w:rFonts w:ascii="Times New Roman" w:hAnsi="Times New Roman" w:cs="Times New Roman"/>
          <w:sz w:val="24"/>
          <w:szCs w:val="24"/>
        </w:rPr>
        <w:t xml:space="preserve">§ 31 </w:t>
      </w:r>
      <w:r w:rsidR="00C6299B" w:rsidRPr="001B2B7A">
        <w:rPr>
          <w:rFonts w:ascii="Times New Roman" w:hAnsi="Times New Roman" w:cs="Times New Roman"/>
          <w:sz w:val="24"/>
          <w:szCs w:val="24"/>
        </w:rPr>
        <w:t>odst</w:t>
      </w:r>
      <w:r w:rsidR="001B2B7A" w:rsidRPr="001B2B7A">
        <w:rPr>
          <w:rFonts w:ascii="Times New Roman" w:hAnsi="Times New Roman" w:cs="Times New Roman"/>
          <w:sz w:val="24"/>
          <w:szCs w:val="24"/>
        </w:rPr>
        <w:t>.</w:t>
      </w:r>
      <w:r w:rsidR="00C6299B" w:rsidRPr="001B2B7A">
        <w:rPr>
          <w:rFonts w:ascii="Times New Roman" w:hAnsi="Times New Roman" w:cs="Times New Roman"/>
          <w:sz w:val="24"/>
          <w:szCs w:val="24"/>
        </w:rPr>
        <w:t xml:space="preserve"> 6 </w:t>
      </w:r>
      <w:r w:rsidR="00FC2DC3" w:rsidRPr="001B2B7A">
        <w:rPr>
          <w:rFonts w:ascii="Times New Roman" w:hAnsi="Times New Roman" w:cs="Times New Roman"/>
          <w:sz w:val="24"/>
          <w:szCs w:val="24"/>
        </w:rPr>
        <w:t>zákon</w:t>
      </w:r>
      <w:r w:rsidR="00F977FB" w:rsidRPr="001B2B7A">
        <w:rPr>
          <w:rFonts w:ascii="Times New Roman" w:hAnsi="Times New Roman" w:cs="Times New Roman"/>
          <w:sz w:val="24"/>
          <w:szCs w:val="24"/>
        </w:rPr>
        <w:t>a</w:t>
      </w:r>
      <w:r w:rsidR="00FC2DC3" w:rsidRPr="001B2B7A">
        <w:rPr>
          <w:rFonts w:ascii="Times New Roman" w:hAnsi="Times New Roman" w:cs="Times New Roman"/>
          <w:sz w:val="24"/>
          <w:szCs w:val="24"/>
        </w:rPr>
        <w:t xml:space="preserve"> </w:t>
      </w:r>
      <w:r w:rsidR="00F977FB" w:rsidRPr="001B2B7A">
        <w:rPr>
          <w:rFonts w:ascii="Times New Roman" w:hAnsi="Times New Roman" w:cs="Times New Roman"/>
          <w:sz w:val="24"/>
          <w:szCs w:val="24"/>
        </w:rPr>
        <w:t xml:space="preserve">o podpoře výzkumu, experimentálního vývoje a inovací </w:t>
      </w:r>
      <w:r w:rsidR="00A4687A" w:rsidRPr="001B2B7A">
        <w:rPr>
          <w:rFonts w:ascii="Times New Roman" w:hAnsi="Times New Roman" w:cs="Times New Roman"/>
          <w:sz w:val="24"/>
          <w:szCs w:val="24"/>
        </w:rPr>
        <w:t xml:space="preserve">uložena </w:t>
      </w:r>
      <w:r w:rsidR="00FC2DC3" w:rsidRPr="001B2B7A">
        <w:rPr>
          <w:rFonts w:ascii="Times New Roman" w:hAnsi="Times New Roman" w:cs="Times New Roman"/>
          <w:sz w:val="24"/>
          <w:szCs w:val="24"/>
        </w:rPr>
        <w:t xml:space="preserve">povinnost předávat do </w:t>
      </w:r>
      <w:r w:rsidR="00F977FB" w:rsidRPr="001B2B7A">
        <w:rPr>
          <w:rFonts w:ascii="Times New Roman" w:hAnsi="Times New Roman" w:cs="Times New Roman"/>
          <w:sz w:val="24"/>
          <w:szCs w:val="24"/>
        </w:rPr>
        <w:t>IS VaVaI</w:t>
      </w:r>
      <w:r w:rsidR="00495517">
        <w:rPr>
          <w:rFonts w:ascii="Times New Roman" w:hAnsi="Times New Roman" w:cs="Times New Roman"/>
          <w:sz w:val="24"/>
          <w:szCs w:val="24"/>
        </w:rPr>
        <w:t xml:space="preserve"> údaje o </w:t>
      </w:r>
      <w:r w:rsidR="00C6299B" w:rsidRPr="001B2B7A">
        <w:rPr>
          <w:rFonts w:ascii="Times New Roman" w:hAnsi="Times New Roman" w:cs="Times New Roman"/>
          <w:sz w:val="24"/>
          <w:szCs w:val="24"/>
        </w:rPr>
        <w:t xml:space="preserve">výsledcích </w:t>
      </w:r>
      <w:r w:rsidR="00FC2DC3" w:rsidRPr="001B2B7A">
        <w:rPr>
          <w:rFonts w:ascii="Times New Roman" w:hAnsi="Times New Roman" w:cs="Times New Roman"/>
          <w:sz w:val="24"/>
          <w:szCs w:val="24"/>
        </w:rPr>
        <w:t>projekt</w:t>
      </w:r>
      <w:r w:rsidR="00C6299B" w:rsidRPr="001B2B7A">
        <w:rPr>
          <w:rFonts w:ascii="Times New Roman" w:hAnsi="Times New Roman" w:cs="Times New Roman"/>
          <w:sz w:val="24"/>
          <w:szCs w:val="24"/>
        </w:rPr>
        <w:t>ů nejpozději do 250 kalendářních dnů</w:t>
      </w:r>
      <w:r w:rsidR="00A2325A" w:rsidRPr="001B2B7A">
        <w:rPr>
          <w:rFonts w:ascii="Times New Roman" w:hAnsi="Times New Roman" w:cs="Times New Roman"/>
          <w:sz w:val="24"/>
          <w:szCs w:val="24"/>
        </w:rPr>
        <w:t xml:space="preserve"> po ukončení poskytování podpory)</w:t>
      </w:r>
      <w:r w:rsidR="00843FBD" w:rsidRPr="001B2B7A">
        <w:rPr>
          <w:rFonts w:ascii="Times New Roman" w:hAnsi="Times New Roman" w:cs="Times New Roman"/>
          <w:sz w:val="24"/>
          <w:szCs w:val="24"/>
        </w:rPr>
        <w:t xml:space="preserve"> k</w:t>
      </w:r>
      <w:r w:rsidRPr="001B2B7A">
        <w:rPr>
          <w:rFonts w:ascii="Times New Roman" w:hAnsi="Times New Roman" w:cs="Times New Roman"/>
          <w:sz w:val="24"/>
          <w:szCs w:val="24"/>
        </w:rPr>
        <w:t> datu</w:t>
      </w:r>
      <w:r w:rsidR="00843FBD" w:rsidRPr="001B2B7A">
        <w:rPr>
          <w:rFonts w:ascii="Times New Roman" w:hAnsi="Times New Roman" w:cs="Times New Roman"/>
          <w:sz w:val="24"/>
          <w:szCs w:val="24"/>
        </w:rPr>
        <w:t xml:space="preserve"> 6. září 2012, tj. ke dni, kdy byla provozovatelem IS VaVaI v souladu s Metodikou hodnocení provedena uzávěrka předání údajů</w:t>
      </w:r>
      <w:r w:rsidRPr="001B2B7A">
        <w:rPr>
          <w:rFonts w:ascii="Times New Roman" w:hAnsi="Times New Roman" w:cs="Times New Roman"/>
          <w:sz w:val="24"/>
          <w:szCs w:val="24"/>
        </w:rPr>
        <w:t>, byly zpracovány v několika na sebe navazujících krocích:</w:t>
      </w:r>
    </w:p>
    <w:p w:rsidR="001844AD" w:rsidRPr="00771D8F" w:rsidRDefault="001844AD" w:rsidP="001F6CB0">
      <w:pPr>
        <w:pStyle w:val="Odstavecseseznamem"/>
        <w:numPr>
          <w:ilvl w:val="0"/>
          <w:numId w:val="29"/>
        </w:numPr>
        <w:autoSpaceDE w:val="0"/>
        <w:autoSpaceDN w:val="0"/>
        <w:adjustRightInd w:val="0"/>
        <w:spacing w:after="120" w:line="240" w:lineRule="auto"/>
        <w:ind w:left="0" w:firstLine="709"/>
        <w:contextualSpacing w:val="0"/>
        <w:jc w:val="both"/>
        <w:rPr>
          <w:rFonts w:ascii="Times New Roman" w:hAnsi="Times New Roman" w:cs="Times New Roman"/>
          <w:color w:val="000000"/>
          <w:sz w:val="24"/>
          <w:szCs w:val="24"/>
        </w:rPr>
      </w:pPr>
      <w:r w:rsidRPr="00771D8F">
        <w:rPr>
          <w:rFonts w:ascii="Times New Roman" w:hAnsi="Times New Roman" w:cs="Times New Roman"/>
          <w:color w:val="000000"/>
          <w:sz w:val="24"/>
          <w:szCs w:val="24"/>
        </w:rPr>
        <w:t xml:space="preserve">Sjednocení výskytů shodných výsledků – při vícenásobném výskytu téhož výsledku, tj. případy opakovaného předání shodných údajů o výsledku se zachováním návazností na konkrétní výzkumné aktivity. V procesu sjednocení výskytů výsledků </w:t>
      </w:r>
      <w:r w:rsidR="00500C7D">
        <w:rPr>
          <w:rFonts w:ascii="Times New Roman" w:hAnsi="Times New Roman" w:cs="Times New Roman"/>
          <w:color w:val="000000"/>
          <w:sz w:val="24"/>
          <w:szCs w:val="24"/>
        </w:rPr>
        <w:t>byl</w:t>
      </w:r>
      <w:r w:rsidRPr="00771D8F">
        <w:rPr>
          <w:rFonts w:ascii="Times New Roman" w:hAnsi="Times New Roman" w:cs="Times New Roman"/>
          <w:color w:val="000000"/>
          <w:sz w:val="24"/>
          <w:szCs w:val="24"/>
        </w:rPr>
        <w:t xml:space="preserve"> každé skupině shodných výsledků přidělen identifikační kód. </w:t>
      </w:r>
    </w:p>
    <w:p w:rsidR="001844AD" w:rsidRPr="00771D8F" w:rsidRDefault="001844AD" w:rsidP="001F6CB0">
      <w:pPr>
        <w:pStyle w:val="Odstavecseseznamem"/>
        <w:numPr>
          <w:ilvl w:val="0"/>
          <w:numId w:val="29"/>
        </w:numPr>
        <w:autoSpaceDE w:val="0"/>
        <w:autoSpaceDN w:val="0"/>
        <w:adjustRightInd w:val="0"/>
        <w:spacing w:after="120" w:line="240" w:lineRule="auto"/>
        <w:ind w:left="0" w:firstLine="709"/>
        <w:contextualSpacing w:val="0"/>
        <w:jc w:val="both"/>
        <w:rPr>
          <w:rFonts w:ascii="Times New Roman" w:hAnsi="Times New Roman" w:cs="Times New Roman"/>
          <w:sz w:val="24"/>
          <w:szCs w:val="24"/>
        </w:rPr>
      </w:pPr>
      <w:r w:rsidRPr="00771D8F">
        <w:rPr>
          <w:rFonts w:ascii="Times New Roman" w:hAnsi="Times New Roman" w:cs="Times New Roman"/>
          <w:color w:val="000000"/>
          <w:sz w:val="24"/>
          <w:szCs w:val="24"/>
        </w:rPr>
        <w:t xml:space="preserve">Přiřazení bodového ohodnocení každému sjednocenému výskytu shodných výsledků podle přílohy č. 1 Metodiky a podle částí </w:t>
      </w:r>
      <w:r w:rsidR="001B2B7A" w:rsidRPr="00771D8F">
        <w:rPr>
          <w:rFonts w:ascii="Times New Roman" w:hAnsi="Times New Roman" w:cs="Times New Roman"/>
          <w:color w:val="000000"/>
          <w:sz w:val="24"/>
          <w:szCs w:val="24"/>
        </w:rPr>
        <w:t>II. 3.1</w:t>
      </w:r>
      <w:r w:rsidRPr="00771D8F">
        <w:rPr>
          <w:rFonts w:ascii="Times New Roman" w:hAnsi="Times New Roman" w:cs="Times New Roman"/>
          <w:color w:val="000000"/>
          <w:sz w:val="24"/>
          <w:szCs w:val="24"/>
        </w:rPr>
        <w:t xml:space="preserve">. Metodiky. </w:t>
      </w:r>
    </w:p>
    <w:p w:rsidR="001844AD" w:rsidRPr="00771D8F" w:rsidRDefault="001844AD" w:rsidP="001F6CB0">
      <w:pPr>
        <w:pStyle w:val="Odstavecseseznamem"/>
        <w:numPr>
          <w:ilvl w:val="0"/>
          <w:numId w:val="29"/>
        </w:numPr>
        <w:autoSpaceDE w:val="0"/>
        <w:autoSpaceDN w:val="0"/>
        <w:adjustRightInd w:val="0"/>
        <w:spacing w:after="120" w:line="240" w:lineRule="auto"/>
        <w:ind w:left="0" w:firstLine="709"/>
        <w:contextualSpacing w:val="0"/>
        <w:jc w:val="both"/>
        <w:rPr>
          <w:rFonts w:ascii="Times New Roman" w:hAnsi="Times New Roman" w:cs="Times New Roman"/>
          <w:sz w:val="24"/>
          <w:szCs w:val="24"/>
        </w:rPr>
      </w:pPr>
      <w:r w:rsidRPr="00771D8F">
        <w:rPr>
          <w:rFonts w:ascii="Times New Roman" w:hAnsi="Times New Roman" w:cs="Times New Roman"/>
          <w:color w:val="000000"/>
          <w:sz w:val="24"/>
          <w:szCs w:val="24"/>
        </w:rPr>
        <w:t xml:space="preserve">Přiřazení bodového ohodnocení projektům, kdy bodové ohodnocení je sumou </w:t>
      </w:r>
      <w:r w:rsidR="0014285B">
        <w:rPr>
          <w:rFonts w:ascii="Times New Roman" w:hAnsi="Times New Roman" w:cs="Times New Roman"/>
          <w:color w:val="000000"/>
          <w:sz w:val="24"/>
          <w:szCs w:val="24"/>
        </w:rPr>
        <w:t>h</w:t>
      </w:r>
      <w:r w:rsidRPr="00771D8F">
        <w:rPr>
          <w:rFonts w:ascii="Times New Roman" w:hAnsi="Times New Roman" w:cs="Times New Roman"/>
          <w:color w:val="000000"/>
          <w:sz w:val="24"/>
          <w:szCs w:val="24"/>
        </w:rPr>
        <w:t xml:space="preserve">odnocení těch výsledků, kterých bylo při jejich řešení dosaženo. Bodové ohodnocení výsledků, které </w:t>
      </w:r>
      <w:r w:rsidR="00500C7D">
        <w:rPr>
          <w:rFonts w:ascii="Times New Roman" w:hAnsi="Times New Roman" w:cs="Times New Roman"/>
          <w:color w:val="000000"/>
          <w:sz w:val="24"/>
          <w:szCs w:val="24"/>
        </w:rPr>
        <w:t>byly</w:t>
      </w:r>
      <w:r w:rsidRPr="00771D8F">
        <w:rPr>
          <w:rFonts w:ascii="Times New Roman" w:hAnsi="Times New Roman" w:cs="Times New Roman"/>
          <w:color w:val="000000"/>
          <w:sz w:val="24"/>
          <w:szCs w:val="24"/>
        </w:rPr>
        <w:t xml:space="preserve"> vykázány jako výsledky řešení více výzkumných aktivit, se mezi tyto </w:t>
      </w:r>
      <w:r w:rsidRPr="00771D8F">
        <w:rPr>
          <w:rFonts w:ascii="Times New Roman" w:hAnsi="Times New Roman" w:cs="Times New Roman"/>
          <w:color w:val="000000"/>
          <w:sz w:val="24"/>
          <w:szCs w:val="24"/>
        </w:rPr>
        <w:lastRenderedPageBreak/>
        <w:t>výzkumné aktivity rozděl</w:t>
      </w:r>
      <w:r w:rsidR="00500C7D">
        <w:rPr>
          <w:rFonts w:ascii="Times New Roman" w:hAnsi="Times New Roman" w:cs="Times New Roman"/>
          <w:color w:val="000000"/>
          <w:sz w:val="24"/>
          <w:szCs w:val="24"/>
        </w:rPr>
        <w:t>ily</w:t>
      </w:r>
      <w:r w:rsidRPr="00771D8F">
        <w:rPr>
          <w:rFonts w:ascii="Times New Roman" w:hAnsi="Times New Roman" w:cs="Times New Roman"/>
          <w:color w:val="000000"/>
          <w:sz w:val="24"/>
          <w:szCs w:val="24"/>
        </w:rPr>
        <w:t xml:space="preserve"> rovnoměrně. Při hodnocení programů není rozhodující, kolik subjektů se na vytvoření výsledku podílelo.</w:t>
      </w:r>
    </w:p>
    <w:p w:rsidR="00B91DC9" w:rsidRPr="00771D8F" w:rsidRDefault="001844AD" w:rsidP="001F6CB0">
      <w:pPr>
        <w:pStyle w:val="Odstavecseseznamem"/>
        <w:numPr>
          <w:ilvl w:val="0"/>
          <w:numId w:val="29"/>
        </w:numPr>
        <w:autoSpaceDE w:val="0"/>
        <w:autoSpaceDN w:val="0"/>
        <w:adjustRightInd w:val="0"/>
        <w:spacing w:after="120" w:line="240" w:lineRule="auto"/>
        <w:ind w:left="0" w:firstLine="709"/>
        <w:contextualSpacing w:val="0"/>
        <w:jc w:val="both"/>
        <w:rPr>
          <w:rFonts w:ascii="Times New Roman" w:hAnsi="Times New Roman" w:cs="Times New Roman"/>
          <w:sz w:val="24"/>
          <w:szCs w:val="24"/>
        </w:rPr>
      </w:pPr>
      <w:r w:rsidRPr="00771D8F">
        <w:rPr>
          <w:rFonts w:ascii="Times New Roman" w:hAnsi="Times New Roman" w:cs="Times New Roman"/>
          <w:color w:val="000000"/>
          <w:sz w:val="24"/>
          <w:szCs w:val="24"/>
        </w:rPr>
        <w:t>Vyčíslení hodnoty Indexu SR programů. Tato hodnota vyjadřuje, kolik výsledků (v</w:t>
      </w:r>
      <w:r w:rsidR="00500C7D">
        <w:rPr>
          <w:rFonts w:ascii="Times New Roman" w:hAnsi="Times New Roman" w:cs="Times New Roman"/>
          <w:color w:val="000000"/>
          <w:sz w:val="24"/>
          <w:szCs w:val="24"/>
        </w:rPr>
        <w:t> </w:t>
      </w:r>
      <w:r w:rsidRPr="00771D8F">
        <w:rPr>
          <w:rFonts w:ascii="Times New Roman" w:hAnsi="Times New Roman" w:cs="Times New Roman"/>
          <w:color w:val="000000"/>
          <w:sz w:val="24"/>
          <w:szCs w:val="24"/>
        </w:rPr>
        <w:t>bodovém hodnocení) bylo v daném programu průměrně dosaženo při poskytnutí 1</w:t>
      </w:r>
      <w:r w:rsidR="00500C7D">
        <w:rPr>
          <w:rFonts w:ascii="Times New Roman" w:hAnsi="Times New Roman" w:cs="Times New Roman"/>
          <w:color w:val="000000"/>
          <w:sz w:val="24"/>
          <w:szCs w:val="24"/>
        </w:rPr>
        <w:t> </w:t>
      </w:r>
      <w:r w:rsidRPr="00771D8F">
        <w:rPr>
          <w:rFonts w:ascii="Times New Roman" w:hAnsi="Times New Roman" w:cs="Times New Roman"/>
          <w:color w:val="000000"/>
          <w:sz w:val="24"/>
          <w:szCs w:val="24"/>
        </w:rPr>
        <w:t>milionu Kč z veřejných prostředků.</w:t>
      </w:r>
    </w:p>
    <w:p w:rsidR="00B91DC9" w:rsidRPr="00771D8F" w:rsidRDefault="00A91451" w:rsidP="00E17B96">
      <w:pPr>
        <w:autoSpaceDE w:val="0"/>
        <w:autoSpaceDN w:val="0"/>
        <w:adjustRightInd w:val="0"/>
        <w:spacing w:after="120" w:line="240" w:lineRule="auto"/>
        <w:ind w:firstLine="709"/>
        <w:jc w:val="both"/>
        <w:rPr>
          <w:rFonts w:ascii="Times New Roman" w:hAnsi="Times New Roman" w:cs="Times New Roman"/>
          <w:sz w:val="24"/>
          <w:szCs w:val="24"/>
        </w:rPr>
      </w:pPr>
      <w:r w:rsidRPr="00771D8F">
        <w:rPr>
          <w:rFonts w:ascii="Times New Roman" w:hAnsi="Times New Roman" w:cs="Times New Roman"/>
          <w:sz w:val="24"/>
          <w:szCs w:val="24"/>
        </w:rPr>
        <w:t xml:space="preserve">Uvedené </w:t>
      </w:r>
      <w:r>
        <w:rPr>
          <w:rFonts w:ascii="Times New Roman" w:hAnsi="Times New Roman" w:cs="Times New Roman"/>
          <w:sz w:val="24"/>
          <w:szCs w:val="24"/>
        </w:rPr>
        <w:t>ú</w:t>
      </w:r>
      <w:r w:rsidR="00B91DC9" w:rsidRPr="00771D8F">
        <w:rPr>
          <w:rFonts w:ascii="Times New Roman" w:hAnsi="Times New Roman" w:cs="Times New Roman"/>
          <w:sz w:val="24"/>
          <w:szCs w:val="24"/>
        </w:rPr>
        <w:t>daje b</w:t>
      </w:r>
      <w:r>
        <w:rPr>
          <w:rFonts w:ascii="Times New Roman" w:hAnsi="Times New Roman" w:cs="Times New Roman"/>
          <w:sz w:val="24"/>
          <w:szCs w:val="24"/>
        </w:rPr>
        <w:t>yly</w:t>
      </w:r>
      <w:r w:rsidR="00B91DC9" w:rsidRPr="00771D8F">
        <w:rPr>
          <w:rFonts w:ascii="Times New Roman" w:hAnsi="Times New Roman" w:cs="Times New Roman"/>
          <w:sz w:val="24"/>
          <w:szCs w:val="24"/>
        </w:rPr>
        <w:t xml:space="preserve"> zpracovány </w:t>
      </w:r>
      <w:r w:rsidR="001F65D4">
        <w:rPr>
          <w:rFonts w:ascii="Times New Roman" w:hAnsi="Times New Roman" w:cs="Times New Roman"/>
          <w:sz w:val="24"/>
          <w:szCs w:val="24"/>
        </w:rPr>
        <w:t>formou tabulek</w:t>
      </w:r>
      <w:r w:rsidR="00B91DC9" w:rsidRPr="00771D8F">
        <w:rPr>
          <w:rFonts w:ascii="Times New Roman" w:hAnsi="Times New Roman" w:cs="Times New Roman"/>
          <w:sz w:val="24"/>
          <w:szCs w:val="24"/>
        </w:rPr>
        <w:t>, kter</w:t>
      </w:r>
      <w:r w:rsidR="001F65D4">
        <w:rPr>
          <w:rFonts w:ascii="Times New Roman" w:hAnsi="Times New Roman" w:cs="Times New Roman"/>
          <w:sz w:val="24"/>
          <w:szCs w:val="24"/>
        </w:rPr>
        <w:t>é</w:t>
      </w:r>
      <w:r w:rsidR="00B91DC9" w:rsidRPr="00771D8F">
        <w:rPr>
          <w:rFonts w:ascii="Times New Roman" w:hAnsi="Times New Roman" w:cs="Times New Roman"/>
          <w:sz w:val="24"/>
          <w:szCs w:val="24"/>
        </w:rPr>
        <w:t xml:space="preserve"> </w:t>
      </w:r>
      <w:r>
        <w:rPr>
          <w:rFonts w:ascii="Times New Roman" w:hAnsi="Times New Roman" w:cs="Times New Roman"/>
          <w:sz w:val="24"/>
          <w:szCs w:val="24"/>
        </w:rPr>
        <w:t xml:space="preserve">obsahují </w:t>
      </w:r>
      <w:r w:rsidR="001F65D4">
        <w:rPr>
          <w:rFonts w:ascii="Times New Roman" w:hAnsi="Times New Roman" w:cs="Times New Roman"/>
          <w:sz w:val="24"/>
          <w:szCs w:val="24"/>
        </w:rPr>
        <w:t>informace</w:t>
      </w:r>
      <w:r w:rsidR="00495517">
        <w:rPr>
          <w:rFonts w:ascii="Times New Roman" w:hAnsi="Times New Roman" w:cs="Times New Roman"/>
          <w:sz w:val="24"/>
          <w:szCs w:val="24"/>
        </w:rPr>
        <w:t xml:space="preserve"> o </w:t>
      </w:r>
      <w:r w:rsidRPr="00771D8F">
        <w:rPr>
          <w:rFonts w:ascii="Times New Roman" w:hAnsi="Times New Roman" w:cs="Times New Roman"/>
          <w:sz w:val="24"/>
          <w:szCs w:val="24"/>
        </w:rPr>
        <w:t>hodnocených projektech agregované podle jednotlivých hodnocených programů s</w:t>
      </w:r>
      <w:r w:rsidR="001F65D4">
        <w:rPr>
          <w:rFonts w:ascii="Times New Roman" w:hAnsi="Times New Roman" w:cs="Times New Roman"/>
          <w:sz w:val="24"/>
          <w:szCs w:val="24"/>
        </w:rPr>
        <w:t> </w:t>
      </w:r>
      <w:r w:rsidRPr="00771D8F">
        <w:rPr>
          <w:rFonts w:ascii="Times New Roman" w:hAnsi="Times New Roman" w:cs="Times New Roman"/>
          <w:sz w:val="24"/>
          <w:szCs w:val="24"/>
        </w:rPr>
        <w:t>uvedením hodnoty Index</w:t>
      </w:r>
      <w:r>
        <w:rPr>
          <w:rFonts w:ascii="Times New Roman" w:hAnsi="Times New Roman" w:cs="Times New Roman"/>
          <w:sz w:val="24"/>
          <w:szCs w:val="24"/>
        </w:rPr>
        <w:t>u</w:t>
      </w:r>
      <w:r w:rsidRPr="00771D8F">
        <w:rPr>
          <w:rFonts w:ascii="Times New Roman" w:hAnsi="Times New Roman" w:cs="Times New Roman"/>
          <w:sz w:val="24"/>
          <w:szCs w:val="24"/>
        </w:rPr>
        <w:t xml:space="preserve"> SR pro každý hodnocený program. </w:t>
      </w:r>
    </w:p>
    <w:p w:rsidR="0090289A" w:rsidRDefault="00A91451"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Souhrnné zprávy od poskytovatelů byly využity pro porovnání, </w:t>
      </w:r>
      <w:r w:rsidR="00320C30" w:rsidRPr="00327B80">
        <w:rPr>
          <w:rFonts w:ascii="Times New Roman" w:hAnsi="Times New Roman" w:cs="Times New Roman"/>
          <w:sz w:val="24"/>
          <w:szCs w:val="24"/>
        </w:rPr>
        <w:t xml:space="preserve">zda se souhrnné rozpočtové údaje </w:t>
      </w:r>
      <w:r w:rsidRPr="00327B80">
        <w:rPr>
          <w:rFonts w:ascii="Times New Roman" w:hAnsi="Times New Roman" w:cs="Times New Roman"/>
          <w:sz w:val="24"/>
          <w:szCs w:val="24"/>
        </w:rPr>
        <w:t xml:space="preserve">shodují s údaji </w:t>
      </w:r>
      <w:r w:rsidR="00320C30" w:rsidRPr="00327B80">
        <w:rPr>
          <w:rFonts w:ascii="Times New Roman" w:hAnsi="Times New Roman" w:cs="Times New Roman"/>
          <w:sz w:val="24"/>
          <w:szCs w:val="24"/>
        </w:rPr>
        <w:t>obsažen</w:t>
      </w:r>
      <w:r>
        <w:rPr>
          <w:rFonts w:ascii="Times New Roman" w:hAnsi="Times New Roman" w:cs="Times New Roman"/>
          <w:sz w:val="24"/>
          <w:szCs w:val="24"/>
        </w:rPr>
        <w:t>ými</w:t>
      </w:r>
      <w:r w:rsidR="00320C30" w:rsidRPr="00327B80">
        <w:rPr>
          <w:rFonts w:ascii="Times New Roman" w:hAnsi="Times New Roman" w:cs="Times New Roman"/>
          <w:sz w:val="24"/>
          <w:szCs w:val="24"/>
        </w:rPr>
        <w:t xml:space="preserve"> v</w:t>
      </w:r>
      <w:r>
        <w:rPr>
          <w:rFonts w:ascii="Times New Roman" w:hAnsi="Times New Roman" w:cs="Times New Roman"/>
          <w:sz w:val="24"/>
          <w:szCs w:val="24"/>
        </w:rPr>
        <w:t> </w:t>
      </w:r>
      <w:r w:rsidR="00320C30" w:rsidRPr="00327B80">
        <w:rPr>
          <w:rFonts w:ascii="Times New Roman" w:hAnsi="Times New Roman" w:cs="Times New Roman"/>
          <w:sz w:val="24"/>
          <w:szCs w:val="24"/>
        </w:rPr>
        <w:t>IS</w:t>
      </w:r>
      <w:r>
        <w:rPr>
          <w:rFonts w:ascii="Times New Roman" w:hAnsi="Times New Roman" w:cs="Times New Roman"/>
          <w:sz w:val="24"/>
          <w:szCs w:val="24"/>
        </w:rPr>
        <w:t> </w:t>
      </w:r>
      <w:r w:rsidR="00320C30" w:rsidRPr="00327B80">
        <w:rPr>
          <w:rFonts w:ascii="Times New Roman" w:hAnsi="Times New Roman" w:cs="Times New Roman"/>
          <w:sz w:val="24"/>
          <w:szCs w:val="24"/>
        </w:rPr>
        <w:t xml:space="preserve">VaVaI, </w:t>
      </w:r>
      <w:r>
        <w:rPr>
          <w:rFonts w:ascii="Times New Roman" w:hAnsi="Times New Roman" w:cs="Times New Roman"/>
          <w:sz w:val="24"/>
          <w:szCs w:val="24"/>
        </w:rPr>
        <w:t>(</w:t>
      </w:r>
      <w:r w:rsidR="005B17DD">
        <w:rPr>
          <w:rFonts w:ascii="Times New Roman" w:hAnsi="Times New Roman" w:cs="Times New Roman"/>
          <w:sz w:val="24"/>
          <w:szCs w:val="24"/>
        </w:rPr>
        <w:t>uvedeno v Příloze č. 2</w:t>
      </w:r>
      <w:r>
        <w:rPr>
          <w:rFonts w:ascii="Times New Roman" w:hAnsi="Times New Roman" w:cs="Times New Roman"/>
          <w:sz w:val="24"/>
          <w:szCs w:val="24"/>
        </w:rPr>
        <w:t>)</w:t>
      </w:r>
      <w:r w:rsidR="005B17DD">
        <w:rPr>
          <w:rFonts w:ascii="Times New Roman" w:hAnsi="Times New Roman" w:cs="Times New Roman"/>
          <w:sz w:val="24"/>
          <w:szCs w:val="24"/>
        </w:rPr>
        <w:t xml:space="preserve">. </w:t>
      </w:r>
      <w:r w:rsidR="00D377A7">
        <w:rPr>
          <w:rFonts w:ascii="Times New Roman" w:hAnsi="Times New Roman" w:cs="Times New Roman"/>
          <w:sz w:val="24"/>
          <w:szCs w:val="24"/>
        </w:rPr>
        <w:t>Méně závažné</w:t>
      </w:r>
      <w:r w:rsidR="00D377A7" w:rsidRPr="00327B80">
        <w:rPr>
          <w:rFonts w:ascii="Times New Roman" w:hAnsi="Times New Roman" w:cs="Times New Roman"/>
          <w:sz w:val="24"/>
          <w:szCs w:val="24"/>
        </w:rPr>
        <w:t xml:space="preserve"> rozpory </w:t>
      </w:r>
      <w:r w:rsidR="00D377A7">
        <w:rPr>
          <w:rFonts w:ascii="Times New Roman" w:hAnsi="Times New Roman" w:cs="Times New Roman"/>
          <w:sz w:val="24"/>
          <w:szCs w:val="24"/>
        </w:rPr>
        <w:t xml:space="preserve">byly shledány </w:t>
      </w:r>
      <w:r w:rsidR="00D377A7" w:rsidRPr="00327B80">
        <w:rPr>
          <w:rFonts w:ascii="Times New Roman" w:hAnsi="Times New Roman" w:cs="Times New Roman"/>
          <w:sz w:val="24"/>
          <w:szCs w:val="24"/>
        </w:rPr>
        <w:t>u</w:t>
      </w:r>
      <w:r w:rsidR="00D377A7">
        <w:rPr>
          <w:rFonts w:ascii="Times New Roman" w:hAnsi="Times New Roman" w:cs="Times New Roman"/>
          <w:sz w:val="24"/>
          <w:szCs w:val="24"/>
        </w:rPr>
        <w:t> </w:t>
      </w:r>
      <w:r w:rsidR="00D377A7" w:rsidRPr="00327B80">
        <w:rPr>
          <w:rFonts w:ascii="Times New Roman" w:hAnsi="Times New Roman" w:cs="Times New Roman"/>
          <w:sz w:val="24"/>
          <w:szCs w:val="24"/>
        </w:rPr>
        <w:t>programů WD, 1A-1R, 2A-2G, HC a</w:t>
      </w:r>
      <w:r w:rsidR="00E83598">
        <w:rPr>
          <w:rFonts w:ascii="Times New Roman" w:hAnsi="Times New Roman" w:cs="Times New Roman"/>
          <w:sz w:val="24"/>
          <w:szCs w:val="24"/>
        </w:rPr>
        <w:t> </w:t>
      </w:r>
      <w:r w:rsidR="00D377A7" w:rsidRPr="00327B80">
        <w:rPr>
          <w:rFonts w:ascii="Times New Roman" w:hAnsi="Times New Roman" w:cs="Times New Roman"/>
          <w:sz w:val="24"/>
          <w:szCs w:val="24"/>
        </w:rPr>
        <w:t>RD</w:t>
      </w:r>
      <w:r w:rsidR="00F324BC">
        <w:rPr>
          <w:rFonts w:ascii="Times New Roman" w:hAnsi="Times New Roman" w:cs="Times New Roman"/>
          <w:sz w:val="24"/>
          <w:szCs w:val="24"/>
        </w:rPr>
        <w:t>, vysoká míra</w:t>
      </w:r>
      <w:r w:rsidR="00320C30" w:rsidRPr="00327B80">
        <w:rPr>
          <w:rFonts w:ascii="Times New Roman" w:hAnsi="Times New Roman" w:cs="Times New Roman"/>
          <w:sz w:val="24"/>
          <w:szCs w:val="24"/>
        </w:rPr>
        <w:t xml:space="preserve"> </w:t>
      </w:r>
      <w:r w:rsidR="00D377A7">
        <w:rPr>
          <w:rFonts w:ascii="Times New Roman" w:hAnsi="Times New Roman" w:cs="Times New Roman"/>
          <w:sz w:val="24"/>
          <w:szCs w:val="24"/>
        </w:rPr>
        <w:t xml:space="preserve">nesrovnalostí </w:t>
      </w:r>
      <w:r w:rsidR="00F324BC">
        <w:rPr>
          <w:rFonts w:ascii="Times New Roman" w:hAnsi="Times New Roman" w:cs="Times New Roman"/>
          <w:sz w:val="24"/>
          <w:szCs w:val="24"/>
        </w:rPr>
        <w:t>naopak u</w:t>
      </w:r>
      <w:r w:rsidR="0033696F">
        <w:rPr>
          <w:rFonts w:ascii="Times New Roman" w:hAnsi="Times New Roman" w:cs="Times New Roman"/>
          <w:sz w:val="24"/>
          <w:szCs w:val="24"/>
        </w:rPr>
        <w:t xml:space="preserve"> </w:t>
      </w:r>
      <w:r w:rsidR="00BA00DD">
        <w:rPr>
          <w:rFonts w:ascii="Times New Roman" w:hAnsi="Times New Roman" w:cs="Times New Roman"/>
          <w:sz w:val="24"/>
          <w:szCs w:val="24"/>
        </w:rPr>
        <w:t>program</w:t>
      </w:r>
      <w:r w:rsidR="00F324BC">
        <w:rPr>
          <w:rFonts w:ascii="Times New Roman" w:hAnsi="Times New Roman" w:cs="Times New Roman"/>
          <w:sz w:val="24"/>
          <w:szCs w:val="24"/>
        </w:rPr>
        <w:t>u</w:t>
      </w:r>
      <w:r w:rsidR="00BA00DD">
        <w:rPr>
          <w:rFonts w:ascii="Times New Roman" w:hAnsi="Times New Roman" w:cs="Times New Roman"/>
          <w:sz w:val="24"/>
          <w:szCs w:val="24"/>
        </w:rPr>
        <w:t xml:space="preserve"> </w:t>
      </w:r>
      <w:r w:rsidR="00F324BC">
        <w:rPr>
          <w:rFonts w:ascii="Times New Roman" w:hAnsi="Times New Roman" w:cs="Times New Roman"/>
          <w:sz w:val="24"/>
          <w:szCs w:val="24"/>
        </w:rPr>
        <w:t>SP</w:t>
      </w:r>
      <w:r w:rsidR="00E96EB7">
        <w:rPr>
          <w:rFonts w:ascii="Times New Roman" w:hAnsi="Times New Roman" w:cs="Times New Roman"/>
          <w:sz w:val="24"/>
          <w:szCs w:val="24"/>
        </w:rPr>
        <w:t xml:space="preserve"> spadajícího</w:t>
      </w:r>
      <w:r w:rsidR="00F324BC">
        <w:rPr>
          <w:rFonts w:ascii="Times New Roman" w:hAnsi="Times New Roman" w:cs="Times New Roman"/>
          <w:sz w:val="24"/>
          <w:szCs w:val="24"/>
        </w:rPr>
        <w:t xml:space="preserve"> </w:t>
      </w:r>
      <w:r w:rsidR="00E96EB7">
        <w:rPr>
          <w:rFonts w:ascii="Times New Roman" w:hAnsi="Times New Roman" w:cs="Times New Roman"/>
          <w:sz w:val="24"/>
          <w:szCs w:val="24"/>
        </w:rPr>
        <w:t>d</w:t>
      </w:r>
      <w:r w:rsidR="00F324BC">
        <w:rPr>
          <w:rFonts w:ascii="Times New Roman" w:hAnsi="Times New Roman" w:cs="Times New Roman"/>
          <w:sz w:val="24"/>
          <w:szCs w:val="24"/>
        </w:rPr>
        <w:t xml:space="preserve">o gesce </w:t>
      </w:r>
      <w:r w:rsidR="00F324BC" w:rsidRPr="00327B80">
        <w:rPr>
          <w:rFonts w:ascii="Times New Roman" w:hAnsi="Times New Roman" w:cs="Times New Roman"/>
          <w:sz w:val="24"/>
          <w:szCs w:val="24"/>
        </w:rPr>
        <w:t>Ministerstv</w:t>
      </w:r>
      <w:r w:rsidR="00F324BC">
        <w:rPr>
          <w:rFonts w:ascii="Times New Roman" w:hAnsi="Times New Roman" w:cs="Times New Roman"/>
          <w:sz w:val="24"/>
          <w:szCs w:val="24"/>
        </w:rPr>
        <w:t>a</w:t>
      </w:r>
      <w:r w:rsidR="00F324BC" w:rsidRPr="00327B80">
        <w:rPr>
          <w:rFonts w:ascii="Times New Roman" w:hAnsi="Times New Roman" w:cs="Times New Roman"/>
          <w:sz w:val="24"/>
          <w:szCs w:val="24"/>
        </w:rPr>
        <w:t xml:space="preserve"> životního prostředí</w:t>
      </w:r>
      <w:r w:rsidR="00F324BC">
        <w:rPr>
          <w:rFonts w:ascii="Times New Roman" w:hAnsi="Times New Roman" w:cs="Times New Roman"/>
          <w:sz w:val="24"/>
          <w:szCs w:val="24"/>
        </w:rPr>
        <w:t>. Zatímco</w:t>
      </w:r>
      <w:r w:rsidR="00320C30" w:rsidRPr="00327B80">
        <w:rPr>
          <w:rFonts w:ascii="Times New Roman" w:hAnsi="Times New Roman" w:cs="Times New Roman"/>
          <w:sz w:val="24"/>
          <w:szCs w:val="24"/>
        </w:rPr>
        <w:t xml:space="preserve"> </w:t>
      </w:r>
      <w:r w:rsidR="00F324BC">
        <w:rPr>
          <w:rFonts w:ascii="Times New Roman" w:hAnsi="Times New Roman" w:cs="Times New Roman"/>
          <w:sz w:val="24"/>
          <w:szCs w:val="24"/>
        </w:rPr>
        <w:t xml:space="preserve">poskytovatel </w:t>
      </w:r>
      <w:r w:rsidR="001427BD" w:rsidRPr="00327B80">
        <w:rPr>
          <w:rFonts w:ascii="Times New Roman" w:hAnsi="Times New Roman" w:cs="Times New Roman"/>
          <w:sz w:val="24"/>
          <w:szCs w:val="24"/>
        </w:rPr>
        <w:t>v</w:t>
      </w:r>
      <w:r w:rsidR="00F324BC">
        <w:rPr>
          <w:rFonts w:ascii="Times New Roman" w:hAnsi="Times New Roman" w:cs="Times New Roman"/>
          <w:sz w:val="24"/>
          <w:szCs w:val="24"/>
        </w:rPr>
        <w:t> </w:t>
      </w:r>
      <w:r w:rsidR="001427BD" w:rsidRPr="00327B80">
        <w:rPr>
          <w:rFonts w:ascii="Times New Roman" w:hAnsi="Times New Roman" w:cs="Times New Roman"/>
          <w:sz w:val="24"/>
          <w:szCs w:val="24"/>
        </w:rPr>
        <w:t xml:space="preserve">souhrnné zprávě o jím provedeném hodnocení programu </w:t>
      </w:r>
      <w:r w:rsidR="00320C30" w:rsidRPr="00327B80">
        <w:rPr>
          <w:rFonts w:ascii="Times New Roman" w:hAnsi="Times New Roman" w:cs="Times New Roman"/>
          <w:sz w:val="24"/>
          <w:szCs w:val="24"/>
        </w:rPr>
        <w:t xml:space="preserve">uvádí, že </w:t>
      </w:r>
      <w:r w:rsidR="001427BD" w:rsidRPr="00327B80">
        <w:rPr>
          <w:rFonts w:ascii="Times New Roman" w:hAnsi="Times New Roman" w:cs="Times New Roman"/>
          <w:sz w:val="24"/>
          <w:szCs w:val="24"/>
        </w:rPr>
        <w:t>na</w:t>
      </w:r>
      <w:r w:rsidR="0014285B">
        <w:rPr>
          <w:rFonts w:ascii="Times New Roman" w:hAnsi="Times New Roman" w:cs="Times New Roman"/>
          <w:sz w:val="24"/>
          <w:szCs w:val="24"/>
        </w:rPr>
        <w:t> </w:t>
      </w:r>
      <w:r w:rsidR="001427BD" w:rsidRPr="00327B80">
        <w:rPr>
          <w:rFonts w:ascii="Times New Roman" w:hAnsi="Times New Roman" w:cs="Times New Roman"/>
          <w:sz w:val="24"/>
          <w:szCs w:val="24"/>
        </w:rPr>
        <w:t xml:space="preserve">projekty řešené v jeho rámci </w:t>
      </w:r>
      <w:r w:rsidR="00F324BC">
        <w:rPr>
          <w:rFonts w:ascii="Times New Roman" w:hAnsi="Times New Roman" w:cs="Times New Roman"/>
          <w:sz w:val="24"/>
          <w:szCs w:val="24"/>
        </w:rPr>
        <w:t xml:space="preserve">bylo z veřejných prostředků vynaloženo </w:t>
      </w:r>
      <w:r w:rsidR="00D26749">
        <w:rPr>
          <w:rFonts w:ascii="Times New Roman" w:hAnsi="Times New Roman" w:cs="Times New Roman"/>
          <w:sz w:val="24"/>
          <w:szCs w:val="24"/>
        </w:rPr>
        <w:t xml:space="preserve">celkem </w:t>
      </w:r>
      <w:r w:rsidR="00F324BC">
        <w:rPr>
          <w:rFonts w:ascii="Times New Roman" w:hAnsi="Times New Roman" w:cs="Times New Roman"/>
          <w:sz w:val="24"/>
          <w:szCs w:val="24"/>
        </w:rPr>
        <w:t>1</w:t>
      </w:r>
      <w:r w:rsidR="001B2B7A">
        <w:rPr>
          <w:rFonts w:ascii="Times New Roman" w:hAnsi="Times New Roman" w:cs="Times New Roman"/>
          <w:sz w:val="24"/>
          <w:szCs w:val="24"/>
        </w:rPr>
        <w:t> </w:t>
      </w:r>
      <w:r w:rsidR="00F324BC">
        <w:rPr>
          <w:rFonts w:ascii="Times New Roman" w:hAnsi="Times New Roman" w:cs="Times New Roman"/>
          <w:sz w:val="24"/>
          <w:szCs w:val="24"/>
        </w:rPr>
        <w:t>014</w:t>
      </w:r>
      <w:r w:rsidR="001B2B7A">
        <w:rPr>
          <w:rFonts w:ascii="Times New Roman" w:hAnsi="Times New Roman" w:cs="Times New Roman"/>
          <w:sz w:val="24"/>
          <w:szCs w:val="24"/>
        </w:rPr>
        <w:t> </w:t>
      </w:r>
      <w:r w:rsidR="00F324BC">
        <w:rPr>
          <w:rFonts w:ascii="Times New Roman" w:hAnsi="Times New Roman" w:cs="Times New Roman"/>
          <w:sz w:val="24"/>
          <w:szCs w:val="24"/>
        </w:rPr>
        <w:t>375</w:t>
      </w:r>
      <w:r w:rsidR="001B2B7A">
        <w:rPr>
          <w:rFonts w:ascii="Times New Roman" w:hAnsi="Times New Roman" w:cs="Times New Roman"/>
          <w:sz w:val="24"/>
          <w:szCs w:val="24"/>
        </w:rPr>
        <w:t> tis. Kč</w:t>
      </w:r>
      <w:r w:rsidR="00F324BC">
        <w:rPr>
          <w:rFonts w:ascii="Times New Roman" w:hAnsi="Times New Roman" w:cs="Times New Roman"/>
          <w:sz w:val="24"/>
          <w:szCs w:val="24"/>
        </w:rPr>
        <w:t>,</w:t>
      </w:r>
      <w:r w:rsidR="00320C30" w:rsidRPr="00327B80">
        <w:rPr>
          <w:rFonts w:ascii="Times New Roman" w:hAnsi="Times New Roman" w:cs="Times New Roman"/>
          <w:sz w:val="24"/>
          <w:szCs w:val="24"/>
        </w:rPr>
        <w:t xml:space="preserve"> </w:t>
      </w:r>
      <w:r w:rsidR="00F324BC">
        <w:rPr>
          <w:rFonts w:ascii="Times New Roman" w:hAnsi="Times New Roman" w:cs="Times New Roman"/>
          <w:sz w:val="24"/>
          <w:szCs w:val="24"/>
        </w:rPr>
        <w:t>ú</w:t>
      </w:r>
      <w:r w:rsidR="00320C30" w:rsidRPr="00327B80">
        <w:rPr>
          <w:rFonts w:ascii="Times New Roman" w:hAnsi="Times New Roman" w:cs="Times New Roman"/>
          <w:sz w:val="24"/>
          <w:szCs w:val="24"/>
        </w:rPr>
        <w:t xml:space="preserve">daje obsažené v IS VaVaI </w:t>
      </w:r>
      <w:r w:rsidR="005B17DD">
        <w:rPr>
          <w:rFonts w:ascii="Times New Roman" w:hAnsi="Times New Roman" w:cs="Times New Roman"/>
          <w:sz w:val="24"/>
          <w:szCs w:val="24"/>
        </w:rPr>
        <w:t>vypovídají</w:t>
      </w:r>
      <w:r w:rsidR="00320C30" w:rsidRPr="00327B80">
        <w:rPr>
          <w:rFonts w:ascii="Times New Roman" w:hAnsi="Times New Roman" w:cs="Times New Roman"/>
          <w:sz w:val="24"/>
          <w:szCs w:val="24"/>
        </w:rPr>
        <w:t xml:space="preserve"> </w:t>
      </w:r>
      <w:r w:rsidR="00D26749">
        <w:rPr>
          <w:rFonts w:ascii="Times New Roman" w:hAnsi="Times New Roman" w:cs="Times New Roman"/>
          <w:sz w:val="24"/>
          <w:szCs w:val="24"/>
        </w:rPr>
        <w:t>pouze</w:t>
      </w:r>
      <w:r w:rsidR="005B17DD">
        <w:rPr>
          <w:rFonts w:ascii="Times New Roman" w:hAnsi="Times New Roman" w:cs="Times New Roman"/>
          <w:sz w:val="24"/>
          <w:szCs w:val="24"/>
        </w:rPr>
        <w:t xml:space="preserve"> o</w:t>
      </w:r>
      <w:r w:rsidR="00D26749">
        <w:rPr>
          <w:rFonts w:ascii="Times New Roman" w:hAnsi="Times New Roman" w:cs="Times New Roman"/>
          <w:sz w:val="24"/>
          <w:szCs w:val="24"/>
        </w:rPr>
        <w:t xml:space="preserve"> </w:t>
      </w:r>
      <w:r w:rsidR="00320C30" w:rsidRPr="00327B80">
        <w:rPr>
          <w:rFonts w:ascii="Times New Roman" w:hAnsi="Times New Roman" w:cs="Times New Roman"/>
          <w:sz w:val="24"/>
          <w:szCs w:val="24"/>
        </w:rPr>
        <w:t>481</w:t>
      </w:r>
      <w:r w:rsidR="001B2B7A">
        <w:rPr>
          <w:rFonts w:ascii="Times New Roman" w:hAnsi="Times New Roman" w:cs="Times New Roman"/>
          <w:sz w:val="24"/>
          <w:szCs w:val="24"/>
        </w:rPr>
        <w:t> </w:t>
      </w:r>
      <w:r w:rsidR="00320C30" w:rsidRPr="00327B80">
        <w:rPr>
          <w:rFonts w:ascii="Times New Roman" w:hAnsi="Times New Roman" w:cs="Times New Roman"/>
          <w:sz w:val="24"/>
          <w:szCs w:val="24"/>
        </w:rPr>
        <w:t>765</w:t>
      </w:r>
      <w:r w:rsidR="001B2B7A">
        <w:rPr>
          <w:rFonts w:ascii="Times New Roman" w:hAnsi="Times New Roman" w:cs="Times New Roman"/>
          <w:sz w:val="24"/>
          <w:szCs w:val="24"/>
        </w:rPr>
        <w:t> </w:t>
      </w:r>
      <w:r w:rsidR="00320C30" w:rsidRPr="00327B80">
        <w:rPr>
          <w:rFonts w:ascii="Times New Roman" w:hAnsi="Times New Roman" w:cs="Times New Roman"/>
          <w:sz w:val="24"/>
          <w:szCs w:val="24"/>
        </w:rPr>
        <w:t>tis. Kč</w:t>
      </w:r>
      <w:r w:rsidR="00BA00DD">
        <w:rPr>
          <w:rFonts w:ascii="Times New Roman" w:hAnsi="Times New Roman" w:cs="Times New Roman"/>
          <w:sz w:val="24"/>
          <w:szCs w:val="24"/>
        </w:rPr>
        <w:t>.</w:t>
      </w:r>
      <w:r w:rsidR="00320C30" w:rsidRPr="00327B80">
        <w:rPr>
          <w:rFonts w:ascii="Times New Roman" w:hAnsi="Times New Roman" w:cs="Times New Roman"/>
          <w:sz w:val="24"/>
          <w:szCs w:val="24"/>
        </w:rPr>
        <w:t xml:space="preserve"> </w:t>
      </w:r>
    </w:p>
    <w:p w:rsidR="00320C30" w:rsidRDefault="00E96EB7"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U programu NS spadajícího do gesce Ministerstva zdravotnictví činily celkové výdaje na</w:t>
      </w:r>
      <w:r w:rsidR="001B2B7A">
        <w:rPr>
          <w:rFonts w:ascii="Times New Roman" w:hAnsi="Times New Roman" w:cs="Times New Roman"/>
          <w:sz w:val="24"/>
          <w:szCs w:val="24"/>
        </w:rPr>
        <w:t> </w:t>
      </w:r>
      <w:r>
        <w:rPr>
          <w:rFonts w:ascii="Times New Roman" w:hAnsi="Times New Roman" w:cs="Times New Roman"/>
          <w:sz w:val="24"/>
          <w:szCs w:val="24"/>
        </w:rPr>
        <w:t>projekty řešené v </w:t>
      </w:r>
      <w:r w:rsidR="00C63A98">
        <w:rPr>
          <w:rFonts w:ascii="Times New Roman" w:hAnsi="Times New Roman" w:cs="Times New Roman"/>
          <w:sz w:val="24"/>
          <w:szCs w:val="24"/>
        </w:rPr>
        <w:t>tomto programu</w:t>
      </w:r>
      <w:r>
        <w:rPr>
          <w:rFonts w:ascii="Times New Roman" w:hAnsi="Times New Roman" w:cs="Times New Roman"/>
          <w:sz w:val="24"/>
          <w:szCs w:val="24"/>
        </w:rPr>
        <w:t xml:space="preserve"> 1</w:t>
      </w:r>
      <w:r w:rsidR="001B2B7A">
        <w:rPr>
          <w:rFonts w:ascii="Times New Roman" w:hAnsi="Times New Roman" w:cs="Times New Roman"/>
          <w:sz w:val="24"/>
          <w:szCs w:val="24"/>
        </w:rPr>
        <w:t> </w:t>
      </w:r>
      <w:r>
        <w:rPr>
          <w:rFonts w:ascii="Times New Roman" w:hAnsi="Times New Roman" w:cs="Times New Roman"/>
          <w:sz w:val="24"/>
          <w:szCs w:val="24"/>
        </w:rPr>
        <w:t>799</w:t>
      </w:r>
      <w:r w:rsidR="001B2B7A">
        <w:rPr>
          <w:rFonts w:ascii="Times New Roman" w:hAnsi="Times New Roman" w:cs="Times New Roman"/>
          <w:sz w:val="24"/>
          <w:szCs w:val="24"/>
        </w:rPr>
        <w:t> </w:t>
      </w:r>
      <w:r>
        <w:rPr>
          <w:rFonts w:ascii="Times New Roman" w:hAnsi="Times New Roman" w:cs="Times New Roman"/>
          <w:sz w:val="24"/>
          <w:szCs w:val="24"/>
        </w:rPr>
        <w:t>651</w:t>
      </w:r>
      <w:r w:rsidR="001B2B7A">
        <w:rPr>
          <w:rFonts w:ascii="Times New Roman" w:hAnsi="Times New Roman" w:cs="Times New Roman"/>
          <w:sz w:val="24"/>
          <w:szCs w:val="24"/>
        </w:rPr>
        <w:t> </w:t>
      </w:r>
      <w:r>
        <w:rPr>
          <w:rFonts w:ascii="Times New Roman" w:hAnsi="Times New Roman" w:cs="Times New Roman"/>
          <w:sz w:val="24"/>
          <w:szCs w:val="24"/>
        </w:rPr>
        <w:t>tis. Kč, z toho 1</w:t>
      </w:r>
      <w:r w:rsidR="001B2B7A">
        <w:rPr>
          <w:rFonts w:ascii="Times New Roman" w:hAnsi="Times New Roman" w:cs="Times New Roman"/>
          <w:sz w:val="24"/>
          <w:szCs w:val="24"/>
        </w:rPr>
        <w:t> </w:t>
      </w:r>
      <w:r>
        <w:rPr>
          <w:rFonts w:ascii="Times New Roman" w:hAnsi="Times New Roman" w:cs="Times New Roman"/>
          <w:sz w:val="24"/>
          <w:szCs w:val="24"/>
        </w:rPr>
        <w:t>767</w:t>
      </w:r>
      <w:r w:rsidR="001B2B7A">
        <w:rPr>
          <w:rFonts w:ascii="Times New Roman" w:hAnsi="Times New Roman" w:cs="Times New Roman"/>
          <w:sz w:val="24"/>
          <w:szCs w:val="24"/>
        </w:rPr>
        <w:t> </w:t>
      </w:r>
      <w:r>
        <w:rPr>
          <w:rFonts w:ascii="Times New Roman" w:hAnsi="Times New Roman" w:cs="Times New Roman"/>
          <w:sz w:val="24"/>
          <w:szCs w:val="24"/>
        </w:rPr>
        <w:t xml:space="preserve">372 tis. Kč </w:t>
      </w:r>
      <w:r w:rsidR="00E84736">
        <w:rPr>
          <w:rFonts w:ascii="Times New Roman" w:hAnsi="Times New Roman" w:cs="Times New Roman"/>
          <w:sz w:val="24"/>
          <w:szCs w:val="24"/>
        </w:rPr>
        <w:t xml:space="preserve">bylo poskytnuto </w:t>
      </w:r>
      <w:r>
        <w:rPr>
          <w:rFonts w:ascii="Times New Roman" w:hAnsi="Times New Roman" w:cs="Times New Roman"/>
          <w:sz w:val="24"/>
          <w:szCs w:val="24"/>
        </w:rPr>
        <w:t>ve formě podpory z veřejných prostředků. Do hodnocení programu bylo přitom zahrnuto</w:t>
      </w:r>
      <w:r w:rsidR="00E84736">
        <w:rPr>
          <w:rFonts w:ascii="Times New Roman" w:hAnsi="Times New Roman" w:cs="Times New Roman"/>
          <w:sz w:val="24"/>
          <w:szCs w:val="24"/>
        </w:rPr>
        <w:t xml:space="preserve"> rovněž</w:t>
      </w:r>
      <w:r>
        <w:rPr>
          <w:rFonts w:ascii="Times New Roman" w:hAnsi="Times New Roman" w:cs="Times New Roman"/>
          <w:sz w:val="24"/>
          <w:szCs w:val="24"/>
        </w:rPr>
        <w:t xml:space="preserve"> 2</w:t>
      </w:r>
      <w:r w:rsidR="00E84736">
        <w:rPr>
          <w:rFonts w:ascii="Times New Roman" w:hAnsi="Times New Roman" w:cs="Times New Roman"/>
          <w:sz w:val="24"/>
          <w:szCs w:val="24"/>
        </w:rPr>
        <w:t>1</w:t>
      </w:r>
      <w:r>
        <w:rPr>
          <w:rFonts w:ascii="Times New Roman" w:hAnsi="Times New Roman" w:cs="Times New Roman"/>
          <w:sz w:val="24"/>
          <w:szCs w:val="24"/>
        </w:rPr>
        <w:t xml:space="preserve"> projektů, jejichž řešení bylo zahájeno v rámci </w:t>
      </w:r>
      <w:r w:rsidR="002314F3">
        <w:rPr>
          <w:rFonts w:ascii="Times New Roman" w:hAnsi="Times New Roman" w:cs="Times New Roman"/>
          <w:sz w:val="24"/>
          <w:szCs w:val="24"/>
        </w:rPr>
        <w:t xml:space="preserve">„Resortního programu výzkumu a vývoje Ministerstva zdravotnictví“ (NR) a 1 projekt, jehož řešení bylo zahájeno v rámci </w:t>
      </w:r>
      <w:r w:rsidR="00E84736">
        <w:rPr>
          <w:rFonts w:ascii="Times New Roman" w:hAnsi="Times New Roman" w:cs="Times New Roman"/>
          <w:sz w:val="24"/>
          <w:szCs w:val="24"/>
        </w:rPr>
        <w:t xml:space="preserve">programu „Zdraví obyvatel“ </w:t>
      </w:r>
      <w:r w:rsidR="002314F3">
        <w:rPr>
          <w:rFonts w:ascii="Times New Roman" w:hAnsi="Times New Roman" w:cs="Times New Roman"/>
          <w:sz w:val="24"/>
          <w:szCs w:val="24"/>
        </w:rPr>
        <w:t>-</w:t>
      </w:r>
      <w:r w:rsidR="00E84736">
        <w:rPr>
          <w:rFonts w:ascii="Times New Roman" w:hAnsi="Times New Roman" w:cs="Times New Roman"/>
          <w:sz w:val="24"/>
          <w:szCs w:val="24"/>
        </w:rPr>
        <w:t xml:space="preserve"> Národní program výzkumu (1A</w:t>
      </w:r>
      <w:r w:rsidR="002314F3">
        <w:rPr>
          <w:rFonts w:ascii="Times New Roman" w:hAnsi="Times New Roman" w:cs="Times New Roman"/>
          <w:sz w:val="24"/>
          <w:szCs w:val="24"/>
        </w:rPr>
        <w:t>)</w:t>
      </w:r>
      <w:r w:rsidR="00E84736">
        <w:rPr>
          <w:rFonts w:ascii="Times New Roman" w:hAnsi="Times New Roman" w:cs="Times New Roman"/>
          <w:sz w:val="24"/>
          <w:szCs w:val="24"/>
        </w:rPr>
        <w:t>. Vzhledem k tomu, že</w:t>
      </w:r>
      <w:r w:rsidR="001B2B7A">
        <w:rPr>
          <w:rFonts w:ascii="Times New Roman" w:hAnsi="Times New Roman" w:cs="Times New Roman"/>
          <w:sz w:val="24"/>
          <w:szCs w:val="24"/>
        </w:rPr>
        <w:t> </w:t>
      </w:r>
      <w:r w:rsidR="00E84736">
        <w:rPr>
          <w:rFonts w:ascii="Times New Roman" w:hAnsi="Times New Roman" w:cs="Times New Roman"/>
          <w:sz w:val="24"/>
          <w:szCs w:val="24"/>
        </w:rPr>
        <w:t xml:space="preserve">doba řešení těchto projektů byla prodloužena nad rámec </w:t>
      </w:r>
      <w:r w:rsidR="00AA0BA6">
        <w:rPr>
          <w:rFonts w:ascii="Times New Roman" w:hAnsi="Times New Roman" w:cs="Times New Roman"/>
          <w:sz w:val="24"/>
          <w:szCs w:val="24"/>
        </w:rPr>
        <w:t xml:space="preserve">doby trvání </w:t>
      </w:r>
      <w:r w:rsidR="00E84736">
        <w:rPr>
          <w:rFonts w:ascii="Times New Roman" w:hAnsi="Times New Roman" w:cs="Times New Roman"/>
          <w:sz w:val="24"/>
          <w:szCs w:val="24"/>
        </w:rPr>
        <w:t>programů</w:t>
      </w:r>
      <w:r w:rsidR="00AA0BA6">
        <w:rPr>
          <w:rFonts w:ascii="Times New Roman" w:hAnsi="Times New Roman" w:cs="Times New Roman"/>
          <w:sz w:val="24"/>
          <w:szCs w:val="24"/>
        </w:rPr>
        <w:t xml:space="preserve"> (2004-2009)</w:t>
      </w:r>
      <w:r w:rsidR="00E84736">
        <w:rPr>
          <w:rFonts w:ascii="Times New Roman" w:hAnsi="Times New Roman" w:cs="Times New Roman"/>
          <w:sz w:val="24"/>
          <w:szCs w:val="24"/>
        </w:rPr>
        <w:t xml:space="preserve">, v nichž </w:t>
      </w:r>
      <w:r w:rsidR="002314F3">
        <w:rPr>
          <w:rFonts w:ascii="Times New Roman" w:hAnsi="Times New Roman" w:cs="Times New Roman"/>
          <w:sz w:val="24"/>
          <w:szCs w:val="24"/>
        </w:rPr>
        <w:t xml:space="preserve">bylo jejich řešení </w:t>
      </w:r>
      <w:r w:rsidR="00AA0BA6">
        <w:rPr>
          <w:rFonts w:ascii="Times New Roman" w:hAnsi="Times New Roman" w:cs="Times New Roman"/>
          <w:sz w:val="24"/>
          <w:szCs w:val="24"/>
        </w:rPr>
        <w:t>zahájeno</w:t>
      </w:r>
      <w:r w:rsidR="002314F3">
        <w:rPr>
          <w:rFonts w:ascii="Times New Roman" w:hAnsi="Times New Roman" w:cs="Times New Roman"/>
          <w:sz w:val="24"/>
          <w:szCs w:val="24"/>
        </w:rPr>
        <w:t>,</w:t>
      </w:r>
      <w:r w:rsidR="00E84736">
        <w:rPr>
          <w:rFonts w:ascii="Times New Roman" w:hAnsi="Times New Roman" w:cs="Times New Roman"/>
          <w:sz w:val="24"/>
          <w:szCs w:val="24"/>
        </w:rPr>
        <w:t xml:space="preserve"> </w:t>
      </w:r>
      <w:r w:rsidR="002314F3">
        <w:rPr>
          <w:rFonts w:ascii="Times New Roman" w:hAnsi="Times New Roman" w:cs="Times New Roman"/>
          <w:sz w:val="24"/>
          <w:szCs w:val="24"/>
        </w:rPr>
        <w:t>formálně tyto projekty</w:t>
      </w:r>
      <w:r w:rsidR="00E84736">
        <w:rPr>
          <w:rFonts w:ascii="Times New Roman" w:hAnsi="Times New Roman" w:cs="Times New Roman"/>
          <w:sz w:val="24"/>
          <w:szCs w:val="24"/>
        </w:rPr>
        <w:t xml:space="preserve"> </w:t>
      </w:r>
      <w:r w:rsidR="002314F3">
        <w:rPr>
          <w:rFonts w:ascii="Times New Roman" w:hAnsi="Times New Roman" w:cs="Times New Roman"/>
          <w:sz w:val="24"/>
          <w:szCs w:val="24"/>
        </w:rPr>
        <w:t xml:space="preserve">spadají do </w:t>
      </w:r>
      <w:r w:rsidR="00E84736">
        <w:rPr>
          <w:rFonts w:ascii="Times New Roman" w:hAnsi="Times New Roman" w:cs="Times New Roman"/>
          <w:sz w:val="24"/>
          <w:szCs w:val="24"/>
        </w:rPr>
        <w:t xml:space="preserve">programu NS </w:t>
      </w:r>
      <w:r w:rsidR="002314F3">
        <w:rPr>
          <w:rFonts w:ascii="Times New Roman" w:hAnsi="Times New Roman" w:cs="Times New Roman"/>
          <w:sz w:val="24"/>
          <w:szCs w:val="24"/>
        </w:rPr>
        <w:t xml:space="preserve">(včetně údajů </w:t>
      </w:r>
      <w:r w:rsidR="00AA0BA6">
        <w:rPr>
          <w:rFonts w:ascii="Times New Roman" w:hAnsi="Times New Roman" w:cs="Times New Roman"/>
          <w:sz w:val="24"/>
          <w:szCs w:val="24"/>
        </w:rPr>
        <w:t xml:space="preserve">v </w:t>
      </w:r>
      <w:r w:rsidR="002314F3">
        <w:rPr>
          <w:rFonts w:ascii="Times New Roman" w:hAnsi="Times New Roman" w:cs="Times New Roman"/>
          <w:sz w:val="24"/>
          <w:szCs w:val="24"/>
        </w:rPr>
        <w:t xml:space="preserve">IS VaVaI) </w:t>
      </w:r>
      <w:r w:rsidR="00E84736">
        <w:rPr>
          <w:rFonts w:ascii="Times New Roman" w:hAnsi="Times New Roman" w:cs="Times New Roman"/>
          <w:sz w:val="24"/>
          <w:szCs w:val="24"/>
        </w:rPr>
        <w:t xml:space="preserve">a po vzájemně dohodě RVVI s poskytovatelem byly v rámci programu NS i zhodnoceny. </w:t>
      </w:r>
    </w:p>
    <w:p w:rsidR="006F2406" w:rsidRPr="002927A4" w:rsidRDefault="00C75B6A" w:rsidP="002927A4">
      <w:pPr>
        <w:pStyle w:val="Odstavecseseznamem"/>
        <w:numPr>
          <w:ilvl w:val="0"/>
          <w:numId w:val="34"/>
        </w:numPr>
        <w:spacing w:after="120" w:line="240" w:lineRule="auto"/>
        <w:jc w:val="both"/>
        <w:rPr>
          <w:rFonts w:ascii="Times New Roman" w:hAnsi="Times New Roman" w:cs="Times New Roman"/>
          <w:b/>
          <w:sz w:val="24"/>
          <w:szCs w:val="24"/>
        </w:rPr>
      </w:pPr>
      <w:r w:rsidRPr="002927A4">
        <w:rPr>
          <w:rFonts w:ascii="Times New Roman" w:hAnsi="Times New Roman" w:cs="Times New Roman"/>
          <w:b/>
          <w:sz w:val="24"/>
          <w:szCs w:val="24"/>
        </w:rPr>
        <w:t>Výsledky hodnocení</w:t>
      </w:r>
    </w:p>
    <w:p w:rsidR="00741682" w:rsidRPr="00327B80" w:rsidRDefault="00DF5BE4" w:rsidP="00E17B96">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Souhrnné v</w:t>
      </w:r>
      <w:r w:rsidR="006F2406" w:rsidRPr="00327B80">
        <w:rPr>
          <w:rFonts w:ascii="Times New Roman" w:hAnsi="Times New Roman" w:cs="Times New Roman"/>
          <w:sz w:val="24"/>
          <w:szCs w:val="24"/>
        </w:rPr>
        <w:t>ýsledk</w:t>
      </w:r>
      <w:r w:rsidR="00C75B6A" w:rsidRPr="00327B80">
        <w:rPr>
          <w:rFonts w:ascii="Times New Roman" w:hAnsi="Times New Roman" w:cs="Times New Roman"/>
          <w:sz w:val="24"/>
          <w:szCs w:val="24"/>
        </w:rPr>
        <w:t>y</w:t>
      </w:r>
      <w:r w:rsidR="006F2406" w:rsidRPr="00327B80">
        <w:rPr>
          <w:rFonts w:ascii="Times New Roman" w:hAnsi="Times New Roman" w:cs="Times New Roman"/>
          <w:sz w:val="24"/>
          <w:szCs w:val="24"/>
        </w:rPr>
        <w:t xml:space="preserve"> Hodnocení j</w:t>
      </w:r>
      <w:r w:rsidR="00C75B6A" w:rsidRPr="00327B80">
        <w:rPr>
          <w:rFonts w:ascii="Times New Roman" w:hAnsi="Times New Roman" w:cs="Times New Roman"/>
          <w:sz w:val="24"/>
          <w:szCs w:val="24"/>
        </w:rPr>
        <w:t>sou uvedeny v</w:t>
      </w:r>
      <w:r w:rsidR="006F2406" w:rsidRPr="00327B80">
        <w:rPr>
          <w:rFonts w:ascii="Times New Roman" w:hAnsi="Times New Roman" w:cs="Times New Roman"/>
          <w:sz w:val="24"/>
          <w:szCs w:val="24"/>
        </w:rPr>
        <w:t xml:space="preserve"> Přílo</w:t>
      </w:r>
      <w:r w:rsidR="007921E6">
        <w:rPr>
          <w:rFonts w:ascii="Times New Roman" w:hAnsi="Times New Roman" w:cs="Times New Roman"/>
          <w:sz w:val="24"/>
          <w:szCs w:val="24"/>
        </w:rPr>
        <w:t>ze</w:t>
      </w:r>
      <w:r w:rsidR="006F2406" w:rsidRPr="00327B80">
        <w:rPr>
          <w:rFonts w:ascii="Times New Roman" w:hAnsi="Times New Roman" w:cs="Times New Roman"/>
          <w:sz w:val="24"/>
          <w:szCs w:val="24"/>
        </w:rPr>
        <w:t xml:space="preserve"> č. </w:t>
      </w:r>
      <w:r w:rsidR="007921E6">
        <w:rPr>
          <w:rFonts w:ascii="Times New Roman" w:hAnsi="Times New Roman" w:cs="Times New Roman"/>
          <w:sz w:val="24"/>
          <w:szCs w:val="24"/>
        </w:rPr>
        <w:t>3</w:t>
      </w:r>
      <w:r w:rsidR="00C75B6A" w:rsidRPr="00327B80">
        <w:rPr>
          <w:rFonts w:ascii="Times New Roman" w:hAnsi="Times New Roman" w:cs="Times New Roman"/>
          <w:sz w:val="24"/>
          <w:szCs w:val="24"/>
        </w:rPr>
        <w:t>.</w:t>
      </w:r>
      <w:r w:rsidR="006F2406" w:rsidRPr="00327B80">
        <w:rPr>
          <w:rFonts w:ascii="Times New Roman" w:hAnsi="Times New Roman" w:cs="Times New Roman"/>
          <w:sz w:val="24"/>
          <w:szCs w:val="24"/>
        </w:rPr>
        <w:t xml:space="preserve"> </w:t>
      </w:r>
      <w:r w:rsidRPr="00327B80">
        <w:rPr>
          <w:rFonts w:ascii="Times New Roman" w:hAnsi="Times New Roman" w:cs="Times New Roman"/>
          <w:sz w:val="24"/>
          <w:szCs w:val="24"/>
        </w:rPr>
        <w:t>Příslušná tabulka</w:t>
      </w:r>
      <w:r w:rsidR="00320C30" w:rsidRPr="00327B80">
        <w:rPr>
          <w:rFonts w:ascii="Times New Roman" w:hAnsi="Times New Roman" w:cs="Times New Roman"/>
          <w:sz w:val="24"/>
          <w:szCs w:val="24"/>
        </w:rPr>
        <w:t xml:space="preserve"> obsahuje</w:t>
      </w:r>
      <w:r w:rsidR="006F2406" w:rsidRPr="00327B80">
        <w:rPr>
          <w:rFonts w:ascii="Times New Roman" w:hAnsi="Times New Roman" w:cs="Times New Roman"/>
          <w:sz w:val="24"/>
          <w:szCs w:val="24"/>
        </w:rPr>
        <w:t xml:space="preserve"> údaje o hodnocených projektech agregované podle jednotlivých hodnocených programů s</w:t>
      </w:r>
      <w:r w:rsidRPr="00327B80">
        <w:rPr>
          <w:rFonts w:ascii="Times New Roman" w:hAnsi="Times New Roman" w:cs="Times New Roman"/>
          <w:sz w:val="24"/>
          <w:szCs w:val="24"/>
        </w:rPr>
        <w:t> </w:t>
      </w:r>
      <w:r w:rsidR="006F2406" w:rsidRPr="00327B80">
        <w:rPr>
          <w:rFonts w:ascii="Times New Roman" w:hAnsi="Times New Roman" w:cs="Times New Roman"/>
          <w:sz w:val="24"/>
          <w:szCs w:val="24"/>
        </w:rPr>
        <w:t xml:space="preserve">uvedením </w:t>
      </w:r>
      <w:r w:rsidR="0047130A" w:rsidRPr="00327B80">
        <w:rPr>
          <w:rFonts w:ascii="Times New Roman" w:hAnsi="Times New Roman" w:cs="Times New Roman"/>
          <w:sz w:val="24"/>
          <w:szCs w:val="24"/>
        </w:rPr>
        <w:t xml:space="preserve">jejich </w:t>
      </w:r>
      <w:r w:rsidR="007921E6">
        <w:rPr>
          <w:rFonts w:ascii="Times New Roman" w:hAnsi="Times New Roman" w:cs="Times New Roman"/>
          <w:sz w:val="24"/>
          <w:szCs w:val="24"/>
        </w:rPr>
        <w:t xml:space="preserve">poskytovatele, </w:t>
      </w:r>
      <w:r w:rsidR="0047130A" w:rsidRPr="00327B80">
        <w:rPr>
          <w:rFonts w:ascii="Times New Roman" w:hAnsi="Times New Roman" w:cs="Times New Roman"/>
          <w:sz w:val="24"/>
          <w:szCs w:val="24"/>
        </w:rPr>
        <w:t>identifikačního kódu, pod kterým jsou evidovány v</w:t>
      </w:r>
      <w:r w:rsidR="001B2B7A">
        <w:rPr>
          <w:rFonts w:ascii="Times New Roman" w:hAnsi="Times New Roman" w:cs="Times New Roman"/>
          <w:sz w:val="24"/>
          <w:szCs w:val="24"/>
        </w:rPr>
        <w:t> </w:t>
      </w:r>
      <w:r w:rsidR="0047130A" w:rsidRPr="00327B80">
        <w:rPr>
          <w:rFonts w:ascii="Times New Roman" w:hAnsi="Times New Roman" w:cs="Times New Roman"/>
          <w:sz w:val="24"/>
          <w:szCs w:val="24"/>
        </w:rPr>
        <w:t>IS</w:t>
      </w:r>
      <w:r w:rsidR="001B2B7A">
        <w:rPr>
          <w:rFonts w:ascii="Times New Roman" w:hAnsi="Times New Roman" w:cs="Times New Roman"/>
          <w:sz w:val="24"/>
          <w:szCs w:val="24"/>
        </w:rPr>
        <w:t> </w:t>
      </w:r>
      <w:r w:rsidR="0047130A" w:rsidRPr="00327B80">
        <w:rPr>
          <w:rFonts w:ascii="Times New Roman" w:hAnsi="Times New Roman" w:cs="Times New Roman"/>
          <w:sz w:val="24"/>
          <w:szCs w:val="24"/>
        </w:rPr>
        <w:t>VaVaI</w:t>
      </w:r>
      <w:r w:rsidR="007921E6">
        <w:rPr>
          <w:rFonts w:ascii="Times New Roman" w:hAnsi="Times New Roman" w:cs="Times New Roman"/>
          <w:sz w:val="24"/>
          <w:szCs w:val="24"/>
        </w:rPr>
        <w:t xml:space="preserve"> a</w:t>
      </w:r>
      <w:r w:rsidR="0047130A" w:rsidRPr="00327B80">
        <w:rPr>
          <w:rFonts w:ascii="Times New Roman" w:hAnsi="Times New Roman" w:cs="Times New Roman"/>
          <w:sz w:val="24"/>
          <w:szCs w:val="24"/>
        </w:rPr>
        <w:t xml:space="preserve"> </w:t>
      </w:r>
      <w:r w:rsidR="006F2406" w:rsidRPr="00327B80">
        <w:rPr>
          <w:rFonts w:ascii="Times New Roman" w:hAnsi="Times New Roman" w:cs="Times New Roman"/>
          <w:sz w:val="24"/>
          <w:szCs w:val="24"/>
        </w:rPr>
        <w:t xml:space="preserve">hodnoty </w:t>
      </w:r>
      <w:r w:rsidRPr="00327B80">
        <w:rPr>
          <w:rFonts w:ascii="Times New Roman" w:hAnsi="Times New Roman" w:cs="Times New Roman"/>
          <w:sz w:val="24"/>
          <w:szCs w:val="24"/>
        </w:rPr>
        <w:t xml:space="preserve">jejich </w:t>
      </w:r>
      <w:r w:rsidR="006F2406" w:rsidRPr="00327B80">
        <w:rPr>
          <w:rFonts w:ascii="Times New Roman" w:hAnsi="Times New Roman" w:cs="Times New Roman"/>
          <w:sz w:val="24"/>
          <w:szCs w:val="24"/>
        </w:rPr>
        <w:t>Indexu SR</w:t>
      </w:r>
      <w:r w:rsidRPr="00327B80">
        <w:rPr>
          <w:rFonts w:ascii="Times New Roman" w:hAnsi="Times New Roman" w:cs="Times New Roman"/>
          <w:sz w:val="24"/>
          <w:szCs w:val="24"/>
        </w:rPr>
        <w:t>,</w:t>
      </w:r>
      <w:r w:rsidR="006F2406" w:rsidRPr="00327B80">
        <w:rPr>
          <w:rFonts w:ascii="Times New Roman" w:hAnsi="Times New Roman" w:cs="Times New Roman"/>
          <w:sz w:val="24"/>
          <w:szCs w:val="24"/>
        </w:rPr>
        <w:t xml:space="preserve"> údaj</w:t>
      </w:r>
      <w:r w:rsidR="007921E6">
        <w:rPr>
          <w:rFonts w:ascii="Times New Roman" w:hAnsi="Times New Roman" w:cs="Times New Roman"/>
          <w:sz w:val="24"/>
          <w:szCs w:val="24"/>
        </w:rPr>
        <w:t>e</w:t>
      </w:r>
      <w:r w:rsidR="006F2406" w:rsidRPr="00327B80">
        <w:rPr>
          <w:rFonts w:ascii="Times New Roman" w:hAnsi="Times New Roman" w:cs="Times New Roman"/>
          <w:sz w:val="24"/>
          <w:szCs w:val="24"/>
        </w:rPr>
        <w:t xml:space="preserve"> o </w:t>
      </w:r>
      <w:r w:rsidR="000820B4" w:rsidRPr="00327B80">
        <w:rPr>
          <w:rFonts w:ascii="Times New Roman" w:hAnsi="Times New Roman" w:cs="Times New Roman"/>
          <w:sz w:val="24"/>
          <w:szCs w:val="24"/>
        </w:rPr>
        <w:t xml:space="preserve">vynaložených </w:t>
      </w:r>
      <w:r w:rsidR="006F2406" w:rsidRPr="00327B80">
        <w:rPr>
          <w:rFonts w:ascii="Times New Roman" w:hAnsi="Times New Roman" w:cs="Times New Roman"/>
          <w:sz w:val="24"/>
          <w:szCs w:val="24"/>
        </w:rPr>
        <w:t>výdajích na řešení</w:t>
      </w:r>
      <w:r w:rsidR="00320C30" w:rsidRPr="00327B80">
        <w:rPr>
          <w:rFonts w:ascii="Times New Roman" w:hAnsi="Times New Roman" w:cs="Times New Roman"/>
          <w:sz w:val="24"/>
          <w:szCs w:val="24"/>
        </w:rPr>
        <w:t xml:space="preserve"> programů</w:t>
      </w:r>
      <w:r w:rsidR="00695980" w:rsidRPr="00327B80">
        <w:rPr>
          <w:rFonts w:ascii="Times New Roman" w:hAnsi="Times New Roman" w:cs="Times New Roman"/>
          <w:sz w:val="24"/>
          <w:szCs w:val="24"/>
        </w:rPr>
        <w:t>,</w:t>
      </w:r>
      <w:r w:rsidR="006F2406" w:rsidRPr="00327B80">
        <w:rPr>
          <w:rFonts w:ascii="Times New Roman" w:hAnsi="Times New Roman" w:cs="Times New Roman"/>
          <w:sz w:val="24"/>
          <w:szCs w:val="24"/>
        </w:rPr>
        <w:t xml:space="preserve"> včetně výše poskytnuté podpory</w:t>
      </w:r>
      <w:r w:rsidR="00596020" w:rsidRPr="00327B80">
        <w:rPr>
          <w:rFonts w:ascii="Times New Roman" w:hAnsi="Times New Roman" w:cs="Times New Roman"/>
          <w:sz w:val="24"/>
          <w:szCs w:val="24"/>
        </w:rPr>
        <w:t xml:space="preserve"> z veřejných prostředků</w:t>
      </w:r>
      <w:r w:rsidR="006F2406" w:rsidRPr="00327B80">
        <w:rPr>
          <w:rFonts w:ascii="Times New Roman" w:hAnsi="Times New Roman" w:cs="Times New Roman"/>
          <w:sz w:val="24"/>
          <w:szCs w:val="24"/>
        </w:rPr>
        <w:t xml:space="preserve">, </w:t>
      </w:r>
      <w:r w:rsidR="00695980" w:rsidRPr="00327B80">
        <w:rPr>
          <w:rFonts w:ascii="Times New Roman" w:hAnsi="Times New Roman" w:cs="Times New Roman"/>
          <w:sz w:val="24"/>
          <w:szCs w:val="24"/>
        </w:rPr>
        <w:t xml:space="preserve">údaje </w:t>
      </w:r>
      <w:r w:rsidR="006F2406" w:rsidRPr="00327B80">
        <w:rPr>
          <w:rFonts w:ascii="Times New Roman" w:hAnsi="Times New Roman" w:cs="Times New Roman"/>
          <w:sz w:val="24"/>
          <w:szCs w:val="24"/>
        </w:rPr>
        <w:t xml:space="preserve">o celkovém počtu </w:t>
      </w:r>
      <w:r w:rsidR="00493842" w:rsidRPr="00327B80">
        <w:rPr>
          <w:rFonts w:ascii="Times New Roman" w:hAnsi="Times New Roman" w:cs="Times New Roman"/>
          <w:sz w:val="24"/>
          <w:szCs w:val="24"/>
        </w:rPr>
        <w:t xml:space="preserve">řešených projektů, jejich </w:t>
      </w:r>
      <w:r w:rsidR="006F2406" w:rsidRPr="00327B80">
        <w:rPr>
          <w:rFonts w:ascii="Times New Roman" w:hAnsi="Times New Roman" w:cs="Times New Roman"/>
          <w:sz w:val="24"/>
          <w:szCs w:val="24"/>
        </w:rPr>
        <w:t>výsled</w:t>
      </w:r>
      <w:r w:rsidR="00493842" w:rsidRPr="00327B80">
        <w:rPr>
          <w:rFonts w:ascii="Times New Roman" w:hAnsi="Times New Roman" w:cs="Times New Roman"/>
          <w:sz w:val="24"/>
          <w:szCs w:val="24"/>
        </w:rPr>
        <w:t>cích</w:t>
      </w:r>
      <w:r w:rsidR="006F2406" w:rsidRPr="00327B80">
        <w:rPr>
          <w:rFonts w:ascii="Times New Roman" w:hAnsi="Times New Roman" w:cs="Times New Roman"/>
          <w:sz w:val="24"/>
          <w:szCs w:val="24"/>
        </w:rPr>
        <w:t xml:space="preserve"> a </w:t>
      </w:r>
      <w:r w:rsidRPr="00327B80">
        <w:rPr>
          <w:rFonts w:ascii="Times New Roman" w:hAnsi="Times New Roman" w:cs="Times New Roman"/>
          <w:sz w:val="24"/>
          <w:szCs w:val="24"/>
        </w:rPr>
        <w:t xml:space="preserve">jejich </w:t>
      </w:r>
      <w:r w:rsidR="006F2406" w:rsidRPr="00327B80">
        <w:rPr>
          <w:rFonts w:ascii="Times New Roman" w:hAnsi="Times New Roman" w:cs="Times New Roman"/>
          <w:sz w:val="24"/>
          <w:szCs w:val="24"/>
        </w:rPr>
        <w:t>bodovém ohodnocení a</w:t>
      </w:r>
      <w:r w:rsidR="00695980" w:rsidRPr="00327B80">
        <w:rPr>
          <w:rFonts w:ascii="Times New Roman" w:hAnsi="Times New Roman" w:cs="Times New Roman"/>
          <w:sz w:val="24"/>
          <w:szCs w:val="24"/>
        </w:rPr>
        <w:t xml:space="preserve"> údaje </w:t>
      </w:r>
      <w:r w:rsidR="006F2406" w:rsidRPr="00327B80">
        <w:rPr>
          <w:rFonts w:ascii="Times New Roman" w:hAnsi="Times New Roman" w:cs="Times New Roman"/>
          <w:sz w:val="24"/>
          <w:szCs w:val="24"/>
        </w:rPr>
        <w:t>o jednotlivých druzích výsledků</w:t>
      </w:r>
      <w:r w:rsidRPr="00327B80">
        <w:rPr>
          <w:rFonts w:ascii="Times New Roman" w:hAnsi="Times New Roman" w:cs="Times New Roman"/>
          <w:sz w:val="24"/>
          <w:szCs w:val="24"/>
        </w:rPr>
        <w:t>, jichž bylo v </w:t>
      </w:r>
      <w:r w:rsidR="00E733CB">
        <w:rPr>
          <w:rFonts w:ascii="Times New Roman" w:hAnsi="Times New Roman" w:cs="Times New Roman"/>
          <w:sz w:val="24"/>
          <w:szCs w:val="24"/>
        </w:rPr>
        <w:t>průběhu</w:t>
      </w:r>
      <w:r w:rsidRPr="00327B80">
        <w:rPr>
          <w:rFonts w:ascii="Times New Roman" w:hAnsi="Times New Roman" w:cs="Times New Roman"/>
          <w:sz w:val="24"/>
          <w:szCs w:val="24"/>
        </w:rPr>
        <w:t xml:space="preserve"> řešen</w:t>
      </w:r>
      <w:r w:rsidR="00E733CB">
        <w:rPr>
          <w:rFonts w:ascii="Times New Roman" w:hAnsi="Times New Roman" w:cs="Times New Roman"/>
          <w:sz w:val="24"/>
          <w:szCs w:val="24"/>
        </w:rPr>
        <w:t>í</w:t>
      </w:r>
      <w:r w:rsidRPr="00327B80">
        <w:rPr>
          <w:rFonts w:ascii="Times New Roman" w:hAnsi="Times New Roman" w:cs="Times New Roman"/>
          <w:sz w:val="24"/>
          <w:szCs w:val="24"/>
        </w:rPr>
        <w:t xml:space="preserve"> dosaženo, včetně</w:t>
      </w:r>
      <w:r w:rsidR="006F2406" w:rsidRPr="00327B80">
        <w:rPr>
          <w:rFonts w:ascii="Times New Roman" w:hAnsi="Times New Roman" w:cs="Times New Roman"/>
          <w:sz w:val="24"/>
          <w:szCs w:val="24"/>
        </w:rPr>
        <w:t xml:space="preserve"> </w:t>
      </w:r>
      <w:r w:rsidR="00695980" w:rsidRPr="00327B80">
        <w:rPr>
          <w:rFonts w:ascii="Times New Roman" w:hAnsi="Times New Roman" w:cs="Times New Roman"/>
          <w:sz w:val="24"/>
          <w:szCs w:val="24"/>
        </w:rPr>
        <w:t xml:space="preserve">jejich </w:t>
      </w:r>
      <w:r w:rsidR="006F2406" w:rsidRPr="00327B80">
        <w:rPr>
          <w:rFonts w:ascii="Times New Roman" w:hAnsi="Times New Roman" w:cs="Times New Roman"/>
          <w:sz w:val="24"/>
          <w:szCs w:val="24"/>
        </w:rPr>
        <w:t>bodového</w:t>
      </w:r>
      <w:r w:rsidR="00596020" w:rsidRPr="00327B80">
        <w:rPr>
          <w:rFonts w:ascii="Times New Roman" w:hAnsi="Times New Roman" w:cs="Times New Roman"/>
          <w:sz w:val="24"/>
          <w:szCs w:val="24"/>
        </w:rPr>
        <w:t xml:space="preserve"> ohodnocení</w:t>
      </w:r>
      <w:r w:rsidR="006F2406" w:rsidRPr="00327B80">
        <w:rPr>
          <w:rFonts w:ascii="Times New Roman" w:hAnsi="Times New Roman" w:cs="Times New Roman"/>
          <w:sz w:val="24"/>
          <w:szCs w:val="24"/>
        </w:rPr>
        <w:t>. Součástí tabulky je i údaj o</w:t>
      </w:r>
      <w:r w:rsidR="00695980" w:rsidRPr="00327B80">
        <w:rPr>
          <w:rFonts w:ascii="Times New Roman" w:hAnsi="Times New Roman" w:cs="Times New Roman"/>
          <w:sz w:val="24"/>
          <w:szCs w:val="24"/>
        </w:rPr>
        <w:t> </w:t>
      </w:r>
      <w:r w:rsidR="006F2406" w:rsidRPr="00327B80">
        <w:rPr>
          <w:rFonts w:ascii="Times New Roman" w:hAnsi="Times New Roman" w:cs="Times New Roman"/>
          <w:sz w:val="24"/>
          <w:szCs w:val="24"/>
        </w:rPr>
        <w:t>bodově nehodnocených výsledcích, tedy o</w:t>
      </w:r>
      <w:r w:rsidR="00596020" w:rsidRPr="00327B80">
        <w:rPr>
          <w:rFonts w:ascii="Times New Roman" w:hAnsi="Times New Roman" w:cs="Times New Roman"/>
          <w:sz w:val="24"/>
          <w:szCs w:val="24"/>
        </w:rPr>
        <w:t> </w:t>
      </w:r>
      <w:r w:rsidR="006F2406" w:rsidRPr="00327B80">
        <w:rPr>
          <w:rFonts w:ascii="Times New Roman" w:hAnsi="Times New Roman" w:cs="Times New Roman"/>
          <w:sz w:val="24"/>
          <w:szCs w:val="24"/>
        </w:rPr>
        <w:t xml:space="preserve">výsledcích, které byly </w:t>
      </w:r>
      <w:r w:rsidRPr="00327B80">
        <w:rPr>
          <w:rFonts w:ascii="Times New Roman" w:hAnsi="Times New Roman" w:cs="Times New Roman"/>
          <w:sz w:val="24"/>
          <w:szCs w:val="24"/>
        </w:rPr>
        <w:t xml:space="preserve">poskytovateli </w:t>
      </w:r>
      <w:r w:rsidR="006F2406" w:rsidRPr="00327B80">
        <w:rPr>
          <w:rFonts w:ascii="Times New Roman" w:hAnsi="Times New Roman" w:cs="Times New Roman"/>
          <w:sz w:val="24"/>
          <w:szCs w:val="24"/>
        </w:rPr>
        <w:t>předány</w:t>
      </w:r>
      <w:r w:rsidR="00596020" w:rsidRPr="00327B80">
        <w:rPr>
          <w:rFonts w:ascii="Times New Roman" w:hAnsi="Times New Roman" w:cs="Times New Roman"/>
          <w:sz w:val="24"/>
          <w:szCs w:val="24"/>
        </w:rPr>
        <w:t xml:space="preserve"> do </w:t>
      </w:r>
      <w:r w:rsidRPr="00327B80">
        <w:rPr>
          <w:rFonts w:ascii="Times New Roman" w:hAnsi="Times New Roman" w:cs="Times New Roman"/>
          <w:sz w:val="24"/>
          <w:szCs w:val="24"/>
        </w:rPr>
        <w:t>IS VaVaI</w:t>
      </w:r>
      <w:r w:rsidR="00695980" w:rsidRPr="00327B80">
        <w:rPr>
          <w:rFonts w:ascii="Times New Roman" w:hAnsi="Times New Roman" w:cs="Times New Roman"/>
          <w:sz w:val="24"/>
          <w:szCs w:val="24"/>
        </w:rPr>
        <w:t>,</w:t>
      </w:r>
      <w:r w:rsidR="006F2406" w:rsidRPr="00327B80">
        <w:rPr>
          <w:rFonts w:ascii="Times New Roman" w:hAnsi="Times New Roman" w:cs="Times New Roman"/>
          <w:sz w:val="24"/>
          <w:szCs w:val="24"/>
        </w:rPr>
        <w:t xml:space="preserve"> ale neodpovídají definici bodově ohodnocených výsledků </w:t>
      </w:r>
      <w:r w:rsidR="00695980" w:rsidRPr="00327B80">
        <w:rPr>
          <w:rFonts w:ascii="Times New Roman" w:hAnsi="Times New Roman" w:cs="Times New Roman"/>
          <w:sz w:val="24"/>
          <w:szCs w:val="24"/>
        </w:rPr>
        <w:t>po</w:t>
      </w:r>
      <w:r w:rsidR="006F2406" w:rsidRPr="00327B80">
        <w:rPr>
          <w:rFonts w:ascii="Times New Roman" w:hAnsi="Times New Roman" w:cs="Times New Roman"/>
          <w:sz w:val="24"/>
          <w:szCs w:val="24"/>
        </w:rPr>
        <w:t>dle Metodiky</w:t>
      </w:r>
      <w:r w:rsidR="00695980" w:rsidRPr="00327B80">
        <w:rPr>
          <w:rFonts w:ascii="Times New Roman" w:hAnsi="Times New Roman" w:cs="Times New Roman"/>
          <w:sz w:val="24"/>
          <w:szCs w:val="24"/>
        </w:rPr>
        <w:t xml:space="preserve"> hodnocení</w:t>
      </w:r>
      <w:r w:rsidR="006F2406" w:rsidRPr="00327B80">
        <w:rPr>
          <w:rFonts w:ascii="Times New Roman" w:hAnsi="Times New Roman" w:cs="Times New Roman"/>
          <w:sz w:val="24"/>
          <w:szCs w:val="24"/>
        </w:rPr>
        <w:t>.</w:t>
      </w:r>
    </w:p>
    <w:p w:rsidR="00741682" w:rsidRPr="00327B80" w:rsidRDefault="00BA4E40" w:rsidP="00E17B96">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Z Hodnocení vypl</w:t>
      </w:r>
      <w:r w:rsidR="00C12AC1" w:rsidRPr="00327B80">
        <w:rPr>
          <w:rFonts w:ascii="Times New Roman" w:hAnsi="Times New Roman" w:cs="Times New Roman"/>
          <w:sz w:val="24"/>
          <w:szCs w:val="24"/>
        </w:rPr>
        <w:t>ývá</w:t>
      </w:r>
      <w:r w:rsidRPr="00327B80">
        <w:rPr>
          <w:rFonts w:ascii="Times New Roman" w:hAnsi="Times New Roman" w:cs="Times New Roman"/>
          <w:sz w:val="24"/>
          <w:szCs w:val="24"/>
        </w:rPr>
        <w:t xml:space="preserve">, že </w:t>
      </w:r>
      <w:r w:rsidR="00DF5BE4" w:rsidRPr="00327B80">
        <w:rPr>
          <w:rFonts w:ascii="Times New Roman" w:hAnsi="Times New Roman" w:cs="Times New Roman"/>
          <w:sz w:val="24"/>
          <w:szCs w:val="24"/>
        </w:rPr>
        <w:t>za dobu trvání</w:t>
      </w:r>
      <w:r w:rsidRPr="00327B80">
        <w:rPr>
          <w:rFonts w:ascii="Times New Roman" w:hAnsi="Times New Roman" w:cs="Times New Roman"/>
          <w:sz w:val="24"/>
          <w:szCs w:val="24"/>
        </w:rPr>
        <w:t xml:space="preserve"> </w:t>
      </w:r>
      <w:r w:rsidR="009C27C3">
        <w:rPr>
          <w:rFonts w:ascii="Times New Roman" w:hAnsi="Times New Roman" w:cs="Times New Roman"/>
          <w:sz w:val="24"/>
          <w:szCs w:val="24"/>
        </w:rPr>
        <w:t xml:space="preserve">všech hodnocených programů bylo </w:t>
      </w:r>
      <w:r w:rsidRPr="00327B80">
        <w:rPr>
          <w:rFonts w:ascii="Times New Roman" w:hAnsi="Times New Roman" w:cs="Times New Roman"/>
          <w:sz w:val="24"/>
          <w:szCs w:val="24"/>
        </w:rPr>
        <w:t xml:space="preserve">vynaloženo celkem </w:t>
      </w:r>
      <w:r w:rsidR="00402894" w:rsidRPr="00327B80">
        <w:rPr>
          <w:rFonts w:ascii="Times New Roman" w:hAnsi="Times New Roman" w:cs="Times New Roman"/>
          <w:sz w:val="24"/>
          <w:szCs w:val="24"/>
        </w:rPr>
        <w:t>28</w:t>
      </w:r>
      <w:r w:rsidR="001B2B7A">
        <w:rPr>
          <w:rFonts w:ascii="Times New Roman" w:hAnsi="Times New Roman" w:cs="Times New Roman"/>
          <w:sz w:val="24"/>
          <w:szCs w:val="24"/>
        </w:rPr>
        <w:t> </w:t>
      </w:r>
      <w:r w:rsidR="00402894" w:rsidRPr="00327B80">
        <w:rPr>
          <w:rFonts w:ascii="Times New Roman" w:hAnsi="Times New Roman" w:cs="Times New Roman"/>
          <w:sz w:val="24"/>
          <w:szCs w:val="24"/>
        </w:rPr>
        <w:t>452</w:t>
      </w:r>
      <w:r w:rsidR="001B2B7A">
        <w:rPr>
          <w:rFonts w:ascii="Times New Roman" w:hAnsi="Times New Roman" w:cs="Times New Roman"/>
          <w:sz w:val="24"/>
          <w:szCs w:val="24"/>
        </w:rPr>
        <w:t> </w:t>
      </w:r>
      <w:r w:rsidR="00402894" w:rsidRPr="00327B80">
        <w:rPr>
          <w:rFonts w:ascii="Times New Roman" w:hAnsi="Times New Roman" w:cs="Times New Roman"/>
          <w:sz w:val="24"/>
          <w:szCs w:val="24"/>
        </w:rPr>
        <w:t>807</w:t>
      </w:r>
      <w:r w:rsidR="00FA1A7C" w:rsidRPr="00327B80">
        <w:rPr>
          <w:rFonts w:ascii="Times New Roman" w:hAnsi="Times New Roman" w:cs="Times New Roman"/>
          <w:sz w:val="24"/>
          <w:szCs w:val="24"/>
        </w:rPr>
        <w:t xml:space="preserve"> </w:t>
      </w:r>
      <w:r w:rsidRPr="00327B80">
        <w:rPr>
          <w:rFonts w:ascii="Times New Roman" w:hAnsi="Times New Roman" w:cs="Times New Roman"/>
          <w:sz w:val="24"/>
          <w:szCs w:val="24"/>
        </w:rPr>
        <w:t>tis. Kč, z</w:t>
      </w:r>
      <w:r w:rsidR="007E6194" w:rsidRPr="00327B80">
        <w:rPr>
          <w:rFonts w:ascii="Times New Roman" w:hAnsi="Times New Roman" w:cs="Times New Roman"/>
          <w:sz w:val="24"/>
          <w:szCs w:val="24"/>
        </w:rPr>
        <w:t> </w:t>
      </w:r>
      <w:r w:rsidRPr="00327B80">
        <w:rPr>
          <w:rFonts w:ascii="Times New Roman" w:hAnsi="Times New Roman" w:cs="Times New Roman"/>
          <w:sz w:val="24"/>
          <w:szCs w:val="24"/>
        </w:rPr>
        <w:t xml:space="preserve">toho </w:t>
      </w:r>
      <w:r w:rsidR="00CE6123" w:rsidRPr="00327B80">
        <w:rPr>
          <w:rFonts w:ascii="Times New Roman" w:hAnsi="Times New Roman" w:cs="Times New Roman"/>
          <w:sz w:val="24"/>
          <w:szCs w:val="24"/>
        </w:rPr>
        <w:t>22</w:t>
      </w:r>
      <w:r w:rsidR="001B2B7A">
        <w:rPr>
          <w:rFonts w:ascii="Times New Roman" w:hAnsi="Times New Roman" w:cs="Times New Roman"/>
          <w:sz w:val="24"/>
          <w:szCs w:val="24"/>
        </w:rPr>
        <w:t> </w:t>
      </w:r>
      <w:r w:rsidR="00CE6123" w:rsidRPr="00327B80">
        <w:rPr>
          <w:rFonts w:ascii="Times New Roman" w:hAnsi="Times New Roman" w:cs="Times New Roman"/>
          <w:sz w:val="24"/>
          <w:szCs w:val="24"/>
        </w:rPr>
        <w:t>681</w:t>
      </w:r>
      <w:r w:rsidR="001B2B7A">
        <w:rPr>
          <w:rFonts w:ascii="Times New Roman" w:hAnsi="Times New Roman" w:cs="Times New Roman"/>
          <w:sz w:val="24"/>
          <w:szCs w:val="24"/>
        </w:rPr>
        <w:t> </w:t>
      </w:r>
      <w:r w:rsidR="00CE6123" w:rsidRPr="00327B80">
        <w:rPr>
          <w:rFonts w:ascii="Times New Roman" w:hAnsi="Times New Roman" w:cs="Times New Roman"/>
          <w:sz w:val="24"/>
          <w:szCs w:val="24"/>
        </w:rPr>
        <w:t>498</w:t>
      </w:r>
      <w:r w:rsidR="001B2B7A">
        <w:rPr>
          <w:rFonts w:ascii="Times New Roman" w:hAnsi="Times New Roman" w:cs="Times New Roman"/>
          <w:sz w:val="24"/>
          <w:szCs w:val="24"/>
        </w:rPr>
        <w:t> </w:t>
      </w:r>
      <w:r w:rsidRPr="00327B80">
        <w:rPr>
          <w:rFonts w:ascii="Times New Roman" w:hAnsi="Times New Roman" w:cs="Times New Roman"/>
          <w:sz w:val="24"/>
          <w:szCs w:val="24"/>
        </w:rPr>
        <w:t xml:space="preserve">tis. Kč z veřejných prostředků. Míra podpory z veřejných prostředků tak činila </w:t>
      </w:r>
      <w:r w:rsidR="00DF5BE4" w:rsidRPr="00327B80">
        <w:rPr>
          <w:rFonts w:ascii="Times New Roman" w:hAnsi="Times New Roman" w:cs="Times New Roman"/>
          <w:sz w:val="24"/>
          <w:szCs w:val="24"/>
        </w:rPr>
        <w:t xml:space="preserve">průměrně </w:t>
      </w:r>
      <w:r w:rsidR="00CE6123" w:rsidRPr="00327B80">
        <w:rPr>
          <w:rFonts w:ascii="Times New Roman" w:hAnsi="Times New Roman" w:cs="Times New Roman"/>
          <w:sz w:val="24"/>
          <w:szCs w:val="24"/>
        </w:rPr>
        <w:t>79,72</w:t>
      </w:r>
      <w:r w:rsidRPr="00327B80">
        <w:rPr>
          <w:rFonts w:ascii="Times New Roman" w:hAnsi="Times New Roman" w:cs="Times New Roman"/>
          <w:sz w:val="24"/>
          <w:szCs w:val="24"/>
        </w:rPr>
        <w:t xml:space="preserve"> %. </w:t>
      </w:r>
      <w:r w:rsidR="009C27C3">
        <w:rPr>
          <w:rFonts w:ascii="Times New Roman" w:hAnsi="Times New Roman" w:cs="Times New Roman"/>
          <w:sz w:val="24"/>
          <w:szCs w:val="24"/>
        </w:rPr>
        <w:t xml:space="preserve">V hodnocených programech </w:t>
      </w:r>
      <w:r w:rsidR="001F65D4">
        <w:rPr>
          <w:rFonts w:ascii="Times New Roman" w:hAnsi="Times New Roman" w:cs="Times New Roman"/>
          <w:sz w:val="24"/>
          <w:szCs w:val="24"/>
        </w:rPr>
        <w:t xml:space="preserve">bylo </w:t>
      </w:r>
      <w:r w:rsidR="009C27C3">
        <w:rPr>
          <w:rFonts w:ascii="Times New Roman" w:hAnsi="Times New Roman" w:cs="Times New Roman"/>
          <w:sz w:val="24"/>
          <w:szCs w:val="24"/>
        </w:rPr>
        <w:t xml:space="preserve">podpořeno celkem </w:t>
      </w:r>
      <w:r w:rsidR="00CD5F15" w:rsidRPr="00327B80">
        <w:rPr>
          <w:rFonts w:ascii="Times New Roman" w:hAnsi="Times New Roman" w:cs="Times New Roman"/>
          <w:sz w:val="24"/>
          <w:szCs w:val="24"/>
        </w:rPr>
        <w:t>2</w:t>
      </w:r>
      <w:r w:rsidR="00934886">
        <w:rPr>
          <w:rFonts w:ascii="Times New Roman" w:hAnsi="Times New Roman" w:cs="Times New Roman"/>
          <w:sz w:val="24"/>
          <w:szCs w:val="24"/>
        </w:rPr>
        <w:t> </w:t>
      </w:r>
      <w:r w:rsidR="00CD5F15" w:rsidRPr="00327B80">
        <w:rPr>
          <w:rFonts w:ascii="Times New Roman" w:hAnsi="Times New Roman" w:cs="Times New Roman"/>
          <w:sz w:val="24"/>
          <w:szCs w:val="24"/>
        </w:rPr>
        <w:t>168</w:t>
      </w:r>
      <w:r w:rsidRPr="00327B80">
        <w:rPr>
          <w:rFonts w:ascii="Times New Roman" w:hAnsi="Times New Roman" w:cs="Times New Roman"/>
          <w:sz w:val="24"/>
          <w:szCs w:val="24"/>
        </w:rPr>
        <w:t xml:space="preserve"> projektů</w:t>
      </w:r>
      <w:r w:rsidR="001D3976" w:rsidRPr="00327B80">
        <w:rPr>
          <w:rFonts w:ascii="Times New Roman" w:hAnsi="Times New Roman" w:cs="Times New Roman"/>
          <w:sz w:val="24"/>
          <w:szCs w:val="24"/>
        </w:rPr>
        <w:t xml:space="preserve"> </w:t>
      </w:r>
      <w:r w:rsidR="009C27C3">
        <w:rPr>
          <w:rFonts w:ascii="Times New Roman" w:hAnsi="Times New Roman" w:cs="Times New Roman"/>
          <w:sz w:val="24"/>
          <w:szCs w:val="24"/>
        </w:rPr>
        <w:t>a</w:t>
      </w:r>
      <w:r w:rsidR="0047130A" w:rsidRPr="00327B80">
        <w:rPr>
          <w:rFonts w:ascii="Times New Roman" w:hAnsi="Times New Roman" w:cs="Times New Roman"/>
          <w:sz w:val="24"/>
          <w:szCs w:val="24"/>
        </w:rPr>
        <w:t xml:space="preserve"> </w:t>
      </w:r>
      <w:r w:rsidR="001D3976" w:rsidRPr="00327B80">
        <w:rPr>
          <w:rFonts w:ascii="Times New Roman" w:hAnsi="Times New Roman" w:cs="Times New Roman"/>
          <w:sz w:val="24"/>
          <w:szCs w:val="24"/>
        </w:rPr>
        <w:t xml:space="preserve">jejich řešením </w:t>
      </w:r>
      <w:r w:rsidR="0047130A" w:rsidRPr="00327B80">
        <w:rPr>
          <w:rFonts w:ascii="Times New Roman" w:hAnsi="Times New Roman" w:cs="Times New Roman"/>
          <w:sz w:val="24"/>
          <w:szCs w:val="24"/>
        </w:rPr>
        <w:t xml:space="preserve">bylo </w:t>
      </w:r>
      <w:r w:rsidR="001D3976" w:rsidRPr="00327B80">
        <w:rPr>
          <w:rFonts w:ascii="Times New Roman" w:hAnsi="Times New Roman" w:cs="Times New Roman"/>
          <w:sz w:val="24"/>
          <w:szCs w:val="24"/>
        </w:rPr>
        <w:t>dosaženo</w:t>
      </w:r>
      <w:r w:rsidRPr="00327B80">
        <w:rPr>
          <w:rFonts w:ascii="Times New Roman" w:hAnsi="Times New Roman" w:cs="Times New Roman"/>
          <w:sz w:val="24"/>
          <w:szCs w:val="24"/>
        </w:rPr>
        <w:t xml:space="preserve"> </w:t>
      </w:r>
      <w:r w:rsidR="00CD5F15" w:rsidRPr="00327B80">
        <w:rPr>
          <w:rFonts w:ascii="Times New Roman" w:hAnsi="Times New Roman" w:cs="Times New Roman"/>
          <w:sz w:val="24"/>
          <w:szCs w:val="24"/>
        </w:rPr>
        <w:t>15</w:t>
      </w:r>
      <w:r w:rsidR="00934886">
        <w:rPr>
          <w:rFonts w:ascii="Times New Roman" w:hAnsi="Times New Roman" w:cs="Times New Roman"/>
          <w:sz w:val="24"/>
          <w:szCs w:val="24"/>
        </w:rPr>
        <w:t> </w:t>
      </w:r>
      <w:r w:rsidR="00CD5F15" w:rsidRPr="00327B80">
        <w:rPr>
          <w:rFonts w:ascii="Times New Roman" w:hAnsi="Times New Roman" w:cs="Times New Roman"/>
          <w:sz w:val="24"/>
          <w:szCs w:val="24"/>
        </w:rPr>
        <w:t>896,576</w:t>
      </w:r>
      <w:r w:rsidRPr="00327B80">
        <w:rPr>
          <w:rFonts w:ascii="Times New Roman" w:hAnsi="Times New Roman" w:cs="Times New Roman"/>
          <w:sz w:val="24"/>
          <w:szCs w:val="24"/>
        </w:rPr>
        <w:t xml:space="preserve"> bodově ohodnocený</w:t>
      </w:r>
      <w:r w:rsidR="00DF5BE4" w:rsidRPr="00327B80">
        <w:rPr>
          <w:rFonts w:ascii="Times New Roman" w:hAnsi="Times New Roman" w:cs="Times New Roman"/>
          <w:sz w:val="24"/>
          <w:szCs w:val="24"/>
        </w:rPr>
        <w:t>ch</w:t>
      </w:r>
      <w:r w:rsidRPr="00327B80">
        <w:rPr>
          <w:rFonts w:ascii="Times New Roman" w:hAnsi="Times New Roman" w:cs="Times New Roman"/>
          <w:sz w:val="24"/>
          <w:szCs w:val="24"/>
        </w:rPr>
        <w:t xml:space="preserve"> výsledk</w:t>
      </w:r>
      <w:r w:rsidR="00DF5BE4" w:rsidRPr="00327B80">
        <w:rPr>
          <w:rFonts w:ascii="Times New Roman" w:hAnsi="Times New Roman" w:cs="Times New Roman"/>
          <w:sz w:val="24"/>
          <w:szCs w:val="24"/>
        </w:rPr>
        <w:t>ů</w:t>
      </w:r>
      <w:r w:rsidRPr="00327B80">
        <w:rPr>
          <w:rFonts w:ascii="Times New Roman" w:hAnsi="Times New Roman" w:cs="Times New Roman"/>
          <w:sz w:val="24"/>
          <w:szCs w:val="24"/>
        </w:rPr>
        <w:t xml:space="preserve"> s</w:t>
      </w:r>
      <w:r w:rsidR="00FA1A7C" w:rsidRPr="00327B80">
        <w:rPr>
          <w:rFonts w:ascii="Times New Roman" w:hAnsi="Times New Roman" w:cs="Times New Roman"/>
          <w:sz w:val="24"/>
          <w:szCs w:val="24"/>
        </w:rPr>
        <w:t> </w:t>
      </w:r>
      <w:r w:rsidRPr="00327B80">
        <w:rPr>
          <w:rFonts w:ascii="Times New Roman" w:hAnsi="Times New Roman" w:cs="Times New Roman"/>
          <w:sz w:val="24"/>
          <w:szCs w:val="24"/>
        </w:rPr>
        <w:t xml:space="preserve">ohodnocením </w:t>
      </w:r>
      <w:r w:rsidR="001076A4" w:rsidRPr="00327B80">
        <w:rPr>
          <w:rFonts w:ascii="Times New Roman" w:hAnsi="Times New Roman" w:cs="Times New Roman"/>
          <w:sz w:val="24"/>
          <w:szCs w:val="24"/>
        </w:rPr>
        <w:t>514</w:t>
      </w:r>
      <w:r w:rsidR="00934886">
        <w:rPr>
          <w:rFonts w:ascii="Times New Roman" w:hAnsi="Times New Roman" w:cs="Times New Roman"/>
          <w:sz w:val="24"/>
          <w:szCs w:val="24"/>
        </w:rPr>
        <w:t> </w:t>
      </w:r>
      <w:r w:rsidR="001076A4" w:rsidRPr="00327B80">
        <w:rPr>
          <w:rFonts w:ascii="Times New Roman" w:hAnsi="Times New Roman" w:cs="Times New Roman"/>
          <w:sz w:val="24"/>
          <w:szCs w:val="24"/>
        </w:rPr>
        <w:t>894,501</w:t>
      </w:r>
      <w:r w:rsidR="00FA1A7C" w:rsidRPr="00327B80">
        <w:rPr>
          <w:rFonts w:ascii="Times New Roman" w:hAnsi="Times New Roman" w:cs="Times New Roman"/>
          <w:sz w:val="24"/>
          <w:szCs w:val="24"/>
        </w:rPr>
        <w:t xml:space="preserve"> </w:t>
      </w:r>
      <w:r w:rsidRPr="00327B80">
        <w:rPr>
          <w:rFonts w:ascii="Times New Roman" w:hAnsi="Times New Roman" w:cs="Times New Roman"/>
          <w:sz w:val="24"/>
          <w:szCs w:val="24"/>
        </w:rPr>
        <w:t xml:space="preserve">bodů. </w:t>
      </w:r>
    </w:p>
    <w:p w:rsidR="00FC1B69" w:rsidRPr="00327B80" w:rsidRDefault="00320C30" w:rsidP="00E17B96">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Průměrná hodnota </w:t>
      </w:r>
      <w:r w:rsidR="00DF5BE4" w:rsidRPr="00327B80">
        <w:rPr>
          <w:rFonts w:ascii="Times New Roman" w:hAnsi="Times New Roman" w:cs="Times New Roman"/>
          <w:sz w:val="24"/>
          <w:szCs w:val="24"/>
        </w:rPr>
        <w:t xml:space="preserve">parametru </w:t>
      </w:r>
      <w:r w:rsidRPr="00327B80">
        <w:rPr>
          <w:rFonts w:ascii="Times New Roman" w:hAnsi="Times New Roman" w:cs="Times New Roman"/>
          <w:sz w:val="24"/>
          <w:szCs w:val="24"/>
        </w:rPr>
        <w:t xml:space="preserve">Index SR pro všechny programy </w:t>
      </w:r>
      <w:r w:rsidR="00DF5BE4" w:rsidRPr="00327B80">
        <w:rPr>
          <w:rFonts w:ascii="Times New Roman" w:hAnsi="Times New Roman" w:cs="Times New Roman"/>
          <w:sz w:val="24"/>
          <w:szCs w:val="24"/>
        </w:rPr>
        <w:t xml:space="preserve">dohromady </w:t>
      </w:r>
      <w:r w:rsidR="0053366D">
        <w:rPr>
          <w:rFonts w:ascii="Times New Roman" w:hAnsi="Times New Roman" w:cs="Times New Roman"/>
          <w:sz w:val="24"/>
          <w:szCs w:val="24"/>
        </w:rPr>
        <w:t>činila</w:t>
      </w:r>
      <w:r w:rsidRPr="00327B80">
        <w:rPr>
          <w:rFonts w:ascii="Times New Roman" w:hAnsi="Times New Roman" w:cs="Times New Roman"/>
          <w:sz w:val="24"/>
          <w:szCs w:val="24"/>
        </w:rPr>
        <w:t xml:space="preserve"> 22,7. </w:t>
      </w:r>
      <w:r w:rsidR="00FC1B69" w:rsidRPr="00327B80">
        <w:rPr>
          <w:rFonts w:ascii="Times New Roman" w:hAnsi="Times New Roman" w:cs="Times New Roman"/>
          <w:sz w:val="24"/>
          <w:szCs w:val="24"/>
        </w:rPr>
        <w:t>Index SR vyjadřuje míru efektivnosti vynaložené podpory z veřejných prostředků</w:t>
      </w:r>
      <w:r w:rsidR="00DF5BE4" w:rsidRPr="00327B80">
        <w:rPr>
          <w:rFonts w:ascii="Times New Roman" w:hAnsi="Times New Roman" w:cs="Times New Roman"/>
          <w:sz w:val="24"/>
          <w:szCs w:val="24"/>
        </w:rPr>
        <w:t xml:space="preserve"> a</w:t>
      </w:r>
      <w:r w:rsidR="00FC1B69" w:rsidRPr="00327B80">
        <w:rPr>
          <w:rFonts w:ascii="Times New Roman" w:hAnsi="Times New Roman" w:cs="Times New Roman"/>
          <w:sz w:val="24"/>
          <w:szCs w:val="24"/>
        </w:rPr>
        <w:t xml:space="preserve"> </w:t>
      </w:r>
      <w:r w:rsidR="00DF5BE4" w:rsidRPr="00327B80">
        <w:rPr>
          <w:rFonts w:ascii="Times New Roman" w:hAnsi="Times New Roman" w:cs="Times New Roman"/>
          <w:sz w:val="24"/>
          <w:szCs w:val="24"/>
        </w:rPr>
        <w:t>j</w:t>
      </w:r>
      <w:r w:rsidR="00FC1B69" w:rsidRPr="00327B80">
        <w:rPr>
          <w:rFonts w:ascii="Times New Roman" w:hAnsi="Times New Roman" w:cs="Times New Roman"/>
          <w:sz w:val="24"/>
          <w:szCs w:val="24"/>
        </w:rPr>
        <w:t>e definován jako poměr bodového ohodnocení všech hodnocených výsledků programu a celkové výše podpory z veřejných prostředků poskytnuté na řešení projektů v jeho rámci. Hodnota Indexu SR tak vyjadřuje, kolik</w:t>
      </w:r>
      <w:r w:rsidR="0053366D">
        <w:rPr>
          <w:rFonts w:ascii="Times New Roman" w:hAnsi="Times New Roman" w:cs="Times New Roman"/>
          <w:sz w:val="24"/>
          <w:szCs w:val="24"/>
        </w:rPr>
        <w:t>a</w:t>
      </w:r>
      <w:r w:rsidR="00FC1B69" w:rsidRPr="00327B80">
        <w:rPr>
          <w:rFonts w:ascii="Times New Roman" w:hAnsi="Times New Roman" w:cs="Times New Roman"/>
          <w:sz w:val="24"/>
          <w:szCs w:val="24"/>
        </w:rPr>
        <w:t xml:space="preserve"> bodů </w:t>
      </w:r>
      <w:r w:rsidR="0053366D">
        <w:rPr>
          <w:rFonts w:ascii="Times New Roman" w:hAnsi="Times New Roman" w:cs="Times New Roman"/>
          <w:sz w:val="24"/>
          <w:szCs w:val="24"/>
        </w:rPr>
        <w:t xml:space="preserve">bylo </w:t>
      </w:r>
      <w:r w:rsidR="00FC1B69" w:rsidRPr="00327B80">
        <w:rPr>
          <w:rFonts w:ascii="Times New Roman" w:hAnsi="Times New Roman" w:cs="Times New Roman"/>
          <w:sz w:val="24"/>
          <w:szCs w:val="24"/>
        </w:rPr>
        <w:t>podle Metodiky hodnocení dosaženo za</w:t>
      </w:r>
      <w:r w:rsidR="00934886">
        <w:rPr>
          <w:rFonts w:ascii="Times New Roman" w:hAnsi="Times New Roman" w:cs="Times New Roman"/>
          <w:sz w:val="24"/>
          <w:szCs w:val="24"/>
        </w:rPr>
        <w:t> </w:t>
      </w:r>
      <w:r w:rsidR="00FC1B69" w:rsidRPr="00327B80">
        <w:rPr>
          <w:rFonts w:ascii="Times New Roman" w:hAnsi="Times New Roman" w:cs="Times New Roman"/>
          <w:sz w:val="24"/>
          <w:szCs w:val="24"/>
        </w:rPr>
        <w:t xml:space="preserve">každý 1 mil. Kč podpory z veřejných prostředků. </w:t>
      </w:r>
    </w:p>
    <w:p w:rsidR="00FC1B69" w:rsidRPr="00327B80" w:rsidRDefault="00E16CFE"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H</w:t>
      </w:r>
      <w:r w:rsidR="00FC1B69" w:rsidRPr="00327B80">
        <w:rPr>
          <w:rFonts w:ascii="Times New Roman" w:hAnsi="Times New Roman" w:cs="Times New Roman"/>
          <w:sz w:val="24"/>
          <w:szCs w:val="24"/>
        </w:rPr>
        <w:t>odnot</w:t>
      </w:r>
      <w:r w:rsidR="002949AC" w:rsidRPr="00327B80">
        <w:rPr>
          <w:rFonts w:ascii="Times New Roman" w:hAnsi="Times New Roman" w:cs="Times New Roman"/>
          <w:sz w:val="24"/>
          <w:szCs w:val="24"/>
        </w:rPr>
        <w:t>a</w:t>
      </w:r>
      <w:r w:rsidR="00FC1B69" w:rsidRPr="00327B80">
        <w:rPr>
          <w:rFonts w:ascii="Times New Roman" w:hAnsi="Times New Roman" w:cs="Times New Roman"/>
          <w:sz w:val="24"/>
          <w:szCs w:val="24"/>
        </w:rPr>
        <w:t xml:space="preserve"> 22,7</w:t>
      </w:r>
      <w:r w:rsidR="00320C30" w:rsidRPr="00327B80">
        <w:rPr>
          <w:rFonts w:ascii="Times New Roman" w:hAnsi="Times New Roman" w:cs="Times New Roman"/>
          <w:sz w:val="24"/>
          <w:szCs w:val="24"/>
        </w:rPr>
        <w:t xml:space="preserve"> </w:t>
      </w:r>
      <w:r w:rsidR="0053366D">
        <w:rPr>
          <w:rFonts w:ascii="Times New Roman" w:hAnsi="Times New Roman" w:cs="Times New Roman"/>
          <w:sz w:val="24"/>
          <w:szCs w:val="24"/>
        </w:rPr>
        <w:t xml:space="preserve">tudíž </w:t>
      </w:r>
      <w:r w:rsidR="002949AC" w:rsidRPr="00327B80">
        <w:rPr>
          <w:rFonts w:ascii="Times New Roman" w:hAnsi="Times New Roman" w:cs="Times New Roman"/>
          <w:sz w:val="24"/>
          <w:szCs w:val="24"/>
        </w:rPr>
        <w:t>vypovídá o tom, že</w:t>
      </w:r>
      <w:r w:rsidR="00320C30" w:rsidRPr="00327B80">
        <w:rPr>
          <w:rFonts w:ascii="Times New Roman" w:hAnsi="Times New Roman" w:cs="Times New Roman"/>
          <w:sz w:val="24"/>
          <w:szCs w:val="24"/>
        </w:rPr>
        <w:t xml:space="preserve"> za každý 1</w:t>
      </w:r>
      <w:r w:rsidR="00DF5BE4" w:rsidRPr="00327B80">
        <w:rPr>
          <w:rFonts w:ascii="Times New Roman" w:hAnsi="Times New Roman" w:cs="Times New Roman"/>
          <w:sz w:val="24"/>
          <w:szCs w:val="24"/>
        </w:rPr>
        <w:t> </w:t>
      </w:r>
      <w:r w:rsidR="00320C30" w:rsidRPr="00327B80">
        <w:rPr>
          <w:rFonts w:ascii="Times New Roman" w:hAnsi="Times New Roman" w:cs="Times New Roman"/>
          <w:sz w:val="24"/>
          <w:szCs w:val="24"/>
        </w:rPr>
        <w:t xml:space="preserve">mil. Kč </w:t>
      </w:r>
      <w:r>
        <w:rPr>
          <w:rFonts w:ascii="Times New Roman" w:hAnsi="Times New Roman" w:cs="Times New Roman"/>
          <w:sz w:val="24"/>
          <w:szCs w:val="24"/>
        </w:rPr>
        <w:t xml:space="preserve">vynaložený ve formě </w:t>
      </w:r>
      <w:r w:rsidR="00320C30" w:rsidRPr="00327B80">
        <w:rPr>
          <w:rFonts w:ascii="Times New Roman" w:hAnsi="Times New Roman" w:cs="Times New Roman"/>
          <w:sz w:val="24"/>
          <w:szCs w:val="24"/>
        </w:rPr>
        <w:t>podpory z</w:t>
      </w:r>
      <w:r w:rsidR="002949AC" w:rsidRPr="00327B80">
        <w:rPr>
          <w:rFonts w:ascii="Times New Roman" w:hAnsi="Times New Roman" w:cs="Times New Roman"/>
          <w:sz w:val="24"/>
          <w:szCs w:val="24"/>
        </w:rPr>
        <w:t> </w:t>
      </w:r>
      <w:r w:rsidR="00320C30" w:rsidRPr="00327B80">
        <w:rPr>
          <w:rFonts w:ascii="Times New Roman" w:hAnsi="Times New Roman" w:cs="Times New Roman"/>
          <w:sz w:val="24"/>
          <w:szCs w:val="24"/>
        </w:rPr>
        <w:t xml:space="preserve">veřejných prostředků </w:t>
      </w:r>
      <w:r w:rsidR="0053366D">
        <w:rPr>
          <w:rFonts w:ascii="Times New Roman" w:hAnsi="Times New Roman" w:cs="Times New Roman"/>
          <w:sz w:val="24"/>
          <w:szCs w:val="24"/>
        </w:rPr>
        <w:t xml:space="preserve">bylo </w:t>
      </w:r>
      <w:r w:rsidR="00320C30" w:rsidRPr="00327B80">
        <w:rPr>
          <w:rFonts w:ascii="Times New Roman" w:hAnsi="Times New Roman" w:cs="Times New Roman"/>
          <w:sz w:val="24"/>
          <w:szCs w:val="24"/>
        </w:rPr>
        <w:t>dosaženo výsledků s</w:t>
      </w:r>
      <w:r w:rsidR="00FC1B69" w:rsidRPr="00327B80">
        <w:rPr>
          <w:rFonts w:ascii="Times New Roman" w:hAnsi="Times New Roman" w:cs="Times New Roman"/>
          <w:sz w:val="24"/>
          <w:szCs w:val="24"/>
        </w:rPr>
        <w:t xml:space="preserve"> průměrným </w:t>
      </w:r>
      <w:r w:rsidR="00495517">
        <w:rPr>
          <w:rFonts w:ascii="Times New Roman" w:hAnsi="Times New Roman" w:cs="Times New Roman"/>
          <w:sz w:val="24"/>
          <w:szCs w:val="24"/>
        </w:rPr>
        <w:t>ohodnocením 22,7 </w:t>
      </w:r>
      <w:r w:rsidR="00320C30" w:rsidRPr="00327B80">
        <w:rPr>
          <w:rFonts w:ascii="Times New Roman" w:hAnsi="Times New Roman" w:cs="Times New Roman"/>
          <w:sz w:val="24"/>
          <w:szCs w:val="24"/>
        </w:rPr>
        <w:t xml:space="preserve">bodu. </w:t>
      </w:r>
    </w:p>
    <w:p w:rsidR="00FC1B69" w:rsidRPr="00934886" w:rsidRDefault="00320C30" w:rsidP="00E17B96">
      <w:pPr>
        <w:spacing w:after="120" w:line="240" w:lineRule="auto"/>
        <w:ind w:firstLine="709"/>
        <w:jc w:val="both"/>
        <w:rPr>
          <w:rFonts w:ascii="Times New Roman" w:hAnsi="Times New Roman" w:cs="Times New Roman"/>
          <w:i/>
          <w:sz w:val="24"/>
          <w:szCs w:val="24"/>
        </w:rPr>
      </w:pPr>
      <w:r w:rsidRPr="00934886">
        <w:rPr>
          <w:rFonts w:ascii="Times New Roman" w:hAnsi="Times New Roman" w:cs="Times New Roman"/>
          <w:i/>
          <w:sz w:val="24"/>
          <w:szCs w:val="24"/>
        </w:rPr>
        <w:t xml:space="preserve">Pro srovnání: článek v impaktovaném časopise = 10 až 305 bodů; článek v prestižním impaktovaném časopise </w:t>
      </w:r>
      <w:proofErr w:type="spellStart"/>
      <w:r w:rsidRPr="00934886">
        <w:rPr>
          <w:rFonts w:ascii="Times New Roman" w:hAnsi="Times New Roman" w:cs="Times New Roman"/>
          <w:i/>
          <w:sz w:val="24"/>
          <w:szCs w:val="24"/>
        </w:rPr>
        <w:t>Nature</w:t>
      </w:r>
      <w:proofErr w:type="spellEnd"/>
      <w:r w:rsidRPr="00934886">
        <w:rPr>
          <w:rFonts w:ascii="Times New Roman" w:hAnsi="Times New Roman" w:cs="Times New Roman"/>
          <w:i/>
          <w:sz w:val="24"/>
          <w:szCs w:val="24"/>
        </w:rPr>
        <w:t xml:space="preserve"> či Science = 500 bodů; článek v recenzovaném časopise databáze SCOPUS či ERIH = 10 až 30 bodů; článek v českém recenzovaném časopise = 4</w:t>
      </w:r>
      <w:r w:rsidR="00FC1B69" w:rsidRPr="00934886">
        <w:rPr>
          <w:rFonts w:ascii="Times New Roman" w:hAnsi="Times New Roman" w:cs="Times New Roman"/>
          <w:i/>
          <w:sz w:val="24"/>
          <w:szCs w:val="24"/>
        </w:rPr>
        <w:t> </w:t>
      </w:r>
      <w:r w:rsidRPr="00934886">
        <w:rPr>
          <w:rFonts w:ascii="Times New Roman" w:hAnsi="Times New Roman" w:cs="Times New Roman"/>
          <w:i/>
          <w:sz w:val="24"/>
          <w:szCs w:val="24"/>
        </w:rPr>
        <w:t>nebo 10 bodů; odborná kniha =</w:t>
      </w:r>
      <w:r w:rsidR="007E3249" w:rsidRPr="00934886">
        <w:rPr>
          <w:rFonts w:ascii="Times New Roman" w:hAnsi="Times New Roman" w:cs="Times New Roman"/>
          <w:i/>
          <w:sz w:val="24"/>
          <w:szCs w:val="24"/>
        </w:rPr>
        <w:t> </w:t>
      </w:r>
      <w:r w:rsidR="004348BC" w:rsidRPr="00934886">
        <w:rPr>
          <w:rFonts w:ascii="Times New Roman" w:hAnsi="Times New Roman" w:cs="Times New Roman"/>
          <w:i/>
          <w:sz w:val="24"/>
          <w:szCs w:val="24"/>
        </w:rPr>
        <w:t>20</w:t>
      </w:r>
      <w:r w:rsidR="00F3359D" w:rsidRPr="00934886">
        <w:rPr>
          <w:rFonts w:ascii="Times New Roman" w:hAnsi="Times New Roman" w:cs="Times New Roman"/>
          <w:i/>
          <w:sz w:val="24"/>
          <w:szCs w:val="24"/>
        </w:rPr>
        <w:t> </w:t>
      </w:r>
      <w:r w:rsidRPr="00934886">
        <w:rPr>
          <w:rFonts w:ascii="Times New Roman" w:hAnsi="Times New Roman" w:cs="Times New Roman"/>
          <w:i/>
          <w:sz w:val="24"/>
          <w:szCs w:val="24"/>
        </w:rPr>
        <w:t xml:space="preserve"> nebo </w:t>
      </w:r>
      <w:r w:rsidR="004348BC" w:rsidRPr="00934886">
        <w:rPr>
          <w:rFonts w:ascii="Times New Roman" w:hAnsi="Times New Roman" w:cs="Times New Roman"/>
          <w:i/>
          <w:sz w:val="24"/>
          <w:szCs w:val="24"/>
        </w:rPr>
        <w:t>4</w:t>
      </w:r>
      <w:r w:rsidRPr="00934886">
        <w:rPr>
          <w:rFonts w:ascii="Times New Roman" w:hAnsi="Times New Roman" w:cs="Times New Roman"/>
          <w:i/>
          <w:sz w:val="24"/>
          <w:szCs w:val="24"/>
        </w:rPr>
        <w:t>0 bodů; evropský patent, patent USA a</w:t>
      </w:r>
      <w:r w:rsidR="007E3249" w:rsidRPr="00934886">
        <w:rPr>
          <w:rFonts w:ascii="Times New Roman" w:hAnsi="Times New Roman" w:cs="Times New Roman"/>
          <w:i/>
          <w:sz w:val="24"/>
          <w:szCs w:val="24"/>
        </w:rPr>
        <w:t> </w:t>
      </w:r>
      <w:r w:rsidRPr="00934886">
        <w:rPr>
          <w:rFonts w:ascii="Times New Roman" w:hAnsi="Times New Roman" w:cs="Times New Roman"/>
          <w:i/>
          <w:sz w:val="24"/>
          <w:szCs w:val="24"/>
        </w:rPr>
        <w:t>Japonska = 500 bodů; český nebo jiný národní patent využívaný na základě platné licenční smlouvy = 200 bodů; poloprovoz, ověřená technologie, odrůd</w:t>
      </w:r>
      <w:r w:rsidR="00495517">
        <w:rPr>
          <w:rFonts w:ascii="Times New Roman" w:hAnsi="Times New Roman" w:cs="Times New Roman"/>
          <w:i/>
          <w:sz w:val="24"/>
          <w:szCs w:val="24"/>
        </w:rPr>
        <w:t>a, plemeno = 100 bodů; užitný a </w:t>
      </w:r>
      <w:r w:rsidRPr="00934886">
        <w:rPr>
          <w:rFonts w:ascii="Times New Roman" w:hAnsi="Times New Roman" w:cs="Times New Roman"/>
          <w:i/>
          <w:sz w:val="24"/>
          <w:szCs w:val="24"/>
        </w:rPr>
        <w:t>průmyslový vzor, prototyp, funkční vzorek, software = 40 bodů</w:t>
      </w:r>
      <w:r w:rsidR="00954F33" w:rsidRPr="00934886">
        <w:rPr>
          <w:rFonts w:ascii="Times New Roman" w:hAnsi="Times New Roman" w:cs="Times New Roman"/>
          <w:i/>
          <w:sz w:val="24"/>
          <w:szCs w:val="24"/>
        </w:rPr>
        <w:t>; výzkumná zpráva, která je výsledkem obsahujícím utajované informace = 50 bodů</w:t>
      </w:r>
      <w:r w:rsidRPr="00934886">
        <w:rPr>
          <w:rFonts w:ascii="Times New Roman" w:hAnsi="Times New Roman" w:cs="Times New Roman"/>
          <w:i/>
          <w:sz w:val="24"/>
          <w:szCs w:val="24"/>
        </w:rPr>
        <w:t xml:space="preserve"> (úplný výčet druhů </w:t>
      </w:r>
      <w:r w:rsidR="00B27B7C" w:rsidRPr="00934886">
        <w:rPr>
          <w:rFonts w:ascii="Times New Roman" w:hAnsi="Times New Roman" w:cs="Times New Roman"/>
          <w:i/>
          <w:sz w:val="24"/>
          <w:szCs w:val="24"/>
        </w:rPr>
        <w:t xml:space="preserve">hodnocených </w:t>
      </w:r>
      <w:r w:rsidRPr="00934886">
        <w:rPr>
          <w:rFonts w:ascii="Times New Roman" w:hAnsi="Times New Roman" w:cs="Times New Roman"/>
          <w:i/>
          <w:sz w:val="24"/>
          <w:szCs w:val="24"/>
        </w:rPr>
        <w:t xml:space="preserve">výsledků </w:t>
      </w:r>
      <w:r w:rsidR="00B27B7C" w:rsidRPr="00934886">
        <w:rPr>
          <w:rFonts w:ascii="Times New Roman" w:hAnsi="Times New Roman" w:cs="Times New Roman"/>
          <w:i/>
          <w:sz w:val="24"/>
          <w:szCs w:val="24"/>
        </w:rPr>
        <w:t>a</w:t>
      </w:r>
      <w:r w:rsidRPr="00934886">
        <w:rPr>
          <w:rFonts w:ascii="Times New Roman" w:hAnsi="Times New Roman" w:cs="Times New Roman"/>
          <w:i/>
          <w:sz w:val="24"/>
          <w:szCs w:val="24"/>
        </w:rPr>
        <w:t xml:space="preserve"> jejich bodového ohodnocení je</w:t>
      </w:r>
      <w:r w:rsidR="007E3249" w:rsidRPr="00934886">
        <w:rPr>
          <w:rFonts w:ascii="Times New Roman" w:hAnsi="Times New Roman" w:cs="Times New Roman"/>
          <w:i/>
          <w:sz w:val="24"/>
          <w:szCs w:val="24"/>
        </w:rPr>
        <w:t> </w:t>
      </w:r>
      <w:r w:rsidRPr="00934886">
        <w:rPr>
          <w:rFonts w:ascii="Times New Roman" w:hAnsi="Times New Roman" w:cs="Times New Roman"/>
          <w:i/>
          <w:sz w:val="24"/>
          <w:szCs w:val="24"/>
        </w:rPr>
        <w:t>uveden v</w:t>
      </w:r>
      <w:r w:rsidR="00F3359D" w:rsidRPr="00934886">
        <w:rPr>
          <w:rFonts w:ascii="Times New Roman" w:hAnsi="Times New Roman" w:cs="Times New Roman"/>
          <w:i/>
          <w:sz w:val="24"/>
          <w:szCs w:val="24"/>
        </w:rPr>
        <w:t> </w:t>
      </w:r>
      <w:r w:rsidRPr="00934886">
        <w:rPr>
          <w:rFonts w:ascii="Times New Roman" w:hAnsi="Times New Roman" w:cs="Times New Roman"/>
          <w:i/>
          <w:sz w:val="24"/>
          <w:szCs w:val="24"/>
        </w:rPr>
        <w:t xml:space="preserve">Příloze č. 1 Metodiky hodnocení). </w:t>
      </w:r>
    </w:p>
    <w:p w:rsidR="00741682" w:rsidRPr="00327B80" w:rsidRDefault="00E16CFE" w:rsidP="00E17B96">
      <w:pPr>
        <w:spacing w:after="120" w:line="240" w:lineRule="auto"/>
        <w:ind w:firstLine="709"/>
        <w:jc w:val="both"/>
        <w:rPr>
          <w:rFonts w:ascii="Times New Roman" w:eastAsia="Calibri" w:hAnsi="Times New Roman" w:cs="Times New Roman"/>
          <w:bCs/>
          <w:sz w:val="24"/>
          <w:szCs w:val="24"/>
          <w:lang w:bidi="en-US"/>
        </w:rPr>
      </w:pPr>
      <w:r>
        <w:rPr>
          <w:rFonts w:ascii="Times New Roman" w:eastAsia="Calibri" w:hAnsi="Times New Roman" w:cs="Times New Roman"/>
          <w:sz w:val="24"/>
          <w:szCs w:val="24"/>
          <w:lang w:bidi="en-US"/>
        </w:rPr>
        <w:t>N</w:t>
      </w:r>
      <w:r w:rsidR="00201BE0" w:rsidRPr="00327B80">
        <w:rPr>
          <w:rFonts w:ascii="Times New Roman" w:eastAsia="Calibri" w:hAnsi="Times New Roman" w:cs="Times New Roman"/>
          <w:sz w:val="24"/>
          <w:szCs w:val="24"/>
          <w:lang w:bidi="en-US"/>
        </w:rPr>
        <w:t>ejčastěj</w:t>
      </w:r>
      <w:r>
        <w:rPr>
          <w:rFonts w:ascii="Times New Roman" w:eastAsia="Calibri" w:hAnsi="Times New Roman" w:cs="Times New Roman"/>
          <w:sz w:val="24"/>
          <w:szCs w:val="24"/>
          <w:lang w:bidi="en-US"/>
        </w:rPr>
        <w:t>i zastoupeným druhem výsledku projektů řešených v rámci všech hodnocených programů</w:t>
      </w:r>
      <w:r w:rsidR="00201BE0" w:rsidRPr="00327B80">
        <w:rPr>
          <w:rFonts w:ascii="Times New Roman" w:eastAsia="Calibri" w:hAnsi="Times New Roman" w:cs="Times New Roman"/>
          <w:sz w:val="24"/>
          <w:szCs w:val="24"/>
          <w:lang w:bidi="en-US"/>
        </w:rPr>
        <w:t xml:space="preserve"> </w:t>
      </w:r>
      <w:r>
        <w:rPr>
          <w:rFonts w:ascii="Times New Roman" w:eastAsia="Calibri" w:hAnsi="Times New Roman" w:cs="Times New Roman"/>
          <w:sz w:val="24"/>
          <w:szCs w:val="24"/>
          <w:lang w:bidi="en-US"/>
        </w:rPr>
        <w:t xml:space="preserve">dohromady </w:t>
      </w:r>
      <w:r w:rsidR="00201BE0" w:rsidRPr="00327B80">
        <w:rPr>
          <w:rFonts w:ascii="Times New Roman" w:eastAsia="Calibri" w:hAnsi="Times New Roman" w:cs="Times New Roman"/>
          <w:sz w:val="24"/>
          <w:szCs w:val="24"/>
          <w:lang w:bidi="en-US"/>
        </w:rPr>
        <w:t xml:space="preserve">byl </w:t>
      </w:r>
      <w:r w:rsidR="00201BE0" w:rsidRPr="00327B80">
        <w:rPr>
          <w:rFonts w:ascii="Times New Roman" w:eastAsia="Calibri" w:hAnsi="Times New Roman" w:cs="Times New Roman"/>
          <w:bCs/>
          <w:sz w:val="24"/>
          <w:szCs w:val="24"/>
          <w:lang w:bidi="en-US"/>
        </w:rPr>
        <w:t>článek v odborném periodiku</w:t>
      </w:r>
      <w:r w:rsidR="0090733B" w:rsidRPr="00327B80">
        <w:rPr>
          <w:rFonts w:ascii="Times New Roman" w:eastAsia="Calibri" w:hAnsi="Times New Roman" w:cs="Times New Roman"/>
          <w:bCs/>
          <w:sz w:val="24"/>
          <w:szCs w:val="24"/>
          <w:lang w:bidi="en-US"/>
        </w:rPr>
        <w:t xml:space="preserve">, který je </w:t>
      </w:r>
      <w:r w:rsidR="00201BE0" w:rsidRPr="00327B80">
        <w:rPr>
          <w:rFonts w:ascii="Times New Roman" w:eastAsia="Calibri" w:hAnsi="Times New Roman" w:cs="Times New Roman"/>
          <w:bCs/>
          <w:sz w:val="24"/>
          <w:szCs w:val="24"/>
          <w:lang w:bidi="en-US"/>
        </w:rPr>
        <w:t xml:space="preserve">obsažen v databázi Web </w:t>
      </w:r>
      <w:proofErr w:type="spellStart"/>
      <w:r w:rsidR="00201BE0" w:rsidRPr="00327B80">
        <w:rPr>
          <w:rFonts w:ascii="Times New Roman" w:eastAsia="Calibri" w:hAnsi="Times New Roman" w:cs="Times New Roman"/>
          <w:bCs/>
          <w:sz w:val="24"/>
          <w:szCs w:val="24"/>
          <w:lang w:bidi="en-US"/>
        </w:rPr>
        <w:t>of</w:t>
      </w:r>
      <w:proofErr w:type="spellEnd"/>
      <w:r w:rsidR="00201BE0" w:rsidRPr="00327B80">
        <w:rPr>
          <w:rFonts w:ascii="Times New Roman" w:eastAsia="Calibri" w:hAnsi="Times New Roman" w:cs="Times New Roman"/>
          <w:bCs/>
          <w:sz w:val="24"/>
          <w:szCs w:val="24"/>
          <w:lang w:bidi="en-US"/>
        </w:rPr>
        <w:t xml:space="preserve"> Science </w:t>
      </w:r>
      <w:r w:rsidR="001B0ED8" w:rsidRPr="00327B80">
        <w:rPr>
          <w:rFonts w:ascii="Times New Roman" w:eastAsia="Calibri" w:hAnsi="Times New Roman" w:cs="Times New Roman"/>
          <w:bCs/>
          <w:sz w:val="24"/>
          <w:szCs w:val="24"/>
          <w:lang w:bidi="en-US"/>
        </w:rPr>
        <w:t>(</w:t>
      </w:r>
      <w:proofErr w:type="spellStart"/>
      <w:r w:rsidR="001B0ED8" w:rsidRPr="00327B80">
        <w:rPr>
          <w:rFonts w:ascii="Times New Roman" w:eastAsia="Calibri" w:hAnsi="Times New Roman" w:cs="Times New Roman"/>
          <w:bCs/>
          <w:sz w:val="24"/>
          <w:szCs w:val="24"/>
          <w:lang w:bidi="en-US"/>
        </w:rPr>
        <w:t>J</w:t>
      </w:r>
      <w:r w:rsidR="001B0ED8" w:rsidRPr="00327B80">
        <w:rPr>
          <w:rFonts w:ascii="Times New Roman" w:eastAsia="Calibri" w:hAnsi="Times New Roman" w:cs="Times New Roman"/>
          <w:bCs/>
          <w:sz w:val="24"/>
          <w:szCs w:val="24"/>
          <w:vertAlign w:val="subscript"/>
          <w:lang w:bidi="en-US"/>
        </w:rPr>
        <w:t>imp</w:t>
      </w:r>
      <w:proofErr w:type="spellEnd"/>
      <w:r w:rsidR="001B0ED8" w:rsidRPr="00327B80">
        <w:rPr>
          <w:rFonts w:ascii="Times New Roman" w:eastAsia="Calibri" w:hAnsi="Times New Roman" w:cs="Times New Roman"/>
          <w:bCs/>
          <w:sz w:val="24"/>
          <w:szCs w:val="24"/>
          <w:lang w:bidi="en-US"/>
        </w:rPr>
        <w:t>)</w:t>
      </w:r>
      <w:r w:rsidR="002949AC" w:rsidRPr="00327B80">
        <w:rPr>
          <w:rFonts w:ascii="Times New Roman" w:eastAsia="Calibri" w:hAnsi="Times New Roman" w:cs="Times New Roman"/>
          <w:bCs/>
          <w:sz w:val="24"/>
          <w:szCs w:val="24"/>
          <w:lang w:bidi="en-US"/>
        </w:rPr>
        <w:t>. Podíl jeho zastoupení čin</w:t>
      </w:r>
      <w:r>
        <w:rPr>
          <w:rFonts w:ascii="Times New Roman" w:eastAsia="Calibri" w:hAnsi="Times New Roman" w:cs="Times New Roman"/>
          <w:bCs/>
          <w:sz w:val="24"/>
          <w:szCs w:val="24"/>
          <w:lang w:bidi="en-US"/>
        </w:rPr>
        <w:t>il</w:t>
      </w:r>
      <w:r w:rsidR="00F3359D" w:rsidRPr="00327B80">
        <w:rPr>
          <w:rFonts w:ascii="Times New Roman" w:eastAsia="Calibri" w:hAnsi="Times New Roman" w:cs="Times New Roman"/>
          <w:bCs/>
          <w:sz w:val="24"/>
          <w:szCs w:val="24"/>
          <w:lang w:bidi="en-US"/>
        </w:rPr>
        <w:t xml:space="preserve"> </w:t>
      </w:r>
      <w:r w:rsidR="00201BE0" w:rsidRPr="00327B80">
        <w:rPr>
          <w:rFonts w:ascii="Times New Roman" w:eastAsia="Calibri" w:hAnsi="Times New Roman" w:cs="Times New Roman"/>
          <w:bCs/>
          <w:sz w:val="24"/>
          <w:szCs w:val="24"/>
          <w:lang w:bidi="en-US"/>
        </w:rPr>
        <w:t>31,82</w:t>
      </w:r>
      <w:r w:rsidR="00017C41" w:rsidRPr="00327B80">
        <w:rPr>
          <w:rFonts w:ascii="Times New Roman" w:eastAsia="Calibri" w:hAnsi="Times New Roman" w:cs="Times New Roman"/>
          <w:bCs/>
          <w:sz w:val="24"/>
          <w:szCs w:val="24"/>
          <w:lang w:bidi="en-US"/>
        </w:rPr>
        <w:t xml:space="preserve"> </w:t>
      </w:r>
      <w:r w:rsidR="00201BE0" w:rsidRPr="00327B80">
        <w:rPr>
          <w:rFonts w:ascii="Times New Roman" w:eastAsia="Calibri" w:hAnsi="Times New Roman" w:cs="Times New Roman"/>
          <w:bCs/>
          <w:sz w:val="24"/>
          <w:szCs w:val="24"/>
          <w:lang w:bidi="en-US"/>
        </w:rPr>
        <w:t xml:space="preserve">%. Přehled </w:t>
      </w:r>
      <w:r>
        <w:rPr>
          <w:rFonts w:ascii="Times New Roman" w:eastAsia="Calibri" w:hAnsi="Times New Roman" w:cs="Times New Roman"/>
          <w:bCs/>
          <w:sz w:val="24"/>
          <w:szCs w:val="24"/>
          <w:lang w:bidi="en-US"/>
        </w:rPr>
        <w:t xml:space="preserve">dalších </w:t>
      </w:r>
      <w:r w:rsidR="00954F33" w:rsidRPr="00327B80">
        <w:rPr>
          <w:rFonts w:ascii="Times New Roman" w:eastAsia="Calibri" w:hAnsi="Times New Roman" w:cs="Times New Roman"/>
          <w:bCs/>
          <w:sz w:val="24"/>
          <w:szCs w:val="24"/>
          <w:lang w:bidi="en-US"/>
        </w:rPr>
        <w:t>nejčastěji</w:t>
      </w:r>
      <w:r w:rsidR="00201BE0" w:rsidRPr="00327B80">
        <w:rPr>
          <w:rFonts w:ascii="Times New Roman" w:eastAsia="Calibri" w:hAnsi="Times New Roman" w:cs="Times New Roman"/>
          <w:bCs/>
          <w:sz w:val="24"/>
          <w:szCs w:val="24"/>
          <w:lang w:bidi="en-US"/>
        </w:rPr>
        <w:t xml:space="preserve"> zastoupených druhů výsledků </w:t>
      </w:r>
      <w:r w:rsidR="00741682" w:rsidRPr="00327B80">
        <w:rPr>
          <w:rFonts w:ascii="Times New Roman" w:eastAsia="Calibri" w:hAnsi="Times New Roman" w:cs="Times New Roman"/>
          <w:sz w:val="24"/>
          <w:szCs w:val="24"/>
          <w:lang w:bidi="en-US"/>
        </w:rPr>
        <w:t xml:space="preserve">obsahuje Tabulka č. </w:t>
      </w:r>
      <w:r w:rsidR="00FC1B69" w:rsidRPr="00327B80">
        <w:rPr>
          <w:rFonts w:ascii="Times New Roman" w:eastAsia="Calibri" w:hAnsi="Times New Roman" w:cs="Times New Roman"/>
          <w:sz w:val="24"/>
          <w:szCs w:val="24"/>
          <w:lang w:bidi="en-US"/>
        </w:rPr>
        <w:t>2</w:t>
      </w:r>
      <w:r w:rsidR="00741682" w:rsidRPr="00327B80">
        <w:rPr>
          <w:rFonts w:ascii="Times New Roman" w:eastAsia="Calibri" w:hAnsi="Times New Roman" w:cs="Times New Roman"/>
          <w:sz w:val="24"/>
          <w:szCs w:val="24"/>
          <w:lang w:bidi="en-US"/>
        </w:rPr>
        <w:t xml:space="preserve">. </w:t>
      </w:r>
    </w:p>
    <w:p w:rsidR="00741682" w:rsidRPr="00327B80" w:rsidRDefault="00741682" w:rsidP="001F473D">
      <w:pPr>
        <w:keepNext/>
        <w:spacing w:after="120" w:line="240" w:lineRule="auto"/>
        <w:jc w:val="both"/>
        <w:rPr>
          <w:rFonts w:ascii="Times New Roman" w:eastAsia="Calibri" w:hAnsi="Times New Roman" w:cs="Times New Roman"/>
          <w:b/>
          <w:bCs/>
          <w:sz w:val="24"/>
          <w:szCs w:val="24"/>
          <w:lang w:bidi="en-US"/>
        </w:rPr>
      </w:pPr>
      <w:r w:rsidRPr="00327B80">
        <w:rPr>
          <w:rFonts w:ascii="Times New Roman" w:eastAsia="Calibri" w:hAnsi="Times New Roman" w:cs="Times New Roman"/>
          <w:b/>
          <w:bCs/>
          <w:sz w:val="24"/>
          <w:szCs w:val="24"/>
          <w:lang w:bidi="en-US"/>
        </w:rPr>
        <w:t xml:space="preserve">Tabulka č. </w:t>
      </w:r>
      <w:r w:rsidR="00FC1B69" w:rsidRPr="00327B80">
        <w:rPr>
          <w:rFonts w:ascii="Times New Roman" w:eastAsia="Calibri" w:hAnsi="Times New Roman" w:cs="Times New Roman"/>
          <w:b/>
          <w:bCs/>
          <w:sz w:val="24"/>
          <w:szCs w:val="24"/>
          <w:lang w:bidi="en-US"/>
        </w:rPr>
        <w:t>2</w:t>
      </w:r>
      <w:r w:rsidRPr="00327B80">
        <w:rPr>
          <w:rFonts w:ascii="Times New Roman" w:eastAsia="Calibri" w:hAnsi="Times New Roman" w:cs="Times New Roman"/>
          <w:b/>
          <w:bCs/>
          <w:sz w:val="24"/>
          <w:szCs w:val="24"/>
          <w:lang w:bidi="en-US"/>
        </w:rPr>
        <w:t>: Struktura výsledků</w:t>
      </w:r>
      <w:r w:rsidR="00E16CFE">
        <w:rPr>
          <w:rFonts w:ascii="Times New Roman" w:eastAsia="Calibri" w:hAnsi="Times New Roman" w:cs="Times New Roman"/>
          <w:b/>
          <w:bCs/>
          <w:sz w:val="24"/>
          <w:szCs w:val="24"/>
          <w:lang w:bidi="en-US"/>
        </w:rPr>
        <w:t xml:space="preserve"> dosažených v rámci programů ukončených </w:t>
      </w:r>
      <w:r w:rsidR="00D01AC1">
        <w:rPr>
          <w:rFonts w:ascii="Times New Roman" w:eastAsia="Calibri" w:hAnsi="Times New Roman" w:cs="Times New Roman"/>
          <w:b/>
          <w:bCs/>
          <w:sz w:val="24"/>
          <w:szCs w:val="24"/>
          <w:lang w:bidi="en-US"/>
        </w:rPr>
        <w:t xml:space="preserve">v roce </w:t>
      </w:r>
      <w:r w:rsidR="00E16CFE">
        <w:rPr>
          <w:rFonts w:ascii="Times New Roman" w:eastAsia="Calibri" w:hAnsi="Times New Roman" w:cs="Times New Roman"/>
          <w:b/>
          <w:bCs/>
          <w:sz w:val="24"/>
          <w:szCs w:val="24"/>
          <w:lang w:bidi="en-US"/>
        </w:rPr>
        <w:t>2011</w:t>
      </w:r>
    </w:p>
    <w:tbl>
      <w:tblPr>
        <w:tblStyle w:val="Mkatabulky"/>
        <w:tblW w:w="0" w:type="auto"/>
        <w:jc w:val="center"/>
        <w:tblInd w:w="108" w:type="dxa"/>
        <w:tblLook w:val="04A0" w:firstRow="1" w:lastRow="0" w:firstColumn="1" w:lastColumn="0" w:noHBand="0" w:noVBand="1"/>
      </w:tblPr>
      <w:tblGrid>
        <w:gridCol w:w="710"/>
        <w:gridCol w:w="5386"/>
        <w:gridCol w:w="1134"/>
      </w:tblGrid>
      <w:tr w:rsidR="00741682" w:rsidRPr="006E59C2" w:rsidTr="004345AE">
        <w:trPr>
          <w:jc w:val="center"/>
        </w:trPr>
        <w:tc>
          <w:tcPr>
            <w:tcW w:w="6096" w:type="dxa"/>
            <w:gridSpan w:val="2"/>
            <w:vAlign w:val="center"/>
          </w:tcPr>
          <w:p w:rsidR="00741682" w:rsidRPr="006E59C2" w:rsidRDefault="00741682" w:rsidP="00FE16C6">
            <w:pPr>
              <w:keepNext/>
              <w:spacing w:after="120"/>
              <w:jc w:val="center"/>
              <w:rPr>
                <w:rFonts w:ascii="Times New Roman" w:eastAsia="Calibri" w:hAnsi="Times New Roman" w:cs="Times New Roman"/>
                <w:b/>
                <w:bCs/>
                <w:sz w:val="20"/>
                <w:szCs w:val="20"/>
                <w:lang w:bidi="en-US"/>
              </w:rPr>
            </w:pPr>
            <w:r w:rsidRPr="006E59C2">
              <w:rPr>
                <w:rFonts w:ascii="Times New Roman" w:eastAsia="Calibri" w:hAnsi="Times New Roman" w:cs="Times New Roman"/>
                <w:b/>
                <w:bCs/>
                <w:sz w:val="20"/>
                <w:szCs w:val="20"/>
                <w:lang w:bidi="en-US"/>
              </w:rPr>
              <w:t>Druh výsledku</w:t>
            </w:r>
          </w:p>
        </w:tc>
        <w:tc>
          <w:tcPr>
            <w:tcW w:w="1134" w:type="dxa"/>
            <w:vAlign w:val="center"/>
          </w:tcPr>
          <w:p w:rsidR="00741682" w:rsidRPr="006E59C2" w:rsidRDefault="00741682" w:rsidP="00FE16C6">
            <w:pPr>
              <w:keepNext/>
              <w:spacing w:after="120"/>
              <w:jc w:val="center"/>
              <w:rPr>
                <w:rFonts w:ascii="Times New Roman" w:eastAsia="Calibri" w:hAnsi="Times New Roman" w:cs="Times New Roman"/>
                <w:b/>
                <w:bCs/>
                <w:sz w:val="20"/>
                <w:szCs w:val="20"/>
                <w:lang w:bidi="en-US"/>
              </w:rPr>
            </w:pPr>
            <w:r w:rsidRPr="006E59C2">
              <w:rPr>
                <w:rFonts w:ascii="Times New Roman" w:eastAsia="Calibri" w:hAnsi="Times New Roman" w:cs="Times New Roman"/>
                <w:b/>
                <w:bCs/>
                <w:sz w:val="20"/>
                <w:szCs w:val="20"/>
                <w:lang w:bidi="en-US"/>
              </w:rPr>
              <w:t>Podíl</w:t>
            </w:r>
          </w:p>
        </w:tc>
      </w:tr>
      <w:tr w:rsidR="00741682" w:rsidRPr="006E59C2" w:rsidTr="00DE2C54">
        <w:trPr>
          <w:jc w:val="center"/>
        </w:trPr>
        <w:tc>
          <w:tcPr>
            <w:tcW w:w="710" w:type="dxa"/>
            <w:vAlign w:val="center"/>
          </w:tcPr>
          <w:p w:rsidR="00741682" w:rsidRPr="006E59C2" w:rsidRDefault="00741682" w:rsidP="001F473D">
            <w:pPr>
              <w:keepNext/>
              <w:spacing w:after="120"/>
              <w:jc w:val="both"/>
              <w:rPr>
                <w:rFonts w:ascii="Times New Roman" w:eastAsia="Calibri" w:hAnsi="Times New Roman" w:cs="Times New Roman"/>
                <w:bCs/>
                <w:sz w:val="20"/>
                <w:szCs w:val="20"/>
                <w:vertAlign w:val="subscript"/>
                <w:lang w:bidi="en-US"/>
              </w:rPr>
            </w:pPr>
            <w:proofErr w:type="spellStart"/>
            <w:r w:rsidRPr="006E59C2">
              <w:rPr>
                <w:rFonts w:ascii="Times New Roman" w:eastAsia="Calibri" w:hAnsi="Times New Roman" w:cs="Times New Roman"/>
                <w:bCs/>
                <w:sz w:val="20"/>
                <w:szCs w:val="20"/>
                <w:lang w:bidi="en-US"/>
              </w:rPr>
              <w:t>J</w:t>
            </w:r>
            <w:r w:rsidRPr="006E59C2">
              <w:rPr>
                <w:rFonts w:ascii="Times New Roman" w:eastAsia="Calibri" w:hAnsi="Times New Roman" w:cs="Times New Roman"/>
                <w:bCs/>
                <w:sz w:val="20"/>
                <w:szCs w:val="20"/>
                <w:vertAlign w:val="subscript"/>
                <w:lang w:bidi="en-US"/>
              </w:rPr>
              <w:t>imp</w:t>
            </w:r>
            <w:proofErr w:type="spellEnd"/>
          </w:p>
        </w:tc>
        <w:tc>
          <w:tcPr>
            <w:tcW w:w="5386" w:type="dxa"/>
            <w:vAlign w:val="center"/>
          </w:tcPr>
          <w:p w:rsidR="00741682" w:rsidRPr="006E59C2" w:rsidRDefault="00741682" w:rsidP="001F6CB0">
            <w:pPr>
              <w:keepNext/>
              <w:spacing w:after="120"/>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článek v odborném periodiku, který</w:t>
            </w:r>
            <w:r w:rsidR="00F53689" w:rsidRPr="006E59C2">
              <w:rPr>
                <w:rFonts w:ascii="Times New Roman" w:eastAsia="Calibri" w:hAnsi="Times New Roman" w:cs="Times New Roman"/>
                <w:bCs/>
                <w:sz w:val="20"/>
                <w:szCs w:val="20"/>
                <w:lang w:bidi="en-US"/>
              </w:rPr>
              <w:t> </w:t>
            </w:r>
            <w:r w:rsidRPr="006E59C2">
              <w:rPr>
                <w:rFonts w:ascii="Times New Roman" w:eastAsia="Calibri" w:hAnsi="Times New Roman" w:cs="Times New Roman"/>
                <w:bCs/>
                <w:sz w:val="20"/>
                <w:szCs w:val="20"/>
                <w:lang w:bidi="en-US"/>
              </w:rPr>
              <w:t>je</w:t>
            </w:r>
            <w:r w:rsidR="00F53689" w:rsidRPr="006E59C2">
              <w:rPr>
                <w:rFonts w:ascii="Times New Roman" w:eastAsia="Calibri" w:hAnsi="Times New Roman" w:cs="Times New Roman"/>
                <w:bCs/>
                <w:sz w:val="20"/>
                <w:szCs w:val="20"/>
                <w:lang w:bidi="en-US"/>
              </w:rPr>
              <w:t> </w:t>
            </w:r>
            <w:r w:rsidRPr="006E59C2">
              <w:rPr>
                <w:rFonts w:ascii="Times New Roman" w:eastAsia="Calibri" w:hAnsi="Times New Roman" w:cs="Times New Roman"/>
                <w:bCs/>
                <w:sz w:val="20"/>
                <w:szCs w:val="20"/>
                <w:lang w:bidi="en-US"/>
              </w:rPr>
              <w:t>obsažen</w:t>
            </w:r>
            <w:r w:rsidR="00F53689" w:rsidRPr="006E59C2">
              <w:rPr>
                <w:rFonts w:ascii="Times New Roman" w:eastAsia="Calibri" w:hAnsi="Times New Roman" w:cs="Times New Roman"/>
                <w:bCs/>
                <w:sz w:val="20"/>
                <w:szCs w:val="20"/>
                <w:lang w:bidi="en-US"/>
              </w:rPr>
              <w:t> </w:t>
            </w:r>
            <w:r w:rsidRPr="006E59C2">
              <w:rPr>
                <w:rFonts w:ascii="Times New Roman" w:eastAsia="Calibri" w:hAnsi="Times New Roman" w:cs="Times New Roman"/>
                <w:bCs/>
                <w:sz w:val="20"/>
                <w:szCs w:val="20"/>
                <w:lang w:bidi="en-US"/>
              </w:rPr>
              <w:t xml:space="preserve">v databázi Web </w:t>
            </w:r>
            <w:proofErr w:type="spellStart"/>
            <w:r w:rsidRPr="006E59C2">
              <w:rPr>
                <w:rFonts w:ascii="Times New Roman" w:eastAsia="Calibri" w:hAnsi="Times New Roman" w:cs="Times New Roman"/>
                <w:bCs/>
                <w:sz w:val="20"/>
                <w:szCs w:val="20"/>
                <w:lang w:bidi="en-US"/>
              </w:rPr>
              <w:t>of</w:t>
            </w:r>
            <w:proofErr w:type="spellEnd"/>
            <w:r w:rsidRPr="006E59C2">
              <w:rPr>
                <w:rFonts w:ascii="Times New Roman" w:eastAsia="Calibri" w:hAnsi="Times New Roman" w:cs="Times New Roman"/>
                <w:bCs/>
                <w:sz w:val="20"/>
                <w:szCs w:val="20"/>
                <w:lang w:bidi="en-US"/>
              </w:rPr>
              <w:t xml:space="preserve"> Science</w:t>
            </w:r>
          </w:p>
        </w:tc>
        <w:tc>
          <w:tcPr>
            <w:tcW w:w="1134" w:type="dxa"/>
            <w:vAlign w:val="center"/>
          </w:tcPr>
          <w:p w:rsidR="00741682" w:rsidRPr="006E59C2" w:rsidRDefault="00741682" w:rsidP="00DE2C54">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31,82 %</w:t>
            </w:r>
          </w:p>
        </w:tc>
      </w:tr>
      <w:tr w:rsidR="00741682" w:rsidRPr="006E59C2" w:rsidTr="00DE2C54">
        <w:trPr>
          <w:jc w:val="center"/>
        </w:trPr>
        <w:tc>
          <w:tcPr>
            <w:tcW w:w="710" w:type="dxa"/>
            <w:vAlign w:val="center"/>
          </w:tcPr>
          <w:p w:rsidR="00741682" w:rsidRPr="006E59C2" w:rsidRDefault="00741682" w:rsidP="001F473D">
            <w:pPr>
              <w:keepNext/>
              <w:spacing w:after="120"/>
              <w:jc w:val="both"/>
              <w:rPr>
                <w:rFonts w:ascii="Times New Roman" w:eastAsia="Calibri" w:hAnsi="Times New Roman" w:cs="Times New Roman"/>
                <w:bCs/>
                <w:sz w:val="20"/>
                <w:szCs w:val="20"/>
                <w:vertAlign w:val="subscript"/>
                <w:lang w:bidi="en-US"/>
              </w:rPr>
            </w:pPr>
            <w:proofErr w:type="spellStart"/>
            <w:r w:rsidRPr="006E59C2">
              <w:rPr>
                <w:rFonts w:ascii="Times New Roman" w:eastAsia="Calibri" w:hAnsi="Times New Roman" w:cs="Times New Roman"/>
                <w:bCs/>
                <w:sz w:val="20"/>
                <w:szCs w:val="20"/>
                <w:lang w:bidi="en-US"/>
              </w:rPr>
              <w:t>J</w:t>
            </w:r>
            <w:r w:rsidRPr="006E59C2">
              <w:rPr>
                <w:rFonts w:ascii="Times New Roman" w:eastAsia="Calibri" w:hAnsi="Times New Roman" w:cs="Times New Roman"/>
                <w:bCs/>
                <w:sz w:val="20"/>
                <w:szCs w:val="20"/>
                <w:vertAlign w:val="subscript"/>
                <w:lang w:bidi="en-US"/>
              </w:rPr>
              <w:t>rec</w:t>
            </w:r>
            <w:proofErr w:type="spellEnd"/>
          </w:p>
        </w:tc>
        <w:tc>
          <w:tcPr>
            <w:tcW w:w="5386" w:type="dxa"/>
            <w:vAlign w:val="center"/>
          </w:tcPr>
          <w:p w:rsidR="00741682" w:rsidRPr="006E59C2" w:rsidRDefault="00741682" w:rsidP="001F6CB0">
            <w:pPr>
              <w:keepNext/>
              <w:spacing w:after="120"/>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článek v odborném periodiku, které je zařazeno v Seznamu neimpaktovaných recenzovaných periodik vydávaných v České republice</w:t>
            </w:r>
          </w:p>
        </w:tc>
        <w:tc>
          <w:tcPr>
            <w:tcW w:w="1134" w:type="dxa"/>
            <w:vAlign w:val="center"/>
          </w:tcPr>
          <w:p w:rsidR="00741682" w:rsidRPr="006E59C2" w:rsidRDefault="00741682" w:rsidP="00DE2C54">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17,66 %</w:t>
            </w:r>
          </w:p>
        </w:tc>
      </w:tr>
      <w:tr w:rsidR="00741682" w:rsidRPr="006E59C2" w:rsidTr="00DE2C54">
        <w:trPr>
          <w:jc w:val="center"/>
        </w:trPr>
        <w:tc>
          <w:tcPr>
            <w:tcW w:w="710" w:type="dxa"/>
            <w:vAlign w:val="center"/>
          </w:tcPr>
          <w:p w:rsidR="00741682" w:rsidRPr="006E59C2" w:rsidRDefault="00741682" w:rsidP="001F473D">
            <w:pPr>
              <w:keepNext/>
              <w:spacing w:after="120"/>
              <w:jc w:val="both"/>
              <w:rPr>
                <w:rFonts w:ascii="Times New Roman" w:eastAsia="Calibri" w:hAnsi="Times New Roman" w:cs="Times New Roman"/>
                <w:bCs/>
                <w:sz w:val="20"/>
                <w:szCs w:val="20"/>
                <w:vertAlign w:val="subscript"/>
                <w:lang w:bidi="en-US"/>
              </w:rPr>
            </w:pPr>
            <w:proofErr w:type="spellStart"/>
            <w:r w:rsidRPr="006E59C2">
              <w:rPr>
                <w:rFonts w:ascii="Times New Roman" w:eastAsia="Calibri" w:hAnsi="Times New Roman" w:cs="Times New Roman"/>
                <w:bCs/>
                <w:sz w:val="20"/>
                <w:szCs w:val="20"/>
                <w:lang w:bidi="en-US"/>
              </w:rPr>
              <w:t>J</w:t>
            </w:r>
            <w:r w:rsidRPr="006E59C2">
              <w:rPr>
                <w:rFonts w:ascii="Times New Roman" w:eastAsia="Calibri" w:hAnsi="Times New Roman" w:cs="Times New Roman"/>
                <w:bCs/>
                <w:sz w:val="20"/>
                <w:szCs w:val="20"/>
                <w:vertAlign w:val="subscript"/>
                <w:lang w:bidi="en-US"/>
              </w:rPr>
              <w:t>neimp</w:t>
            </w:r>
            <w:proofErr w:type="spellEnd"/>
          </w:p>
        </w:tc>
        <w:tc>
          <w:tcPr>
            <w:tcW w:w="5386" w:type="dxa"/>
            <w:vAlign w:val="center"/>
          </w:tcPr>
          <w:p w:rsidR="00741682" w:rsidRPr="006E59C2" w:rsidRDefault="00741682" w:rsidP="001F6CB0">
            <w:pPr>
              <w:keepNext/>
              <w:spacing w:after="120"/>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článek v odborném periodiku, který je obsažen ve světově uznávané databázi ERIH nebo SCOPUS</w:t>
            </w:r>
          </w:p>
        </w:tc>
        <w:tc>
          <w:tcPr>
            <w:tcW w:w="1134" w:type="dxa"/>
            <w:vAlign w:val="center"/>
          </w:tcPr>
          <w:p w:rsidR="00741682" w:rsidRPr="006E59C2" w:rsidRDefault="00741682" w:rsidP="00DE2C54">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10,58 %</w:t>
            </w:r>
          </w:p>
        </w:tc>
      </w:tr>
      <w:tr w:rsidR="00741682" w:rsidRPr="006E59C2" w:rsidTr="00DE2C54">
        <w:trPr>
          <w:jc w:val="center"/>
        </w:trPr>
        <w:tc>
          <w:tcPr>
            <w:tcW w:w="710" w:type="dxa"/>
            <w:vAlign w:val="center"/>
          </w:tcPr>
          <w:p w:rsidR="00741682" w:rsidRPr="006E59C2" w:rsidRDefault="00741682" w:rsidP="001F473D">
            <w:pPr>
              <w:keepNext/>
              <w:spacing w:after="120"/>
              <w:jc w:val="both"/>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D</w:t>
            </w:r>
          </w:p>
        </w:tc>
        <w:tc>
          <w:tcPr>
            <w:tcW w:w="5386" w:type="dxa"/>
            <w:vAlign w:val="center"/>
          </w:tcPr>
          <w:p w:rsidR="00741682" w:rsidRPr="006E59C2" w:rsidRDefault="00741682" w:rsidP="001F473D">
            <w:pPr>
              <w:keepNext/>
              <w:spacing w:after="120"/>
              <w:jc w:val="both"/>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článek ve sborníku</w:t>
            </w:r>
          </w:p>
        </w:tc>
        <w:tc>
          <w:tcPr>
            <w:tcW w:w="1134" w:type="dxa"/>
            <w:vAlign w:val="center"/>
          </w:tcPr>
          <w:p w:rsidR="00741682" w:rsidRPr="006E59C2" w:rsidRDefault="00741682" w:rsidP="00DE2C54">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10</w:t>
            </w:r>
            <w:r w:rsidR="00447109" w:rsidRPr="006E59C2">
              <w:rPr>
                <w:rFonts w:ascii="Times New Roman" w:eastAsia="Calibri" w:hAnsi="Times New Roman" w:cs="Times New Roman"/>
                <w:bCs/>
                <w:sz w:val="20"/>
                <w:szCs w:val="20"/>
                <w:lang w:bidi="en-US"/>
              </w:rPr>
              <w:t>,00</w:t>
            </w:r>
            <w:r w:rsidRPr="006E59C2">
              <w:rPr>
                <w:rFonts w:ascii="Times New Roman" w:eastAsia="Calibri" w:hAnsi="Times New Roman" w:cs="Times New Roman"/>
                <w:bCs/>
                <w:sz w:val="20"/>
                <w:szCs w:val="20"/>
                <w:lang w:bidi="en-US"/>
              </w:rPr>
              <w:t xml:space="preserve"> %</w:t>
            </w:r>
          </w:p>
        </w:tc>
      </w:tr>
      <w:tr w:rsidR="00741682" w:rsidRPr="006E59C2" w:rsidTr="004345AE">
        <w:trPr>
          <w:jc w:val="center"/>
        </w:trPr>
        <w:tc>
          <w:tcPr>
            <w:tcW w:w="710" w:type="dxa"/>
            <w:vAlign w:val="center"/>
          </w:tcPr>
          <w:p w:rsidR="00741682" w:rsidRPr="006E59C2" w:rsidRDefault="00741682" w:rsidP="001F473D">
            <w:pPr>
              <w:keepNext/>
              <w:spacing w:after="120"/>
              <w:jc w:val="both"/>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G</w:t>
            </w:r>
          </w:p>
        </w:tc>
        <w:tc>
          <w:tcPr>
            <w:tcW w:w="5386" w:type="dxa"/>
            <w:vAlign w:val="center"/>
          </w:tcPr>
          <w:p w:rsidR="00741682" w:rsidRPr="006E59C2" w:rsidRDefault="00741682" w:rsidP="001F473D">
            <w:pPr>
              <w:keepNext/>
              <w:spacing w:after="120"/>
              <w:jc w:val="both"/>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prototyp, funkční vzorek</w:t>
            </w:r>
          </w:p>
        </w:tc>
        <w:tc>
          <w:tcPr>
            <w:tcW w:w="1134" w:type="dxa"/>
            <w:vAlign w:val="center"/>
          </w:tcPr>
          <w:p w:rsidR="00741682" w:rsidRPr="006E59C2" w:rsidRDefault="00741682" w:rsidP="004345AE">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6,24 %</w:t>
            </w:r>
          </w:p>
        </w:tc>
      </w:tr>
      <w:tr w:rsidR="003A5EDA" w:rsidRPr="006E59C2" w:rsidTr="004345AE">
        <w:trPr>
          <w:jc w:val="center"/>
        </w:trPr>
        <w:tc>
          <w:tcPr>
            <w:tcW w:w="710" w:type="dxa"/>
            <w:vAlign w:val="center"/>
          </w:tcPr>
          <w:p w:rsidR="003A5EDA" w:rsidRPr="006E59C2" w:rsidRDefault="003A5EDA" w:rsidP="001F473D">
            <w:pPr>
              <w:keepNext/>
              <w:spacing w:after="120"/>
              <w:jc w:val="both"/>
              <w:rPr>
                <w:rFonts w:ascii="Times New Roman" w:eastAsia="Calibri" w:hAnsi="Times New Roman" w:cs="Times New Roman"/>
                <w:bCs/>
                <w:sz w:val="20"/>
                <w:szCs w:val="20"/>
                <w:lang w:bidi="en-US"/>
              </w:rPr>
            </w:pPr>
          </w:p>
        </w:tc>
        <w:tc>
          <w:tcPr>
            <w:tcW w:w="5386" w:type="dxa"/>
            <w:vAlign w:val="center"/>
          </w:tcPr>
          <w:p w:rsidR="003A5EDA" w:rsidRPr="006E59C2" w:rsidRDefault="00473DC1" w:rsidP="001F473D">
            <w:pPr>
              <w:keepNext/>
              <w:spacing w:after="120"/>
              <w:jc w:val="both"/>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O</w:t>
            </w:r>
            <w:r w:rsidR="003A5EDA" w:rsidRPr="006E59C2">
              <w:rPr>
                <w:rFonts w:ascii="Times New Roman" w:eastAsia="Calibri" w:hAnsi="Times New Roman" w:cs="Times New Roman"/>
                <w:bCs/>
                <w:sz w:val="20"/>
                <w:szCs w:val="20"/>
                <w:lang w:bidi="en-US"/>
              </w:rPr>
              <w:t>statní</w:t>
            </w:r>
          </w:p>
        </w:tc>
        <w:tc>
          <w:tcPr>
            <w:tcW w:w="1134" w:type="dxa"/>
            <w:vAlign w:val="center"/>
          </w:tcPr>
          <w:p w:rsidR="003A5EDA" w:rsidRPr="006E59C2" w:rsidRDefault="003A5EDA" w:rsidP="004345AE">
            <w:pPr>
              <w:keepNext/>
              <w:spacing w:after="120"/>
              <w:jc w:val="right"/>
              <w:rPr>
                <w:rFonts w:ascii="Times New Roman" w:eastAsia="Calibri" w:hAnsi="Times New Roman" w:cs="Times New Roman"/>
                <w:bCs/>
                <w:sz w:val="20"/>
                <w:szCs w:val="20"/>
                <w:lang w:bidi="en-US"/>
              </w:rPr>
            </w:pPr>
            <w:r w:rsidRPr="006E59C2">
              <w:rPr>
                <w:rFonts w:ascii="Times New Roman" w:eastAsia="Calibri" w:hAnsi="Times New Roman" w:cs="Times New Roman"/>
                <w:bCs/>
                <w:sz w:val="20"/>
                <w:szCs w:val="20"/>
                <w:lang w:bidi="en-US"/>
              </w:rPr>
              <w:t xml:space="preserve">&lt; </w:t>
            </w:r>
            <w:r w:rsidR="00B27B7C" w:rsidRPr="006E59C2">
              <w:rPr>
                <w:rFonts w:ascii="Times New Roman" w:eastAsia="Calibri" w:hAnsi="Times New Roman" w:cs="Times New Roman"/>
                <w:bCs/>
                <w:sz w:val="20"/>
                <w:szCs w:val="20"/>
                <w:lang w:bidi="en-US"/>
              </w:rPr>
              <w:t>5</w:t>
            </w:r>
            <w:r w:rsidRPr="006E59C2">
              <w:rPr>
                <w:rFonts w:ascii="Times New Roman" w:eastAsia="Calibri" w:hAnsi="Times New Roman" w:cs="Times New Roman"/>
                <w:bCs/>
                <w:sz w:val="20"/>
                <w:szCs w:val="20"/>
                <w:lang w:bidi="en-US"/>
              </w:rPr>
              <w:t>,00 %</w:t>
            </w:r>
          </w:p>
        </w:tc>
      </w:tr>
    </w:tbl>
    <w:p w:rsidR="00741682" w:rsidRPr="00327B80" w:rsidRDefault="00741682" w:rsidP="002927A4">
      <w:pPr>
        <w:pStyle w:val="Odstavecseseznamem"/>
        <w:numPr>
          <w:ilvl w:val="1"/>
          <w:numId w:val="34"/>
        </w:numPr>
        <w:spacing w:before="120" w:after="120" w:line="240" w:lineRule="auto"/>
        <w:contextualSpacing w:val="0"/>
        <w:jc w:val="both"/>
        <w:rPr>
          <w:rFonts w:ascii="Times New Roman" w:hAnsi="Times New Roman" w:cs="Times New Roman"/>
          <w:sz w:val="24"/>
          <w:szCs w:val="24"/>
        </w:rPr>
      </w:pPr>
      <w:r w:rsidRPr="00327B80">
        <w:rPr>
          <w:rFonts w:ascii="Times New Roman" w:hAnsi="Times New Roman" w:cs="Times New Roman"/>
          <w:b/>
          <w:sz w:val="24"/>
          <w:szCs w:val="24"/>
        </w:rPr>
        <w:t>Porovnání jednotlivých programů</w:t>
      </w:r>
    </w:p>
    <w:p w:rsidR="00EF0E6E" w:rsidRPr="00327B80" w:rsidRDefault="00741682" w:rsidP="00E17B96">
      <w:pPr>
        <w:spacing w:after="120" w:line="240" w:lineRule="auto"/>
        <w:ind w:firstLine="709"/>
        <w:jc w:val="both"/>
        <w:rPr>
          <w:rFonts w:ascii="Times New Roman" w:eastAsia="Calibri" w:hAnsi="Times New Roman" w:cs="Times New Roman"/>
          <w:sz w:val="24"/>
          <w:szCs w:val="24"/>
          <w:lang w:bidi="en-US"/>
        </w:rPr>
      </w:pPr>
      <w:r w:rsidRPr="00327B80">
        <w:rPr>
          <w:rFonts w:ascii="Times New Roman" w:eastAsia="Calibri" w:hAnsi="Times New Roman" w:cs="Times New Roman"/>
          <w:sz w:val="24"/>
          <w:szCs w:val="24"/>
          <w:lang w:bidi="en-US"/>
        </w:rPr>
        <w:t xml:space="preserve">Pro porovnání jednotlivých hodnocených programů je </w:t>
      </w:r>
      <w:r w:rsidR="00495517">
        <w:rPr>
          <w:rFonts w:ascii="Times New Roman" w:eastAsia="Calibri" w:hAnsi="Times New Roman" w:cs="Times New Roman"/>
          <w:sz w:val="24"/>
          <w:szCs w:val="24"/>
          <w:lang w:bidi="en-US"/>
        </w:rPr>
        <w:t>použit tzv. průměrný projekt, a </w:t>
      </w:r>
      <w:r w:rsidRPr="00327B80">
        <w:rPr>
          <w:rFonts w:ascii="Times New Roman" w:eastAsia="Calibri" w:hAnsi="Times New Roman" w:cs="Times New Roman"/>
          <w:sz w:val="24"/>
          <w:szCs w:val="24"/>
          <w:lang w:bidi="en-US"/>
        </w:rPr>
        <w:t xml:space="preserve">to jak </w:t>
      </w:r>
      <w:r w:rsidR="00473DC1">
        <w:rPr>
          <w:rFonts w:ascii="Times New Roman" w:eastAsia="Calibri" w:hAnsi="Times New Roman" w:cs="Times New Roman"/>
          <w:sz w:val="24"/>
          <w:szCs w:val="24"/>
          <w:lang w:bidi="en-US"/>
        </w:rPr>
        <w:t xml:space="preserve">u </w:t>
      </w:r>
      <w:r w:rsidRPr="00327B80">
        <w:rPr>
          <w:rFonts w:ascii="Times New Roman" w:eastAsia="Calibri" w:hAnsi="Times New Roman" w:cs="Times New Roman"/>
          <w:sz w:val="24"/>
          <w:szCs w:val="24"/>
          <w:lang w:bidi="en-US"/>
        </w:rPr>
        <w:t>všech hodnocených programů</w:t>
      </w:r>
      <w:r w:rsidR="005D20A6" w:rsidRPr="00327B80">
        <w:rPr>
          <w:rFonts w:ascii="Times New Roman" w:eastAsia="Calibri" w:hAnsi="Times New Roman" w:cs="Times New Roman"/>
          <w:sz w:val="24"/>
          <w:szCs w:val="24"/>
          <w:lang w:bidi="en-US"/>
        </w:rPr>
        <w:t xml:space="preserve"> dohromady</w:t>
      </w:r>
      <w:r w:rsidRPr="00327B80">
        <w:rPr>
          <w:rFonts w:ascii="Times New Roman" w:eastAsia="Calibri" w:hAnsi="Times New Roman" w:cs="Times New Roman"/>
          <w:sz w:val="24"/>
          <w:szCs w:val="24"/>
          <w:lang w:bidi="en-US"/>
        </w:rPr>
        <w:t xml:space="preserve">, tak pro jednotlivé programy zvlášť. </w:t>
      </w:r>
    </w:p>
    <w:p w:rsidR="00932477" w:rsidRDefault="00932477" w:rsidP="00E17B96">
      <w:pPr>
        <w:spacing w:after="120" w:line="240" w:lineRule="auto"/>
        <w:ind w:firstLine="709"/>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Tzv. p</w:t>
      </w:r>
      <w:r w:rsidRPr="00327B80">
        <w:rPr>
          <w:rFonts w:ascii="Times New Roman" w:eastAsia="Calibri" w:hAnsi="Times New Roman" w:cs="Times New Roman"/>
          <w:sz w:val="24"/>
          <w:szCs w:val="24"/>
          <w:lang w:bidi="en-US"/>
        </w:rPr>
        <w:t>růměrný projekt</w:t>
      </w:r>
      <w:r>
        <w:rPr>
          <w:rFonts w:ascii="Times New Roman" w:eastAsia="Calibri" w:hAnsi="Times New Roman" w:cs="Times New Roman"/>
          <w:sz w:val="24"/>
          <w:szCs w:val="24"/>
          <w:lang w:bidi="en-US"/>
        </w:rPr>
        <w:t xml:space="preserve"> za</w:t>
      </w:r>
      <w:r w:rsidRPr="00327B80">
        <w:rPr>
          <w:rFonts w:ascii="Times New Roman" w:eastAsia="Calibri" w:hAnsi="Times New Roman" w:cs="Times New Roman"/>
          <w:sz w:val="24"/>
          <w:szCs w:val="24"/>
          <w:lang w:bidi="en-US"/>
        </w:rPr>
        <w:t xml:space="preserve"> všech</w:t>
      </w:r>
      <w:r>
        <w:rPr>
          <w:rFonts w:ascii="Times New Roman" w:eastAsia="Calibri" w:hAnsi="Times New Roman" w:cs="Times New Roman"/>
          <w:sz w:val="24"/>
          <w:szCs w:val="24"/>
          <w:lang w:bidi="en-US"/>
        </w:rPr>
        <w:t>ny</w:t>
      </w:r>
      <w:r w:rsidRPr="00327B80">
        <w:rPr>
          <w:rFonts w:ascii="Times New Roman" w:eastAsia="Calibri" w:hAnsi="Times New Roman" w:cs="Times New Roman"/>
          <w:sz w:val="24"/>
          <w:szCs w:val="24"/>
          <w:lang w:bidi="en-US"/>
        </w:rPr>
        <w:t xml:space="preserve"> hodnocen</w:t>
      </w:r>
      <w:r>
        <w:rPr>
          <w:rFonts w:ascii="Times New Roman" w:eastAsia="Calibri" w:hAnsi="Times New Roman" w:cs="Times New Roman"/>
          <w:sz w:val="24"/>
          <w:szCs w:val="24"/>
          <w:lang w:bidi="en-US"/>
        </w:rPr>
        <w:t>é</w:t>
      </w:r>
      <w:r w:rsidRPr="00327B80">
        <w:rPr>
          <w:rFonts w:ascii="Times New Roman" w:eastAsia="Calibri" w:hAnsi="Times New Roman" w:cs="Times New Roman"/>
          <w:sz w:val="24"/>
          <w:szCs w:val="24"/>
          <w:lang w:bidi="en-US"/>
        </w:rPr>
        <w:t xml:space="preserve"> program</w:t>
      </w:r>
      <w:r>
        <w:rPr>
          <w:rFonts w:ascii="Times New Roman" w:eastAsia="Calibri" w:hAnsi="Times New Roman" w:cs="Times New Roman"/>
          <w:sz w:val="24"/>
          <w:szCs w:val="24"/>
          <w:lang w:bidi="en-US"/>
        </w:rPr>
        <w:t>y</w:t>
      </w:r>
      <w:r w:rsidRPr="00327B80">
        <w:rPr>
          <w:rFonts w:ascii="Times New Roman" w:eastAsia="Calibri" w:hAnsi="Times New Roman" w:cs="Times New Roman"/>
          <w:sz w:val="24"/>
          <w:szCs w:val="24"/>
          <w:lang w:bidi="en-US"/>
        </w:rPr>
        <w:t xml:space="preserve"> dohromady byl řešen s celkovými náklady </w:t>
      </w:r>
      <w:r>
        <w:rPr>
          <w:rFonts w:ascii="Times New Roman" w:eastAsia="Calibri" w:hAnsi="Times New Roman" w:cs="Times New Roman"/>
          <w:sz w:val="24"/>
          <w:szCs w:val="24"/>
          <w:lang w:bidi="en-US"/>
        </w:rPr>
        <w:t xml:space="preserve">ve výši </w:t>
      </w:r>
      <w:r w:rsidRPr="00327B80">
        <w:rPr>
          <w:rFonts w:ascii="Times New Roman" w:hAnsi="Times New Roman" w:cs="Times New Roman"/>
          <w:sz w:val="24"/>
          <w:szCs w:val="24"/>
        </w:rPr>
        <w:t>13</w:t>
      </w:r>
      <w:r w:rsidR="00934886">
        <w:rPr>
          <w:rFonts w:ascii="Times New Roman" w:hAnsi="Times New Roman" w:cs="Times New Roman"/>
          <w:sz w:val="24"/>
          <w:szCs w:val="24"/>
        </w:rPr>
        <w:t> </w:t>
      </w:r>
      <w:r w:rsidRPr="00327B80">
        <w:rPr>
          <w:rFonts w:ascii="Times New Roman" w:hAnsi="Times New Roman" w:cs="Times New Roman"/>
          <w:sz w:val="24"/>
          <w:szCs w:val="24"/>
        </w:rPr>
        <w:t>12</w:t>
      </w:r>
      <w:r>
        <w:rPr>
          <w:rFonts w:ascii="Times New Roman" w:hAnsi="Times New Roman" w:cs="Times New Roman"/>
          <w:sz w:val="24"/>
          <w:szCs w:val="24"/>
        </w:rPr>
        <w:t>4</w:t>
      </w:r>
      <w:r>
        <w:rPr>
          <w:rFonts w:ascii="Times New Roman" w:eastAsia="Calibri" w:hAnsi="Times New Roman" w:cs="Times New Roman"/>
          <w:sz w:val="24"/>
          <w:szCs w:val="24"/>
          <w:lang w:bidi="en-US"/>
        </w:rPr>
        <w:t xml:space="preserve"> tis. Kč, podpora z veřejných prostředků u něj činila </w:t>
      </w:r>
      <w:r w:rsidRPr="00327B80">
        <w:rPr>
          <w:rFonts w:ascii="Times New Roman" w:hAnsi="Times New Roman" w:cs="Times New Roman"/>
          <w:sz w:val="24"/>
          <w:szCs w:val="24"/>
        </w:rPr>
        <w:t>10</w:t>
      </w:r>
      <w:r w:rsidR="00934886">
        <w:rPr>
          <w:rFonts w:ascii="Times New Roman" w:hAnsi="Times New Roman" w:cs="Times New Roman"/>
          <w:sz w:val="24"/>
          <w:szCs w:val="24"/>
        </w:rPr>
        <w:t> </w:t>
      </w:r>
      <w:r w:rsidRPr="00327B80">
        <w:rPr>
          <w:rFonts w:ascii="Times New Roman" w:hAnsi="Times New Roman" w:cs="Times New Roman"/>
          <w:sz w:val="24"/>
          <w:szCs w:val="24"/>
        </w:rPr>
        <w:t>46</w:t>
      </w:r>
      <w:r>
        <w:rPr>
          <w:rFonts w:ascii="Times New Roman" w:hAnsi="Times New Roman" w:cs="Times New Roman"/>
          <w:sz w:val="24"/>
          <w:szCs w:val="24"/>
        </w:rPr>
        <w:t>2</w:t>
      </w:r>
      <w:r w:rsidRPr="00327B80">
        <w:rPr>
          <w:rFonts w:ascii="Times New Roman" w:eastAsia="Calibri" w:hAnsi="Times New Roman" w:cs="Times New Roman"/>
          <w:sz w:val="24"/>
          <w:szCs w:val="24"/>
          <w:lang w:bidi="en-US"/>
        </w:rPr>
        <w:t xml:space="preserve"> tis. Kč </w:t>
      </w:r>
      <w:r>
        <w:rPr>
          <w:rFonts w:ascii="Times New Roman" w:eastAsia="Calibri" w:hAnsi="Times New Roman" w:cs="Times New Roman"/>
          <w:sz w:val="24"/>
          <w:szCs w:val="24"/>
          <w:lang w:bidi="en-US"/>
        </w:rPr>
        <w:t>a jeho řešením bylo</w:t>
      </w:r>
      <w:r w:rsidRPr="00327B80">
        <w:rPr>
          <w:rFonts w:ascii="Times New Roman" w:eastAsia="Calibri" w:hAnsi="Times New Roman" w:cs="Times New Roman"/>
          <w:sz w:val="24"/>
          <w:szCs w:val="24"/>
          <w:lang w:bidi="en-US"/>
        </w:rPr>
        <w:t xml:space="preserve"> dosaženo </w:t>
      </w:r>
      <w:r w:rsidRPr="00327B80">
        <w:rPr>
          <w:rFonts w:ascii="Times New Roman" w:hAnsi="Times New Roman" w:cs="Times New Roman"/>
          <w:sz w:val="24"/>
          <w:szCs w:val="24"/>
        </w:rPr>
        <w:t>7,33</w:t>
      </w:r>
      <w:r w:rsidRPr="00327B80">
        <w:rPr>
          <w:rFonts w:ascii="Times New Roman" w:eastAsia="Calibri" w:hAnsi="Times New Roman" w:cs="Times New Roman"/>
          <w:sz w:val="24"/>
          <w:szCs w:val="24"/>
          <w:lang w:bidi="en-US"/>
        </w:rPr>
        <w:t xml:space="preserve"> uznané</w:t>
      </w:r>
      <w:r w:rsidR="00495517">
        <w:rPr>
          <w:rFonts w:ascii="Times New Roman" w:eastAsia="Calibri" w:hAnsi="Times New Roman" w:cs="Times New Roman"/>
          <w:sz w:val="24"/>
          <w:szCs w:val="24"/>
          <w:lang w:bidi="en-US"/>
        </w:rPr>
        <w:t>ho výsledku s ohodnocením 237,5 </w:t>
      </w:r>
      <w:r w:rsidRPr="00327B80">
        <w:rPr>
          <w:rFonts w:ascii="Times New Roman" w:eastAsia="Calibri" w:hAnsi="Times New Roman" w:cs="Times New Roman"/>
          <w:sz w:val="24"/>
          <w:szCs w:val="24"/>
          <w:lang w:bidi="en-US"/>
        </w:rPr>
        <w:t>bodu.</w:t>
      </w:r>
      <w:r>
        <w:rPr>
          <w:rFonts w:ascii="Times New Roman" w:eastAsia="Calibri" w:hAnsi="Times New Roman" w:cs="Times New Roman"/>
          <w:sz w:val="24"/>
          <w:szCs w:val="24"/>
          <w:lang w:bidi="en-US"/>
        </w:rPr>
        <w:t xml:space="preserve"> </w:t>
      </w:r>
    </w:p>
    <w:p w:rsidR="00934886" w:rsidRDefault="00F53689" w:rsidP="00E17B96">
      <w:pPr>
        <w:spacing w:after="120" w:line="240" w:lineRule="auto"/>
        <w:ind w:firstLine="709"/>
        <w:jc w:val="both"/>
        <w:rPr>
          <w:rFonts w:ascii="Times New Roman" w:eastAsia="Calibri" w:hAnsi="Times New Roman" w:cs="Times New Roman"/>
          <w:sz w:val="24"/>
          <w:szCs w:val="24"/>
          <w:lang w:bidi="en-US"/>
        </w:rPr>
      </w:pPr>
      <w:r w:rsidRPr="00327B80">
        <w:rPr>
          <w:rFonts w:ascii="Times New Roman" w:eastAsia="Calibri" w:hAnsi="Times New Roman" w:cs="Times New Roman"/>
          <w:sz w:val="24"/>
          <w:szCs w:val="24"/>
          <w:lang w:bidi="en-US"/>
        </w:rPr>
        <w:t>Charakteristik</w:t>
      </w:r>
      <w:r w:rsidR="00BD7211">
        <w:rPr>
          <w:rFonts w:ascii="Times New Roman" w:eastAsia="Calibri" w:hAnsi="Times New Roman" w:cs="Times New Roman"/>
          <w:sz w:val="24"/>
          <w:szCs w:val="24"/>
          <w:lang w:bidi="en-US"/>
        </w:rPr>
        <w:t>a</w:t>
      </w:r>
      <w:r w:rsidR="005D20A6" w:rsidRPr="00327B80">
        <w:rPr>
          <w:rFonts w:ascii="Times New Roman" w:eastAsia="Calibri" w:hAnsi="Times New Roman" w:cs="Times New Roman"/>
          <w:sz w:val="24"/>
          <w:szCs w:val="24"/>
          <w:lang w:bidi="en-US"/>
        </w:rPr>
        <w:t xml:space="preserve"> tzv. průměrn</w:t>
      </w:r>
      <w:r w:rsidRPr="00327B80">
        <w:rPr>
          <w:rFonts w:ascii="Times New Roman" w:eastAsia="Calibri" w:hAnsi="Times New Roman" w:cs="Times New Roman"/>
          <w:sz w:val="24"/>
          <w:szCs w:val="24"/>
          <w:lang w:bidi="en-US"/>
        </w:rPr>
        <w:t>ého</w:t>
      </w:r>
      <w:r w:rsidR="00741682" w:rsidRPr="00327B80">
        <w:rPr>
          <w:rFonts w:ascii="Times New Roman" w:eastAsia="Calibri" w:hAnsi="Times New Roman" w:cs="Times New Roman"/>
          <w:sz w:val="24"/>
          <w:szCs w:val="24"/>
          <w:lang w:bidi="en-US"/>
        </w:rPr>
        <w:t xml:space="preserve"> projekt</w:t>
      </w:r>
      <w:r w:rsidRPr="00327B80">
        <w:rPr>
          <w:rFonts w:ascii="Times New Roman" w:eastAsia="Calibri" w:hAnsi="Times New Roman" w:cs="Times New Roman"/>
          <w:sz w:val="24"/>
          <w:szCs w:val="24"/>
          <w:lang w:bidi="en-US"/>
        </w:rPr>
        <w:t>u</w:t>
      </w:r>
      <w:r w:rsidR="005D20A6" w:rsidRPr="00327B80">
        <w:rPr>
          <w:rFonts w:ascii="Times New Roman" w:eastAsia="Calibri" w:hAnsi="Times New Roman" w:cs="Times New Roman"/>
          <w:sz w:val="24"/>
          <w:szCs w:val="24"/>
          <w:lang w:bidi="en-US"/>
        </w:rPr>
        <w:t xml:space="preserve"> řešen</w:t>
      </w:r>
      <w:r w:rsidRPr="00327B80">
        <w:rPr>
          <w:rFonts w:ascii="Times New Roman" w:eastAsia="Calibri" w:hAnsi="Times New Roman" w:cs="Times New Roman"/>
          <w:sz w:val="24"/>
          <w:szCs w:val="24"/>
          <w:lang w:bidi="en-US"/>
        </w:rPr>
        <w:t>ého</w:t>
      </w:r>
      <w:r w:rsidR="005D20A6" w:rsidRPr="00327B80">
        <w:rPr>
          <w:rFonts w:ascii="Times New Roman" w:eastAsia="Calibri" w:hAnsi="Times New Roman" w:cs="Times New Roman"/>
          <w:sz w:val="24"/>
          <w:szCs w:val="24"/>
          <w:lang w:bidi="en-US"/>
        </w:rPr>
        <w:t xml:space="preserve"> </w:t>
      </w:r>
      <w:r w:rsidR="00EF0E6E" w:rsidRPr="00327B80">
        <w:rPr>
          <w:rFonts w:ascii="Times New Roman" w:eastAsia="Calibri" w:hAnsi="Times New Roman" w:cs="Times New Roman"/>
          <w:sz w:val="24"/>
          <w:szCs w:val="24"/>
          <w:lang w:bidi="en-US"/>
        </w:rPr>
        <w:t xml:space="preserve">zvlášť </w:t>
      </w:r>
      <w:r w:rsidR="00473DC1">
        <w:rPr>
          <w:rFonts w:ascii="Times New Roman" w:eastAsia="Calibri" w:hAnsi="Times New Roman" w:cs="Times New Roman"/>
          <w:sz w:val="24"/>
          <w:szCs w:val="24"/>
          <w:lang w:bidi="en-US"/>
        </w:rPr>
        <w:t>u</w:t>
      </w:r>
      <w:r w:rsidR="005D20A6" w:rsidRPr="00327B80">
        <w:rPr>
          <w:rFonts w:ascii="Times New Roman" w:eastAsia="Calibri" w:hAnsi="Times New Roman" w:cs="Times New Roman"/>
          <w:sz w:val="24"/>
          <w:szCs w:val="24"/>
          <w:lang w:bidi="en-US"/>
        </w:rPr>
        <w:t xml:space="preserve"> </w:t>
      </w:r>
      <w:r w:rsidR="001D3976" w:rsidRPr="00327B80">
        <w:rPr>
          <w:rFonts w:ascii="Times New Roman" w:eastAsia="Calibri" w:hAnsi="Times New Roman" w:cs="Times New Roman"/>
          <w:sz w:val="24"/>
          <w:szCs w:val="24"/>
          <w:lang w:bidi="en-US"/>
        </w:rPr>
        <w:t>každého z</w:t>
      </w:r>
      <w:r w:rsidR="00184822" w:rsidRPr="00327B80">
        <w:rPr>
          <w:rFonts w:ascii="Times New Roman" w:eastAsia="Calibri" w:hAnsi="Times New Roman" w:cs="Times New Roman"/>
          <w:sz w:val="24"/>
          <w:szCs w:val="24"/>
          <w:lang w:bidi="en-US"/>
        </w:rPr>
        <w:t> </w:t>
      </w:r>
      <w:r w:rsidR="005D20A6" w:rsidRPr="00327B80">
        <w:rPr>
          <w:rFonts w:ascii="Times New Roman" w:eastAsia="Calibri" w:hAnsi="Times New Roman" w:cs="Times New Roman"/>
          <w:sz w:val="24"/>
          <w:szCs w:val="24"/>
          <w:lang w:bidi="en-US"/>
        </w:rPr>
        <w:t>hodnocených programů j</w:t>
      </w:r>
      <w:r w:rsidR="00BD7211">
        <w:rPr>
          <w:rFonts w:ascii="Times New Roman" w:eastAsia="Calibri" w:hAnsi="Times New Roman" w:cs="Times New Roman"/>
          <w:sz w:val="24"/>
          <w:szCs w:val="24"/>
          <w:lang w:bidi="en-US"/>
        </w:rPr>
        <w:t>e</w:t>
      </w:r>
      <w:r w:rsidR="00741682" w:rsidRPr="00327B80">
        <w:rPr>
          <w:rFonts w:ascii="Times New Roman" w:eastAsia="Calibri" w:hAnsi="Times New Roman" w:cs="Times New Roman"/>
          <w:sz w:val="24"/>
          <w:szCs w:val="24"/>
          <w:lang w:bidi="en-US"/>
        </w:rPr>
        <w:t xml:space="preserve"> uveden</w:t>
      </w:r>
      <w:r w:rsidR="00BD7211">
        <w:rPr>
          <w:rFonts w:ascii="Times New Roman" w:eastAsia="Calibri" w:hAnsi="Times New Roman" w:cs="Times New Roman"/>
          <w:sz w:val="24"/>
          <w:szCs w:val="24"/>
          <w:lang w:bidi="en-US"/>
        </w:rPr>
        <w:t>a</w:t>
      </w:r>
      <w:r w:rsidR="00741682" w:rsidRPr="00327B80">
        <w:rPr>
          <w:rFonts w:ascii="Times New Roman" w:eastAsia="Calibri" w:hAnsi="Times New Roman" w:cs="Times New Roman"/>
          <w:sz w:val="24"/>
          <w:szCs w:val="24"/>
          <w:lang w:bidi="en-US"/>
        </w:rPr>
        <w:t xml:space="preserve"> v Tabulce č. </w:t>
      </w:r>
      <w:r w:rsidR="00FC1B69" w:rsidRPr="00327B80">
        <w:rPr>
          <w:rFonts w:ascii="Times New Roman" w:eastAsia="Calibri" w:hAnsi="Times New Roman" w:cs="Times New Roman"/>
          <w:sz w:val="24"/>
          <w:szCs w:val="24"/>
          <w:lang w:bidi="en-US"/>
        </w:rPr>
        <w:t>3</w:t>
      </w:r>
      <w:r w:rsidR="00741682" w:rsidRPr="00327B80">
        <w:rPr>
          <w:rFonts w:ascii="Times New Roman" w:eastAsia="Calibri" w:hAnsi="Times New Roman" w:cs="Times New Roman"/>
          <w:sz w:val="24"/>
          <w:szCs w:val="24"/>
          <w:lang w:bidi="en-US"/>
        </w:rPr>
        <w:t>.</w:t>
      </w:r>
    </w:p>
    <w:p w:rsidR="00934886" w:rsidRDefault="00934886" w:rsidP="00E17B96">
      <w:pPr>
        <w:spacing w:after="120" w:line="240" w:lineRule="auto"/>
        <w:ind w:firstLine="709"/>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br w:type="page"/>
      </w:r>
    </w:p>
    <w:p w:rsidR="00741682" w:rsidRPr="00327B80" w:rsidRDefault="00741682" w:rsidP="001F473D">
      <w:pPr>
        <w:keepNext/>
        <w:spacing w:after="120" w:line="240" w:lineRule="auto"/>
        <w:jc w:val="both"/>
        <w:rPr>
          <w:rFonts w:ascii="Times New Roman" w:eastAsia="Calibri" w:hAnsi="Times New Roman" w:cs="Times New Roman"/>
          <w:b/>
          <w:bCs/>
          <w:sz w:val="24"/>
          <w:szCs w:val="24"/>
          <w:lang w:bidi="en-US"/>
        </w:rPr>
      </w:pPr>
      <w:r w:rsidRPr="00327B80">
        <w:rPr>
          <w:rFonts w:ascii="Times New Roman" w:eastAsia="Calibri" w:hAnsi="Times New Roman" w:cs="Times New Roman"/>
          <w:b/>
          <w:bCs/>
          <w:sz w:val="24"/>
          <w:szCs w:val="24"/>
          <w:lang w:bidi="en-US"/>
        </w:rPr>
        <w:lastRenderedPageBreak/>
        <w:t xml:space="preserve">Tabulka č. </w:t>
      </w:r>
      <w:r w:rsidR="00FC1B69" w:rsidRPr="00327B80">
        <w:rPr>
          <w:rFonts w:ascii="Times New Roman" w:eastAsia="Calibri" w:hAnsi="Times New Roman" w:cs="Times New Roman"/>
          <w:b/>
          <w:bCs/>
          <w:sz w:val="24"/>
          <w:szCs w:val="24"/>
          <w:lang w:bidi="en-US"/>
        </w:rPr>
        <w:t>3</w:t>
      </w:r>
      <w:r w:rsidRPr="00327B80">
        <w:rPr>
          <w:rFonts w:ascii="Times New Roman" w:eastAsia="Calibri" w:hAnsi="Times New Roman" w:cs="Times New Roman"/>
          <w:b/>
          <w:bCs/>
          <w:sz w:val="24"/>
          <w:szCs w:val="24"/>
          <w:lang w:bidi="en-US"/>
        </w:rPr>
        <w:t xml:space="preserve">: </w:t>
      </w:r>
      <w:r w:rsidR="00932477">
        <w:rPr>
          <w:rFonts w:ascii="Times New Roman" w:eastAsia="Calibri" w:hAnsi="Times New Roman" w:cs="Times New Roman"/>
          <w:b/>
          <w:bCs/>
          <w:sz w:val="24"/>
          <w:szCs w:val="24"/>
          <w:lang w:bidi="en-US"/>
        </w:rPr>
        <w:t xml:space="preserve">Tzv. </w:t>
      </w:r>
      <w:r w:rsidRPr="00327B80">
        <w:rPr>
          <w:rFonts w:ascii="Times New Roman" w:eastAsia="Calibri" w:hAnsi="Times New Roman" w:cs="Times New Roman"/>
          <w:b/>
          <w:bCs/>
          <w:sz w:val="24"/>
          <w:szCs w:val="24"/>
          <w:lang w:bidi="en-US"/>
        </w:rPr>
        <w:t>průměrn</w:t>
      </w:r>
      <w:r w:rsidR="00932477">
        <w:rPr>
          <w:rFonts w:ascii="Times New Roman" w:eastAsia="Calibri" w:hAnsi="Times New Roman" w:cs="Times New Roman"/>
          <w:b/>
          <w:bCs/>
          <w:sz w:val="24"/>
          <w:szCs w:val="24"/>
          <w:lang w:bidi="en-US"/>
        </w:rPr>
        <w:t>ý</w:t>
      </w:r>
      <w:r w:rsidRPr="00327B80">
        <w:rPr>
          <w:rFonts w:ascii="Times New Roman" w:eastAsia="Calibri" w:hAnsi="Times New Roman" w:cs="Times New Roman"/>
          <w:b/>
          <w:bCs/>
          <w:sz w:val="24"/>
          <w:szCs w:val="24"/>
          <w:lang w:bidi="en-US"/>
        </w:rPr>
        <w:t xml:space="preserve"> projekt </w:t>
      </w:r>
      <w:r w:rsidR="00932477">
        <w:rPr>
          <w:rFonts w:ascii="Times New Roman" w:eastAsia="Calibri" w:hAnsi="Times New Roman" w:cs="Times New Roman"/>
          <w:b/>
          <w:bCs/>
          <w:sz w:val="24"/>
          <w:szCs w:val="24"/>
          <w:lang w:bidi="en-US"/>
        </w:rPr>
        <w:t xml:space="preserve">řešený v rámci programů ukončených </w:t>
      </w:r>
      <w:r w:rsidR="00D01AC1">
        <w:rPr>
          <w:rFonts w:ascii="Times New Roman" w:eastAsia="Calibri" w:hAnsi="Times New Roman" w:cs="Times New Roman"/>
          <w:b/>
          <w:bCs/>
          <w:sz w:val="24"/>
          <w:szCs w:val="24"/>
          <w:lang w:bidi="en-US"/>
        </w:rPr>
        <w:t xml:space="preserve">v roce </w:t>
      </w:r>
      <w:r w:rsidR="00932477">
        <w:rPr>
          <w:rFonts w:ascii="Times New Roman" w:eastAsia="Calibri" w:hAnsi="Times New Roman" w:cs="Times New Roman"/>
          <w:b/>
          <w:bCs/>
          <w:sz w:val="24"/>
          <w:szCs w:val="24"/>
          <w:lang w:bidi="en-US"/>
        </w:rPr>
        <w:t>2011</w:t>
      </w:r>
    </w:p>
    <w:tbl>
      <w:tblPr>
        <w:tblStyle w:val="Mkatabulky"/>
        <w:tblW w:w="0" w:type="auto"/>
        <w:tblInd w:w="108" w:type="dxa"/>
        <w:tblLayout w:type="fixed"/>
        <w:tblLook w:val="04A0" w:firstRow="1" w:lastRow="0" w:firstColumn="1" w:lastColumn="0" w:noHBand="0" w:noVBand="1"/>
      </w:tblPr>
      <w:tblGrid>
        <w:gridCol w:w="2552"/>
        <w:gridCol w:w="1276"/>
        <w:gridCol w:w="1488"/>
        <w:gridCol w:w="1488"/>
        <w:gridCol w:w="1038"/>
        <w:gridCol w:w="1230"/>
      </w:tblGrid>
      <w:tr w:rsidR="00741682" w:rsidRPr="006E59C2" w:rsidTr="006E59C2">
        <w:tc>
          <w:tcPr>
            <w:tcW w:w="2552" w:type="dxa"/>
            <w:vMerge w:val="restart"/>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Poskytovatel</w:t>
            </w:r>
          </w:p>
        </w:tc>
        <w:tc>
          <w:tcPr>
            <w:tcW w:w="1276" w:type="dxa"/>
            <w:vMerge w:val="restart"/>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Program</w:t>
            </w:r>
          </w:p>
        </w:tc>
        <w:tc>
          <w:tcPr>
            <w:tcW w:w="2976" w:type="dxa"/>
            <w:gridSpan w:val="2"/>
            <w:vAlign w:val="center"/>
          </w:tcPr>
          <w:p w:rsidR="00741682" w:rsidRPr="006E59C2" w:rsidRDefault="006E59C2" w:rsidP="00FE16C6">
            <w:pPr>
              <w:spacing w:after="120"/>
              <w:jc w:val="center"/>
              <w:rPr>
                <w:rFonts w:ascii="Times New Roman" w:hAnsi="Times New Roman" w:cs="Times New Roman"/>
                <w:b/>
                <w:sz w:val="20"/>
                <w:szCs w:val="20"/>
              </w:rPr>
            </w:pPr>
            <w:r>
              <w:rPr>
                <w:rFonts w:ascii="Times New Roman" w:hAnsi="Times New Roman" w:cs="Times New Roman"/>
                <w:b/>
                <w:sz w:val="20"/>
                <w:szCs w:val="20"/>
              </w:rPr>
              <w:t>Výdaje na řešení</w:t>
            </w:r>
            <w:r w:rsidR="00FE16C6">
              <w:rPr>
                <w:rFonts w:ascii="Times New Roman" w:hAnsi="Times New Roman" w:cs="Times New Roman"/>
                <w:b/>
                <w:sz w:val="20"/>
                <w:szCs w:val="20"/>
              </w:rPr>
              <w:t xml:space="preserve"> </w:t>
            </w:r>
            <w:r>
              <w:rPr>
                <w:rFonts w:ascii="Times New Roman" w:hAnsi="Times New Roman" w:cs="Times New Roman"/>
                <w:b/>
                <w:sz w:val="20"/>
                <w:szCs w:val="20"/>
              </w:rPr>
              <w:t>tzv. </w:t>
            </w:r>
            <w:r w:rsidR="00741682" w:rsidRPr="006E59C2">
              <w:rPr>
                <w:rFonts w:ascii="Times New Roman" w:hAnsi="Times New Roman" w:cs="Times New Roman"/>
                <w:b/>
                <w:sz w:val="20"/>
                <w:szCs w:val="20"/>
              </w:rPr>
              <w:t>průměrného projektu</w:t>
            </w:r>
            <w:r w:rsidR="00FE16C6">
              <w:rPr>
                <w:rFonts w:ascii="Times New Roman" w:hAnsi="Times New Roman" w:cs="Times New Roman"/>
                <w:b/>
                <w:sz w:val="20"/>
                <w:szCs w:val="20"/>
              </w:rPr>
              <w:t xml:space="preserve"> </w:t>
            </w:r>
            <w:r w:rsidR="00741682" w:rsidRPr="006E59C2">
              <w:rPr>
                <w:rFonts w:ascii="Times New Roman" w:hAnsi="Times New Roman" w:cs="Times New Roman"/>
                <w:b/>
                <w:sz w:val="20"/>
                <w:szCs w:val="20"/>
              </w:rPr>
              <w:t>(v tis. Kč)</w:t>
            </w:r>
          </w:p>
        </w:tc>
        <w:tc>
          <w:tcPr>
            <w:tcW w:w="2268" w:type="dxa"/>
            <w:gridSpan w:val="2"/>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Výsledky tzv. průměrného projektu</w:t>
            </w:r>
          </w:p>
        </w:tc>
      </w:tr>
      <w:tr w:rsidR="00741682" w:rsidRPr="006E59C2" w:rsidTr="00757237">
        <w:tc>
          <w:tcPr>
            <w:tcW w:w="2552" w:type="dxa"/>
            <w:vMerge/>
            <w:vAlign w:val="center"/>
          </w:tcPr>
          <w:p w:rsidR="00741682" w:rsidRPr="006E59C2" w:rsidRDefault="00741682" w:rsidP="00FE16C6">
            <w:pPr>
              <w:spacing w:after="120"/>
              <w:jc w:val="center"/>
              <w:rPr>
                <w:rFonts w:ascii="Times New Roman" w:hAnsi="Times New Roman" w:cs="Times New Roman"/>
                <w:b/>
                <w:sz w:val="20"/>
                <w:szCs w:val="20"/>
              </w:rPr>
            </w:pPr>
          </w:p>
        </w:tc>
        <w:tc>
          <w:tcPr>
            <w:tcW w:w="1276" w:type="dxa"/>
            <w:vMerge/>
            <w:vAlign w:val="center"/>
          </w:tcPr>
          <w:p w:rsidR="00741682" w:rsidRPr="006E59C2" w:rsidRDefault="00741682" w:rsidP="00FE16C6">
            <w:pPr>
              <w:spacing w:after="120"/>
              <w:jc w:val="center"/>
              <w:rPr>
                <w:rFonts w:ascii="Times New Roman" w:hAnsi="Times New Roman" w:cs="Times New Roman"/>
                <w:b/>
                <w:sz w:val="20"/>
                <w:szCs w:val="20"/>
              </w:rPr>
            </w:pPr>
          </w:p>
        </w:tc>
        <w:tc>
          <w:tcPr>
            <w:tcW w:w="1488" w:type="dxa"/>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Celkové náklady</w:t>
            </w:r>
          </w:p>
        </w:tc>
        <w:tc>
          <w:tcPr>
            <w:tcW w:w="1488" w:type="dxa"/>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Podpora z veřejných prostředků</w:t>
            </w:r>
          </w:p>
        </w:tc>
        <w:tc>
          <w:tcPr>
            <w:tcW w:w="1038" w:type="dxa"/>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Počet</w:t>
            </w:r>
          </w:p>
        </w:tc>
        <w:tc>
          <w:tcPr>
            <w:tcW w:w="1230" w:type="dxa"/>
            <w:vAlign w:val="center"/>
          </w:tcPr>
          <w:p w:rsidR="00741682" w:rsidRPr="006E59C2" w:rsidRDefault="00741682" w:rsidP="00FE16C6">
            <w:pPr>
              <w:spacing w:after="120"/>
              <w:jc w:val="center"/>
              <w:rPr>
                <w:rFonts w:ascii="Times New Roman" w:hAnsi="Times New Roman" w:cs="Times New Roman"/>
                <w:b/>
                <w:sz w:val="20"/>
                <w:szCs w:val="20"/>
              </w:rPr>
            </w:pPr>
            <w:r w:rsidRPr="006E59C2">
              <w:rPr>
                <w:rFonts w:ascii="Times New Roman" w:hAnsi="Times New Roman" w:cs="Times New Roman"/>
                <w:b/>
                <w:sz w:val="20"/>
                <w:szCs w:val="20"/>
              </w:rPr>
              <w:t>Body</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dopravy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CG</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3</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749</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3</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024</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2,34</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57,82</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kultury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DB</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736</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592</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6,59</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231,28</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kultury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DC</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3</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261</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2</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452</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5,07</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163,04</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kultury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DD</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749</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482</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5,21</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168</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kultury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proofErr w:type="gramStart"/>
            <w:r w:rsidRPr="006E59C2">
              <w:rPr>
                <w:rFonts w:ascii="Times New Roman" w:hAnsi="Times New Roman" w:cs="Times New Roman"/>
                <w:sz w:val="20"/>
                <w:szCs w:val="20"/>
              </w:rPr>
              <w:t>DE</w:t>
            </w:r>
            <w:proofErr w:type="gramEnd"/>
          </w:p>
        </w:tc>
        <w:tc>
          <w:tcPr>
            <w:tcW w:w="148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838</w:t>
            </w:r>
          </w:p>
        </w:tc>
        <w:tc>
          <w:tcPr>
            <w:tcW w:w="148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724</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5,46</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90,04</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pro místní rozvoj</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WD</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7</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249</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7</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128</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10,06</w:t>
            </w:r>
          </w:p>
        </w:tc>
        <w:tc>
          <w:tcPr>
            <w:tcW w:w="1230"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206,74</w:t>
            </w:r>
          </w:p>
        </w:tc>
      </w:tr>
      <w:tr w:rsidR="00B12603" w:rsidRPr="006E59C2" w:rsidTr="00757237">
        <w:tc>
          <w:tcPr>
            <w:tcW w:w="2552" w:type="dxa"/>
            <w:vAlign w:val="center"/>
          </w:tcPr>
          <w:p w:rsidR="00B12603" w:rsidRPr="006E59C2" w:rsidRDefault="00B12603"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školství, mládeže a tělovýchovy</w:t>
            </w:r>
          </w:p>
        </w:tc>
        <w:tc>
          <w:tcPr>
            <w:tcW w:w="1276" w:type="dxa"/>
            <w:vAlign w:val="center"/>
          </w:tcPr>
          <w:p w:rsidR="00B12603" w:rsidRPr="006E59C2" w:rsidRDefault="00B12603"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LC</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79</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836</w:t>
            </w:r>
          </w:p>
        </w:tc>
        <w:tc>
          <w:tcPr>
            <w:tcW w:w="1488"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62</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031</w:t>
            </w:r>
          </w:p>
        </w:tc>
        <w:tc>
          <w:tcPr>
            <w:tcW w:w="1038" w:type="dxa"/>
            <w:vAlign w:val="center"/>
          </w:tcPr>
          <w:p w:rsidR="00B12603" w:rsidRPr="006E59C2" w:rsidRDefault="00B1260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57,27</w:t>
            </w:r>
          </w:p>
        </w:tc>
        <w:tc>
          <w:tcPr>
            <w:tcW w:w="1230" w:type="dxa"/>
            <w:vAlign w:val="center"/>
          </w:tcPr>
          <w:p w:rsidR="00B12603" w:rsidRPr="006E59C2" w:rsidRDefault="00B12603"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2</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600,70</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zdravotnictví</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NS</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4</w:t>
            </w:r>
            <w:r w:rsidR="00F64DDF" w:rsidRPr="006E59C2">
              <w:rPr>
                <w:rFonts w:ascii="Times New Roman" w:hAnsi="Times New Roman" w:cs="Times New Roman"/>
                <w:sz w:val="20"/>
                <w:szCs w:val="20"/>
              </w:rPr>
              <w:t xml:space="preserve"> </w:t>
            </w:r>
            <w:r w:rsidR="00932477" w:rsidRPr="006E59C2">
              <w:rPr>
                <w:rFonts w:ascii="Times New Roman" w:hAnsi="Times New Roman" w:cs="Times New Roman"/>
                <w:sz w:val="20"/>
                <w:szCs w:val="20"/>
              </w:rPr>
              <w:t>4</w:t>
            </w:r>
            <w:r w:rsidRPr="006E59C2">
              <w:rPr>
                <w:rFonts w:ascii="Times New Roman" w:hAnsi="Times New Roman" w:cs="Times New Roman"/>
                <w:sz w:val="20"/>
                <w:szCs w:val="20"/>
              </w:rPr>
              <w:t>99</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4</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418</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1,95</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46,73</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životního prostředí</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SP</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6</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875</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6</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176</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5,03</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122,18</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obrany</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OS</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8</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56</w:t>
            </w:r>
            <w:r w:rsidR="00932477" w:rsidRPr="006E59C2">
              <w:rPr>
                <w:rFonts w:ascii="Times New Roman" w:hAnsi="Times New Roman" w:cs="Times New Roman"/>
                <w:sz w:val="20"/>
                <w:szCs w:val="20"/>
              </w:rPr>
              <w:t>3</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8</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56</w:t>
            </w:r>
            <w:r w:rsidR="00932477" w:rsidRPr="006E59C2">
              <w:rPr>
                <w:rFonts w:ascii="Times New Roman" w:hAnsi="Times New Roman" w:cs="Times New Roman"/>
                <w:sz w:val="20"/>
                <w:szCs w:val="20"/>
              </w:rPr>
              <w:t>3</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0,91</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35,42</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práce a sociálních věcí</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HC</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163</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163</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0,3</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7,38</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spravedlnosti</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RD</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6</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177</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6</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177</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7,73</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124,15</w:t>
            </w:r>
          </w:p>
        </w:tc>
      </w:tr>
      <w:tr w:rsidR="00741682" w:rsidRPr="006E59C2" w:rsidTr="00757237">
        <w:tc>
          <w:tcPr>
            <w:tcW w:w="2552" w:type="dxa"/>
            <w:vAlign w:val="center"/>
          </w:tcPr>
          <w:p w:rsidR="00741682" w:rsidRPr="006E59C2" w:rsidRDefault="00741682"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vnitra</w:t>
            </w:r>
          </w:p>
        </w:tc>
        <w:tc>
          <w:tcPr>
            <w:tcW w:w="1276" w:type="dxa"/>
            <w:vAlign w:val="center"/>
          </w:tcPr>
          <w:p w:rsidR="00741682" w:rsidRPr="006E59C2" w:rsidRDefault="00741682" w:rsidP="001F473D">
            <w:pPr>
              <w:spacing w:after="120"/>
              <w:jc w:val="both"/>
              <w:rPr>
                <w:rFonts w:ascii="Times New Roman" w:hAnsi="Times New Roman" w:cs="Times New Roman"/>
                <w:sz w:val="20"/>
                <w:szCs w:val="20"/>
              </w:rPr>
            </w:pPr>
            <w:proofErr w:type="gramStart"/>
            <w:r w:rsidRPr="006E59C2">
              <w:rPr>
                <w:rFonts w:ascii="Times New Roman" w:hAnsi="Times New Roman" w:cs="Times New Roman"/>
                <w:sz w:val="20"/>
                <w:szCs w:val="20"/>
              </w:rPr>
              <w:t>VE</w:t>
            </w:r>
            <w:proofErr w:type="gramEnd"/>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179</w:t>
            </w:r>
          </w:p>
        </w:tc>
        <w:tc>
          <w:tcPr>
            <w:tcW w:w="1488" w:type="dxa"/>
            <w:vAlign w:val="center"/>
          </w:tcPr>
          <w:p w:rsidR="00741682" w:rsidRPr="006E59C2" w:rsidRDefault="00741682"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179</w:t>
            </w:r>
          </w:p>
        </w:tc>
        <w:tc>
          <w:tcPr>
            <w:tcW w:w="1038"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1,98</w:t>
            </w:r>
          </w:p>
        </w:tc>
        <w:tc>
          <w:tcPr>
            <w:tcW w:w="1230" w:type="dxa"/>
            <w:vAlign w:val="center"/>
          </w:tcPr>
          <w:p w:rsidR="00741682" w:rsidRPr="006E59C2" w:rsidRDefault="00741682"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38,94</w:t>
            </w:r>
          </w:p>
        </w:tc>
      </w:tr>
      <w:tr w:rsidR="003F610F" w:rsidRPr="006E59C2" w:rsidTr="00757237">
        <w:tc>
          <w:tcPr>
            <w:tcW w:w="2552" w:type="dxa"/>
            <w:vAlign w:val="center"/>
          </w:tcPr>
          <w:p w:rsidR="003F610F" w:rsidRPr="006E59C2" w:rsidRDefault="003F610F" w:rsidP="001F6CB0">
            <w:pPr>
              <w:spacing w:after="120"/>
              <w:rPr>
                <w:rFonts w:ascii="Times New Roman" w:hAnsi="Times New Roman" w:cs="Times New Roman"/>
                <w:sz w:val="20"/>
                <w:szCs w:val="20"/>
              </w:rPr>
            </w:pPr>
            <w:r w:rsidRPr="006E59C2">
              <w:rPr>
                <w:rFonts w:ascii="Times New Roman" w:hAnsi="Times New Roman" w:cs="Times New Roman"/>
                <w:sz w:val="20"/>
                <w:szCs w:val="20"/>
              </w:rPr>
              <w:t>Tzv. průměrný projekt dohromady</w:t>
            </w:r>
          </w:p>
        </w:tc>
        <w:tc>
          <w:tcPr>
            <w:tcW w:w="1276" w:type="dxa"/>
            <w:vAlign w:val="center"/>
          </w:tcPr>
          <w:p w:rsidR="003F610F" w:rsidRPr="006E59C2" w:rsidRDefault="003F610F" w:rsidP="001F473D">
            <w:pPr>
              <w:spacing w:after="120"/>
              <w:jc w:val="both"/>
              <w:rPr>
                <w:rFonts w:ascii="Times New Roman" w:hAnsi="Times New Roman" w:cs="Times New Roman"/>
                <w:sz w:val="20"/>
                <w:szCs w:val="20"/>
              </w:rPr>
            </w:pP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13</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124</w:t>
            </w: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10</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462</w:t>
            </w:r>
            <w:r w:rsidRPr="006E59C2">
              <w:rPr>
                <w:rFonts w:ascii="Times New Roman" w:eastAsia="Calibri" w:hAnsi="Times New Roman" w:cs="Times New Roman"/>
                <w:sz w:val="20"/>
                <w:szCs w:val="20"/>
                <w:lang w:bidi="en-US"/>
              </w:rPr>
              <w:t> </w:t>
            </w:r>
          </w:p>
        </w:tc>
        <w:tc>
          <w:tcPr>
            <w:tcW w:w="1038" w:type="dxa"/>
            <w:vAlign w:val="center"/>
          </w:tcPr>
          <w:p w:rsidR="003F610F" w:rsidRPr="006E59C2" w:rsidRDefault="003F610F"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7,33</w:t>
            </w:r>
          </w:p>
        </w:tc>
        <w:tc>
          <w:tcPr>
            <w:tcW w:w="1230" w:type="dxa"/>
            <w:vAlign w:val="center"/>
          </w:tcPr>
          <w:p w:rsidR="003F610F" w:rsidRPr="006E59C2" w:rsidRDefault="003F610F"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237,5</w:t>
            </w:r>
          </w:p>
        </w:tc>
      </w:tr>
      <w:tr w:rsidR="003F610F" w:rsidRPr="006E59C2" w:rsidTr="00473DC1">
        <w:tc>
          <w:tcPr>
            <w:tcW w:w="9072" w:type="dxa"/>
            <w:gridSpan w:val="6"/>
            <w:vAlign w:val="center"/>
          </w:tcPr>
          <w:p w:rsidR="003F610F" w:rsidRPr="006E59C2" w:rsidRDefault="003F610F" w:rsidP="00DE2C54">
            <w:pPr>
              <w:spacing w:after="120"/>
              <w:rPr>
                <w:rFonts w:ascii="Times New Roman" w:hAnsi="Times New Roman" w:cs="Times New Roman"/>
                <w:b/>
                <w:sz w:val="20"/>
                <w:szCs w:val="20"/>
              </w:rPr>
            </w:pPr>
            <w:r w:rsidRPr="006E59C2">
              <w:rPr>
                <w:rFonts w:ascii="Times New Roman" w:hAnsi="Times New Roman" w:cs="Times New Roman"/>
                <w:b/>
                <w:sz w:val="20"/>
                <w:szCs w:val="20"/>
              </w:rPr>
              <w:t>Dílčí programy</w:t>
            </w:r>
            <w:r w:rsidRPr="006E59C2">
              <w:rPr>
                <w:rStyle w:val="Znakapoznpodarou"/>
                <w:rFonts w:ascii="Times New Roman" w:hAnsi="Times New Roman" w:cs="Times New Roman"/>
                <w:sz w:val="20"/>
                <w:szCs w:val="20"/>
              </w:rPr>
              <w:footnoteReference w:id="1"/>
            </w:r>
            <w:r w:rsidRPr="006E59C2">
              <w:rPr>
                <w:rFonts w:ascii="Times New Roman" w:hAnsi="Times New Roman" w:cs="Times New Roman"/>
                <w:b/>
                <w:sz w:val="20"/>
                <w:szCs w:val="20"/>
              </w:rPr>
              <w:t xml:space="preserve"> Národního programu výzkumu a </w:t>
            </w:r>
            <w:r w:rsidR="00BB7B20" w:rsidRPr="006E59C2">
              <w:rPr>
                <w:rFonts w:ascii="Times New Roman" w:hAnsi="Times New Roman" w:cs="Times New Roman"/>
                <w:b/>
                <w:sz w:val="20"/>
                <w:szCs w:val="20"/>
              </w:rPr>
              <w:t xml:space="preserve">Národního programu výzkumu </w:t>
            </w:r>
            <w:r w:rsidRPr="006E59C2">
              <w:rPr>
                <w:rFonts w:ascii="Times New Roman" w:hAnsi="Times New Roman" w:cs="Times New Roman"/>
                <w:b/>
                <w:sz w:val="20"/>
                <w:szCs w:val="20"/>
              </w:rPr>
              <w:t>II (nejsou součástí hodnocení)</w:t>
            </w:r>
          </w:p>
        </w:tc>
      </w:tr>
      <w:tr w:rsidR="003F610F" w:rsidRPr="006E59C2" w:rsidTr="00757237">
        <w:tc>
          <w:tcPr>
            <w:tcW w:w="2552" w:type="dxa"/>
            <w:vAlign w:val="center"/>
          </w:tcPr>
          <w:p w:rsidR="003F610F" w:rsidRPr="006E59C2" w:rsidRDefault="003F610F"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školství, mládeže a tělovýchovy</w:t>
            </w:r>
          </w:p>
        </w:tc>
        <w:tc>
          <w:tcPr>
            <w:tcW w:w="1276" w:type="dxa"/>
            <w:vAlign w:val="center"/>
          </w:tcPr>
          <w:p w:rsidR="003F610F" w:rsidRPr="006E59C2" w:rsidRDefault="003F610F"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1A - 1R</w:t>
            </w: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E36C93" w:rsidRPr="006E59C2">
              <w:rPr>
                <w:rFonts w:ascii="Times New Roman" w:hAnsi="Times New Roman" w:cs="Times New Roman"/>
                <w:sz w:val="20"/>
                <w:szCs w:val="20"/>
              </w:rPr>
              <w:t>9</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8</w:t>
            </w:r>
            <w:r w:rsidR="00E36C93" w:rsidRPr="006E59C2">
              <w:rPr>
                <w:rFonts w:ascii="Times New Roman" w:hAnsi="Times New Roman" w:cs="Times New Roman"/>
                <w:sz w:val="20"/>
                <w:szCs w:val="20"/>
              </w:rPr>
              <w:t>53</w:t>
            </w: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E36C93" w:rsidRPr="006E59C2">
              <w:rPr>
                <w:rFonts w:ascii="Times New Roman" w:hAnsi="Times New Roman" w:cs="Times New Roman"/>
                <w:sz w:val="20"/>
                <w:szCs w:val="20"/>
              </w:rPr>
              <w:t>6</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8</w:t>
            </w:r>
            <w:r w:rsidR="00E36C93" w:rsidRPr="006E59C2">
              <w:rPr>
                <w:rFonts w:ascii="Times New Roman" w:hAnsi="Times New Roman" w:cs="Times New Roman"/>
                <w:sz w:val="20"/>
                <w:szCs w:val="20"/>
              </w:rPr>
              <w:t>95</w:t>
            </w:r>
          </w:p>
        </w:tc>
        <w:tc>
          <w:tcPr>
            <w:tcW w:w="1038" w:type="dxa"/>
            <w:vAlign w:val="center"/>
          </w:tcPr>
          <w:p w:rsidR="003F610F" w:rsidRPr="006E59C2" w:rsidRDefault="00E36C9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13</w:t>
            </w:r>
            <w:r w:rsidR="003F610F" w:rsidRPr="006E59C2">
              <w:rPr>
                <w:rFonts w:ascii="Times New Roman" w:hAnsi="Times New Roman" w:cs="Times New Roman"/>
                <w:sz w:val="20"/>
                <w:szCs w:val="20"/>
              </w:rPr>
              <w:t>,</w:t>
            </w:r>
            <w:r w:rsidRPr="006E59C2">
              <w:rPr>
                <w:rFonts w:ascii="Times New Roman" w:hAnsi="Times New Roman" w:cs="Times New Roman"/>
                <w:sz w:val="20"/>
                <w:szCs w:val="20"/>
              </w:rPr>
              <w:t>71</w:t>
            </w:r>
          </w:p>
        </w:tc>
        <w:tc>
          <w:tcPr>
            <w:tcW w:w="1230" w:type="dxa"/>
            <w:vAlign w:val="center"/>
          </w:tcPr>
          <w:p w:rsidR="003F610F" w:rsidRPr="006E59C2" w:rsidRDefault="00E36C9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405</w:t>
            </w:r>
            <w:r w:rsidR="003F610F" w:rsidRPr="006E59C2">
              <w:rPr>
                <w:rFonts w:ascii="Times New Roman" w:hAnsi="Times New Roman" w:cs="Times New Roman"/>
                <w:sz w:val="20"/>
                <w:szCs w:val="20"/>
              </w:rPr>
              <w:t>,</w:t>
            </w:r>
            <w:r w:rsidRPr="006E59C2">
              <w:rPr>
                <w:rFonts w:ascii="Times New Roman" w:hAnsi="Times New Roman" w:cs="Times New Roman"/>
                <w:sz w:val="20"/>
                <w:szCs w:val="20"/>
              </w:rPr>
              <w:t>72</w:t>
            </w:r>
          </w:p>
        </w:tc>
      </w:tr>
      <w:tr w:rsidR="003F610F" w:rsidRPr="006E59C2" w:rsidTr="00757237">
        <w:tc>
          <w:tcPr>
            <w:tcW w:w="2552" w:type="dxa"/>
            <w:vAlign w:val="center"/>
          </w:tcPr>
          <w:p w:rsidR="003F610F" w:rsidRPr="006E59C2" w:rsidRDefault="003F610F" w:rsidP="001F6CB0">
            <w:pPr>
              <w:spacing w:after="120"/>
              <w:rPr>
                <w:rFonts w:ascii="Times New Roman" w:hAnsi="Times New Roman" w:cs="Times New Roman"/>
                <w:sz w:val="20"/>
                <w:szCs w:val="20"/>
              </w:rPr>
            </w:pPr>
            <w:r w:rsidRPr="006E59C2">
              <w:rPr>
                <w:rFonts w:ascii="Times New Roman" w:hAnsi="Times New Roman" w:cs="Times New Roman"/>
                <w:sz w:val="20"/>
                <w:szCs w:val="20"/>
              </w:rPr>
              <w:t>Ministerstvo školství, mládeže a tělovýchovy</w:t>
            </w:r>
          </w:p>
        </w:tc>
        <w:tc>
          <w:tcPr>
            <w:tcW w:w="1276" w:type="dxa"/>
            <w:vAlign w:val="center"/>
          </w:tcPr>
          <w:p w:rsidR="003F610F" w:rsidRPr="006E59C2" w:rsidRDefault="003F610F" w:rsidP="001F473D">
            <w:pPr>
              <w:spacing w:after="120"/>
              <w:jc w:val="both"/>
              <w:rPr>
                <w:rFonts w:ascii="Times New Roman" w:hAnsi="Times New Roman" w:cs="Times New Roman"/>
                <w:sz w:val="20"/>
                <w:szCs w:val="20"/>
              </w:rPr>
            </w:pPr>
            <w:r w:rsidRPr="006E59C2">
              <w:rPr>
                <w:rFonts w:ascii="Times New Roman" w:hAnsi="Times New Roman" w:cs="Times New Roman"/>
                <w:sz w:val="20"/>
                <w:szCs w:val="20"/>
              </w:rPr>
              <w:t>2A - 2G</w:t>
            </w: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2</w:t>
            </w:r>
            <w:r w:rsidR="00E36C93" w:rsidRPr="006E59C2">
              <w:rPr>
                <w:rFonts w:ascii="Times New Roman" w:hAnsi="Times New Roman" w:cs="Times New Roman"/>
                <w:sz w:val="20"/>
                <w:szCs w:val="20"/>
              </w:rPr>
              <w:t>4</w:t>
            </w:r>
            <w:r w:rsidR="00F64DDF" w:rsidRPr="006E59C2">
              <w:rPr>
                <w:rFonts w:ascii="Times New Roman" w:hAnsi="Times New Roman" w:cs="Times New Roman"/>
                <w:sz w:val="20"/>
                <w:szCs w:val="20"/>
              </w:rPr>
              <w:t xml:space="preserve"> </w:t>
            </w:r>
            <w:r w:rsidRPr="006E59C2">
              <w:rPr>
                <w:rFonts w:ascii="Times New Roman" w:hAnsi="Times New Roman" w:cs="Times New Roman"/>
                <w:sz w:val="20"/>
                <w:szCs w:val="20"/>
              </w:rPr>
              <w:t>8</w:t>
            </w:r>
            <w:r w:rsidR="00E36C93" w:rsidRPr="006E59C2">
              <w:rPr>
                <w:rFonts w:ascii="Times New Roman" w:hAnsi="Times New Roman" w:cs="Times New Roman"/>
                <w:sz w:val="20"/>
                <w:szCs w:val="20"/>
              </w:rPr>
              <w:t>28</w:t>
            </w:r>
          </w:p>
        </w:tc>
        <w:tc>
          <w:tcPr>
            <w:tcW w:w="1488" w:type="dxa"/>
            <w:vAlign w:val="center"/>
          </w:tcPr>
          <w:p w:rsidR="003F610F" w:rsidRPr="006E59C2" w:rsidRDefault="003F610F" w:rsidP="00F64DDF">
            <w:pPr>
              <w:spacing w:after="120"/>
              <w:jc w:val="right"/>
              <w:rPr>
                <w:rFonts w:ascii="Times New Roman" w:hAnsi="Times New Roman" w:cs="Times New Roman"/>
                <w:sz w:val="20"/>
                <w:szCs w:val="20"/>
              </w:rPr>
            </w:pPr>
            <w:r w:rsidRPr="006E59C2">
              <w:rPr>
                <w:rFonts w:ascii="Times New Roman" w:hAnsi="Times New Roman" w:cs="Times New Roman"/>
                <w:sz w:val="20"/>
                <w:szCs w:val="20"/>
              </w:rPr>
              <w:t>1</w:t>
            </w:r>
            <w:r w:rsidR="00E36C93" w:rsidRPr="006E59C2">
              <w:rPr>
                <w:rFonts w:ascii="Times New Roman" w:hAnsi="Times New Roman" w:cs="Times New Roman"/>
                <w:sz w:val="20"/>
                <w:szCs w:val="20"/>
              </w:rPr>
              <w:t>7</w:t>
            </w:r>
            <w:r w:rsidR="00F64DDF" w:rsidRPr="006E59C2">
              <w:rPr>
                <w:rFonts w:ascii="Times New Roman" w:hAnsi="Times New Roman" w:cs="Times New Roman"/>
                <w:sz w:val="20"/>
                <w:szCs w:val="20"/>
              </w:rPr>
              <w:t xml:space="preserve"> </w:t>
            </w:r>
            <w:r w:rsidR="00E36C93" w:rsidRPr="006E59C2">
              <w:rPr>
                <w:rFonts w:ascii="Times New Roman" w:hAnsi="Times New Roman" w:cs="Times New Roman"/>
                <w:sz w:val="20"/>
                <w:szCs w:val="20"/>
              </w:rPr>
              <w:t>113</w:t>
            </w:r>
          </w:p>
        </w:tc>
        <w:tc>
          <w:tcPr>
            <w:tcW w:w="1038" w:type="dxa"/>
            <w:vAlign w:val="center"/>
          </w:tcPr>
          <w:p w:rsidR="003F610F" w:rsidRPr="006E59C2" w:rsidRDefault="00E36C9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7,88</w:t>
            </w:r>
          </w:p>
        </w:tc>
        <w:tc>
          <w:tcPr>
            <w:tcW w:w="1230" w:type="dxa"/>
            <w:vAlign w:val="center"/>
          </w:tcPr>
          <w:p w:rsidR="003F610F" w:rsidRPr="006E59C2" w:rsidRDefault="00E36C93" w:rsidP="001F6CB0">
            <w:pPr>
              <w:spacing w:after="120"/>
              <w:jc w:val="right"/>
              <w:rPr>
                <w:rFonts w:ascii="Times New Roman" w:hAnsi="Times New Roman" w:cs="Times New Roman"/>
                <w:sz w:val="20"/>
                <w:szCs w:val="20"/>
              </w:rPr>
            </w:pPr>
            <w:r w:rsidRPr="006E59C2">
              <w:rPr>
                <w:rFonts w:ascii="Times New Roman" w:hAnsi="Times New Roman" w:cs="Times New Roman"/>
                <w:sz w:val="20"/>
                <w:szCs w:val="20"/>
              </w:rPr>
              <w:t>242</w:t>
            </w:r>
            <w:r w:rsidR="003F610F" w:rsidRPr="006E59C2">
              <w:rPr>
                <w:rFonts w:ascii="Times New Roman" w:hAnsi="Times New Roman" w:cs="Times New Roman"/>
                <w:sz w:val="20"/>
                <w:szCs w:val="20"/>
              </w:rPr>
              <w:t>,</w:t>
            </w:r>
            <w:r w:rsidRPr="006E59C2">
              <w:rPr>
                <w:rFonts w:ascii="Times New Roman" w:hAnsi="Times New Roman" w:cs="Times New Roman"/>
                <w:sz w:val="20"/>
                <w:szCs w:val="20"/>
              </w:rPr>
              <w:t>3</w:t>
            </w:r>
            <w:r w:rsidR="003F610F" w:rsidRPr="006E59C2">
              <w:rPr>
                <w:rFonts w:ascii="Times New Roman" w:hAnsi="Times New Roman" w:cs="Times New Roman"/>
                <w:sz w:val="20"/>
                <w:szCs w:val="20"/>
              </w:rPr>
              <w:t>3</w:t>
            </w:r>
          </w:p>
        </w:tc>
      </w:tr>
    </w:tbl>
    <w:p w:rsidR="00BD1C5E" w:rsidRDefault="00F53689" w:rsidP="00E17B96">
      <w:pPr>
        <w:spacing w:before="120" w:after="120" w:line="240" w:lineRule="auto"/>
        <w:ind w:firstLine="709"/>
        <w:jc w:val="both"/>
        <w:rPr>
          <w:rFonts w:ascii="Times New Roman" w:eastAsia="Calibri" w:hAnsi="Times New Roman" w:cs="Times New Roman"/>
          <w:bCs/>
          <w:sz w:val="24"/>
          <w:szCs w:val="24"/>
          <w:lang w:bidi="en-US"/>
        </w:rPr>
      </w:pPr>
      <w:r w:rsidRPr="00327B80">
        <w:rPr>
          <w:rFonts w:ascii="Times New Roman" w:eastAsia="Calibri" w:hAnsi="Times New Roman" w:cs="Times New Roman"/>
          <w:sz w:val="24"/>
          <w:szCs w:val="24"/>
          <w:lang w:bidi="en-US"/>
        </w:rPr>
        <w:t>Zatímco</w:t>
      </w:r>
      <w:r w:rsidR="0090733B" w:rsidRPr="00327B80">
        <w:rPr>
          <w:rFonts w:ascii="Times New Roman" w:eastAsia="Calibri" w:hAnsi="Times New Roman" w:cs="Times New Roman"/>
          <w:sz w:val="24"/>
          <w:szCs w:val="24"/>
          <w:lang w:bidi="en-US"/>
        </w:rPr>
        <w:t xml:space="preserve"> nejčastějším druhem výsledku všech hodnocených programů dohromady byl článek v odborném periodiku obsažen</w:t>
      </w:r>
      <w:r w:rsidRPr="00327B80">
        <w:rPr>
          <w:rFonts w:ascii="Times New Roman" w:eastAsia="Calibri" w:hAnsi="Times New Roman" w:cs="Times New Roman"/>
          <w:sz w:val="24"/>
          <w:szCs w:val="24"/>
          <w:lang w:bidi="en-US"/>
        </w:rPr>
        <w:t>ý</w:t>
      </w:r>
      <w:r w:rsidR="0090733B" w:rsidRPr="00327B80">
        <w:rPr>
          <w:rFonts w:ascii="Times New Roman" w:eastAsia="Calibri" w:hAnsi="Times New Roman" w:cs="Times New Roman"/>
          <w:sz w:val="24"/>
          <w:szCs w:val="24"/>
          <w:lang w:bidi="en-US"/>
        </w:rPr>
        <w:t xml:space="preserve"> v databázi Web </w:t>
      </w:r>
      <w:proofErr w:type="spellStart"/>
      <w:r w:rsidR="0090733B" w:rsidRPr="00327B80">
        <w:rPr>
          <w:rFonts w:ascii="Times New Roman" w:eastAsia="Calibri" w:hAnsi="Times New Roman" w:cs="Times New Roman"/>
          <w:sz w:val="24"/>
          <w:szCs w:val="24"/>
          <w:lang w:bidi="en-US"/>
        </w:rPr>
        <w:t>of</w:t>
      </w:r>
      <w:proofErr w:type="spellEnd"/>
      <w:r w:rsidR="0090733B" w:rsidRPr="00327B80">
        <w:rPr>
          <w:rFonts w:ascii="Times New Roman" w:eastAsia="Calibri" w:hAnsi="Times New Roman" w:cs="Times New Roman"/>
          <w:sz w:val="24"/>
          <w:szCs w:val="24"/>
          <w:lang w:bidi="en-US"/>
        </w:rPr>
        <w:t xml:space="preserve"> Science </w:t>
      </w:r>
      <w:r w:rsidR="0090733B" w:rsidRPr="00327B80">
        <w:rPr>
          <w:rFonts w:ascii="Times New Roman" w:eastAsia="Calibri" w:hAnsi="Times New Roman" w:cs="Times New Roman"/>
          <w:bCs/>
          <w:sz w:val="24"/>
          <w:szCs w:val="24"/>
          <w:lang w:bidi="en-US"/>
        </w:rPr>
        <w:t>(</w:t>
      </w:r>
      <w:proofErr w:type="spellStart"/>
      <w:r w:rsidR="00E25C6C" w:rsidRPr="00327B80">
        <w:rPr>
          <w:rFonts w:ascii="Times New Roman" w:eastAsia="Calibri" w:hAnsi="Times New Roman" w:cs="Times New Roman"/>
          <w:bCs/>
          <w:sz w:val="24"/>
          <w:szCs w:val="24"/>
          <w:lang w:bidi="en-US"/>
        </w:rPr>
        <w:t>J</w:t>
      </w:r>
      <w:r w:rsidR="0090733B" w:rsidRPr="00327B80">
        <w:rPr>
          <w:rFonts w:ascii="Times New Roman" w:eastAsia="Calibri" w:hAnsi="Times New Roman" w:cs="Times New Roman"/>
          <w:bCs/>
          <w:sz w:val="24"/>
          <w:szCs w:val="24"/>
          <w:vertAlign w:val="subscript"/>
          <w:lang w:bidi="en-US"/>
        </w:rPr>
        <w:t>imp</w:t>
      </w:r>
      <w:proofErr w:type="spellEnd"/>
      <w:r w:rsidRPr="00327B80">
        <w:rPr>
          <w:rFonts w:ascii="Times New Roman" w:eastAsia="Calibri" w:hAnsi="Times New Roman" w:cs="Times New Roman"/>
          <w:bCs/>
          <w:sz w:val="24"/>
          <w:szCs w:val="24"/>
          <w:lang w:bidi="en-US"/>
        </w:rPr>
        <w:t xml:space="preserve">) </w:t>
      </w:r>
      <w:r w:rsidR="0090733B" w:rsidRPr="00327B80">
        <w:rPr>
          <w:rFonts w:ascii="Times New Roman" w:eastAsia="Calibri" w:hAnsi="Times New Roman" w:cs="Times New Roman"/>
          <w:sz w:val="24"/>
          <w:szCs w:val="24"/>
          <w:lang w:bidi="en-US"/>
        </w:rPr>
        <w:t>s</w:t>
      </w:r>
      <w:r w:rsidRPr="00327B80">
        <w:rPr>
          <w:rFonts w:ascii="Times New Roman" w:eastAsia="Calibri" w:hAnsi="Times New Roman" w:cs="Times New Roman"/>
          <w:sz w:val="24"/>
          <w:szCs w:val="24"/>
          <w:lang w:bidi="en-US"/>
        </w:rPr>
        <w:t> </w:t>
      </w:r>
      <w:r w:rsidR="0090733B" w:rsidRPr="00327B80">
        <w:rPr>
          <w:rFonts w:ascii="Times New Roman" w:eastAsia="Calibri" w:hAnsi="Times New Roman" w:cs="Times New Roman"/>
          <w:sz w:val="24"/>
          <w:szCs w:val="24"/>
          <w:lang w:bidi="en-US"/>
        </w:rPr>
        <w:t>podílem 31,82</w:t>
      </w:r>
      <w:r w:rsidR="00017C41" w:rsidRPr="00327B80">
        <w:rPr>
          <w:rFonts w:ascii="Times New Roman" w:eastAsia="Calibri" w:hAnsi="Times New Roman" w:cs="Times New Roman"/>
          <w:sz w:val="24"/>
          <w:szCs w:val="24"/>
          <w:lang w:bidi="en-US"/>
        </w:rPr>
        <w:t xml:space="preserve"> </w:t>
      </w:r>
      <w:r w:rsidR="0090733B" w:rsidRPr="00327B80">
        <w:rPr>
          <w:rFonts w:ascii="Times New Roman" w:eastAsia="Calibri" w:hAnsi="Times New Roman" w:cs="Times New Roman"/>
          <w:sz w:val="24"/>
          <w:szCs w:val="24"/>
          <w:lang w:bidi="en-US"/>
        </w:rPr>
        <w:t>%</w:t>
      </w:r>
      <w:r w:rsidRPr="00327B80">
        <w:rPr>
          <w:rFonts w:ascii="Times New Roman" w:eastAsia="Calibri" w:hAnsi="Times New Roman" w:cs="Times New Roman"/>
          <w:sz w:val="24"/>
          <w:szCs w:val="24"/>
          <w:lang w:bidi="en-US"/>
        </w:rPr>
        <w:t>,</w:t>
      </w:r>
      <w:r w:rsidR="0090733B" w:rsidRPr="00327B80">
        <w:rPr>
          <w:rFonts w:ascii="Times New Roman" w:eastAsia="Calibri" w:hAnsi="Times New Roman" w:cs="Times New Roman"/>
          <w:sz w:val="24"/>
          <w:szCs w:val="24"/>
          <w:lang w:bidi="en-US"/>
        </w:rPr>
        <w:t xml:space="preserve"> </w:t>
      </w:r>
      <w:r w:rsidRPr="00327B80">
        <w:rPr>
          <w:rFonts w:ascii="Times New Roman" w:eastAsia="Calibri" w:hAnsi="Times New Roman" w:cs="Times New Roman"/>
          <w:sz w:val="24"/>
          <w:szCs w:val="24"/>
          <w:lang w:bidi="en-US"/>
        </w:rPr>
        <w:t>z</w:t>
      </w:r>
      <w:r w:rsidR="00932477">
        <w:rPr>
          <w:rFonts w:ascii="Times New Roman" w:eastAsia="Calibri" w:hAnsi="Times New Roman" w:cs="Times New Roman"/>
          <w:sz w:val="24"/>
          <w:szCs w:val="24"/>
          <w:lang w:bidi="en-US"/>
        </w:rPr>
        <w:t> </w:t>
      </w:r>
      <w:r w:rsidR="0090733B" w:rsidRPr="00327B80">
        <w:rPr>
          <w:rFonts w:ascii="Times New Roman" w:eastAsia="Calibri" w:hAnsi="Times New Roman" w:cs="Times New Roman"/>
          <w:sz w:val="24"/>
          <w:szCs w:val="24"/>
          <w:lang w:bidi="en-US"/>
        </w:rPr>
        <w:t>hodnocení jednotlivých programů zvlášť vyplývá, že nejčastěji</w:t>
      </w:r>
      <w:r w:rsidR="00E25C6C" w:rsidRPr="00327B80">
        <w:rPr>
          <w:rFonts w:ascii="Times New Roman" w:eastAsia="Calibri" w:hAnsi="Times New Roman" w:cs="Times New Roman"/>
          <w:sz w:val="24"/>
          <w:szCs w:val="24"/>
          <w:lang w:bidi="en-US"/>
        </w:rPr>
        <w:t xml:space="preserve"> </w:t>
      </w:r>
      <w:r w:rsidR="0090733B" w:rsidRPr="00327B80">
        <w:rPr>
          <w:rFonts w:ascii="Times New Roman" w:eastAsia="Calibri" w:hAnsi="Times New Roman" w:cs="Times New Roman"/>
          <w:sz w:val="24"/>
          <w:szCs w:val="24"/>
          <w:lang w:bidi="en-US"/>
        </w:rPr>
        <w:t xml:space="preserve">měl na celkovém počtu hodnocených výsledků nejvyšší podíl článek v českém recenzovaném časopise </w:t>
      </w:r>
      <w:r w:rsidR="00E25C6C" w:rsidRPr="00327B80">
        <w:rPr>
          <w:rFonts w:ascii="Times New Roman" w:eastAsia="Calibri" w:hAnsi="Times New Roman" w:cs="Times New Roman"/>
          <w:sz w:val="24"/>
          <w:szCs w:val="24"/>
          <w:lang w:bidi="en-US"/>
        </w:rPr>
        <w:t>(</w:t>
      </w:r>
      <w:proofErr w:type="spellStart"/>
      <w:r w:rsidR="00E25C6C" w:rsidRPr="00327B80">
        <w:rPr>
          <w:rFonts w:ascii="Times New Roman" w:eastAsia="Calibri" w:hAnsi="Times New Roman" w:cs="Times New Roman"/>
          <w:sz w:val="24"/>
          <w:szCs w:val="24"/>
          <w:lang w:bidi="en-US"/>
        </w:rPr>
        <w:t>J</w:t>
      </w:r>
      <w:r w:rsidR="00E25C6C" w:rsidRPr="00327B80">
        <w:rPr>
          <w:rFonts w:ascii="Times New Roman" w:eastAsia="Calibri" w:hAnsi="Times New Roman" w:cs="Times New Roman"/>
          <w:sz w:val="24"/>
          <w:szCs w:val="24"/>
          <w:vertAlign w:val="subscript"/>
          <w:lang w:bidi="en-US"/>
        </w:rPr>
        <w:t>rec</w:t>
      </w:r>
      <w:proofErr w:type="spellEnd"/>
      <w:r w:rsidR="006D654A">
        <w:rPr>
          <w:rFonts w:ascii="Times New Roman" w:eastAsia="Calibri" w:hAnsi="Times New Roman" w:cs="Times New Roman"/>
          <w:sz w:val="24"/>
          <w:szCs w:val="24"/>
          <w:lang w:bidi="en-US"/>
        </w:rPr>
        <w:t>)</w:t>
      </w:r>
      <w:r w:rsidRPr="00327B80">
        <w:rPr>
          <w:rFonts w:ascii="Times New Roman" w:eastAsia="Calibri" w:hAnsi="Times New Roman" w:cs="Times New Roman"/>
          <w:sz w:val="24"/>
          <w:szCs w:val="24"/>
          <w:lang w:bidi="en-US"/>
        </w:rPr>
        <w:t>.</w:t>
      </w:r>
      <w:r w:rsidR="00FD36D0" w:rsidRPr="00327B80">
        <w:rPr>
          <w:rFonts w:ascii="Times New Roman" w:eastAsia="Calibri" w:hAnsi="Times New Roman" w:cs="Times New Roman"/>
          <w:sz w:val="24"/>
          <w:szCs w:val="24"/>
          <w:lang w:bidi="en-US"/>
        </w:rPr>
        <w:t xml:space="preserve"> </w:t>
      </w:r>
      <w:r w:rsidRPr="00327B80">
        <w:rPr>
          <w:rFonts w:ascii="Times New Roman" w:eastAsia="Calibri" w:hAnsi="Times New Roman" w:cs="Times New Roman"/>
          <w:sz w:val="24"/>
          <w:szCs w:val="24"/>
          <w:lang w:bidi="en-US"/>
        </w:rPr>
        <w:t>Č</w:t>
      </w:r>
      <w:r w:rsidR="00FD36D0" w:rsidRPr="00327B80">
        <w:rPr>
          <w:rFonts w:ascii="Times New Roman" w:eastAsia="Calibri" w:hAnsi="Times New Roman" w:cs="Times New Roman"/>
          <w:sz w:val="24"/>
          <w:szCs w:val="24"/>
          <w:lang w:bidi="en-US"/>
        </w:rPr>
        <w:t>lánek v odborném periodiku</w:t>
      </w:r>
      <w:r w:rsidRPr="00327B80">
        <w:rPr>
          <w:rFonts w:ascii="Times New Roman" w:eastAsia="Calibri" w:hAnsi="Times New Roman" w:cs="Times New Roman"/>
          <w:sz w:val="24"/>
          <w:szCs w:val="24"/>
          <w:lang w:bidi="en-US"/>
        </w:rPr>
        <w:t>, který je</w:t>
      </w:r>
      <w:r w:rsidR="00FD36D0" w:rsidRPr="00327B80">
        <w:rPr>
          <w:rFonts w:ascii="Times New Roman" w:eastAsia="Calibri" w:hAnsi="Times New Roman" w:cs="Times New Roman"/>
          <w:sz w:val="24"/>
          <w:szCs w:val="24"/>
          <w:lang w:bidi="en-US"/>
        </w:rPr>
        <w:t xml:space="preserve"> obsažen v databázi Web </w:t>
      </w:r>
      <w:proofErr w:type="spellStart"/>
      <w:r w:rsidR="00FD36D0" w:rsidRPr="00327B80">
        <w:rPr>
          <w:rFonts w:ascii="Times New Roman" w:eastAsia="Calibri" w:hAnsi="Times New Roman" w:cs="Times New Roman"/>
          <w:sz w:val="24"/>
          <w:szCs w:val="24"/>
          <w:lang w:bidi="en-US"/>
        </w:rPr>
        <w:t>of</w:t>
      </w:r>
      <w:proofErr w:type="spellEnd"/>
      <w:r w:rsidR="00FD36D0" w:rsidRPr="00327B80">
        <w:rPr>
          <w:rFonts w:ascii="Times New Roman" w:eastAsia="Calibri" w:hAnsi="Times New Roman" w:cs="Times New Roman"/>
          <w:sz w:val="24"/>
          <w:szCs w:val="24"/>
          <w:lang w:bidi="en-US"/>
        </w:rPr>
        <w:t xml:space="preserve"> Science </w:t>
      </w:r>
      <w:r w:rsidR="00FD36D0" w:rsidRPr="00327B80">
        <w:rPr>
          <w:rFonts w:ascii="Times New Roman" w:eastAsia="Calibri" w:hAnsi="Times New Roman" w:cs="Times New Roman"/>
          <w:bCs/>
          <w:sz w:val="24"/>
          <w:szCs w:val="24"/>
          <w:lang w:bidi="en-US"/>
        </w:rPr>
        <w:t>(</w:t>
      </w:r>
      <w:proofErr w:type="spellStart"/>
      <w:r w:rsidR="00FD36D0" w:rsidRPr="00327B80">
        <w:rPr>
          <w:rFonts w:ascii="Times New Roman" w:eastAsia="Calibri" w:hAnsi="Times New Roman" w:cs="Times New Roman"/>
          <w:bCs/>
          <w:sz w:val="24"/>
          <w:szCs w:val="24"/>
          <w:lang w:bidi="en-US"/>
        </w:rPr>
        <w:t>J</w:t>
      </w:r>
      <w:r w:rsidR="00FD36D0" w:rsidRPr="00327B80">
        <w:rPr>
          <w:rFonts w:ascii="Times New Roman" w:eastAsia="Calibri" w:hAnsi="Times New Roman" w:cs="Times New Roman"/>
          <w:bCs/>
          <w:sz w:val="24"/>
          <w:szCs w:val="24"/>
          <w:vertAlign w:val="subscript"/>
          <w:lang w:bidi="en-US"/>
        </w:rPr>
        <w:t>imp</w:t>
      </w:r>
      <w:proofErr w:type="spellEnd"/>
      <w:r w:rsidR="00FD36D0" w:rsidRPr="00327B80">
        <w:rPr>
          <w:rFonts w:ascii="Times New Roman" w:eastAsia="Calibri" w:hAnsi="Times New Roman" w:cs="Times New Roman"/>
          <w:bCs/>
          <w:sz w:val="24"/>
          <w:szCs w:val="24"/>
          <w:lang w:bidi="en-US"/>
        </w:rPr>
        <w:t>)</w:t>
      </w:r>
      <w:r w:rsidR="006D654A">
        <w:rPr>
          <w:rFonts w:ascii="Times New Roman" w:eastAsia="Calibri" w:hAnsi="Times New Roman" w:cs="Times New Roman"/>
          <w:bCs/>
          <w:sz w:val="24"/>
          <w:szCs w:val="24"/>
          <w:lang w:bidi="en-US"/>
        </w:rPr>
        <w:t>,</w:t>
      </w:r>
      <w:r w:rsidR="00E25C6C" w:rsidRPr="00327B80">
        <w:rPr>
          <w:rFonts w:ascii="Times New Roman" w:eastAsia="Calibri" w:hAnsi="Times New Roman" w:cs="Times New Roman"/>
          <w:sz w:val="24"/>
          <w:szCs w:val="24"/>
          <w:lang w:bidi="en-US"/>
        </w:rPr>
        <w:t xml:space="preserve"> </w:t>
      </w:r>
      <w:r w:rsidR="00FD36D0" w:rsidRPr="00327B80">
        <w:rPr>
          <w:rFonts w:ascii="Times New Roman" w:eastAsia="Calibri" w:hAnsi="Times New Roman" w:cs="Times New Roman"/>
          <w:sz w:val="24"/>
          <w:szCs w:val="24"/>
          <w:lang w:bidi="en-US"/>
        </w:rPr>
        <w:t xml:space="preserve">figuruje </w:t>
      </w:r>
      <w:r w:rsidRPr="00327B80">
        <w:rPr>
          <w:rFonts w:ascii="Times New Roman" w:eastAsia="Calibri" w:hAnsi="Times New Roman" w:cs="Times New Roman"/>
          <w:sz w:val="24"/>
          <w:szCs w:val="24"/>
          <w:lang w:bidi="en-US"/>
        </w:rPr>
        <w:t xml:space="preserve">v tomto přehledu </w:t>
      </w:r>
      <w:r w:rsidR="00BD1C5E">
        <w:rPr>
          <w:rFonts w:ascii="Times New Roman" w:eastAsia="Calibri" w:hAnsi="Times New Roman" w:cs="Times New Roman"/>
          <w:sz w:val="24"/>
          <w:szCs w:val="24"/>
          <w:lang w:bidi="en-US"/>
        </w:rPr>
        <w:t xml:space="preserve">až </w:t>
      </w:r>
      <w:r w:rsidRPr="00327B80">
        <w:rPr>
          <w:rFonts w:ascii="Times New Roman" w:eastAsia="Calibri" w:hAnsi="Times New Roman" w:cs="Times New Roman"/>
          <w:sz w:val="24"/>
          <w:szCs w:val="24"/>
          <w:lang w:bidi="en-US"/>
        </w:rPr>
        <w:t>na</w:t>
      </w:r>
      <w:r w:rsidR="00E25C6C" w:rsidRPr="00327B80">
        <w:rPr>
          <w:rFonts w:ascii="Times New Roman" w:eastAsia="Calibri" w:hAnsi="Times New Roman" w:cs="Times New Roman"/>
          <w:sz w:val="24"/>
          <w:szCs w:val="24"/>
          <w:lang w:bidi="en-US"/>
        </w:rPr>
        <w:t xml:space="preserve"> druh</w:t>
      </w:r>
      <w:r w:rsidRPr="00327B80">
        <w:rPr>
          <w:rFonts w:ascii="Times New Roman" w:eastAsia="Calibri" w:hAnsi="Times New Roman" w:cs="Times New Roman"/>
          <w:sz w:val="24"/>
          <w:szCs w:val="24"/>
          <w:lang w:bidi="en-US"/>
        </w:rPr>
        <w:t>ém místě</w:t>
      </w:r>
      <w:r w:rsidR="00E25C6C" w:rsidRPr="00327B80">
        <w:rPr>
          <w:rFonts w:ascii="Times New Roman" w:eastAsia="Calibri" w:hAnsi="Times New Roman" w:cs="Times New Roman"/>
          <w:bCs/>
          <w:sz w:val="24"/>
          <w:szCs w:val="24"/>
          <w:lang w:bidi="en-US"/>
        </w:rPr>
        <w:t xml:space="preserve">. </w:t>
      </w:r>
    </w:p>
    <w:p w:rsidR="00FE16C6" w:rsidRDefault="00E25C6C" w:rsidP="00E17B96">
      <w:pPr>
        <w:spacing w:after="120" w:line="240" w:lineRule="auto"/>
        <w:ind w:firstLine="709"/>
        <w:jc w:val="both"/>
        <w:rPr>
          <w:rFonts w:ascii="Times New Roman" w:eastAsia="Calibri" w:hAnsi="Times New Roman" w:cs="Times New Roman"/>
          <w:sz w:val="24"/>
          <w:szCs w:val="24"/>
          <w:lang w:bidi="en-US"/>
        </w:rPr>
      </w:pPr>
      <w:r w:rsidRPr="00327B80">
        <w:rPr>
          <w:rFonts w:ascii="Times New Roman" w:eastAsia="Calibri" w:hAnsi="Times New Roman" w:cs="Times New Roman"/>
          <w:bCs/>
          <w:sz w:val="24"/>
          <w:szCs w:val="24"/>
          <w:lang w:bidi="en-US"/>
        </w:rPr>
        <w:t xml:space="preserve">Výčet nejčastějších druhů hodnocených výsledků u jednotlivých programů </w:t>
      </w:r>
      <w:r w:rsidR="00BD1C5E">
        <w:rPr>
          <w:rFonts w:ascii="Times New Roman" w:eastAsia="Calibri" w:hAnsi="Times New Roman" w:cs="Times New Roman"/>
          <w:bCs/>
          <w:sz w:val="24"/>
          <w:szCs w:val="24"/>
          <w:lang w:bidi="en-US"/>
        </w:rPr>
        <w:t xml:space="preserve">ukončených </w:t>
      </w:r>
      <w:r w:rsidR="00D01AC1">
        <w:rPr>
          <w:rFonts w:ascii="Times New Roman" w:eastAsia="Calibri" w:hAnsi="Times New Roman" w:cs="Times New Roman"/>
          <w:bCs/>
          <w:sz w:val="24"/>
          <w:szCs w:val="24"/>
          <w:lang w:bidi="en-US"/>
        </w:rPr>
        <w:t xml:space="preserve">v roce </w:t>
      </w:r>
      <w:r w:rsidR="00BD1C5E">
        <w:rPr>
          <w:rFonts w:ascii="Times New Roman" w:eastAsia="Calibri" w:hAnsi="Times New Roman" w:cs="Times New Roman"/>
          <w:bCs/>
          <w:sz w:val="24"/>
          <w:szCs w:val="24"/>
          <w:lang w:bidi="en-US"/>
        </w:rPr>
        <w:t xml:space="preserve">2011 </w:t>
      </w:r>
      <w:r w:rsidRPr="00327B80">
        <w:rPr>
          <w:rFonts w:ascii="Times New Roman" w:eastAsia="Calibri" w:hAnsi="Times New Roman" w:cs="Times New Roman"/>
          <w:bCs/>
          <w:sz w:val="24"/>
          <w:szCs w:val="24"/>
          <w:lang w:bidi="en-US"/>
        </w:rPr>
        <w:t>je uveden</w:t>
      </w:r>
      <w:r w:rsidRPr="00327B80">
        <w:rPr>
          <w:rFonts w:ascii="Times New Roman" w:eastAsia="Calibri" w:hAnsi="Times New Roman" w:cs="Times New Roman"/>
          <w:sz w:val="24"/>
          <w:szCs w:val="24"/>
          <w:lang w:bidi="en-US"/>
        </w:rPr>
        <w:t xml:space="preserve"> v Tabulce č. </w:t>
      </w:r>
      <w:r w:rsidR="00BD1C5E">
        <w:rPr>
          <w:rFonts w:ascii="Times New Roman" w:eastAsia="Calibri" w:hAnsi="Times New Roman" w:cs="Times New Roman"/>
          <w:sz w:val="24"/>
          <w:szCs w:val="24"/>
          <w:lang w:bidi="en-US"/>
        </w:rPr>
        <w:t>4</w:t>
      </w:r>
      <w:r w:rsidRPr="00327B80">
        <w:rPr>
          <w:rFonts w:ascii="Times New Roman" w:eastAsia="Calibri" w:hAnsi="Times New Roman" w:cs="Times New Roman"/>
          <w:sz w:val="24"/>
          <w:szCs w:val="24"/>
          <w:lang w:bidi="en-US"/>
        </w:rPr>
        <w:t>.</w:t>
      </w:r>
    </w:p>
    <w:p w:rsidR="00FE16C6" w:rsidRDefault="00FE16C6">
      <w:pPr>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br w:type="page"/>
      </w:r>
    </w:p>
    <w:p w:rsidR="00BC7E78" w:rsidRDefault="00BC7E78" w:rsidP="00E17B96">
      <w:pPr>
        <w:spacing w:after="120" w:line="240" w:lineRule="auto"/>
        <w:ind w:firstLine="709"/>
        <w:jc w:val="both"/>
        <w:rPr>
          <w:rFonts w:ascii="Times New Roman" w:eastAsia="Calibri" w:hAnsi="Times New Roman" w:cs="Times New Roman"/>
          <w:sz w:val="24"/>
          <w:szCs w:val="24"/>
          <w:lang w:bidi="en-US"/>
        </w:rPr>
      </w:pPr>
    </w:p>
    <w:p w:rsidR="00BC7E78" w:rsidRPr="00327B80" w:rsidRDefault="00BC7E78" w:rsidP="001F473D">
      <w:pPr>
        <w:spacing w:after="120" w:line="240" w:lineRule="auto"/>
        <w:jc w:val="both"/>
        <w:rPr>
          <w:rFonts w:ascii="Times New Roman" w:hAnsi="Times New Roman" w:cs="Times New Roman"/>
          <w:b/>
          <w:sz w:val="24"/>
          <w:szCs w:val="24"/>
        </w:rPr>
      </w:pPr>
      <w:r w:rsidRPr="00327B80">
        <w:rPr>
          <w:rFonts w:ascii="Times New Roman" w:hAnsi="Times New Roman" w:cs="Times New Roman"/>
          <w:b/>
          <w:sz w:val="24"/>
          <w:szCs w:val="24"/>
        </w:rPr>
        <w:t xml:space="preserve">Tabulka č. </w:t>
      </w:r>
      <w:r w:rsidR="00BD1C5E">
        <w:rPr>
          <w:rFonts w:ascii="Times New Roman" w:hAnsi="Times New Roman" w:cs="Times New Roman"/>
          <w:b/>
          <w:sz w:val="24"/>
          <w:szCs w:val="24"/>
        </w:rPr>
        <w:t>4</w:t>
      </w:r>
      <w:r w:rsidRPr="00327B80">
        <w:rPr>
          <w:rFonts w:ascii="Times New Roman" w:hAnsi="Times New Roman" w:cs="Times New Roman"/>
          <w:b/>
          <w:sz w:val="24"/>
          <w:szCs w:val="24"/>
        </w:rPr>
        <w:t xml:space="preserve">: Nejčastější druhy </w:t>
      </w:r>
      <w:r w:rsidR="003A7354" w:rsidRPr="00327B80">
        <w:rPr>
          <w:rFonts w:ascii="Times New Roman" w:hAnsi="Times New Roman" w:cs="Times New Roman"/>
          <w:b/>
          <w:sz w:val="24"/>
          <w:szCs w:val="24"/>
        </w:rPr>
        <w:t>hodnocených</w:t>
      </w:r>
      <w:r w:rsidRPr="00327B80">
        <w:rPr>
          <w:rFonts w:ascii="Times New Roman" w:hAnsi="Times New Roman" w:cs="Times New Roman"/>
          <w:b/>
          <w:sz w:val="24"/>
          <w:szCs w:val="24"/>
        </w:rPr>
        <w:t xml:space="preserve"> výsledků programů ukončených </w:t>
      </w:r>
      <w:r w:rsidR="00D01AC1">
        <w:rPr>
          <w:rFonts w:ascii="Times New Roman" w:hAnsi="Times New Roman" w:cs="Times New Roman"/>
          <w:b/>
          <w:sz w:val="24"/>
          <w:szCs w:val="24"/>
        </w:rPr>
        <w:t>v roce</w:t>
      </w:r>
      <w:r w:rsidR="00D01AC1" w:rsidRPr="00327B80">
        <w:rPr>
          <w:rFonts w:ascii="Times New Roman" w:hAnsi="Times New Roman" w:cs="Times New Roman"/>
          <w:b/>
          <w:sz w:val="24"/>
          <w:szCs w:val="24"/>
        </w:rPr>
        <w:t xml:space="preserve"> </w:t>
      </w:r>
      <w:r w:rsidRPr="00327B80">
        <w:rPr>
          <w:rFonts w:ascii="Times New Roman" w:hAnsi="Times New Roman" w:cs="Times New Roman"/>
          <w:b/>
          <w:sz w:val="24"/>
          <w:szCs w:val="24"/>
        </w:rPr>
        <w:t xml:space="preserve">2011 </w:t>
      </w:r>
    </w:p>
    <w:tbl>
      <w:tblPr>
        <w:tblStyle w:val="Mkatabulky"/>
        <w:tblW w:w="0" w:type="auto"/>
        <w:tblInd w:w="108" w:type="dxa"/>
        <w:tblLayout w:type="fixed"/>
        <w:tblLook w:val="04A0" w:firstRow="1" w:lastRow="0" w:firstColumn="1" w:lastColumn="0" w:noHBand="0" w:noVBand="1"/>
      </w:tblPr>
      <w:tblGrid>
        <w:gridCol w:w="2552"/>
        <w:gridCol w:w="1276"/>
        <w:gridCol w:w="708"/>
        <w:gridCol w:w="3711"/>
        <w:gridCol w:w="933"/>
      </w:tblGrid>
      <w:tr w:rsidR="00BC7E78" w:rsidRPr="00FE16C6" w:rsidTr="009257A1">
        <w:tc>
          <w:tcPr>
            <w:tcW w:w="2552" w:type="dxa"/>
            <w:vAlign w:val="center"/>
          </w:tcPr>
          <w:p w:rsidR="00BC7E78" w:rsidRPr="00FE16C6" w:rsidRDefault="00BC7E78" w:rsidP="00FE16C6">
            <w:pPr>
              <w:spacing w:after="120"/>
              <w:jc w:val="center"/>
              <w:rPr>
                <w:rFonts w:ascii="Times New Roman" w:hAnsi="Times New Roman" w:cs="Times New Roman"/>
                <w:b/>
                <w:sz w:val="20"/>
                <w:szCs w:val="20"/>
              </w:rPr>
            </w:pPr>
            <w:r w:rsidRPr="00FE16C6">
              <w:rPr>
                <w:rFonts w:ascii="Times New Roman" w:hAnsi="Times New Roman" w:cs="Times New Roman"/>
                <w:b/>
                <w:sz w:val="20"/>
                <w:szCs w:val="20"/>
              </w:rPr>
              <w:t>Poskytovatel</w:t>
            </w:r>
          </w:p>
        </w:tc>
        <w:tc>
          <w:tcPr>
            <w:tcW w:w="1276" w:type="dxa"/>
            <w:vAlign w:val="center"/>
          </w:tcPr>
          <w:p w:rsidR="00BC7E78" w:rsidRPr="00FE16C6" w:rsidRDefault="00BC7E78" w:rsidP="00FE16C6">
            <w:pPr>
              <w:spacing w:after="120"/>
              <w:jc w:val="center"/>
              <w:rPr>
                <w:rFonts w:ascii="Times New Roman" w:hAnsi="Times New Roman" w:cs="Times New Roman"/>
                <w:b/>
                <w:sz w:val="20"/>
                <w:szCs w:val="20"/>
              </w:rPr>
            </w:pPr>
            <w:r w:rsidRPr="00FE16C6">
              <w:rPr>
                <w:rFonts w:ascii="Times New Roman" w:hAnsi="Times New Roman" w:cs="Times New Roman"/>
                <w:b/>
                <w:sz w:val="20"/>
                <w:szCs w:val="20"/>
              </w:rPr>
              <w:t>Program</w:t>
            </w:r>
          </w:p>
        </w:tc>
        <w:tc>
          <w:tcPr>
            <w:tcW w:w="4419" w:type="dxa"/>
            <w:gridSpan w:val="2"/>
            <w:vAlign w:val="center"/>
          </w:tcPr>
          <w:p w:rsidR="00BC7E78" w:rsidRPr="00FE16C6" w:rsidRDefault="00BC7E78" w:rsidP="00FE16C6">
            <w:pPr>
              <w:spacing w:after="120"/>
              <w:jc w:val="center"/>
              <w:rPr>
                <w:rFonts w:ascii="Times New Roman" w:hAnsi="Times New Roman" w:cs="Times New Roman"/>
                <w:b/>
                <w:sz w:val="20"/>
                <w:szCs w:val="20"/>
              </w:rPr>
            </w:pPr>
            <w:r w:rsidRPr="00FE16C6">
              <w:rPr>
                <w:rFonts w:ascii="Times New Roman" w:hAnsi="Times New Roman" w:cs="Times New Roman"/>
                <w:b/>
                <w:sz w:val="20"/>
                <w:szCs w:val="20"/>
              </w:rPr>
              <w:t>Nejčastější druh výsledku</w:t>
            </w:r>
          </w:p>
        </w:tc>
        <w:tc>
          <w:tcPr>
            <w:tcW w:w="933" w:type="dxa"/>
            <w:vAlign w:val="center"/>
          </w:tcPr>
          <w:p w:rsidR="00BC7E78" w:rsidRPr="00FE16C6" w:rsidRDefault="00BC7E78" w:rsidP="00FE16C6">
            <w:pPr>
              <w:spacing w:after="120"/>
              <w:jc w:val="center"/>
              <w:rPr>
                <w:rFonts w:ascii="Times New Roman" w:hAnsi="Times New Roman" w:cs="Times New Roman"/>
                <w:b/>
                <w:sz w:val="20"/>
                <w:szCs w:val="20"/>
              </w:rPr>
            </w:pPr>
            <w:r w:rsidRPr="00FE16C6">
              <w:rPr>
                <w:rFonts w:ascii="Times New Roman" w:hAnsi="Times New Roman" w:cs="Times New Roman"/>
                <w:b/>
                <w:sz w:val="20"/>
                <w:szCs w:val="20"/>
              </w:rPr>
              <w:t>Podíl</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dopravy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CG</w:t>
            </w:r>
          </w:p>
        </w:tc>
        <w:tc>
          <w:tcPr>
            <w:tcW w:w="708" w:type="dxa"/>
            <w:vAlign w:val="center"/>
          </w:tcPr>
          <w:p w:rsidR="00BC7E78" w:rsidRPr="00FE16C6" w:rsidRDefault="005F3295"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BC7E78" w:rsidRPr="00FE16C6" w:rsidRDefault="005F3295"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BC7E78" w:rsidRPr="00FE16C6" w:rsidRDefault="005F3295"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37,4</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kultury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DB</w:t>
            </w:r>
          </w:p>
        </w:tc>
        <w:tc>
          <w:tcPr>
            <w:tcW w:w="708" w:type="dxa"/>
            <w:vAlign w:val="center"/>
          </w:tcPr>
          <w:p w:rsidR="00BC7E78" w:rsidRPr="00FE16C6" w:rsidRDefault="005F3295" w:rsidP="00F64DDF">
            <w:pPr>
              <w:spacing w:after="120"/>
              <w:rPr>
                <w:rFonts w:ascii="Times New Roman" w:hAnsi="Times New Roman" w:cs="Times New Roman"/>
                <w:sz w:val="20"/>
                <w:szCs w:val="20"/>
              </w:rPr>
            </w:pPr>
            <w:r w:rsidRPr="00FE16C6">
              <w:rPr>
                <w:rFonts w:ascii="Times New Roman" w:hAnsi="Times New Roman" w:cs="Times New Roman"/>
                <w:sz w:val="20"/>
                <w:szCs w:val="20"/>
              </w:rPr>
              <w:t>N</w:t>
            </w:r>
          </w:p>
        </w:tc>
        <w:tc>
          <w:tcPr>
            <w:tcW w:w="3711" w:type="dxa"/>
            <w:vAlign w:val="center"/>
          </w:tcPr>
          <w:p w:rsidR="00BC7E78" w:rsidRPr="00FE16C6" w:rsidRDefault="005F3295" w:rsidP="00F64DDF">
            <w:pPr>
              <w:spacing w:after="120"/>
              <w:rPr>
                <w:rFonts w:ascii="Times New Roman" w:hAnsi="Times New Roman" w:cs="Times New Roman"/>
                <w:sz w:val="20"/>
                <w:szCs w:val="20"/>
              </w:rPr>
            </w:pPr>
            <w:r w:rsidRPr="00FE16C6">
              <w:rPr>
                <w:rFonts w:ascii="Times New Roman" w:hAnsi="Times New Roman" w:cs="Times New Roman"/>
                <w:sz w:val="20"/>
                <w:szCs w:val="20"/>
              </w:rPr>
              <w:t>certifikované metodiky a postupy, specializované mapy s odborným obsahem</w:t>
            </w:r>
          </w:p>
        </w:tc>
        <w:tc>
          <w:tcPr>
            <w:tcW w:w="933" w:type="dxa"/>
            <w:vAlign w:val="center"/>
          </w:tcPr>
          <w:p w:rsidR="00BC7E78" w:rsidRPr="00FE16C6" w:rsidRDefault="00BC7E78"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25,7</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kultury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DC</w:t>
            </w:r>
          </w:p>
        </w:tc>
        <w:tc>
          <w:tcPr>
            <w:tcW w:w="708" w:type="dxa"/>
            <w:vAlign w:val="center"/>
          </w:tcPr>
          <w:p w:rsidR="00BC7E78" w:rsidRPr="00FE16C6" w:rsidRDefault="009257A1" w:rsidP="00F64DDF">
            <w:pPr>
              <w:spacing w:after="120"/>
              <w:rPr>
                <w:rFonts w:ascii="Times New Roman" w:hAnsi="Times New Roman" w:cs="Times New Roman"/>
                <w:sz w:val="20"/>
                <w:szCs w:val="20"/>
              </w:rPr>
            </w:pPr>
            <w:r w:rsidRPr="00FE16C6">
              <w:rPr>
                <w:rFonts w:ascii="Times New Roman" w:hAnsi="Times New Roman" w:cs="Times New Roman"/>
                <w:sz w:val="20"/>
                <w:szCs w:val="20"/>
              </w:rPr>
              <w:t>A</w:t>
            </w:r>
          </w:p>
        </w:tc>
        <w:tc>
          <w:tcPr>
            <w:tcW w:w="3711" w:type="dxa"/>
            <w:vAlign w:val="center"/>
          </w:tcPr>
          <w:p w:rsidR="00BC7E78" w:rsidRPr="00FE16C6" w:rsidRDefault="009257A1" w:rsidP="00F64DDF">
            <w:pPr>
              <w:spacing w:after="120"/>
              <w:rPr>
                <w:rFonts w:ascii="Times New Roman" w:hAnsi="Times New Roman" w:cs="Times New Roman"/>
                <w:sz w:val="20"/>
                <w:szCs w:val="20"/>
              </w:rPr>
            </w:pPr>
            <w:r w:rsidRPr="00FE16C6">
              <w:rPr>
                <w:rFonts w:ascii="Times New Roman" w:hAnsi="Times New Roman" w:cs="Times New Roman"/>
                <w:sz w:val="20"/>
                <w:szCs w:val="20"/>
              </w:rPr>
              <w:t>audiovizuální tvorba nebo elektronický dokument</w:t>
            </w:r>
          </w:p>
        </w:tc>
        <w:tc>
          <w:tcPr>
            <w:tcW w:w="933" w:type="dxa"/>
            <w:vAlign w:val="center"/>
          </w:tcPr>
          <w:p w:rsidR="00BC7E78" w:rsidRPr="00FE16C6" w:rsidRDefault="009257A1"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18,4</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kultury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DD</w:t>
            </w:r>
          </w:p>
        </w:tc>
        <w:tc>
          <w:tcPr>
            <w:tcW w:w="708" w:type="dxa"/>
            <w:vAlign w:val="center"/>
          </w:tcPr>
          <w:p w:rsidR="00BC7E78" w:rsidRPr="00FE16C6" w:rsidRDefault="006B1C62" w:rsidP="00F64DDF">
            <w:pPr>
              <w:spacing w:after="120"/>
              <w:rPr>
                <w:rFonts w:ascii="Times New Roman" w:hAnsi="Times New Roman" w:cs="Times New Roman"/>
                <w:sz w:val="20"/>
                <w:szCs w:val="20"/>
              </w:rPr>
            </w:pPr>
            <w:r w:rsidRPr="00FE16C6">
              <w:rPr>
                <w:rFonts w:ascii="Times New Roman" w:hAnsi="Times New Roman" w:cs="Times New Roman"/>
                <w:sz w:val="20"/>
                <w:szCs w:val="20"/>
              </w:rPr>
              <w:t>BC</w:t>
            </w:r>
          </w:p>
        </w:tc>
        <w:tc>
          <w:tcPr>
            <w:tcW w:w="3711" w:type="dxa"/>
            <w:vAlign w:val="center"/>
          </w:tcPr>
          <w:p w:rsidR="00BC7E78" w:rsidRPr="00FE16C6" w:rsidRDefault="006B1C62" w:rsidP="00F64DDF">
            <w:pPr>
              <w:spacing w:after="120"/>
              <w:rPr>
                <w:rFonts w:ascii="Times New Roman" w:hAnsi="Times New Roman" w:cs="Times New Roman"/>
                <w:sz w:val="20"/>
                <w:szCs w:val="20"/>
              </w:rPr>
            </w:pPr>
            <w:r w:rsidRPr="00FE16C6">
              <w:rPr>
                <w:rFonts w:ascii="Times New Roman" w:hAnsi="Times New Roman" w:cs="Times New Roman"/>
                <w:sz w:val="20"/>
                <w:szCs w:val="20"/>
              </w:rPr>
              <w:t>odborná kniha kapitola v odborné knize</w:t>
            </w:r>
          </w:p>
        </w:tc>
        <w:tc>
          <w:tcPr>
            <w:tcW w:w="933" w:type="dxa"/>
            <w:vAlign w:val="center"/>
          </w:tcPr>
          <w:p w:rsidR="00BC7E78" w:rsidRPr="00FE16C6" w:rsidRDefault="006B1C62"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44</w:t>
            </w:r>
            <w:r w:rsidR="00A001A9" w:rsidRPr="00FE16C6">
              <w:rPr>
                <w:rFonts w:ascii="Times New Roman" w:hAnsi="Times New Roman" w:cs="Times New Roman"/>
                <w:sz w:val="20"/>
                <w:szCs w:val="20"/>
              </w:rPr>
              <w:t>,0</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725FFB" w:rsidRPr="00FE16C6" w:rsidTr="009257A1">
        <w:tc>
          <w:tcPr>
            <w:tcW w:w="2552" w:type="dxa"/>
            <w:vAlign w:val="center"/>
          </w:tcPr>
          <w:p w:rsidR="00725FFB" w:rsidRPr="00FE16C6" w:rsidRDefault="00725FFB"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kultury</w:t>
            </w:r>
          </w:p>
        </w:tc>
        <w:tc>
          <w:tcPr>
            <w:tcW w:w="1276" w:type="dxa"/>
            <w:vAlign w:val="center"/>
          </w:tcPr>
          <w:p w:rsidR="00725FFB" w:rsidRPr="00FE16C6" w:rsidRDefault="00725FFB" w:rsidP="00F64DDF">
            <w:pPr>
              <w:spacing w:after="120"/>
              <w:rPr>
                <w:rFonts w:ascii="Times New Roman" w:hAnsi="Times New Roman" w:cs="Times New Roman"/>
                <w:sz w:val="20"/>
                <w:szCs w:val="20"/>
              </w:rPr>
            </w:pPr>
            <w:proofErr w:type="gramStart"/>
            <w:r w:rsidRPr="00FE16C6">
              <w:rPr>
                <w:rFonts w:ascii="Times New Roman" w:hAnsi="Times New Roman" w:cs="Times New Roman"/>
                <w:sz w:val="20"/>
                <w:szCs w:val="20"/>
              </w:rPr>
              <w:t>DE</w:t>
            </w:r>
            <w:proofErr w:type="gramEnd"/>
          </w:p>
        </w:tc>
        <w:tc>
          <w:tcPr>
            <w:tcW w:w="708" w:type="dxa"/>
            <w:vAlign w:val="center"/>
          </w:tcPr>
          <w:p w:rsidR="00725FFB" w:rsidRPr="00FE16C6" w:rsidRDefault="00725FFB"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725FFB" w:rsidRPr="00FE16C6" w:rsidRDefault="00725FFB"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725FFB" w:rsidRPr="00FE16C6" w:rsidRDefault="00725FFB"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50,4</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693FF6" w:rsidRPr="00FE16C6" w:rsidTr="009257A1">
        <w:tc>
          <w:tcPr>
            <w:tcW w:w="2552" w:type="dxa"/>
            <w:vAlign w:val="center"/>
          </w:tcPr>
          <w:p w:rsidR="00693FF6" w:rsidRPr="00FE16C6" w:rsidRDefault="00693FF6" w:rsidP="00E93613">
            <w:pPr>
              <w:spacing w:after="120"/>
              <w:rPr>
                <w:rFonts w:ascii="Times New Roman" w:hAnsi="Times New Roman" w:cs="Times New Roman"/>
                <w:sz w:val="20"/>
                <w:szCs w:val="20"/>
              </w:rPr>
            </w:pPr>
            <w:r w:rsidRPr="00FE16C6">
              <w:rPr>
                <w:rFonts w:ascii="Times New Roman" w:hAnsi="Times New Roman" w:cs="Times New Roman"/>
                <w:sz w:val="20"/>
                <w:szCs w:val="20"/>
              </w:rPr>
              <w:t>Ministerstvo pro</w:t>
            </w:r>
            <w:r w:rsidR="00E93613" w:rsidRPr="00FE16C6">
              <w:rPr>
                <w:rFonts w:ascii="Times New Roman" w:hAnsi="Times New Roman" w:cs="Times New Roman"/>
                <w:sz w:val="20"/>
                <w:szCs w:val="20"/>
              </w:rPr>
              <w:t> </w:t>
            </w:r>
            <w:r w:rsidRPr="00FE16C6">
              <w:rPr>
                <w:rFonts w:ascii="Times New Roman" w:hAnsi="Times New Roman" w:cs="Times New Roman"/>
                <w:sz w:val="20"/>
                <w:szCs w:val="20"/>
              </w:rPr>
              <w:t>místní rozvoj</w:t>
            </w:r>
          </w:p>
        </w:tc>
        <w:tc>
          <w:tcPr>
            <w:tcW w:w="1276" w:type="dxa"/>
            <w:vAlign w:val="center"/>
          </w:tcPr>
          <w:p w:rsidR="00693FF6" w:rsidRPr="00FE16C6" w:rsidRDefault="00693FF6" w:rsidP="00F64DDF">
            <w:pPr>
              <w:spacing w:after="120"/>
              <w:rPr>
                <w:rFonts w:ascii="Times New Roman" w:hAnsi="Times New Roman" w:cs="Times New Roman"/>
                <w:sz w:val="20"/>
                <w:szCs w:val="20"/>
              </w:rPr>
            </w:pPr>
            <w:r w:rsidRPr="00FE16C6">
              <w:rPr>
                <w:rFonts w:ascii="Times New Roman" w:hAnsi="Times New Roman" w:cs="Times New Roman"/>
                <w:sz w:val="20"/>
                <w:szCs w:val="20"/>
              </w:rPr>
              <w:t>WD</w:t>
            </w:r>
          </w:p>
        </w:tc>
        <w:tc>
          <w:tcPr>
            <w:tcW w:w="708" w:type="dxa"/>
            <w:vAlign w:val="center"/>
          </w:tcPr>
          <w:p w:rsidR="00693FF6" w:rsidRPr="00FE16C6" w:rsidRDefault="00693FF6"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693FF6" w:rsidRPr="00FE16C6" w:rsidRDefault="00693FF6"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693FF6" w:rsidRPr="00FE16C6" w:rsidRDefault="00693FF6"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34,2</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školství, mládeže a tělovýchovy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LC</w:t>
            </w:r>
          </w:p>
        </w:tc>
        <w:tc>
          <w:tcPr>
            <w:tcW w:w="708" w:type="dxa"/>
            <w:vAlign w:val="center"/>
          </w:tcPr>
          <w:p w:rsidR="00BC7E78" w:rsidRPr="00FE16C6" w:rsidRDefault="00307A86"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imp</w:t>
            </w:r>
            <w:proofErr w:type="spellEnd"/>
          </w:p>
        </w:tc>
        <w:tc>
          <w:tcPr>
            <w:tcW w:w="3711" w:type="dxa"/>
            <w:vAlign w:val="center"/>
          </w:tcPr>
          <w:p w:rsidR="00BC7E78" w:rsidRPr="00FE16C6" w:rsidRDefault="00307A86"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odborném periodiku, který je obsažen v databázi Web </w:t>
            </w:r>
            <w:proofErr w:type="spellStart"/>
            <w:r w:rsidRPr="00FE16C6">
              <w:rPr>
                <w:rFonts w:ascii="Times New Roman" w:hAnsi="Times New Roman" w:cs="Times New Roman"/>
                <w:sz w:val="20"/>
                <w:szCs w:val="20"/>
              </w:rPr>
              <w:t>of</w:t>
            </w:r>
            <w:proofErr w:type="spellEnd"/>
            <w:r w:rsidRPr="00FE16C6">
              <w:rPr>
                <w:rFonts w:ascii="Times New Roman" w:hAnsi="Times New Roman" w:cs="Times New Roman"/>
                <w:sz w:val="20"/>
                <w:szCs w:val="20"/>
              </w:rPr>
              <w:t> Science</w:t>
            </w:r>
          </w:p>
        </w:tc>
        <w:tc>
          <w:tcPr>
            <w:tcW w:w="933" w:type="dxa"/>
            <w:vAlign w:val="center"/>
          </w:tcPr>
          <w:p w:rsidR="00BC7E78" w:rsidRPr="00FE16C6" w:rsidRDefault="00307A86"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66,3</w:t>
            </w:r>
            <w:r w:rsidR="00202377"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5A4A76" w:rsidRPr="00FE16C6" w:rsidTr="009257A1">
        <w:tc>
          <w:tcPr>
            <w:tcW w:w="2552" w:type="dxa"/>
            <w:vAlign w:val="center"/>
          </w:tcPr>
          <w:p w:rsidR="005A4A76" w:rsidRPr="00FE16C6" w:rsidRDefault="005A4A76"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zdravotnictví</w:t>
            </w:r>
          </w:p>
        </w:tc>
        <w:tc>
          <w:tcPr>
            <w:tcW w:w="1276" w:type="dxa"/>
            <w:vAlign w:val="center"/>
          </w:tcPr>
          <w:p w:rsidR="005A4A76" w:rsidRPr="00FE16C6" w:rsidRDefault="005A4A76" w:rsidP="00F64DDF">
            <w:pPr>
              <w:spacing w:after="120"/>
              <w:rPr>
                <w:rFonts w:ascii="Times New Roman" w:hAnsi="Times New Roman" w:cs="Times New Roman"/>
                <w:sz w:val="20"/>
                <w:szCs w:val="20"/>
              </w:rPr>
            </w:pPr>
            <w:r w:rsidRPr="00FE16C6">
              <w:rPr>
                <w:rFonts w:ascii="Times New Roman" w:hAnsi="Times New Roman" w:cs="Times New Roman"/>
                <w:sz w:val="20"/>
                <w:szCs w:val="20"/>
              </w:rPr>
              <w:t>NS</w:t>
            </w:r>
          </w:p>
        </w:tc>
        <w:tc>
          <w:tcPr>
            <w:tcW w:w="708" w:type="dxa"/>
            <w:vAlign w:val="center"/>
          </w:tcPr>
          <w:p w:rsidR="005A4A76" w:rsidRPr="00FE16C6" w:rsidRDefault="005A4A76"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imp</w:t>
            </w:r>
            <w:proofErr w:type="spellEnd"/>
          </w:p>
        </w:tc>
        <w:tc>
          <w:tcPr>
            <w:tcW w:w="3711" w:type="dxa"/>
            <w:vAlign w:val="center"/>
          </w:tcPr>
          <w:p w:rsidR="005A4A76" w:rsidRPr="00FE16C6" w:rsidRDefault="005A4A76"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odborném periodiku, který je obsažen v databázi Web </w:t>
            </w:r>
            <w:proofErr w:type="spellStart"/>
            <w:r w:rsidRPr="00FE16C6">
              <w:rPr>
                <w:rFonts w:ascii="Times New Roman" w:hAnsi="Times New Roman" w:cs="Times New Roman"/>
                <w:sz w:val="20"/>
                <w:szCs w:val="20"/>
              </w:rPr>
              <w:t>of</w:t>
            </w:r>
            <w:proofErr w:type="spellEnd"/>
            <w:r w:rsidRPr="00FE16C6">
              <w:rPr>
                <w:rFonts w:ascii="Times New Roman" w:hAnsi="Times New Roman" w:cs="Times New Roman"/>
                <w:sz w:val="20"/>
                <w:szCs w:val="20"/>
              </w:rPr>
              <w:t> Science</w:t>
            </w:r>
          </w:p>
        </w:tc>
        <w:tc>
          <w:tcPr>
            <w:tcW w:w="933" w:type="dxa"/>
            <w:vAlign w:val="center"/>
          </w:tcPr>
          <w:p w:rsidR="005A4A76" w:rsidRPr="00FE16C6" w:rsidRDefault="005A4A76"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40,7</w:t>
            </w:r>
            <w:r w:rsidR="008157AF"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436799" w:rsidRPr="00FE16C6" w:rsidTr="009257A1">
        <w:tc>
          <w:tcPr>
            <w:tcW w:w="2552" w:type="dxa"/>
            <w:vAlign w:val="center"/>
          </w:tcPr>
          <w:p w:rsidR="00436799" w:rsidRPr="00FE16C6" w:rsidRDefault="00436799"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životního prostředí</w:t>
            </w:r>
          </w:p>
        </w:tc>
        <w:tc>
          <w:tcPr>
            <w:tcW w:w="1276" w:type="dxa"/>
            <w:vAlign w:val="center"/>
          </w:tcPr>
          <w:p w:rsidR="00436799" w:rsidRPr="00FE16C6" w:rsidRDefault="00436799" w:rsidP="00F64DDF">
            <w:pPr>
              <w:spacing w:after="120"/>
              <w:rPr>
                <w:rFonts w:ascii="Times New Roman" w:hAnsi="Times New Roman" w:cs="Times New Roman"/>
                <w:sz w:val="20"/>
                <w:szCs w:val="20"/>
              </w:rPr>
            </w:pPr>
            <w:r w:rsidRPr="00FE16C6">
              <w:rPr>
                <w:rFonts w:ascii="Times New Roman" w:hAnsi="Times New Roman" w:cs="Times New Roman"/>
                <w:sz w:val="20"/>
                <w:szCs w:val="20"/>
              </w:rPr>
              <w:t>SP</w:t>
            </w:r>
          </w:p>
        </w:tc>
        <w:tc>
          <w:tcPr>
            <w:tcW w:w="708" w:type="dxa"/>
            <w:vAlign w:val="center"/>
          </w:tcPr>
          <w:p w:rsidR="00436799" w:rsidRPr="00FE16C6" w:rsidRDefault="00436799"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436799" w:rsidRPr="00FE16C6" w:rsidRDefault="00436799"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436799" w:rsidRPr="00FE16C6" w:rsidRDefault="00436799"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40,5 %</w:t>
            </w:r>
          </w:p>
        </w:tc>
      </w:tr>
      <w:tr w:rsidR="00BC7E78" w:rsidRPr="00FE16C6" w:rsidTr="009257A1">
        <w:tc>
          <w:tcPr>
            <w:tcW w:w="2552"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obrany</w:t>
            </w:r>
          </w:p>
        </w:tc>
        <w:tc>
          <w:tcPr>
            <w:tcW w:w="1276" w:type="dxa"/>
            <w:vAlign w:val="center"/>
          </w:tcPr>
          <w:p w:rsidR="00BC7E78" w:rsidRPr="00FE16C6" w:rsidRDefault="00BC7E78" w:rsidP="00F64DDF">
            <w:pPr>
              <w:spacing w:after="120"/>
              <w:rPr>
                <w:rFonts w:ascii="Times New Roman" w:hAnsi="Times New Roman" w:cs="Times New Roman"/>
                <w:sz w:val="20"/>
                <w:szCs w:val="20"/>
              </w:rPr>
            </w:pPr>
            <w:r w:rsidRPr="00FE16C6">
              <w:rPr>
                <w:rFonts w:ascii="Times New Roman" w:hAnsi="Times New Roman" w:cs="Times New Roman"/>
                <w:sz w:val="20"/>
                <w:szCs w:val="20"/>
              </w:rPr>
              <w:t>OS</w:t>
            </w:r>
          </w:p>
        </w:tc>
        <w:tc>
          <w:tcPr>
            <w:tcW w:w="708" w:type="dxa"/>
            <w:vAlign w:val="center"/>
          </w:tcPr>
          <w:p w:rsidR="00BC7E78" w:rsidRPr="00FE16C6" w:rsidRDefault="00553440" w:rsidP="00F64DDF">
            <w:pPr>
              <w:spacing w:after="120"/>
              <w:rPr>
                <w:rFonts w:ascii="Times New Roman" w:hAnsi="Times New Roman" w:cs="Times New Roman"/>
                <w:sz w:val="20"/>
                <w:szCs w:val="20"/>
              </w:rPr>
            </w:pPr>
            <w:r w:rsidRPr="00FE16C6">
              <w:rPr>
                <w:rFonts w:ascii="Times New Roman" w:hAnsi="Times New Roman" w:cs="Times New Roman"/>
                <w:sz w:val="20"/>
                <w:szCs w:val="20"/>
              </w:rPr>
              <w:t>G</w:t>
            </w:r>
          </w:p>
        </w:tc>
        <w:tc>
          <w:tcPr>
            <w:tcW w:w="3711" w:type="dxa"/>
            <w:vAlign w:val="center"/>
          </w:tcPr>
          <w:p w:rsidR="00BC7E78" w:rsidRPr="00FE16C6" w:rsidRDefault="00553440" w:rsidP="00F64DDF">
            <w:pPr>
              <w:spacing w:after="120"/>
              <w:rPr>
                <w:rFonts w:ascii="Times New Roman" w:hAnsi="Times New Roman" w:cs="Times New Roman"/>
                <w:sz w:val="20"/>
                <w:szCs w:val="20"/>
              </w:rPr>
            </w:pPr>
            <w:r w:rsidRPr="00FE16C6">
              <w:rPr>
                <w:rFonts w:ascii="Times New Roman" w:hAnsi="Times New Roman" w:cs="Times New Roman"/>
                <w:sz w:val="20"/>
                <w:szCs w:val="20"/>
              </w:rPr>
              <w:t>prototyp, funkční vzorek</w:t>
            </w:r>
          </w:p>
        </w:tc>
        <w:tc>
          <w:tcPr>
            <w:tcW w:w="933" w:type="dxa"/>
            <w:vAlign w:val="center"/>
          </w:tcPr>
          <w:p w:rsidR="00BC7E78" w:rsidRPr="00FE16C6" w:rsidRDefault="00553440"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55,7 %</w:t>
            </w:r>
          </w:p>
        </w:tc>
      </w:tr>
      <w:tr w:rsidR="00521FB9" w:rsidRPr="00FE16C6" w:rsidTr="009257A1">
        <w:tc>
          <w:tcPr>
            <w:tcW w:w="2552"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práce a sociálních věcí</w:t>
            </w:r>
          </w:p>
        </w:tc>
        <w:tc>
          <w:tcPr>
            <w:tcW w:w="1276"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HC</w:t>
            </w:r>
          </w:p>
        </w:tc>
        <w:tc>
          <w:tcPr>
            <w:tcW w:w="708" w:type="dxa"/>
            <w:vAlign w:val="center"/>
          </w:tcPr>
          <w:p w:rsidR="00521FB9" w:rsidRPr="00FE16C6" w:rsidRDefault="00521FB9"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imp</w:t>
            </w:r>
            <w:proofErr w:type="spellEnd"/>
          </w:p>
        </w:tc>
        <w:tc>
          <w:tcPr>
            <w:tcW w:w="3711"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odborném periodiku, který je obsažen v databázi Web </w:t>
            </w:r>
            <w:proofErr w:type="spellStart"/>
            <w:r w:rsidRPr="00FE16C6">
              <w:rPr>
                <w:rFonts w:ascii="Times New Roman" w:hAnsi="Times New Roman" w:cs="Times New Roman"/>
                <w:sz w:val="20"/>
                <w:szCs w:val="20"/>
              </w:rPr>
              <w:t>of</w:t>
            </w:r>
            <w:proofErr w:type="spellEnd"/>
            <w:r w:rsidRPr="00FE16C6">
              <w:rPr>
                <w:rFonts w:ascii="Times New Roman" w:hAnsi="Times New Roman" w:cs="Times New Roman"/>
                <w:sz w:val="20"/>
                <w:szCs w:val="20"/>
              </w:rPr>
              <w:t> Science</w:t>
            </w:r>
          </w:p>
        </w:tc>
        <w:tc>
          <w:tcPr>
            <w:tcW w:w="933" w:type="dxa"/>
            <w:vAlign w:val="center"/>
          </w:tcPr>
          <w:p w:rsidR="00521FB9" w:rsidRPr="00FE16C6" w:rsidRDefault="00521FB9"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43,5 %</w:t>
            </w:r>
          </w:p>
        </w:tc>
      </w:tr>
      <w:tr w:rsidR="00521FB9" w:rsidRPr="00FE16C6" w:rsidTr="00B54B02">
        <w:trPr>
          <w:trHeight w:val="428"/>
        </w:trPr>
        <w:tc>
          <w:tcPr>
            <w:tcW w:w="2552"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spravedlnosti</w:t>
            </w:r>
          </w:p>
        </w:tc>
        <w:tc>
          <w:tcPr>
            <w:tcW w:w="1276"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RD</w:t>
            </w:r>
          </w:p>
        </w:tc>
        <w:tc>
          <w:tcPr>
            <w:tcW w:w="708" w:type="dxa"/>
            <w:vAlign w:val="center"/>
          </w:tcPr>
          <w:p w:rsidR="00521FB9" w:rsidRPr="00FE16C6" w:rsidRDefault="00521FB9"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521FB9" w:rsidRPr="00FE16C6" w:rsidRDefault="00521FB9"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521FB9" w:rsidRPr="00FE16C6" w:rsidRDefault="00521FB9"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63 %</w:t>
            </w:r>
          </w:p>
        </w:tc>
      </w:tr>
      <w:tr w:rsidR="000E6C19" w:rsidRPr="00FE16C6" w:rsidTr="00B54B02">
        <w:trPr>
          <w:trHeight w:val="392"/>
        </w:trPr>
        <w:tc>
          <w:tcPr>
            <w:tcW w:w="2552" w:type="dxa"/>
            <w:vAlign w:val="center"/>
          </w:tcPr>
          <w:p w:rsidR="000E6C19" w:rsidRPr="00FE16C6" w:rsidRDefault="000E6C19" w:rsidP="00F64DDF">
            <w:pPr>
              <w:spacing w:after="120"/>
              <w:rPr>
                <w:rFonts w:ascii="Times New Roman" w:hAnsi="Times New Roman" w:cs="Times New Roman"/>
                <w:sz w:val="20"/>
                <w:szCs w:val="20"/>
              </w:rPr>
            </w:pPr>
            <w:r w:rsidRPr="00FE16C6">
              <w:rPr>
                <w:rFonts w:ascii="Times New Roman" w:hAnsi="Times New Roman" w:cs="Times New Roman"/>
                <w:sz w:val="20"/>
                <w:szCs w:val="20"/>
              </w:rPr>
              <w:t>Ministerstvo vnitra</w:t>
            </w:r>
          </w:p>
        </w:tc>
        <w:tc>
          <w:tcPr>
            <w:tcW w:w="1276" w:type="dxa"/>
            <w:vAlign w:val="center"/>
          </w:tcPr>
          <w:p w:rsidR="000E6C19" w:rsidRPr="00FE16C6" w:rsidRDefault="000E6C19" w:rsidP="00F64DDF">
            <w:pPr>
              <w:spacing w:after="120"/>
              <w:rPr>
                <w:rFonts w:ascii="Times New Roman" w:hAnsi="Times New Roman" w:cs="Times New Roman"/>
                <w:sz w:val="20"/>
                <w:szCs w:val="20"/>
              </w:rPr>
            </w:pPr>
            <w:proofErr w:type="gramStart"/>
            <w:r w:rsidRPr="00FE16C6">
              <w:rPr>
                <w:rFonts w:ascii="Times New Roman" w:hAnsi="Times New Roman" w:cs="Times New Roman"/>
                <w:sz w:val="20"/>
                <w:szCs w:val="20"/>
              </w:rPr>
              <w:t>VE</w:t>
            </w:r>
            <w:proofErr w:type="gramEnd"/>
          </w:p>
        </w:tc>
        <w:tc>
          <w:tcPr>
            <w:tcW w:w="708" w:type="dxa"/>
            <w:vAlign w:val="center"/>
          </w:tcPr>
          <w:p w:rsidR="000E6C19" w:rsidRPr="00FE16C6" w:rsidRDefault="000E6C19" w:rsidP="00F64DDF">
            <w:pPr>
              <w:spacing w:after="120"/>
              <w:rPr>
                <w:rFonts w:ascii="Times New Roman" w:hAnsi="Times New Roman" w:cs="Times New Roman"/>
                <w:sz w:val="20"/>
                <w:szCs w:val="20"/>
                <w:vertAlign w:val="subscript"/>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0E6C19" w:rsidRPr="00FE16C6" w:rsidRDefault="000E6C19" w:rsidP="00F64DDF">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0E6C19" w:rsidRPr="00FE16C6" w:rsidRDefault="000E6C19" w:rsidP="00F64DDF">
            <w:pPr>
              <w:spacing w:after="120"/>
              <w:jc w:val="right"/>
              <w:rPr>
                <w:rFonts w:ascii="Times New Roman" w:hAnsi="Times New Roman" w:cs="Times New Roman"/>
                <w:sz w:val="20"/>
                <w:szCs w:val="20"/>
              </w:rPr>
            </w:pPr>
            <w:r w:rsidRPr="00FE16C6">
              <w:rPr>
                <w:rFonts w:ascii="Times New Roman" w:hAnsi="Times New Roman" w:cs="Times New Roman"/>
                <w:sz w:val="20"/>
                <w:szCs w:val="20"/>
              </w:rPr>
              <w:t>52,9</w:t>
            </w:r>
            <w:r w:rsidR="00017C41" w:rsidRPr="00FE16C6">
              <w:rPr>
                <w:rFonts w:ascii="Times New Roman" w:hAnsi="Times New Roman" w:cs="Times New Roman"/>
                <w:sz w:val="20"/>
                <w:szCs w:val="20"/>
              </w:rPr>
              <w:t xml:space="preserve"> </w:t>
            </w:r>
            <w:r w:rsidRPr="00FE16C6">
              <w:rPr>
                <w:rFonts w:ascii="Times New Roman" w:hAnsi="Times New Roman" w:cs="Times New Roman"/>
                <w:sz w:val="20"/>
                <w:szCs w:val="20"/>
              </w:rPr>
              <w:t>%</w:t>
            </w:r>
          </w:p>
        </w:tc>
      </w:tr>
      <w:tr w:rsidR="00B54B02" w:rsidRPr="00FE16C6" w:rsidTr="00B54B02">
        <w:trPr>
          <w:trHeight w:val="567"/>
        </w:trPr>
        <w:tc>
          <w:tcPr>
            <w:tcW w:w="9180" w:type="dxa"/>
            <w:gridSpan w:val="5"/>
          </w:tcPr>
          <w:p w:rsidR="00B54B02" w:rsidRPr="00FE16C6" w:rsidRDefault="00B54B02" w:rsidP="00B54B02">
            <w:pPr>
              <w:spacing w:after="120"/>
              <w:rPr>
                <w:rFonts w:ascii="Times New Roman" w:hAnsi="Times New Roman" w:cs="Times New Roman"/>
                <w:sz w:val="20"/>
                <w:szCs w:val="20"/>
              </w:rPr>
            </w:pPr>
            <w:r w:rsidRPr="00FE16C6">
              <w:rPr>
                <w:rFonts w:ascii="Times New Roman" w:hAnsi="Times New Roman" w:cs="Times New Roman"/>
                <w:b/>
                <w:sz w:val="20"/>
                <w:szCs w:val="20"/>
              </w:rPr>
              <w:t>Dílčí programy</w:t>
            </w:r>
            <w:r w:rsidRPr="00FE16C6">
              <w:rPr>
                <w:rStyle w:val="Znakapoznpodarou"/>
                <w:rFonts w:ascii="Times New Roman" w:hAnsi="Times New Roman" w:cs="Times New Roman"/>
                <w:sz w:val="20"/>
                <w:szCs w:val="20"/>
              </w:rPr>
              <w:footnoteReference w:id="2"/>
            </w:r>
            <w:r w:rsidRPr="00FE16C6">
              <w:rPr>
                <w:rFonts w:ascii="Times New Roman" w:hAnsi="Times New Roman" w:cs="Times New Roman"/>
                <w:b/>
                <w:sz w:val="20"/>
                <w:szCs w:val="20"/>
              </w:rPr>
              <w:t xml:space="preserve"> Národního programu výzkumu a Národního programu výzkumu II (nejsou součástí hodnocení)</w:t>
            </w:r>
          </w:p>
        </w:tc>
      </w:tr>
      <w:tr w:rsidR="00B54B02" w:rsidRPr="00FE16C6" w:rsidTr="00B54B02">
        <w:trPr>
          <w:trHeight w:val="547"/>
        </w:trPr>
        <w:tc>
          <w:tcPr>
            <w:tcW w:w="2552"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Ministerstvo školství, mládeže a tělovýchovy</w:t>
            </w:r>
          </w:p>
        </w:tc>
        <w:tc>
          <w:tcPr>
            <w:tcW w:w="1276"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1A - 1R</w:t>
            </w:r>
          </w:p>
        </w:tc>
        <w:tc>
          <w:tcPr>
            <w:tcW w:w="708" w:type="dxa"/>
            <w:vAlign w:val="center"/>
          </w:tcPr>
          <w:p w:rsidR="00B54B02" w:rsidRPr="00FE16C6" w:rsidRDefault="00B54B02" w:rsidP="008E764D">
            <w:pPr>
              <w:spacing w:after="120"/>
              <w:rPr>
                <w:rFonts w:ascii="Times New Roman" w:hAnsi="Times New Roman" w:cs="Times New Roman"/>
                <w:sz w:val="20"/>
                <w:szCs w:val="20"/>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imp</w:t>
            </w:r>
            <w:proofErr w:type="spellEnd"/>
          </w:p>
        </w:tc>
        <w:tc>
          <w:tcPr>
            <w:tcW w:w="3711"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článek v odborném periodiku, který je obsažen v databázi Web </w:t>
            </w:r>
            <w:proofErr w:type="spellStart"/>
            <w:r w:rsidRPr="00FE16C6">
              <w:rPr>
                <w:rFonts w:ascii="Times New Roman" w:hAnsi="Times New Roman" w:cs="Times New Roman"/>
                <w:sz w:val="20"/>
                <w:szCs w:val="20"/>
              </w:rPr>
              <w:t>of</w:t>
            </w:r>
            <w:proofErr w:type="spellEnd"/>
            <w:r w:rsidRPr="00FE16C6">
              <w:rPr>
                <w:rFonts w:ascii="Times New Roman" w:hAnsi="Times New Roman" w:cs="Times New Roman"/>
                <w:sz w:val="20"/>
                <w:szCs w:val="20"/>
              </w:rPr>
              <w:t> Science</w:t>
            </w:r>
          </w:p>
        </w:tc>
        <w:tc>
          <w:tcPr>
            <w:tcW w:w="933" w:type="dxa"/>
            <w:vAlign w:val="center"/>
          </w:tcPr>
          <w:p w:rsidR="00B54B02" w:rsidRPr="00FE16C6" w:rsidRDefault="00B54B02" w:rsidP="008E764D">
            <w:pPr>
              <w:spacing w:after="120"/>
              <w:jc w:val="right"/>
              <w:rPr>
                <w:rFonts w:ascii="Times New Roman" w:hAnsi="Times New Roman" w:cs="Times New Roman"/>
                <w:sz w:val="20"/>
                <w:szCs w:val="20"/>
              </w:rPr>
            </w:pPr>
            <w:r w:rsidRPr="00FE16C6">
              <w:rPr>
                <w:rFonts w:ascii="Times New Roman" w:hAnsi="Times New Roman" w:cs="Times New Roman"/>
                <w:sz w:val="20"/>
                <w:szCs w:val="20"/>
              </w:rPr>
              <w:t>24,3 %</w:t>
            </w:r>
          </w:p>
        </w:tc>
      </w:tr>
      <w:tr w:rsidR="00B54B02" w:rsidRPr="00FE16C6" w:rsidTr="00B54B02">
        <w:trPr>
          <w:trHeight w:val="527"/>
        </w:trPr>
        <w:tc>
          <w:tcPr>
            <w:tcW w:w="2552"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Ministerstvo školství, mládeže a tělovýchovy</w:t>
            </w:r>
          </w:p>
        </w:tc>
        <w:tc>
          <w:tcPr>
            <w:tcW w:w="1276"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2A - 2G</w:t>
            </w:r>
          </w:p>
        </w:tc>
        <w:tc>
          <w:tcPr>
            <w:tcW w:w="708" w:type="dxa"/>
            <w:vAlign w:val="center"/>
          </w:tcPr>
          <w:p w:rsidR="00B54B02" w:rsidRPr="00FE16C6" w:rsidRDefault="00B54B02" w:rsidP="008E764D">
            <w:pPr>
              <w:spacing w:after="120"/>
              <w:rPr>
                <w:rFonts w:ascii="Times New Roman" w:hAnsi="Times New Roman" w:cs="Times New Roman"/>
                <w:sz w:val="20"/>
                <w:szCs w:val="20"/>
              </w:rPr>
            </w:pPr>
            <w:proofErr w:type="spellStart"/>
            <w:r w:rsidRPr="00FE16C6">
              <w:rPr>
                <w:rFonts w:ascii="Times New Roman" w:hAnsi="Times New Roman" w:cs="Times New Roman"/>
                <w:sz w:val="20"/>
                <w:szCs w:val="20"/>
              </w:rPr>
              <w:t>J</w:t>
            </w:r>
            <w:r w:rsidRPr="00FE16C6">
              <w:rPr>
                <w:rFonts w:ascii="Times New Roman" w:hAnsi="Times New Roman" w:cs="Times New Roman"/>
                <w:sz w:val="20"/>
                <w:szCs w:val="20"/>
                <w:vertAlign w:val="subscript"/>
              </w:rPr>
              <w:t>rec</w:t>
            </w:r>
            <w:proofErr w:type="spellEnd"/>
          </w:p>
        </w:tc>
        <w:tc>
          <w:tcPr>
            <w:tcW w:w="3711" w:type="dxa"/>
            <w:vAlign w:val="center"/>
          </w:tcPr>
          <w:p w:rsidR="00B54B02" w:rsidRPr="00FE16C6" w:rsidRDefault="00B54B02" w:rsidP="008E764D">
            <w:pPr>
              <w:spacing w:after="120"/>
              <w:rPr>
                <w:rFonts w:ascii="Times New Roman" w:hAnsi="Times New Roman" w:cs="Times New Roman"/>
                <w:sz w:val="20"/>
                <w:szCs w:val="20"/>
              </w:rPr>
            </w:pPr>
            <w:r w:rsidRPr="00FE16C6">
              <w:rPr>
                <w:rFonts w:ascii="Times New Roman" w:hAnsi="Times New Roman" w:cs="Times New Roman"/>
                <w:sz w:val="20"/>
                <w:szCs w:val="20"/>
              </w:rPr>
              <w:t>článek v českém recenzovaném časopise</w:t>
            </w:r>
          </w:p>
        </w:tc>
        <w:tc>
          <w:tcPr>
            <w:tcW w:w="933" w:type="dxa"/>
            <w:vAlign w:val="center"/>
          </w:tcPr>
          <w:p w:rsidR="00B54B02" w:rsidRPr="00FE16C6" w:rsidRDefault="00B54B02" w:rsidP="008E764D">
            <w:pPr>
              <w:spacing w:after="120"/>
              <w:jc w:val="right"/>
              <w:rPr>
                <w:rFonts w:ascii="Times New Roman" w:hAnsi="Times New Roman" w:cs="Times New Roman"/>
                <w:sz w:val="20"/>
                <w:szCs w:val="20"/>
              </w:rPr>
            </w:pPr>
            <w:r w:rsidRPr="00FE16C6">
              <w:rPr>
                <w:rFonts w:ascii="Times New Roman" w:hAnsi="Times New Roman" w:cs="Times New Roman"/>
                <w:sz w:val="20"/>
                <w:szCs w:val="20"/>
              </w:rPr>
              <w:t>22,3 %</w:t>
            </w:r>
          </w:p>
        </w:tc>
      </w:tr>
    </w:tbl>
    <w:p w:rsidR="003E45CA" w:rsidRDefault="009C27C3" w:rsidP="00E17B96">
      <w:pPr>
        <w:spacing w:before="120"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Při</w:t>
      </w:r>
      <w:r w:rsidR="00BD1C5E">
        <w:rPr>
          <w:rFonts w:ascii="Times New Roman" w:hAnsi="Times New Roman" w:cs="Times New Roman"/>
          <w:sz w:val="24"/>
          <w:szCs w:val="24"/>
        </w:rPr>
        <w:t xml:space="preserve"> hodnocení</w:t>
      </w:r>
      <w:r w:rsidR="0090733B" w:rsidRPr="00327B80">
        <w:rPr>
          <w:rFonts w:ascii="Times New Roman" w:hAnsi="Times New Roman" w:cs="Times New Roman"/>
          <w:sz w:val="24"/>
          <w:szCs w:val="24"/>
        </w:rPr>
        <w:t xml:space="preserve"> efektivnosti vynaložené podpory z veřejných prostředků </w:t>
      </w:r>
      <w:r w:rsidR="00BD1C5E">
        <w:rPr>
          <w:rFonts w:ascii="Times New Roman" w:hAnsi="Times New Roman" w:cs="Times New Roman"/>
          <w:sz w:val="24"/>
          <w:szCs w:val="24"/>
        </w:rPr>
        <w:t>vykázaly</w:t>
      </w:r>
      <w:r w:rsidR="0090733B" w:rsidRPr="00327B80">
        <w:rPr>
          <w:rFonts w:ascii="Times New Roman" w:hAnsi="Times New Roman" w:cs="Times New Roman"/>
          <w:sz w:val="24"/>
          <w:szCs w:val="24"/>
        </w:rPr>
        <w:t xml:space="preserve"> nejvyšší hodnotu Indexu SR programy spadající do gesce Ministerstva kultury</w:t>
      </w:r>
      <w:r w:rsidR="00BD1C5E">
        <w:rPr>
          <w:rFonts w:ascii="Times New Roman" w:hAnsi="Times New Roman" w:cs="Times New Roman"/>
          <w:sz w:val="24"/>
          <w:szCs w:val="24"/>
        </w:rPr>
        <w:t xml:space="preserve"> -</w:t>
      </w:r>
      <w:r w:rsidR="0090733B" w:rsidRPr="00327B80">
        <w:rPr>
          <w:rFonts w:ascii="Times New Roman" w:hAnsi="Times New Roman" w:cs="Times New Roman"/>
          <w:sz w:val="24"/>
          <w:szCs w:val="24"/>
        </w:rPr>
        <w:t xml:space="preserve"> DB (145,27), DE (124,33) a DD (113,4)</w:t>
      </w:r>
      <w:r w:rsidR="00BD1C5E">
        <w:rPr>
          <w:rFonts w:ascii="Times New Roman" w:hAnsi="Times New Roman" w:cs="Times New Roman"/>
          <w:sz w:val="24"/>
          <w:szCs w:val="24"/>
        </w:rPr>
        <w:t>,</w:t>
      </w:r>
      <w:r w:rsidR="0090733B" w:rsidRPr="00327B80">
        <w:rPr>
          <w:rFonts w:ascii="Times New Roman" w:hAnsi="Times New Roman" w:cs="Times New Roman"/>
          <w:sz w:val="24"/>
          <w:szCs w:val="24"/>
        </w:rPr>
        <w:t xml:space="preserve"> </w:t>
      </w:r>
      <w:r w:rsidR="00BD1C5E">
        <w:rPr>
          <w:rFonts w:ascii="Times New Roman" w:hAnsi="Times New Roman" w:cs="Times New Roman"/>
          <w:sz w:val="24"/>
          <w:szCs w:val="24"/>
        </w:rPr>
        <w:t>n</w:t>
      </w:r>
      <w:r w:rsidR="0090733B" w:rsidRPr="00327B80">
        <w:rPr>
          <w:rFonts w:ascii="Times New Roman" w:hAnsi="Times New Roman" w:cs="Times New Roman"/>
          <w:sz w:val="24"/>
          <w:szCs w:val="24"/>
        </w:rPr>
        <w:t>ejnižší hodnot</w:t>
      </w:r>
      <w:r w:rsidR="00BD1C5E">
        <w:rPr>
          <w:rFonts w:ascii="Times New Roman" w:hAnsi="Times New Roman" w:cs="Times New Roman"/>
          <w:sz w:val="24"/>
          <w:szCs w:val="24"/>
        </w:rPr>
        <w:t>u</w:t>
      </w:r>
      <w:r w:rsidR="0090733B" w:rsidRPr="00327B80">
        <w:rPr>
          <w:rFonts w:ascii="Times New Roman" w:hAnsi="Times New Roman" w:cs="Times New Roman"/>
          <w:sz w:val="24"/>
          <w:szCs w:val="24"/>
        </w:rPr>
        <w:t xml:space="preserve"> naopak program</w:t>
      </w:r>
      <w:r w:rsidR="00BD1C5E">
        <w:rPr>
          <w:rFonts w:ascii="Times New Roman" w:hAnsi="Times New Roman" w:cs="Times New Roman"/>
          <w:sz w:val="24"/>
          <w:szCs w:val="24"/>
        </w:rPr>
        <w:t>y</w:t>
      </w:r>
      <w:r w:rsidR="0090733B" w:rsidRPr="00327B80">
        <w:rPr>
          <w:rFonts w:ascii="Times New Roman" w:hAnsi="Times New Roman" w:cs="Times New Roman"/>
          <w:sz w:val="24"/>
          <w:szCs w:val="24"/>
        </w:rPr>
        <w:t xml:space="preserve"> Ministerstva práce a sociálních věcí </w:t>
      </w:r>
      <w:r w:rsidR="00BD1C5E">
        <w:rPr>
          <w:rFonts w:ascii="Times New Roman" w:hAnsi="Times New Roman" w:cs="Times New Roman"/>
          <w:sz w:val="24"/>
          <w:szCs w:val="24"/>
        </w:rPr>
        <w:t xml:space="preserve">- HC </w:t>
      </w:r>
      <w:r w:rsidR="0090733B" w:rsidRPr="00327B80">
        <w:rPr>
          <w:rFonts w:ascii="Times New Roman" w:hAnsi="Times New Roman" w:cs="Times New Roman"/>
          <w:sz w:val="24"/>
          <w:szCs w:val="24"/>
        </w:rPr>
        <w:t xml:space="preserve">(6,35) a Ministerstva obrany </w:t>
      </w:r>
      <w:r w:rsidR="00BD1C5E">
        <w:rPr>
          <w:rFonts w:ascii="Times New Roman" w:hAnsi="Times New Roman" w:cs="Times New Roman"/>
          <w:sz w:val="24"/>
          <w:szCs w:val="24"/>
        </w:rPr>
        <w:t xml:space="preserve">- OS </w:t>
      </w:r>
      <w:r w:rsidR="0090733B" w:rsidRPr="00327B80">
        <w:rPr>
          <w:rFonts w:ascii="Times New Roman" w:hAnsi="Times New Roman" w:cs="Times New Roman"/>
          <w:sz w:val="24"/>
          <w:szCs w:val="24"/>
        </w:rPr>
        <w:t>(4,14).</w:t>
      </w:r>
      <w:r w:rsidR="00803A99">
        <w:rPr>
          <w:rFonts w:ascii="Times New Roman" w:hAnsi="Times New Roman" w:cs="Times New Roman"/>
          <w:sz w:val="24"/>
          <w:szCs w:val="24"/>
        </w:rPr>
        <w:t xml:space="preserve"> </w:t>
      </w:r>
      <w:r w:rsidR="0090733B" w:rsidRPr="00327B80">
        <w:rPr>
          <w:rFonts w:ascii="Times New Roman" w:hAnsi="Times New Roman" w:cs="Times New Roman"/>
          <w:sz w:val="24"/>
          <w:szCs w:val="24"/>
        </w:rPr>
        <w:t xml:space="preserve">Hodnoty Indexů SR všech hodnocených programů jsou uvedeny v Tabulce č. </w:t>
      </w:r>
      <w:r w:rsidR="00BD1C5E">
        <w:rPr>
          <w:rFonts w:ascii="Times New Roman" w:hAnsi="Times New Roman" w:cs="Times New Roman"/>
          <w:sz w:val="24"/>
          <w:szCs w:val="24"/>
        </w:rPr>
        <w:t>5</w:t>
      </w:r>
      <w:r w:rsidR="0090733B" w:rsidRPr="00327B80">
        <w:rPr>
          <w:rFonts w:ascii="Times New Roman" w:hAnsi="Times New Roman" w:cs="Times New Roman"/>
          <w:sz w:val="24"/>
          <w:szCs w:val="24"/>
        </w:rPr>
        <w:t>.</w:t>
      </w:r>
    </w:p>
    <w:p w:rsidR="003E45CA" w:rsidRDefault="003E45CA">
      <w:pPr>
        <w:rPr>
          <w:rFonts w:ascii="Times New Roman" w:hAnsi="Times New Roman" w:cs="Times New Roman"/>
          <w:sz w:val="24"/>
          <w:szCs w:val="24"/>
        </w:rPr>
      </w:pPr>
      <w:r>
        <w:rPr>
          <w:rFonts w:ascii="Times New Roman" w:hAnsi="Times New Roman" w:cs="Times New Roman"/>
          <w:sz w:val="24"/>
          <w:szCs w:val="24"/>
        </w:rPr>
        <w:br w:type="page"/>
      </w:r>
    </w:p>
    <w:p w:rsidR="0090733B" w:rsidRPr="00327B80" w:rsidRDefault="0090733B" w:rsidP="001F473D">
      <w:pPr>
        <w:spacing w:after="120" w:line="240" w:lineRule="auto"/>
        <w:jc w:val="both"/>
        <w:rPr>
          <w:rFonts w:ascii="Times New Roman" w:hAnsi="Times New Roman" w:cs="Times New Roman"/>
          <w:b/>
          <w:sz w:val="24"/>
          <w:szCs w:val="24"/>
        </w:rPr>
      </w:pPr>
      <w:r w:rsidRPr="00327B80">
        <w:rPr>
          <w:rFonts w:ascii="Times New Roman" w:hAnsi="Times New Roman" w:cs="Times New Roman"/>
          <w:b/>
          <w:sz w:val="24"/>
          <w:szCs w:val="24"/>
        </w:rPr>
        <w:lastRenderedPageBreak/>
        <w:t xml:space="preserve">Tabulka č. </w:t>
      </w:r>
      <w:r w:rsidR="00BD1C5E">
        <w:rPr>
          <w:rFonts w:ascii="Times New Roman" w:hAnsi="Times New Roman" w:cs="Times New Roman"/>
          <w:b/>
          <w:sz w:val="24"/>
          <w:szCs w:val="24"/>
        </w:rPr>
        <w:t>5</w:t>
      </w:r>
      <w:r w:rsidRPr="00327B80">
        <w:rPr>
          <w:rFonts w:ascii="Times New Roman" w:hAnsi="Times New Roman" w:cs="Times New Roman"/>
          <w:b/>
          <w:sz w:val="24"/>
          <w:szCs w:val="24"/>
        </w:rPr>
        <w:t xml:space="preserve">: Indexy SR programů </w:t>
      </w:r>
      <w:r w:rsidR="00A4796B">
        <w:rPr>
          <w:rFonts w:ascii="Times New Roman" w:hAnsi="Times New Roman" w:cs="Times New Roman"/>
          <w:b/>
          <w:sz w:val="24"/>
          <w:szCs w:val="24"/>
        </w:rPr>
        <w:t xml:space="preserve">výzkumu, vývoje a inovací </w:t>
      </w:r>
      <w:r w:rsidRPr="00327B80">
        <w:rPr>
          <w:rFonts w:ascii="Times New Roman" w:hAnsi="Times New Roman" w:cs="Times New Roman"/>
          <w:b/>
          <w:sz w:val="24"/>
          <w:szCs w:val="24"/>
        </w:rPr>
        <w:t xml:space="preserve">ukončených </w:t>
      </w:r>
      <w:r w:rsidR="00D01AC1">
        <w:rPr>
          <w:rFonts w:ascii="Times New Roman" w:hAnsi="Times New Roman" w:cs="Times New Roman"/>
          <w:b/>
          <w:sz w:val="24"/>
          <w:szCs w:val="24"/>
        </w:rPr>
        <w:t>v roce</w:t>
      </w:r>
      <w:r w:rsidR="00D01AC1" w:rsidRPr="00327B80">
        <w:rPr>
          <w:rFonts w:ascii="Times New Roman" w:hAnsi="Times New Roman" w:cs="Times New Roman"/>
          <w:b/>
          <w:sz w:val="24"/>
          <w:szCs w:val="24"/>
        </w:rPr>
        <w:t xml:space="preserve"> </w:t>
      </w:r>
      <w:r w:rsidRPr="00327B80">
        <w:rPr>
          <w:rFonts w:ascii="Times New Roman" w:hAnsi="Times New Roman" w:cs="Times New Roman"/>
          <w:b/>
          <w:sz w:val="24"/>
          <w:szCs w:val="24"/>
        </w:rPr>
        <w:t xml:space="preserve">2011 </w:t>
      </w:r>
    </w:p>
    <w:tbl>
      <w:tblPr>
        <w:tblStyle w:val="Mkatabulky"/>
        <w:tblW w:w="0" w:type="auto"/>
        <w:tblInd w:w="108" w:type="dxa"/>
        <w:tblLook w:val="04A0" w:firstRow="1" w:lastRow="0" w:firstColumn="1" w:lastColumn="0" w:noHBand="0" w:noVBand="1"/>
      </w:tblPr>
      <w:tblGrid>
        <w:gridCol w:w="4678"/>
        <w:gridCol w:w="2410"/>
        <w:gridCol w:w="2016"/>
      </w:tblGrid>
      <w:tr w:rsidR="0090733B" w:rsidRPr="003E45CA" w:rsidTr="00F77321">
        <w:tc>
          <w:tcPr>
            <w:tcW w:w="4678" w:type="dxa"/>
            <w:vAlign w:val="center"/>
          </w:tcPr>
          <w:p w:rsidR="0090733B" w:rsidRPr="003E45CA" w:rsidRDefault="0090733B" w:rsidP="003E45CA">
            <w:pPr>
              <w:spacing w:after="120"/>
              <w:jc w:val="center"/>
              <w:rPr>
                <w:rFonts w:ascii="Times New Roman" w:hAnsi="Times New Roman" w:cs="Times New Roman"/>
                <w:b/>
                <w:sz w:val="20"/>
                <w:szCs w:val="20"/>
              </w:rPr>
            </w:pPr>
            <w:r w:rsidRPr="003E45CA">
              <w:rPr>
                <w:rFonts w:ascii="Times New Roman" w:hAnsi="Times New Roman" w:cs="Times New Roman"/>
                <w:b/>
                <w:sz w:val="20"/>
                <w:szCs w:val="20"/>
              </w:rPr>
              <w:t>Poskytovatel</w:t>
            </w:r>
          </w:p>
        </w:tc>
        <w:tc>
          <w:tcPr>
            <w:tcW w:w="2410" w:type="dxa"/>
            <w:vAlign w:val="center"/>
          </w:tcPr>
          <w:p w:rsidR="0090733B" w:rsidRPr="003E45CA" w:rsidRDefault="0090733B" w:rsidP="003E45CA">
            <w:pPr>
              <w:spacing w:after="120"/>
              <w:jc w:val="center"/>
              <w:rPr>
                <w:rFonts w:ascii="Times New Roman" w:hAnsi="Times New Roman" w:cs="Times New Roman"/>
                <w:b/>
                <w:sz w:val="20"/>
                <w:szCs w:val="20"/>
              </w:rPr>
            </w:pPr>
            <w:r w:rsidRPr="003E45CA">
              <w:rPr>
                <w:rFonts w:ascii="Times New Roman" w:hAnsi="Times New Roman" w:cs="Times New Roman"/>
                <w:b/>
                <w:sz w:val="20"/>
                <w:szCs w:val="20"/>
              </w:rPr>
              <w:t>Program</w:t>
            </w:r>
          </w:p>
        </w:tc>
        <w:tc>
          <w:tcPr>
            <w:tcW w:w="2016" w:type="dxa"/>
            <w:vAlign w:val="center"/>
          </w:tcPr>
          <w:p w:rsidR="0090733B" w:rsidRPr="003E45CA" w:rsidRDefault="0090733B" w:rsidP="003E45CA">
            <w:pPr>
              <w:spacing w:after="120"/>
              <w:jc w:val="center"/>
              <w:rPr>
                <w:rFonts w:ascii="Times New Roman" w:hAnsi="Times New Roman" w:cs="Times New Roman"/>
                <w:b/>
                <w:sz w:val="20"/>
                <w:szCs w:val="20"/>
              </w:rPr>
            </w:pPr>
            <w:r w:rsidRPr="003E45CA">
              <w:rPr>
                <w:rFonts w:ascii="Times New Roman" w:hAnsi="Times New Roman" w:cs="Times New Roman"/>
                <w:b/>
                <w:sz w:val="20"/>
                <w:szCs w:val="20"/>
              </w:rPr>
              <w:t>Index SR</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dopravy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CG</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19,12</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kultury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DB</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145,27</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kultury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DC</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66,48</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kultury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DD</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113,4</w:t>
            </w:r>
            <w:r w:rsidR="00615C03" w:rsidRPr="003E45CA">
              <w:rPr>
                <w:rFonts w:ascii="Times New Roman" w:hAnsi="Times New Roman" w:cs="Times New Roman"/>
                <w:sz w:val="20"/>
                <w:szCs w:val="20"/>
              </w:rPr>
              <w:t>0</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kultury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proofErr w:type="gramStart"/>
            <w:r w:rsidRPr="003E45CA">
              <w:rPr>
                <w:rFonts w:ascii="Times New Roman" w:hAnsi="Times New Roman" w:cs="Times New Roman"/>
                <w:sz w:val="20"/>
                <w:szCs w:val="20"/>
              </w:rPr>
              <w:t>DE</w:t>
            </w:r>
            <w:proofErr w:type="gramEnd"/>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124,33</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pro místní rozvoj</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WD</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29</w:t>
            </w:r>
            <w:r w:rsidR="00615C03" w:rsidRPr="003E45CA">
              <w:rPr>
                <w:rFonts w:ascii="Times New Roman" w:hAnsi="Times New Roman" w:cs="Times New Roman"/>
                <w:sz w:val="20"/>
                <w:szCs w:val="20"/>
              </w:rPr>
              <w:t>,00</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školství, mládeže a tělovýchovy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LC</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41,93</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zdravotnictví</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NS</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10,58</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životního prostředí</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SP</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19,78</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obrany</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OS</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4,14</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práce a sociálních věcí</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HC</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6,35</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spravedlnosti</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RD</w:t>
            </w:r>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20,1</w:t>
            </w:r>
            <w:r w:rsidR="00615C03" w:rsidRPr="003E45CA">
              <w:rPr>
                <w:rFonts w:ascii="Times New Roman" w:hAnsi="Times New Roman" w:cs="Times New Roman"/>
                <w:sz w:val="20"/>
                <w:szCs w:val="20"/>
              </w:rPr>
              <w:t>0</w:t>
            </w:r>
          </w:p>
        </w:tc>
      </w:tr>
      <w:tr w:rsidR="0090733B" w:rsidRPr="003E45CA" w:rsidTr="00F77321">
        <w:tc>
          <w:tcPr>
            <w:tcW w:w="4678" w:type="dxa"/>
            <w:vAlign w:val="center"/>
          </w:tcPr>
          <w:p w:rsidR="0090733B" w:rsidRPr="003E45CA" w:rsidRDefault="0090733B"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vnitra</w:t>
            </w:r>
          </w:p>
        </w:tc>
        <w:tc>
          <w:tcPr>
            <w:tcW w:w="2410" w:type="dxa"/>
            <w:vAlign w:val="center"/>
          </w:tcPr>
          <w:p w:rsidR="0090733B" w:rsidRPr="003E45CA" w:rsidRDefault="0090733B" w:rsidP="001F473D">
            <w:pPr>
              <w:spacing w:after="120"/>
              <w:jc w:val="both"/>
              <w:rPr>
                <w:rFonts w:ascii="Times New Roman" w:hAnsi="Times New Roman" w:cs="Times New Roman"/>
                <w:sz w:val="20"/>
                <w:szCs w:val="20"/>
              </w:rPr>
            </w:pPr>
            <w:proofErr w:type="gramStart"/>
            <w:r w:rsidRPr="003E45CA">
              <w:rPr>
                <w:rFonts w:ascii="Times New Roman" w:hAnsi="Times New Roman" w:cs="Times New Roman"/>
                <w:sz w:val="20"/>
                <w:szCs w:val="20"/>
              </w:rPr>
              <w:t>VE</w:t>
            </w:r>
            <w:proofErr w:type="gramEnd"/>
          </w:p>
        </w:tc>
        <w:tc>
          <w:tcPr>
            <w:tcW w:w="2016" w:type="dxa"/>
            <w:vAlign w:val="center"/>
          </w:tcPr>
          <w:p w:rsidR="0090733B" w:rsidRPr="003E45CA" w:rsidRDefault="0090733B"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33,02</w:t>
            </w:r>
          </w:p>
        </w:tc>
      </w:tr>
      <w:tr w:rsidR="00D82597" w:rsidRPr="003E45CA" w:rsidTr="008C24ED">
        <w:tc>
          <w:tcPr>
            <w:tcW w:w="9104" w:type="dxa"/>
            <w:gridSpan w:val="3"/>
            <w:vAlign w:val="center"/>
          </w:tcPr>
          <w:p w:rsidR="00D82597" w:rsidRPr="003E45CA" w:rsidRDefault="00D82597" w:rsidP="00B54B02">
            <w:pPr>
              <w:spacing w:after="120"/>
              <w:rPr>
                <w:rFonts w:ascii="Times New Roman" w:hAnsi="Times New Roman" w:cs="Times New Roman"/>
                <w:sz w:val="20"/>
                <w:szCs w:val="20"/>
              </w:rPr>
            </w:pPr>
            <w:r w:rsidRPr="003E45CA">
              <w:rPr>
                <w:rFonts w:ascii="Times New Roman" w:hAnsi="Times New Roman" w:cs="Times New Roman"/>
                <w:b/>
                <w:sz w:val="20"/>
                <w:szCs w:val="20"/>
              </w:rPr>
              <w:t>Dílčí programy</w:t>
            </w:r>
            <w:r w:rsidR="00DE2C54" w:rsidRPr="00FE16C6">
              <w:rPr>
                <w:rStyle w:val="Znakapoznpodarou"/>
                <w:rFonts w:ascii="Times New Roman" w:hAnsi="Times New Roman" w:cs="Times New Roman"/>
                <w:sz w:val="20"/>
                <w:szCs w:val="20"/>
              </w:rPr>
              <w:footnoteReference w:id="3"/>
            </w:r>
            <w:r w:rsidRPr="003E45CA">
              <w:rPr>
                <w:rFonts w:ascii="Times New Roman" w:hAnsi="Times New Roman" w:cs="Times New Roman"/>
                <w:b/>
                <w:sz w:val="20"/>
                <w:szCs w:val="20"/>
              </w:rPr>
              <w:t xml:space="preserve"> </w:t>
            </w:r>
            <w:r w:rsidR="00BB7B20" w:rsidRPr="00FE16C6">
              <w:rPr>
                <w:rFonts w:ascii="Times New Roman" w:hAnsi="Times New Roman" w:cs="Times New Roman"/>
                <w:b/>
                <w:sz w:val="20"/>
                <w:szCs w:val="20"/>
              </w:rPr>
              <w:t xml:space="preserve">Národního programu výzkumu </w:t>
            </w:r>
            <w:r w:rsidRPr="003E45CA">
              <w:rPr>
                <w:rFonts w:ascii="Times New Roman" w:hAnsi="Times New Roman" w:cs="Times New Roman"/>
                <w:b/>
                <w:sz w:val="20"/>
                <w:szCs w:val="20"/>
              </w:rPr>
              <w:t xml:space="preserve">a </w:t>
            </w:r>
            <w:r w:rsidR="00BB7B20" w:rsidRPr="00FE16C6">
              <w:rPr>
                <w:rFonts w:ascii="Times New Roman" w:hAnsi="Times New Roman" w:cs="Times New Roman"/>
                <w:b/>
                <w:sz w:val="20"/>
                <w:szCs w:val="20"/>
              </w:rPr>
              <w:t xml:space="preserve">Národního programu výzkumu </w:t>
            </w:r>
            <w:r w:rsidRPr="003E45CA">
              <w:rPr>
                <w:rFonts w:ascii="Times New Roman" w:hAnsi="Times New Roman" w:cs="Times New Roman"/>
                <w:b/>
                <w:sz w:val="20"/>
                <w:szCs w:val="20"/>
              </w:rPr>
              <w:t>II (nejsou součástí hodnocení)</w:t>
            </w:r>
          </w:p>
        </w:tc>
      </w:tr>
      <w:tr w:rsidR="00D82597" w:rsidRPr="003E45CA" w:rsidTr="00F77321">
        <w:tc>
          <w:tcPr>
            <w:tcW w:w="4678" w:type="dxa"/>
            <w:vAlign w:val="center"/>
          </w:tcPr>
          <w:p w:rsidR="00D82597" w:rsidRPr="003E45CA" w:rsidRDefault="00D82597"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školství, mládeže a tělovýchovy</w:t>
            </w:r>
          </w:p>
        </w:tc>
        <w:tc>
          <w:tcPr>
            <w:tcW w:w="2410" w:type="dxa"/>
            <w:vAlign w:val="center"/>
          </w:tcPr>
          <w:p w:rsidR="00D82597" w:rsidRPr="003E45CA" w:rsidRDefault="00D82597"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1A - 1R</w:t>
            </w:r>
          </w:p>
        </w:tc>
        <w:tc>
          <w:tcPr>
            <w:tcW w:w="2016" w:type="dxa"/>
            <w:vAlign w:val="center"/>
          </w:tcPr>
          <w:p w:rsidR="00D82597" w:rsidRPr="003E45CA" w:rsidRDefault="00E36C93"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24,01</w:t>
            </w:r>
          </w:p>
        </w:tc>
      </w:tr>
      <w:tr w:rsidR="00D82597" w:rsidRPr="003E45CA" w:rsidTr="00F77321">
        <w:tc>
          <w:tcPr>
            <w:tcW w:w="4678" w:type="dxa"/>
            <w:vAlign w:val="center"/>
          </w:tcPr>
          <w:p w:rsidR="00D82597" w:rsidRPr="003E45CA" w:rsidRDefault="00D82597"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Ministerstvo školství, mládeže a tělovýchovy</w:t>
            </w:r>
          </w:p>
        </w:tc>
        <w:tc>
          <w:tcPr>
            <w:tcW w:w="2410" w:type="dxa"/>
            <w:vAlign w:val="center"/>
          </w:tcPr>
          <w:p w:rsidR="00D82597" w:rsidRPr="003E45CA" w:rsidRDefault="00D82597" w:rsidP="001F473D">
            <w:pPr>
              <w:spacing w:after="120"/>
              <w:jc w:val="both"/>
              <w:rPr>
                <w:rFonts w:ascii="Times New Roman" w:hAnsi="Times New Roman" w:cs="Times New Roman"/>
                <w:sz w:val="20"/>
                <w:szCs w:val="20"/>
              </w:rPr>
            </w:pPr>
            <w:r w:rsidRPr="003E45CA">
              <w:rPr>
                <w:rFonts w:ascii="Times New Roman" w:hAnsi="Times New Roman" w:cs="Times New Roman"/>
                <w:sz w:val="20"/>
                <w:szCs w:val="20"/>
              </w:rPr>
              <w:t>2A - 2G</w:t>
            </w:r>
          </w:p>
        </w:tc>
        <w:tc>
          <w:tcPr>
            <w:tcW w:w="2016" w:type="dxa"/>
            <w:vAlign w:val="center"/>
          </w:tcPr>
          <w:p w:rsidR="00D82597" w:rsidRPr="003E45CA" w:rsidRDefault="00D82597" w:rsidP="00F64DDF">
            <w:pPr>
              <w:spacing w:after="120"/>
              <w:jc w:val="right"/>
              <w:rPr>
                <w:rFonts w:ascii="Times New Roman" w:hAnsi="Times New Roman" w:cs="Times New Roman"/>
                <w:sz w:val="20"/>
                <w:szCs w:val="20"/>
              </w:rPr>
            </w:pPr>
            <w:r w:rsidRPr="003E45CA">
              <w:rPr>
                <w:rFonts w:ascii="Times New Roman" w:hAnsi="Times New Roman" w:cs="Times New Roman"/>
                <w:sz w:val="20"/>
                <w:szCs w:val="20"/>
              </w:rPr>
              <w:t>14,</w:t>
            </w:r>
            <w:r w:rsidR="00E36C93" w:rsidRPr="003E45CA">
              <w:rPr>
                <w:rFonts w:ascii="Times New Roman" w:hAnsi="Times New Roman" w:cs="Times New Roman"/>
                <w:sz w:val="20"/>
                <w:szCs w:val="20"/>
              </w:rPr>
              <w:t>16</w:t>
            </w:r>
          </w:p>
        </w:tc>
      </w:tr>
    </w:tbl>
    <w:p w:rsidR="00340B28" w:rsidRPr="006F4765" w:rsidRDefault="00796818" w:rsidP="002927A4">
      <w:pPr>
        <w:pStyle w:val="Odstavecseseznamem"/>
        <w:numPr>
          <w:ilvl w:val="1"/>
          <w:numId w:val="34"/>
        </w:numPr>
        <w:spacing w:before="120" w:after="120" w:line="240" w:lineRule="auto"/>
        <w:contextualSpacing w:val="0"/>
        <w:jc w:val="both"/>
        <w:rPr>
          <w:rFonts w:ascii="Times New Roman" w:hAnsi="Times New Roman" w:cs="Times New Roman"/>
          <w:b/>
          <w:sz w:val="24"/>
          <w:szCs w:val="24"/>
        </w:rPr>
      </w:pPr>
      <w:r w:rsidRPr="006F4765">
        <w:rPr>
          <w:rFonts w:ascii="Times New Roman" w:hAnsi="Times New Roman" w:cs="Times New Roman"/>
          <w:b/>
          <w:sz w:val="24"/>
          <w:szCs w:val="24"/>
        </w:rPr>
        <w:t>Výsledky řešení programů podle hodnocení poskytovatelů</w:t>
      </w:r>
    </w:p>
    <w:p w:rsidR="00796818" w:rsidRPr="00EB342A" w:rsidRDefault="00796818" w:rsidP="00E17B96">
      <w:pPr>
        <w:pStyle w:val="Styl1"/>
        <w:rPr>
          <w:lang w:val="cs-CZ"/>
        </w:rPr>
      </w:pPr>
      <w:r w:rsidRPr="00EB342A">
        <w:rPr>
          <w:lang w:val="cs-CZ"/>
        </w:rPr>
        <w:t>Všichni poskytovatelé ve svých souhrnných zprávách zhodnotili výsledky ukončených programů. Zprávy obsahovaly základní údaje o schválených programech a jejich realizaci, výčty dosažených zvlášť významných výsledků, a to včetně informací o jejich formách a způsobu využití, dále srovnání dosažených výsledků s</w:t>
      </w:r>
      <w:r w:rsidR="00A00E89">
        <w:rPr>
          <w:lang w:val="cs-CZ"/>
        </w:rPr>
        <w:t> </w:t>
      </w:r>
      <w:r w:rsidRPr="00EB342A">
        <w:rPr>
          <w:lang w:val="cs-CZ"/>
        </w:rPr>
        <w:t>cíli programu a jejich využití, přínos a aplikace, a také srovnání dosažených výsledků programu se stavem v</w:t>
      </w:r>
      <w:r w:rsidR="00A00E89">
        <w:rPr>
          <w:lang w:val="cs-CZ"/>
        </w:rPr>
        <w:t> </w:t>
      </w:r>
      <w:r w:rsidRPr="00EB342A">
        <w:rPr>
          <w:lang w:val="cs-CZ"/>
        </w:rPr>
        <w:t xml:space="preserve">zahraničí. </w:t>
      </w:r>
    </w:p>
    <w:p w:rsidR="00796818" w:rsidRPr="00EB342A" w:rsidRDefault="00796818" w:rsidP="00E17B96">
      <w:pPr>
        <w:pStyle w:val="Styl1"/>
        <w:rPr>
          <w:lang w:val="cs-CZ"/>
        </w:rPr>
      </w:pPr>
      <w:r w:rsidRPr="00EB342A">
        <w:rPr>
          <w:lang w:val="cs-CZ"/>
        </w:rPr>
        <w:t>V</w:t>
      </w:r>
      <w:r w:rsidR="00A00E89">
        <w:rPr>
          <w:lang w:val="cs-CZ"/>
        </w:rPr>
        <w:t> </w:t>
      </w:r>
      <w:r w:rsidRPr="00EB342A">
        <w:rPr>
          <w:lang w:val="cs-CZ"/>
        </w:rPr>
        <w:t>následujícím textu jsou uvedeny charakteristiky zvlášť významných výsledků a přínosy výsledků programů, jak je jednotliví poskytovatelé ve svých zprávách uvedli.</w:t>
      </w:r>
    </w:p>
    <w:p w:rsidR="00796818" w:rsidRPr="00EB342A" w:rsidRDefault="00796818" w:rsidP="00E17B96">
      <w:pPr>
        <w:pStyle w:val="Styl1"/>
        <w:rPr>
          <w:b/>
          <w:lang w:val="cs-CZ"/>
        </w:rPr>
      </w:pPr>
      <w:r w:rsidRPr="00EB342A">
        <w:rPr>
          <w:b/>
          <w:lang w:val="cs-CZ"/>
        </w:rPr>
        <w:t>Ministerstvo dopravy – Program CG – Podpora realizace udržitelného rozvoje dopravy</w:t>
      </w:r>
    </w:p>
    <w:p w:rsidR="00796818" w:rsidRPr="00EB342A" w:rsidRDefault="00796818" w:rsidP="00E17B96">
      <w:pPr>
        <w:pStyle w:val="Styl1"/>
        <w:rPr>
          <w:lang w:val="cs-CZ"/>
        </w:rPr>
      </w:pPr>
      <w:r w:rsidRPr="00EB342A">
        <w:rPr>
          <w:lang w:val="cs-CZ"/>
        </w:rPr>
        <w:t>Poskytovatel ve zprávě uvádí, že v</w:t>
      </w:r>
      <w:r w:rsidR="00A00E89">
        <w:rPr>
          <w:lang w:val="cs-CZ"/>
        </w:rPr>
        <w:t> </w:t>
      </w:r>
      <w:r w:rsidRPr="00EB342A">
        <w:rPr>
          <w:lang w:val="cs-CZ"/>
        </w:rPr>
        <w:t>rámci programu bylo řešeno 87 projektů. Celkové náklady na řešení činily 314</w:t>
      </w:r>
      <w:r w:rsidR="00062F8C">
        <w:rPr>
          <w:lang w:val="cs-CZ"/>
        </w:rPr>
        <w:t> </w:t>
      </w:r>
      <w:r w:rsidRPr="00EB342A">
        <w:rPr>
          <w:lang w:val="cs-CZ"/>
        </w:rPr>
        <w:t>711</w:t>
      </w:r>
      <w:r w:rsidR="00062F8C">
        <w:rPr>
          <w:lang w:val="cs-CZ"/>
        </w:rPr>
        <w:t> </w:t>
      </w:r>
      <w:r w:rsidRPr="00EB342A">
        <w:rPr>
          <w:lang w:val="cs-CZ"/>
        </w:rPr>
        <w:t>tis. Kč, podpora z</w:t>
      </w:r>
      <w:r w:rsidR="00A00E89">
        <w:rPr>
          <w:lang w:val="cs-CZ"/>
        </w:rPr>
        <w:t> </w:t>
      </w:r>
      <w:r w:rsidRPr="00EB342A">
        <w:rPr>
          <w:lang w:val="cs-CZ"/>
        </w:rPr>
        <w:t>veřejných zdrojů dosáhla výše 263</w:t>
      </w:r>
      <w:r w:rsidR="00062F8C">
        <w:rPr>
          <w:lang w:val="cs-CZ"/>
        </w:rPr>
        <w:t> </w:t>
      </w:r>
      <w:r w:rsidRPr="00EB342A">
        <w:rPr>
          <w:lang w:val="cs-CZ"/>
        </w:rPr>
        <w:t>115</w:t>
      </w:r>
      <w:r w:rsidR="00062F8C">
        <w:rPr>
          <w:lang w:val="cs-CZ"/>
        </w:rPr>
        <w:t> </w:t>
      </w:r>
      <w:r w:rsidRPr="00EB342A">
        <w:rPr>
          <w:lang w:val="cs-CZ"/>
        </w:rPr>
        <w:t>tis.</w:t>
      </w:r>
      <w:r w:rsidR="00062F8C">
        <w:rPr>
          <w:lang w:val="cs-CZ"/>
        </w:rPr>
        <w:t> </w:t>
      </w:r>
      <w:r w:rsidRPr="00EB342A">
        <w:rPr>
          <w:lang w:val="cs-CZ"/>
        </w:rPr>
        <w:t>Kč. Schválená výše účelové podpory na řešený program byla 85 % z</w:t>
      </w:r>
      <w:r w:rsidR="00A00E89">
        <w:rPr>
          <w:lang w:val="cs-CZ"/>
        </w:rPr>
        <w:t> </w:t>
      </w:r>
      <w:r w:rsidRPr="00EB342A">
        <w:rPr>
          <w:lang w:val="cs-CZ"/>
        </w:rPr>
        <w:t>celkových uznaných nákladů. Reálně však schválený podíl dosáhl téměř 24 %. Konkrétně to znamená, že schválený podíl této účelové podpory byl překročen téměř o 9 %. Na řešení projektů z</w:t>
      </w:r>
      <w:r w:rsidR="00A00E89">
        <w:rPr>
          <w:lang w:val="cs-CZ"/>
        </w:rPr>
        <w:t> </w:t>
      </w:r>
      <w:r w:rsidRPr="00EB342A">
        <w:rPr>
          <w:lang w:val="cs-CZ"/>
        </w:rPr>
        <w:t>neveřejných zdrojů bylo poskytnuto oproti plánu 53 806 tis. Kč celkem poskytnuto 61 377 tis.  Kč.</w:t>
      </w:r>
    </w:p>
    <w:p w:rsidR="00796818" w:rsidRPr="00EB342A" w:rsidRDefault="00796818" w:rsidP="00E17B96">
      <w:pPr>
        <w:pStyle w:val="Styl1"/>
        <w:rPr>
          <w:lang w:val="cs-CZ"/>
        </w:rPr>
      </w:pPr>
      <w:r w:rsidRPr="00EB342A">
        <w:rPr>
          <w:lang w:val="cs-CZ"/>
        </w:rPr>
        <w:t>Poskytovatel dále uvedl, že ve čtyřech podprogramech programu bylo uplatněno 573</w:t>
      </w:r>
      <w:r w:rsidR="00062F8C">
        <w:rPr>
          <w:lang w:val="cs-CZ"/>
        </w:rPr>
        <w:t> </w:t>
      </w:r>
      <w:r w:rsidRPr="00EB342A">
        <w:rPr>
          <w:lang w:val="cs-CZ"/>
        </w:rPr>
        <w:t>výsledků. Co do četnosti byl největší podíl výsledků řešení z</w:t>
      </w:r>
      <w:r w:rsidR="00A00E89">
        <w:rPr>
          <w:lang w:val="cs-CZ"/>
        </w:rPr>
        <w:t> </w:t>
      </w:r>
      <w:r w:rsidRPr="00EB342A">
        <w:rPr>
          <w:lang w:val="cs-CZ"/>
        </w:rPr>
        <w:t>kategorie článek ve</w:t>
      </w:r>
      <w:r w:rsidR="00062F8C">
        <w:rPr>
          <w:lang w:val="cs-CZ"/>
        </w:rPr>
        <w:t> </w:t>
      </w:r>
      <w:r w:rsidRPr="00EB342A">
        <w:rPr>
          <w:lang w:val="cs-CZ"/>
        </w:rPr>
        <w:t>sborníku, článek v</w:t>
      </w:r>
      <w:r w:rsidR="00A00E89">
        <w:rPr>
          <w:lang w:val="cs-CZ"/>
        </w:rPr>
        <w:t> </w:t>
      </w:r>
      <w:r w:rsidRPr="00EB342A">
        <w:rPr>
          <w:lang w:val="cs-CZ"/>
        </w:rPr>
        <w:t>odborném periodiku, a to jak ve vědeckých časopisech, tak i</w:t>
      </w:r>
      <w:r w:rsidR="00062F8C">
        <w:rPr>
          <w:lang w:val="cs-CZ"/>
        </w:rPr>
        <w:t> </w:t>
      </w:r>
      <w:r w:rsidRPr="00EB342A">
        <w:rPr>
          <w:lang w:val="cs-CZ"/>
        </w:rPr>
        <w:t>v</w:t>
      </w:r>
      <w:r w:rsidR="00A00E89">
        <w:rPr>
          <w:lang w:val="cs-CZ"/>
        </w:rPr>
        <w:t> </w:t>
      </w:r>
      <w:r w:rsidRPr="00EB342A">
        <w:rPr>
          <w:lang w:val="cs-CZ"/>
        </w:rPr>
        <w:t xml:space="preserve">odborných recenzovaných i nerecenzovaných časopisech. Poskytovatel ve své hodnotící </w:t>
      </w:r>
      <w:r w:rsidRPr="00EB342A">
        <w:rPr>
          <w:lang w:val="cs-CZ"/>
        </w:rPr>
        <w:lastRenderedPageBreak/>
        <w:t>zprávě zdůraznil rovněž vysoký podíl aplikovaných výsledků (konkrétně software, certifikované metodiky, užitné vzory, výsledky uplatněné do směrnic a předpisů nelegislativní povahy a v</w:t>
      </w:r>
      <w:r w:rsidR="00A00E89">
        <w:rPr>
          <w:lang w:val="cs-CZ"/>
        </w:rPr>
        <w:t> </w:t>
      </w:r>
      <w:r w:rsidRPr="00EB342A">
        <w:rPr>
          <w:lang w:val="cs-CZ"/>
        </w:rPr>
        <w:t>době zpracování tohoto dokumentu jeden patent. Další patentové přihlášky byly v</w:t>
      </w:r>
      <w:r w:rsidR="00A00E89">
        <w:rPr>
          <w:lang w:val="cs-CZ"/>
        </w:rPr>
        <w:t> </w:t>
      </w:r>
      <w:r w:rsidRPr="00EB342A">
        <w:rPr>
          <w:lang w:val="cs-CZ"/>
        </w:rPr>
        <w:t>recenzním řízení).</w:t>
      </w:r>
    </w:p>
    <w:p w:rsidR="00796818" w:rsidRPr="00EB342A" w:rsidRDefault="00796818" w:rsidP="00E17B96">
      <w:pPr>
        <w:pStyle w:val="Styl1"/>
        <w:rPr>
          <w:b/>
          <w:lang w:val="cs-CZ"/>
        </w:rPr>
      </w:pPr>
      <w:r w:rsidRPr="00EB342A">
        <w:rPr>
          <w:b/>
          <w:lang w:val="cs-CZ"/>
        </w:rPr>
        <w:t>Ministerstvo kultury – Program DB – Výzkum a vědecké zhodnocení kulturně-historických hodnot prostředí, způsoby a nástroje jejich zachování a výzkum jevů tradiční lidové kultury jako nedílné součásti hmotného kulturního dědictví</w:t>
      </w:r>
    </w:p>
    <w:p w:rsidR="00796818" w:rsidRPr="00EB342A" w:rsidRDefault="00796818" w:rsidP="00E17B96">
      <w:pPr>
        <w:pStyle w:val="Styl1"/>
        <w:rPr>
          <w:lang w:val="cs-CZ"/>
        </w:rPr>
      </w:pPr>
      <w:r w:rsidRPr="00EB342A">
        <w:rPr>
          <w:lang w:val="cs-CZ"/>
        </w:rPr>
        <w:t>Poskytovatel ve zprávě uvádí, že v</w:t>
      </w:r>
      <w:r w:rsidR="00A00E89">
        <w:rPr>
          <w:lang w:val="cs-CZ"/>
        </w:rPr>
        <w:t> </w:t>
      </w:r>
      <w:r w:rsidRPr="00EB342A">
        <w:rPr>
          <w:lang w:val="cs-CZ"/>
        </w:rPr>
        <w:t>rámci programu bylo podpořeno celkem 13 projektů, z</w:t>
      </w:r>
      <w:r w:rsidR="00A00E89">
        <w:rPr>
          <w:lang w:val="cs-CZ"/>
        </w:rPr>
        <w:t> </w:t>
      </w:r>
      <w:r w:rsidRPr="00EB342A">
        <w:rPr>
          <w:lang w:val="cs-CZ"/>
        </w:rPr>
        <w:t xml:space="preserve">toho </w:t>
      </w:r>
      <w:r w:rsidR="0003247C">
        <w:rPr>
          <w:lang w:val="cs-CZ"/>
        </w:rPr>
        <w:t>pět</w:t>
      </w:r>
      <w:r w:rsidRPr="00EB342A">
        <w:rPr>
          <w:lang w:val="cs-CZ"/>
        </w:rPr>
        <w:t xml:space="preserve"> projektů základního a </w:t>
      </w:r>
      <w:r w:rsidR="0003247C">
        <w:rPr>
          <w:lang w:val="cs-CZ"/>
        </w:rPr>
        <w:t>osm</w:t>
      </w:r>
      <w:r w:rsidRPr="00EB342A">
        <w:rPr>
          <w:lang w:val="cs-CZ"/>
        </w:rPr>
        <w:t xml:space="preserve"> projektů aplikovaného výzkumu. Celkové náklady na řešení činily 22 565 tis Kč a podpora z</w:t>
      </w:r>
      <w:r w:rsidR="00A00E89">
        <w:rPr>
          <w:lang w:val="cs-CZ"/>
        </w:rPr>
        <w:t> </w:t>
      </w:r>
      <w:r w:rsidRPr="00EB342A">
        <w:rPr>
          <w:lang w:val="cs-CZ"/>
        </w:rPr>
        <w:t>veřejných zdrojů dosáhla výše 20</w:t>
      </w:r>
      <w:r w:rsidR="00062F8C">
        <w:rPr>
          <w:lang w:val="cs-CZ"/>
        </w:rPr>
        <w:t> </w:t>
      </w:r>
      <w:r w:rsidRPr="00EB342A">
        <w:rPr>
          <w:lang w:val="cs-CZ"/>
        </w:rPr>
        <w:t>697</w:t>
      </w:r>
      <w:r w:rsidR="00062F8C">
        <w:rPr>
          <w:lang w:val="cs-CZ"/>
        </w:rPr>
        <w:t> </w:t>
      </w:r>
      <w:r w:rsidRPr="00EB342A">
        <w:rPr>
          <w:lang w:val="cs-CZ"/>
        </w:rPr>
        <w:t>tis.</w:t>
      </w:r>
      <w:r w:rsidR="00062F8C">
        <w:rPr>
          <w:lang w:val="cs-CZ"/>
        </w:rPr>
        <w:t> </w:t>
      </w:r>
      <w:r w:rsidRPr="00EB342A">
        <w:rPr>
          <w:lang w:val="cs-CZ"/>
        </w:rPr>
        <w:t>Kč. V</w:t>
      </w:r>
      <w:r w:rsidR="00A00E89">
        <w:rPr>
          <w:lang w:val="cs-CZ"/>
        </w:rPr>
        <w:t> </w:t>
      </w:r>
      <w:r w:rsidRPr="00EB342A">
        <w:rPr>
          <w:lang w:val="cs-CZ"/>
        </w:rPr>
        <w:t>rámci programu byly provedeny změny jednotlivých výdajů, které byly vyvolány úkoly mimo jiné vyplývajícími z</w:t>
      </w:r>
      <w:r w:rsidR="00A00E89">
        <w:rPr>
          <w:lang w:val="cs-CZ"/>
        </w:rPr>
        <w:t> </w:t>
      </w:r>
      <w:r w:rsidRPr="00EB342A">
        <w:rPr>
          <w:lang w:val="cs-CZ"/>
        </w:rPr>
        <w:t xml:space="preserve">usnesení vlády ze dne 27. </w:t>
      </w:r>
      <w:r w:rsidR="00062F8C">
        <w:rPr>
          <w:lang w:val="cs-CZ"/>
        </w:rPr>
        <w:t>č</w:t>
      </w:r>
      <w:r w:rsidRPr="00EB342A">
        <w:rPr>
          <w:lang w:val="cs-CZ"/>
        </w:rPr>
        <w:t>ervna 2008 č. 793 a</w:t>
      </w:r>
      <w:r w:rsidR="00062F8C">
        <w:rPr>
          <w:lang w:val="cs-CZ"/>
        </w:rPr>
        <w:t> </w:t>
      </w:r>
      <w:r w:rsidRPr="00EB342A">
        <w:rPr>
          <w:lang w:val="cs-CZ"/>
        </w:rPr>
        <w:t>usnesení vlády ze dne 26.</w:t>
      </w:r>
      <w:r w:rsidR="00062F8C">
        <w:rPr>
          <w:lang w:val="cs-CZ"/>
        </w:rPr>
        <w:t> b</w:t>
      </w:r>
      <w:r w:rsidRPr="00EB342A">
        <w:rPr>
          <w:lang w:val="cs-CZ"/>
        </w:rPr>
        <w:t>řezna 2008 č. 284. Veškeré změny jsou ve zprávě poskytovatele podrobně popsány.</w:t>
      </w:r>
    </w:p>
    <w:p w:rsidR="00796818" w:rsidRPr="00EB342A" w:rsidRDefault="00796818" w:rsidP="00E17B96">
      <w:pPr>
        <w:pStyle w:val="Styl1"/>
        <w:rPr>
          <w:lang w:val="cs-CZ"/>
        </w:rPr>
      </w:pPr>
      <w:r w:rsidRPr="00EB342A">
        <w:rPr>
          <w:lang w:val="cs-CZ"/>
        </w:rPr>
        <w:t>V</w:t>
      </w:r>
      <w:r w:rsidR="00A00E89">
        <w:rPr>
          <w:lang w:val="cs-CZ"/>
        </w:rPr>
        <w:t> </w:t>
      </w:r>
      <w:r w:rsidRPr="00EB342A">
        <w:rPr>
          <w:lang w:val="cs-CZ"/>
        </w:rPr>
        <w:t>průběhu projektu bylo dle údajů poskytovatel</w:t>
      </w:r>
      <w:r w:rsidR="00495517">
        <w:rPr>
          <w:lang w:val="cs-CZ"/>
        </w:rPr>
        <w:t>e vytvořeno 168 výsledků. Ze 13 </w:t>
      </w:r>
      <w:r w:rsidRPr="00EB342A">
        <w:rPr>
          <w:lang w:val="cs-CZ"/>
        </w:rPr>
        <w:t xml:space="preserve">projektů bylo </w:t>
      </w:r>
      <w:r w:rsidR="0003247C">
        <w:rPr>
          <w:lang w:val="cs-CZ"/>
        </w:rPr>
        <w:t>devět</w:t>
      </w:r>
      <w:r w:rsidRPr="00EB342A">
        <w:rPr>
          <w:lang w:val="cs-CZ"/>
        </w:rPr>
        <w:t xml:space="preserve"> ukončeno dle zadání (výsledek „U – uspěl podle zadání“), </w:t>
      </w:r>
      <w:r w:rsidR="0003247C">
        <w:rPr>
          <w:lang w:val="cs-CZ"/>
        </w:rPr>
        <w:t>tři</w:t>
      </w:r>
      <w:r w:rsidRPr="00EB342A">
        <w:rPr>
          <w:lang w:val="cs-CZ"/>
        </w:rPr>
        <w:t xml:space="preserve"> projekty dosáhly vynikajících výsledků a </w:t>
      </w:r>
      <w:r w:rsidR="0003247C">
        <w:rPr>
          <w:lang w:val="cs-CZ"/>
        </w:rPr>
        <w:t>jeden</w:t>
      </w:r>
      <w:r w:rsidRPr="00EB342A">
        <w:rPr>
          <w:lang w:val="cs-CZ"/>
        </w:rPr>
        <w:t xml:space="preserve"> projekt byl ukončen předčasně (smlouva však byla dodržena). Nejčetnější skupinou výsledků byly články v</w:t>
      </w:r>
      <w:r w:rsidR="00A00E89">
        <w:rPr>
          <w:lang w:val="cs-CZ"/>
        </w:rPr>
        <w:t> </w:t>
      </w:r>
      <w:r w:rsidRPr="00EB342A">
        <w:rPr>
          <w:lang w:val="cs-CZ"/>
        </w:rPr>
        <w:t>odborných časopisech (20 %), ve</w:t>
      </w:r>
      <w:r w:rsidR="0003247C">
        <w:rPr>
          <w:lang w:val="cs-CZ"/>
        </w:rPr>
        <w:t> </w:t>
      </w:r>
      <w:r w:rsidRPr="00EB342A">
        <w:rPr>
          <w:lang w:val="cs-CZ"/>
        </w:rPr>
        <w:t>sbornících (14</w:t>
      </w:r>
      <w:r w:rsidR="00062F8C">
        <w:rPr>
          <w:lang w:val="cs-CZ"/>
        </w:rPr>
        <w:t> </w:t>
      </w:r>
      <w:r w:rsidR="005828A1">
        <w:rPr>
          <w:lang w:val="cs-CZ"/>
        </w:rPr>
        <w:t xml:space="preserve"> </w:t>
      </w:r>
      <w:r w:rsidRPr="00EB342A">
        <w:rPr>
          <w:lang w:val="cs-CZ"/>
        </w:rPr>
        <w:t>%), ostatní výsledky, které nelze zařadit do žádného z</w:t>
      </w:r>
      <w:r w:rsidR="00A00E89">
        <w:rPr>
          <w:lang w:val="cs-CZ"/>
        </w:rPr>
        <w:t> </w:t>
      </w:r>
      <w:r w:rsidRPr="00EB342A">
        <w:rPr>
          <w:lang w:val="cs-CZ"/>
        </w:rPr>
        <w:t>druhů výsledků uvedených v</w:t>
      </w:r>
      <w:r w:rsidR="00A00E89">
        <w:rPr>
          <w:lang w:val="cs-CZ"/>
        </w:rPr>
        <w:t> </w:t>
      </w:r>
      <w:r w:rsidRPr="00EB342A">
        <w:rPr>
          <w:lang w:val="cs-CZ"/>
        </w:rPr>
        <w:t>číselníku IS VaVaI (14 %), dále odborné monografie, uspořádání výstav, audiovizuální tvorba, workshopy, konference a další.</w:t>
      </w:r>
    </w:p>
    <w:p w:rsidR="00796818" w:rsidRPr="00EB342A" w:rsidRDefault="00796818" w:rsidP="00E17B96">
      <w:pPr>
        <w:pStyle w:val="Styl1"/>
        <w:rPr>
          <w:b/>
          <w:lang w:val="cs-CZ"/>
        </w:rPr>
      </w:pPr>
      <w:r w:rsidRPr="00EB342A">
        <w:rPr>
          <w:b/>
          <w:lang w:val="cs-CZ"/>
        </w:rPr>
        <w:t xml:space="preserve">Ministerstvo kultury – Program DC </w:t>
      </w:r>
      <w:r w:rsidR="00A00E89">
        <w:rPr>
          <w:b/>
          <w:lang w:val="cs-CZ"/>
        </w:rPr>
        <w:t>–</w:t>
      </w:r>
      <w:r w:rsidRPr="00EB342A">
        <w:rPr>
          <w:b/>
          <w:lang w:val="cs-CZ"/>
        </w:rPr>
        <w:t xml:space="preserve"> Zpřístupnění a ochrana kulturních, uměleckých a vědeckých zdrojů</w:t>
      </w:r>
    </w:p>
    <w:p w:rsidR="00796818" w:rsidRPr="00EB342A" w:rsidRDefault="00796818" w:rsidP="00E17B96">
      <w:pPr>
        <w:pStyle w:val="Styl1"/>
        <w:rPr>
          <w:lang w:val="cs-CZ"/>
        </w:rPr>
      </w:pPr>
      <w:r w:rsidRPr="00EB342A">
        <w:rPr>
          <w:lang w:val="cs-CZ"/>
        </w:rPr>
        <w:t>Poskytovatel ve zprávě uvádí, že v</w:t>
      </w:r>
      <w:r w:rsidR="00A00E89">
        <w:rPr>
          <w:lang w:val="cs-CZ"/>
        </w:rPr>
        <w:t> </w:t>
      </w:r>
      <w:r w:rsidRPr="00EB342A">
        <w:rPr>
          <w:lang w:val="cs-CZ"/>
        </w:rPr>
        <w:t>rámci programu bylo podpořeno celkem 15 projektů, z</w:t>
      </w:r>
      <w:r w:rsidR="00A00E89">
        <w:rPr>
          <w:lang w:val="cs-CZ"/>
        </w:rPr>
        <w:t> </w:t>
      </w:r>
      <w:r w:rsidRPr="00EB342A">
        <w:rPr>
          <w:lang w:val="cs-CZ"/>
        </w:rPr>
        <w:t>toho 14 projektů probíhalo v</w:t>
      </w:r>
      <w:r w:rsidR="00A00E89">
        <w:rPr>
          <w:lang w:val="cs-CZ"/>
        </w:rPr>
        <w:t> </w:t>
      </w:r>
      <w:r w:rsidRPr="00EB342A">
        <w:rPr>
          <w:lang w:val="cs-CZ"/>
        </w:rPr>
        <w:t xml:space="preserve">režimu aplikovaného výzkumu, jeden byl realizován jako </w:t>
      </w:r>
      <w:r w:rsidR="0003247C">
        <w:rPr>
          <w:lang w:val="cs-CZ"/>
        </w:rPr>
        <w:t xml:space="preserve">projekt </w:t>
      </w:r>
      <w:r w:rsidRPr="00EB342A">
        <w:rPr>
          <w:lang w:val="cs-CZ"/>
        </w:rPr>
        <w:t>základní</w:t>
      </w:r>
      <w:r w:rsidR="0003247C">
        <w:rPr>
          <w:lang w:val="cs-CZ"/>
        </w:rPr>
        <w:t>ho</w:t>
      </w:r>
      <w:r w:rsidRPr="00EB342A">
        <w:rPr>
          <w:lang w:val="cs-CZ"/>
        </w:rPr>
        <w:t xml:space="preserve"> výzkum</w:t>
      </w:r>
      <w:r w:rsidR="0003247C">
        <w:rPr>
          <w:lang w:val="cs-CZ"/>
        </w:rPr>
        <w:t>u</w:t>
      </w:r>
      <w:r w:rsidRPr="00EB342A">
        <w:rPr>
          <w:lang w:val="cs-CZ"/>
        </w:rPr>
        <w:t>. Na podporu programu bylo uvolněno ze státního rozpočtu celkem 36 787 tis. Kč a celková výše uznaných nákladů programu činila 48</w:t>
      </w:r>
      <w:r w:rsidR="0003247C">
        <w:rPr>
          <w:lang w:val="cs-CZ"/>
        </w:rPr>
        <w:t> </w:t>
      </w:r>
      <w:r w:rsidRPr="00EB342A">
        <w:rPr>
          <w:lang w:val="cs-CZ"/>
        </w:rPr>
        <w:t>909</w:t>
      </w:r>
      <w:r w:rsidR="0003247C">
        <w:rPr>
          <w:lang w:val="cs-CZ"/>
        </w:rPr>
        <w:t> </w:t>
      </w:r>
      <w:r w:rsidRPr="00EB342A">
        <w:rPr>
          <w:lang w:val="cs-CZ"/>
        </w:rPr>
        <w:t>tis.</w:t>
      </w:r>
      <w:r w:rsidR="0003247C">
        <w:rPr>
          <w:lang w:val="cs-CZ"/>
        </w:rPr>
        <w:t> </w:t>
      </w:r>
      <w:r w:rsidRPr="00EB342A">
        <w:rPr>
          <w:lang w:val="cs-CZ"/>
        </w:rPr>
        <w:t>Kč.</w:t>
      </w:r>
    </w:p>
    <w:p w:rsidR="00796818" w:rsidRPr="00EB342A" w:rsidRDefault="00796818" w:rsidP="00E17B96">
      <w:pPr>
        <w:pStyle w:val="Styl1"/>
        <w:rPr>
          <w:lang w:val="cs-CZ"/>
        </w:rPr>
      </w:pPr>
      <w:r w:rsidRPr="00EB342A">
        <w:rPr>
          <w:lang w:val="cs-CZ"/>
        </w:rPr>
        <w:t>V</w:t>
      </w:r>
      <w:r w:rsidR="00A00E89">
        <w:rPr>
          <w:lang w:val="cs-CZ"/>
        </w:rPr>
        <w:t> </w:t>
      </w:r>
      <w:r w:rsidRPr="00EB342A">
        <w:rPr>
          <w:lang w:val="cs-CZ"/>
        </w:rPr>
        <w:t>průběhu programu bylo dle údajů poskytovatele vytvořeno 123 výsledků. Z</w:t>
      </w:r>
      <w:r w:rsidR="00495517">
        <w:rPr>
          <w:lang w:val="cs-CZ"/>
        </w:rPr>
        <w:t> 15 </w:t>
      </w:r>
      <w:r w:rsidRPr="00EB342A">
        <w:rPr>
          <w:lang w:val="cs-CZ"/>
        </w:rPr>
        <w:t xml:space="preserve">projektů bylo </w:t>
      </w:r>
      <w:r w:rsidR="0003247C">
        <w:rPr>
          <w:lang w:val="cs-CZ"/>
        </w:rPr>
        <w:t>devět</w:t>
      </w:r>
      <w:r w:rsidRPr="00EB342A">
        <w:rPr>
          <w:lang w:val="cs-CZ"/>
        </w:rPr>
        <w:t xml:space="preserve"> ukončeno s</w:t>
      </w:r>
      <w:r w:rsidR="00A00E89">
        <w:rPr>
          <w:lang w:val="cs-CZ"/>
        </w:rPr>
        <w:t> </w:t>
      </w:r>
      <w:r w:rsidRPr="00EB342A">
        <w:rPr>
          <w:lang w:val="cs-CZ"/>
        </w:rPr>
        <w:t xml:space="preserve">výsledkem </w:t>
      </w:r>
      <w:r w:rsidR="00A00E89">
        <w:rPr>
          <w:lang w:val="cs-CZ"/>
        </w:rPr>
        <w:t>„</w:t>
      </w:r>
      <w:r w:rsidRPr="00EB342A">
        <w:rPr>
          <w:lang w:val="cs-CZ"/>
        </w:rPr>
        <w:t xml:space="preserve">U </w:t>
      </w:r>
      <w:r w:rsidR="00A00E89">
        <w:rPr>
          <w:lang w:val="cs-CZ"/>
        </w:rPr>
        <w:t>–</w:t>
      </w:r>
      <w:r w:rsidRPr="00EB342A">
        <w:rPr>
          <w:lang w:val="cs-CZ"/>
        </w:rPr>
        <w:t xml:space="preserve"> uspěl podle zadání“, </w:t>
      </w:r>
      <w:r w:rsidR="0003247C">
        <w:rPr>
          <w:lang w:val="cs-CZ"/>
        </w:rPr>
        <w:t>šest</w:t>
      </w:r>
      <w:r w:rsidRPr="00EB342A">
        <w:rPr>
          <w:lang w:val="cs-CZ"/>
        </w:rPr>
        <w:t xml:space="preserve"> projektů bylo ukončeno s</w:t>
      </w:r>
      <w:r w:rsidR="00A00E89">
        <w:rPr>
          <w:lang w:val="cs-CZ"/>
        </w:rPr>
        <w:t> </w:t>
      </w:r>
      <w:r w:rsidRPr="00EB342A">
        <w:rPr>
          <w:lang w:val="cs-CZ"/>
        </w:rPr>
        <w:t xml:space="preserve">výsledkem „V </w:t>
      </w:r>
      <w:r w:rsidR="00A00E89">
        <w:rPr>
          <w:lang w:val="cs-CZ"/>
        </w:rPr>
        <w:t>–</w:t>
      </w:r>
      <w:r w:rsidRPr="00EB342A">
        <w:rPr>
          <w:lang w:val="cs-CZ"/>
        </w:rPr>
        <w:t xml:space="preserve"> uspěl s</w:t>
      </w:r>
      <w:r w:rsidR="00A00E89">
        <w:rPr>
          <w:lang w:val="cs-CZ"/>
        </w:rPr>
        <w:t> </w:t>
      </w:r>
      <w:r w:rsidRPr="00EB342A">
        <w:rPr>
          <w:lang w:val="cs-CZ"/>
        </w:rPr>
        <w:t>vynikajícími výsledky“. Jako nejčetnější skupinu výsledků dle druhu výsledku uvádí poskytovatel články v</w:t>
      </w:r>
      <w:r w:rsidR="00A00E89">
        <w:rPr>
          <w:lang w:val="cs-CZ"/>
        </w:rPr>
        <w:t> </w:t>
      </w:r>
      <w:r w:rsidRPr="00EB342A">
        <w:rPr>
          <w:lang w:val="cs-CZ"/>
        </w:rPr>
        <w:t xml:space="preserve">odborném periodiku (24 %), články ve </w:t>
      </w:r>
      <w:r w:rsidR="005828A1">
        <w:rPr>
          <w:lang w:val="cs-CZ"/>
        </w:rPr>
        <w:t> </w:t>
      </w:r>
      <w:r w:rsidR="0003247C">
        <w:rPr>
          <w:lang w:val="cs-CZ"/>
        </w:rPr>
        <w:t>s</w:t>
      </w:r>
      <w:r w:rsidRPr="00EB342A">
        <w:rPr>
          <w:lang w:val="cs-CZ"/>
        </w:rPr>
        <w:t>bornících (17 %), kapitoly v</w:t>
      </w:r>
      <w:r w:rsidR="00A00E89">
        <w:rPr>
          <w:lang w:val="cs-CZ"/>
        </w:rPr>
        <w:t> </w:t>
      </w:r>
      <w:r w:rsidRPr="00EB342A">
        <w:rPr>
          <w:lang w:val="cs-CZ"/>
        </w:rPr>
        <w:t xml:space="preserve">odborné knize (16 %), </w:t>
      </w:r>
      <w:r w:rsidR="0003247C">
        <w:rPr>
          <w:lang w:val="cs-CZ"/>
        </w:rPr>
        <w:t xml:space="preserve">produkty </w:t>
      </w:r>
      <w:r w:rsidRPr="00EB342A">
        <w:rPr>
          <w:lang w:val="cs-CZ"/>
        </w:rPr>
        <w:t>audiovizuální tvorb</w:t>
      </w:r>
      <w:r w:rsidR="0003247C">
        <w:rPr>
          <w:lang w:val="cs-CZ"/>
        </w:rPr>
        <w:t>y</w:t>
      </w:r>
      <w:r w:rsidRPr="00EB342A">
        <w:rPr>
          <w:lang w:val="cs-CZ"/>
        </w:rPr>
        <w:t>, elektronické dokumenty (11 %) a software (10 %). Dále odborné monografie, certifikované metodiky, workshopy, poloprovozy, ověřené technologie a další.</w:t>
      </w:r>
    </w:p>
    <w:p w:rsidR="00796818" w:rsidRPr="00EB342A" w:rsidRDefault="00796818" w:rsidP="00E17B96">
      <w:pPr>
        <w:pStyle w:val="Styl1"/>
        <w:rPr>
          <w:b/>
          <w:lang w:val="cs-CZ"/>
        </w:rPr>
      </w:pPr>
      <w:r w:rsidRPr="00EB342A">
        <w:rPr>
          <w:b/>
          <w:lang w:val="cs-CZ"/>
        </w:rPr>
        <w:t xml:space="preserve">Ministerstvo kultury – DD </w:t>
      </w:r>
      <w:r w:rsidR="00A00E89">
        <w:rPr>
          <w:b/>
          <w:lang w:val="cs-CZ"/>
        </w:rPr>
        <w:t>–</w:t>
      </w:r>
      <w:r w:rsidRPr="00EB342A">
        <w:rPr>
          <w:b/>
          <w:lang w:val="cs-CZ"/>
        </w:rPr>
        <w:t xml:space="preserve"> Vědecko-dokumentární zhodnocení vývoje hudebního, divadelního a výtvarného umění, literární historie, teorie a kritiky, analyticko-sociologické studie současného stavu kultury na území ČR a výzkum a vědecké zhodnocení masmédií a audiovize</w:t>
      </w:r>
    </w:p>
    <w:p w:rsidR="00796818" w:rsidRPr="00EB342A" w:rsidRDefault="00796818" w:rsidP="00E17B96">
      <w:pPr>
        <w:pStyle w:val="Styl1"/>
        <w:rPr>
          <w:lang w:val="cs-CZ"/>
        </w:rPr>
      </w:pPr>
      <w:r w:rsidRPr="00EB342A">
        <w:rPr>
          <w:lang w:val="cs-CZ"/>
        </w:rPr>
        <w:t>V</w:t>
      </w:r>
      <w:r w:rsidR="00A00E89">
        <w:rPr>
          <w:lang w:val="cs-CZ"/>
        </w:rPr>
        <w:t> </w:t>
      </w:r>
      <w:r w:rsidRPr="00EB342A">
        <w:rPr>
          <w:lang w:val="cs-CZ"/>
        </w:rPr>
        <w:t>programu</w:t>
      </w:r>
      <w:r w:rsidRPr="00EB342A">
        <w:rPr>
          <w:color w:val="333399"/>
          <w:lang w:val="cs-CZ"/>
        </w:rPr>
        <w:t xml:space="preserve"> </w:t>
      </w:r>
      <w:r w:rsidRPr="00EB342A">
        <w:rPr>
          <w:lang w:val="cs-CZ"/>
        </w:rPr>
        <w:t>bylo podpořeno celkem 12 projektů.</w:t>
      </w:r>
      <w:r w:rsidRPr="00EB342A">
        <w:rPr>
          <w:color w:val="333399"/>
          <w:lang w:val="cs-CZ"/>
        </w:rPr>
        <w:t xml:space="preserve"> </w:t>
      </w:r>
      <w:r w:rsidRPr="00EB342A">
        <w:rPr>
          <w:lang w:val="cs-CZ"/>
        </w:rPr>
        <w:t>Všechny projekty byly řádně ukončeny s</w:t>
      </w:r>
      <w:r w:rsidR="00A00E89">
        <w:rPr>
          <w:lang w:val="cs-CZ"/>
        </w:rPr>
        <w:t> </w:t>
      </w:r>
      <w:r w:rsidRPr="00EB342A">
        <w:rPr>
          <w:lang w:val="cs-CZ"/>
        </w:rPr>
        <w:t>tím, že bylo dosaženo jejich cílů a předpokládaných výsledků. Poskytovatel dále ve své zprávě uvádí, že s</w:t>
      </w:r>
      <w:r w:rsidR="00A00E89">
        <w:rPr>
          <w:lang w:val="cs-CZ"/>
        </w:rPr>
        <w:t> </w:t>
      </w:r>
      <w:r w:rsidRPr="00EB342A">
        <w:rPr>
          <w:lang w:val="cs-CZ"/>
        </w:rPr>
        <w:t>výjimkou jednoho projektu byl také dodržen časový i věcný postup řešení. Zmiňovaný projekt nesplnil zadání, smlouva však byla dodržena. Na podporu programu bylo uvolněno ze státního rozpočtu celkem 17 778 tis. Kč a celková výše uznaných nákladů programu činila 20 990 tis. Kč.</w:t>
      </w:r>
    </w:p>
    <w:p w:rsidR="00796818" w:rsidRPr="00EB342A" w:rsidRDefault="00796818" w:rsidP="00E17B96">
      <w:pPr>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lastRenderedPageBreak/>
        <w:t>V</w:t>
      </w:r>
      <w:r w:rsidR="00A00E89">
        <w:rPr>
          <w:rFonts w:ascii="Times New Roman" w:hAnsi="Times New Roman" w:cs="Times New Roman"/>
          <w:sz w:val="24"/>
          <w:szCs w:val="24"/>
        </w:rPr>
        <w:t> </w:t>
      </w:r>
      <w:r w:rsidRPr="00EB342A">
        <w:rPr>
          <w:rFonts w:ascii="Times New Roman" w:hAnsi="Times New Roman" w:cs="Times New Roman"/>
          <w:sz w:val="24"/>
          <w:szCs w:val="24"/>
        </w:rPr>
        <w:t>průběhu trvání programu bylo dle poskytovatele vytvořeno 89 výsledků. Z</w:t>
      </w:r>
      <w:r w:rsidR="00495517">
        <w:rPr>
          <w:rFonts w:ascii="Times New Roman" w:hAnsi="Times New Roman" w:cs="Times New Roman"/>
          <w:sz w:val="24"/>
          <w:szCs w:val="24"/>
        </w:rPr>
        <w:t> 12 </w:t>
      </w:r>
      <w:r w:rsidRPr="00EB342A">
        <w:rPr>
          <w:rFonts w:ascii="Times New Roman" w:hAnsi="Times New Roman" w:cs="Times New Roman"/>
          <w:sz w:val="24"/>
          <w:szCs w:val="24"/>
        </w:rPr>
        <w:t>projektů bylo 11 projektů ukončeno s</w:t>
      </w:r>
      <w:r w:rsidR="00A00E89">
        <w:rPr>
          <w:rFonts w:ascii="Times New Roman" w:hAnsi="Times New Roman" w:cs="Times New Roman"/>
          <w:sz w:val="24"/>
          <w:szCs w:val="24"/>
        </w:rPr>
        <w:t> </w:t>
      </w:r>
      <w:r w:rsidRPr="00EB342A">
        <w:rPr>
          <w:rFonts w:ascii="Times New Roman" w:hAnsi="Times New Roman" w:cs="Times New Roman"/>
          <w:sz w:val="24"/>
          <w:szCs w:val="24"/>
        </w:rPr>
        <w:t xml:space="preserve">výsledkem „U – uspěl podle zadání“, </w:t>
      </w:r>
      <w:r w:rsidR="0003247C">
        <w:rPr>
          <w:rFonts w:ascii="Times New Roman" w:hAnsi="Times New Roman" w:cs="Times New Roman"/>
          <w:sz w:val="24"/>
          <w:szCs w:val="24"/>
        </w:rPr>
        <w:t>jeden</w:t>
      </w:r>
      <w:r w:rsidRPr="00EB342A">
        <w:rPr>
          <w:rFonts w:ascii="Times New Roman" w:hAnsi="Times New Roman" w:cs="Times New Roman"/>
          <w:sz w:val="24"/>
          <w:szCs w:val="24"/>
        </w:rPr>
        <w:t xml:space="preserve"> projekt byl ukončen s</w:t>
      </w:r>
      <w:r w:rsidR="00A00E89">
        <w:rPr>
          <w:rFonts w:ascii="Times New Roman" w:hAnsi="Times New Roman" w:cs="Times New Roman"/>
          <w:sz w:val="24"/>
          <w:szCs w:val="24"/>
        </w:rPr>
        <w:t> </w:t>
      </w:r>
      <w:r w:rsidRPr="00EB342A">
        <w:rPr>
          <w:rFonts w:ascii="Times New Roman" w:hAnsi="Times New Roman" w:cs="Times New Roman"/>
          <w:sz w:val="24"/>
          <w:szCs w:val="24"/>
        </w:rPr>
        <w:t>výsledkem „O – nesplněno zadání“ (smlouva však byla dodržena). Nejčetnější skupinou výsledků byly odborné monografie (34 %), dále články v</w:t>
      </w:r>
      <w:r w:rsidR="00A00E89">
        <w:rPr>
          <w:rFonts w:ascii="Times New Roman" w:hAnsi="Times New Roman" w:cs="Times New Roman"/>
          <w:sz w:val="24"/>
          <w:szCs w:val="24"/>
        </w:rPr>
        <w:t> </w:t>
      </w:r>
      <w:r w:rsidRPr="00EB342A">
        <w:rPr>
          <w:rFonts w:ascii="Times New Roman" w:hAnsi="Times New Roman" w:cs="Times New Roman"/>
          <w:sz w:val="24"/>
          <w:szCs w:val="24"/>
        </w:rPr>
        <w:t>odborném periodiku (20 %), ostatní výsledky (20 %) a uspořádání workshopu (9 %).</w:t>
      </w:r>
      <w:r w:rsidRPr="00EB342A">
        <w:rPr>
          <w:rFonts w:ascii="Times New Roman" w:hAnsi="Times New Roman" w:cs="Times New Roman"/>
          <w:color w:val="333399"/>
          <w:sz w:val="24"/>
          <w:szCs w:val="24"/>
        </w:rPr>
        <w:t xml:space="preserve"> </w:t>
      </w:r>
      <w:r w:rsidRPr="00EB342A">
        <w:rPr>
          <w:rFonts w:ascii="Times New Roman" w:hAnsi="Times New Roman" w:cs="Times New Roman"/>
          <w:sz w:val="24"/>
          <w:szCs w:val="24"/>
        </w:rPr>
        <w:t>Mezi dalšími výsledky figurovala audiovizuální tvorba, elektronické dokumenty (6 %), články ve sborníku (4,5 %), certifikované metodiky (4,5 %), uspořádání konference a výstavy.</w:t>
      </w:r>
    </w:p>
    <w:p w:rsidR="00796818" w:rsidRPr="00EB342A" w:rsidRDefault="00796818" w:rsidP="00E17B96">
      <w:pPr>
        <w:spacing w:after="120" w:line="240" w:lineRule="auto"/>
        <w:ind w:firstLine="709"/>
        <w:jc w:val="both"/>
        <w:rPr>
          <w:rFonts w:ascii="Times New Roman" w:hAnsi="Times New Roman" w:cs="Times New Roman"/>
          <w:b/>
          <w:sz w:val="24"/>
          <w:szCs w:val="24"/>
        </w:rPr>
      </w:pPr>
      <w:r w:rsidRPr="00EB342A">
        <w:rPr>
          <w:rFonts w:ascii="Times New Roman" w:hAnsi="Times New Roman" w:cs="Times New Roman"/>
          <w:b/>
          <w:sz w:val="24"/>
          <w:szCs w:val="24"/>
        </w:rPr>
        <w:t xml:space="preserve">Ministerstvo kultury – DE </w:t>
      </w:r>
      <w:r w:rsidR="00A00E89">
        <w:rPr>
          <w:rFonts w:ascii="Times New Roman" w:hAnsi="Times New Roman" w:cs="Times New Roman"/>
          <w:b/>
          <w:sz w:val="24"/>
          <w:szCs w:val="24"/>
        </w:rPr>
        <w:t>–</w:t>
      </w:r>
      <w:r w:rsidRPr="00EB342A">
        <w:rPr>
          <w:rFonts w:ascii="Times New Roman" w:hAnsi="Times New Roman" w:cs="Times New Roman"/>
          <w:b/>
          <w:sz w:val="24"/>
          <w:szCs w:val="24"/>
        </w:rPr>
        <w:t xml:space="preserve"> Výpověď sbírek českých, moravských a slezských muzeí a galerií o přírodním a kulturním dědictví Evropy</w:t>
      </w:r>
    </w:p>
    <w:p w:rsidR="00796818" w:rsidRPr="00DE2C54" w:rsidRDefault="00796818" w:rsidP="00E17B96">
      <w:pPr>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V</w:t>
      </w:r>
      <w:r w:rsidR="00A00E89">
        <w:rPr>
          <w:rFonts w:ascii="Times New Roman" w:hAnsi="Times New Roman" w:cs="Times New Roman"/>
          <w:sz w:val="24"/>
          <w:szCs w:val="24"/>
        </w:rPr>
        <w:t> </w:t>
      </w:r>
      <w:r w:rsidRPr="00EB342A">
        <w:rPr>
          <w:rFonts w:ascii="Times New Roman" w:hAnsi="Times New Roman" w:cs="Times New Roman"/>
          <w:sz w:val="24"/>
          <w:szCs w:val="24"/>
        </w:rPr>
        <w:t>rámci programu bylo podpořeno celkem 37 projektů.</w:t>
      </w:r>
      <w:r w:rsidRPr="00EB342A">
        <w:rPr>
          <w:rFonts w:ascii="Times New Roman" w:hAnsi="Times New Roman" w:cs="Times New Roman"/>
          <w:color w:val="333399"/>
          <w:sz w:val="24"/>
          <w:szCs w:val="24"/>
        </w:rPr>
        <w:t xml:space="preserve"> </w:t>
      </w:r>
      <w:r w:rsidRPr="00EB342A">
        <w:rPr>
          <w:rFonts w:ascii="Times New Roman" w:hAnsi="Times New Roman" w:cs="Times New Roman"/>
          <w:sz w:val="24"/>
          <w:szCs w:val="24"/>
        </w:rPr>
        <w:t>Všechny projekty byly řádně ukončeny s</w:t>
      </w:r>
      <w:r w:rsidR="00A00E89">
        <w:rPr>
          <w:rFonts w:ascii="Times New Roman" w:hAnsi="Times New Roman" w:cs="Times New Roman"/>
          <w:sz w:val="24"/>
          <w:szCs w:val="24"/>
        </w:rPr>
        <w:t> </w:t>
      </w:r>
      <w:r w:rsidRPr="00EB342A">
        <w:rPr>
          <w:rFonts w:ascii="Times New Roman" w:hAnsi="Times New Roman" w:cs="Times New Roman"/>
          <w:sz w:val="24"/>
          <w:szCs w:val="24"/>
        </w:rPr>
        <w:t>tím, že bylo dosaženo jejich cílů a předpokládaných výsledků.</w:t>
      </w:r>
      <w:r w:rsidRPr="00EB342A">
        <w:rPr>
          <w:rFonts w:ascii="Times New Roman" w:hAnsi="Times New Roman" w:cs="Times New Roman"/>
          <w:color w:val="333399"/>
          <w:sz w:val="24"/>
          <w:szCs w:val="24"/>
        </w:rPr>
        <w:t xml:space="preserve"> </w:t>
      </w:r>
      <w:r w:rsidRPr="00EB342A">
        <w:rPr>
          <w:rFonts w:ascii="Times New Roman" w:hAnsi="Times New Roman" w:cs="Times New Roman"/>
          <w:sz w:val="24"/>
          <w:szCs w:val="24"/>
        </w:rPr>
        <w:t xml:space="preserve">Výsledky </w:t>
      </w:r>
      <w:r w:rsidR="0003247C">
        <w:rPr>
          <w:rFonts w:ascii="Times New Roman" w:hAnsi="Times New Roman" w:cs="Times New Roman"/>
          <w:sz w:val="24"/>
          <w:szCs w:val="24"/>
        </w:rPr>
        <w:t>osmi</w:t>
      </w:r>
      <w:r w:rsidRPr="00EB342A">
        <w:rPr>
          <w:rFonts w:ascii="Times New Roman" w:hAnsi="Times New Roman" w:cs="Times New Roman"/>
          <w:sz w:val="24"/>
          <w:szCs w:val="24"/>
        </w:rPr>
        <w:t> projektů byly vyhodnoceny jako vynikající, zbývající projekty se svými výsledky uspěly.</w:t>
      </w:r>
      <w:r w:rsidRPr="00EB342A">
        <w:rPr>
          <w:rFonts w:ascii="Times New Roman" w:hAnsi="Times New Roman" w:cs="Times New Roman"/>
          <w:color w:val="333399"/>
          <w:sz w:val="24"/>
          <w:szCs w:val="24"/>
        </w:rPr>
        <w:t xml:space="preserve"> </w:t>
      </w:r>
      <w:r w:rsidRPr="00EB342A">
        <w:rPr>
          <w:rFonts w:ascii="Times New Roman" w:hAnsi="Times New Roman" w:cs="Times New Roman"/>
          <w:sz w:val="24"/>
          <w:szCs w:val="24"/>
        </w:rPr>
        <w:t>28 projektů probíhalo v</w:t>
      </w:r>
      <w:r w:rsidR="00A00E89">
        <w:rPr>
          <w:rFonts w:ascii="Times New Roman" w:hAnsi="Times New Roman" w:cs="Times New Roman"/>
          <w:sz w:val="24"/>
          <w:szCs w:val="24"/>
        </w:rPr>
        <w:t> </w:t>
      </w:r>
      <w:r w:rsidRPr="00EB342A">
        <w:rPr>
          <w:rFonts w:ascii="Times New Roman" w:hAnsi="Times New Roman" w:cs="Times New Roman"/>
          <w:sz w:val="24"/>
          <w:szCs w:val="24"/>
        </w:rPr>
        <w:t xml:space="preserve">režimu základního výzkumu, </w:t>
      </w:r>
      <w:r w:rsidR="0003247C">
        <w:rPr>
          <w:rFonts w:ascii="Times New Roman" w:hAnsi="Times New Roman" w:cs="Times New Roman"/>
          <w:sz w:val="24"/>
          <w:szCs w:val="24"/>
        </w:rPr>
        <w:t>devět</w:t>
      </w:r>
      <w:r w:rsidRPr="00EB342A">
        <w:rPr>
          <w:rFonts w:ascii="Times New Roman" w:hAnsi="Times New Roman" w:cs="Times New Roman"/>
          <w:sz w:val="24"/>
          <w:szCs w:val="24"/>
        </w:rPr>
        <w:t xml:space="preserve"> projektů v</w:t>
      </w:r>
      <w:r w:rsidR="00A00E89">
        <w:rPr>
          <w:rFonts w:ascii="Times New Roman" w:hAnsi="Times New Roman" w:cs="Times New Roman"/>
          <w:sz w:val="24"/>
          <w:szCs w:val="24"/>
        </w:rPr>
        <w:t> </w:t>
      </w:r>
      <w:r w:rsidRPr="00EB342A">
        <w:rPr>
          <w:rFonts w:ascii="Times New Roman" w:hAnsi="Times New Roman" w:cs="Times New Roman"/>
          <w:sz w:val="24"/>
          <w:szCs w:val="24"/>
        </w:rPr>
        <w:t>režimu aplikovaného výzkumu.</w:t>
      </w:r>
    </w:p>
    <w:p w:rsidR="00796818" w:rsidRPr="00EB342A" w:rsidRDefault="00796818" w:rsidP="00E17B96">
      <w:pPr>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V</w:t>
      </w:r>
      <w:r w:rsidR="00A00E89">
        <w:rPr>
          <w:rFonts w:ascii="Times New Roman" w:hAnsi="Times New Roman" w:cs="Times New Roman"/>
          <w:sz w:val="24"/>
          <w:szCs w:val="24"/>
        </w:rPr>
        <w:t> </w:t>
      </w:r>
      <w:r w:rsidRPr="00EB342A">
        <w:rPr>
          <w:rFonts w:ascii="Times New Roman" w:hAnsi="Times New Roman" w:cs="Times New Roman"/>
          <w:sz w:val="24"/>
          <w:szCs w:val="24"/>
        </w:rPr>
        <w:t>průběhu trvání programu bylo dle poskytovatele vytvořeno 384 výsledků. Z</w:t>
      </w:r>
      <w:r w:rsidR="005828A1">
        <w:rPr>
          <w:rFonts w:ascii="Times New Roman" w:hAnsi="Times New Roman" w:cs="Times New Roman"/>
          <w:sz w:val="24"/>
          <w:szCs w:val="24"/>
        </w:rPr>
        <w:t> </w:t>
      </w:r>
      <w:r w:rsidRPr="00EB342A">
        <w:rPr>
          <w:rFonts w:ascii="Times New Roman" w:hAnsi="Times New Roman" w:cs="Times New Roman"/>
          <w:sz w:val="24"/>
          <w:szCs w:val="24"/>
        </w:rPr>
        <w:t>37</w:t>
      </w:r>
      <w:r w:rsidR="005828A1">
        <w:rPr>
          <w:rFonts w:ascii="Times New Roman" w:hAnsi="Times New Roman" w:cs="Times New Roman"/>
          <w:sz w:val="24"/>
          <w:szCs w:val="24"/>
        </w:rPr>
        <w:t> </w:t>
      </w:r>
      <w:r w:rsidRPr="00EB342A">
        <w:rPr>
          <w:rFonts w:ascii="Times New Roman" w:hAnsi="Times New Roman" w:cs="Times New Roman"/>
          <w:sz w:val="24"/>
          <w:szCs w:val="24"/>
        </w:rPr>
        <w:t xml:space="preserve"> bylo</w:t>
      </w:r>
      <w:r w:rsidRPr="00EB342A">
        <w:rPr>
          <w:rFonts w:ascii="Times New Roman" w:hAnsi="Times New Roman" w:cs="Times New Roman"/>
          <w:color w:val="333399"/>
          <w:sz w:val="24"/>
          <w:szCs w:val="24"/>
        </w:rPr>
        <w:t xml:space="preserve"> </w:t>
      </w:r>
      <w:r w:rsidRPr="00EB342A">
        <w:rPr>
          <w:rFonts w:ascii="Times New Roman" w:hAnsi="Times New Roman" w:cs="Times New Roman"/>
          <w:sz w:val="24"/>
          <w:szCs w:val="24"/>
        </w:rPr>
        <w:t>29 projektů ukončeno s</w:t>
      </w:r>
      <w:r w:rsidR="00A00E89">
        <w:rPr>
          <w:rFonts w:ascii="Times New Roman" w:hAnsi="Times New Roman" w:cs="Times New Roman"/>
          <w:sz w:val="24"/>
          <w:szCs w:val="24"/>
        </w:rPr>
        <w:t> </w:t>
      </w:r>
      <w:r w:rsidRPr="00EB342A">
        <w:rPr>
          <w:rFonts w:ascii="Times New Roman" w:hAnsi="Times New Roman" w:cs="Times New Roman"/>
          <w:sz w:val="24"/>
          <w:szCs w:val="24"/>
        </w:rPr>
        <w:t xml:space="preserve">výsledkem „U – uspěl podle zadání“, </w:t>
      </w:r>
      <w:r w:rsidR="0003247C">
        <w:rPr>
          <w:rFonts w:ascii="Times New Roman" w:hAnsi="Times New Roman" w:cs="Times New Roman"/>
          <w:sz w:val="24"/>
          <w:szCs w:val="24"/>
        </w:rPr>
        <w:t>osm</w:t>
      </w:r>
      <w:r w:rsidRPr="00EB342A">
        <w:rPr>
          <w:rFonts w:ascii="Times New Roman" w:hAnsi="Times New Roman" w:cs="Times New Roman"/>
          <w:sz w:val="24"/>
          <w:szCs w:val="24"/>
        </w:rPr>
        <w:t xml:space="preserve"> projektů bylo ukončeno s</w:t>
      </w:r>
      <w:r w:rsidR="00A00E89">
        <w:rPr>
          <w:rFonts w:ascii="Times New Roman" w:hAnsi="Times New Roman" w:cs="Times New Roman"/>
          <w:sz w:val="24"/>
          <w:szCs w:val="24"/>
        </w:rPr>
        <w:t> </w:t>
      </w:r>
      <w:r w:rsidRPr="00EB342A">
        <w:rPr>
          <w:rFonts w:ascii="Times New Roman" w:hAnsi="Times New Roman" w:cs="Times New Roman"/>
          <w:sz w:val="24"/>
          <w:szCs w:val="24"/>
        </w:rPr>
        <w:t>výsledkem „V – uspěl s</w:t>
      </w:r>
      <w:r w:rsidR="00A00E89">
        <w:rPr>
          <w:rFonts w:ascii="Times New Roman" w:hAnsi="Times New Roman" w:cs="Times New Roman"/>
          <w:sz w:val="24"/>
          <w:szCs w:val="24"/>
        </w:rPr>
        <w:t> </w:t>
      </w:r>
      <w:r w:rsidRPr="00EB342A">
        <w:rPr>
          <w:rFonts w:ascii="Times New Roman" w:hAnsi="Times New Roman" w:cs="Times New Roman"/>
          <w:sz w:val="24"/>
          <w:szCs w:val="24"/>
        </w:rPr>
        <w:t>vynikajícími výsledky“. Nejčetnější skupinou výsledků byly články v</w:t>
      </w:r>
      <w:r w:rsidR="00A00E89">
        <w:rPr>
          <w:rFonts w:ascii="Times New Roman" w:hAnsi="Times New Roman" w:cs="Times New Roman"/>
          <w:sz w:val="24"/>
          <w:szCs w:val="24"/>
        </w:rPr>
        <w:t> </w:t>
      </w:r>
      <w:r w:rsidRPr="00EB342A">
        <w:rPr>
          <w:rFonts w:ascii="Times New Roman" w:hAnsi="Times New Roman" w:cs="Times New Roman"/>
          <w:sz w:val="24"/>
          <w:szCs w:val="24"/>
        </w:rPr>
        <w:t>odborném periodiku (59 %), dále ostatní výsledky (12 %), kapitoly v</w:t>
      </w:r>
      <w:r w:rsidR="00A00E89">
        <w:rPr>
          <w:rFonts w:ascii="Times New Roman" w:hAnsi="Times New Roman" w:cs="Times New Roman"/>
          <w:sz w:val="24"/>
          <w:szCs w:val="24"/>
        </w:rPr>
        <w:t> </w:t>
      </w:r>
      <w:r w:rsidRPr="00EB342A">
        <w:rPr>
          <w:rFonts w:ascii="Times New Roman" w:hAnsi="Times New Roman" w:cs="Times New Roman"/>
          <w:sz w:val="24"/>
          <w:szCs w:val="24"/>
        </w:rPr>
        <w:t>odborné knize (10 %), články ve sborníku (5 %). Mezi dalšími výsledky figurovalo uspořádání výstavy (4 %), odborné monografie (4 %), audiovizuální tvorba, elektronické dokumenty (3 %), software (1</w:t>
      </w:r>
      <w:r w:rsidR="0003247C">
        <w:rPr>
          <w:rFonts w:ascii="Times New Roman" w:hAnsi="Times New Roman" w:cs="Times New Roman"/>
          <w:sz w:val="24"/>
          <w:szCs w:val="24"/>
        </w:rPr>
        <w:t> </w:t>
      </w:r>
      <w:r w:rsidRPr="00EB342A">
        <w:rPr>
          <w:rFonts w:ascii="Times New Roman" w:hAnsi="Times New Roman" w:cs="Times New Roman"/>
          <w:sz w:val="24"/>
          <w:szCs w:val="24"/>
        </w:rPr>
        <w:t>%), certifikované metodiky (1 %) a uspořádání konference (1</w:t>
      </w:r>
      <w:r w:rsidR="005828A1">
        <w:rPr>
          <w:rFonts w:ascii="Times New Roman" w:hAnsi="Times New Roman" w:cs="Times New Roman"/>
          <w:sz w:val="24"/>
          <w:szCs w:val="24"/>
        </w:rPr>
        <w:t> </w:t>
      </w:r>
      <w:r w:rsidRPr="00EB342A">
        <w:rPr>
          <w:rFonts w:ascii="Times New Roman" w:hAnsi="Times New Roman" w:cs="Times New Roman"/>
          <w:sz w:val="24"/>
          <w:szCs w:val="24"/>
        </w:rPr>
        <w:t xml:space="preserve">%). </w:t>
      </w:r>
    </w:p>
    <w:p w:rsidR="00796818" w:rsidRPr="00EB342A" w:rsidRDefault="00796818" w:rsidP="00E17B96">
      <w:pPr>
        <w:spacing w:after="120" w:line="240" w:lineRule="auto"/>
        <w:ind w:firstLine="709"/>
        <w:jc w:val="both"/>
        <w:rPr>
          <w:rFonts w:ascii="Times New Roman" w:hAnsi="Times New Roman" w:cs="Times New Roman"/>
          <w:b/>
          <w:sz w:val="24"/>
          <w:szCs w:val="24"/>
        </w:rPr>
      </w:pPr>
      <w:r w:rsidRPr="00EB342A">
        <w:rPr>
          <w:rFonts w:ascii="Times New Roman" w:hAnsi="Times New Roman" w:cs="Times New Roman"/>
          <w:b/>
          <w:sz w:val="24"/>
          <w:szCs w:val="24"/>
        </w:rPr>
        <w:t>Ministerstvo pro místní rozvoj – WD – Výzkum při řešení regionálních disparit</w:t>
      </w:r>
    </w:p>
    <w:p w:rsidR="00796818" w:rsidRPr="00EB342A" w:rsidRDefault="00796818" w:rsidP="00E17B96">
      <w:pPr>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V</w:t>
      </w:r>
      <w:r w:rsidR="00A00E89">
        <w:rPr>
          <w:rFonts w:ascii="Times New Roman" w:hAnsi="Times New Roman" w:cs="Times New Roman"/>
          <w:sz w:val="24"/>
          <w:szCs w:val="24"/>
        </w:rPr>
        <w:t> </w:t>
      </w:r>
      <w:r w:rsidRPr="00EB342A">
        <w:rPr>
          <w:rFonts w:ascii="Times New Roman" w:hAnsi="Times New Roman" w:cs="Times New Roman"/>
          <w:sz w:val="24"/>
          <w:szCs w:val="24"/>
        </w:rPr>
        <w:t>rámci programu bylo podpořeno celkem 23 projektů. Poskytovatel v</w:t>
      </w:r>
      <w:r w:rsidR="00A00E89">
        <w:rPr>
          <w:rFonts w:ascii="Times New Roman" w:hAnsi="Times New Roman" w:cs="Times New Roman"/>
          <w:sz w:val="24"/>
          <w:szCs w:val="24"/>
        </w:rPr>
        <w:t> </w:t>
      </w:r>
      <w:r w:rsidRPr="00EB342A">
        <w:rPr>
          <w:rFonts w:ascii="Times New Roman" w:hAnsi="Times New Roman" w:cs="Times New Roman"/>
          <w:sz w:val="24"/>
          <w:szCs w:val="24"/>
        </w:rPr>
        <w:t xml:space="preserve">hodnotící zprávě uvádí, že na základě usnesení vlády ze dne 27. </w:t>
      </w:r>
      <w:r w:rsidR="005828A1">
        <w:rPr>
          <w:rFonts w:ascii="Times New Roman" w:hAnsi="Times New Roman" w:cs="Times New Roman"/>
          <w:sz w:val="24"/>
          <w:szCs w:val="24"/>
        </w:rPr>
        <w:t>č</w:t>
      </w:r>
      <w:r w:rsidRPr="00EB342A">
        <w:rPr>
          <w:rFonts w:ascii="Times New Roman" w:hAnsi="Times New Roman" w:cs="Times New Roman"/>
          <w:sz w:val="24"/>
          <w:szCs w:val="24"/>
        </w:rPr>
        <w:t>ervna 2008 č. 793 k</w:t>
      </w:r>
      <w:r w:rsidR="00A00E89">
        <w:rPr>
          <w:rFonts w:ascii="Times New Roman" w:hAnsi="Times New Roman" w:cs="Times New Roman"/>
          <w:sz w:val="24"/>
          <w:szCs w:val="24"/>
        </w:rPr>
        <w:t> </w:t>
      </w:r>
      <w:r w:rsidRPr="00EB342A">
        <w:rPr>
          <w:rFonts w:ascii="Times New Roman" w:hAnsi="Times New Roman" w:cs="Times New Roman"/>
          <w:sz w:val="24"/>
          <w:szCs w:val="24"/>
        </w:rPr>
        <w:t>návrhu výdajů státního rozpočtu ČR na výzkum a vývoj na rok 2009 s</w:t>
      </w:r>
      <w:r w:rsidR="00A00E89">
        <w:rPr>
          <w:rFonts w:ascii="Times New Roman" w:hAnsi="Times New Roman" w:cs="Times New Roman"/>
          <w:sz w:val="24"/>
          <w:szCs w:val="24"/>
        </w:rPr>
        <w:t> </w:t>
      </w:r>
      <w:r w:rsidRPr="00EB342A">
        <w:rPr>
          <w:rFonts w:ascii="Times New Roman" w:hAnsi="Times New Roman" w:cs="Times New Roman"/>
          <w:sz w:val="24"/>
          <w:szCs w:val="24"/>
        </w:rPr>
        <w:t>výhledem na léta 2010 a 2011 byly výdaje na program výrazně sníženy. Z</w:t>
      </w:r>
      <w:r w:rsidR="00A00E89">
        <w:rPr>
          <w:rFonts w:ascii="Times New Roman" w:hAnsi="Times New Roman" w:cs="Times New Roman"/>
          <w:sz w:val="24"/>
          <w:szCs w:val="24"/>
        </w:rPr>
        <w:t> </w:t>
      </w:r>
      <w:r w:rsidRPr="00EB342A">
        <w:rPr>
          <w:rFonts w:ascii="Times New Roman" w:hAnsi="Times New Roman" w:cs="Times New Roman"/>
          <w:sz w:val="24"/>
          <w:szCs w:val="24"/>
        </w:rPr>
        <w:t>tohoto důvodu byla připravena změna programu, v</w:t>
      </w:r>
      <w:r w:rsidR="00A00E89">
        <w:rPr>
          <w:rFonts w:ascii="Times New Roman" w:hAnsi="Times New Roman" w:cs="Times New Roman"/>
          <w:sz w:val="24"/>
          <w:szCs w:val="24"/>
        </w:rPr>
        <w:t> </w:t>
      </w:r>
      <w:r w:rsidRPr="00EB342A">
        <w:rPr>
          <w:rFonts w:ascii="Times New Roman" w:hAnsi="Times New Roman" w:cs="Times New Roman"/>
          <w:sz w:val="24"/>
          <w:szCs w:val="24"/>
        </w:rPr>
        <w:t>rámci které došlo k</w:t>
      </w:r>
      <w:r w:rsidR="00A00E89">
        <w:rPr>
          <w:rFonts w:ascii="Times New Roman" w:hAnsi="Times New Roman" w:cs="Times New Roman"/>
          <w:sz w:val="24"/>
          <w:szCs w:val="24"/>
        </w:rPr>
        <w:t> </w:t>
      </w:r>
      <w:r w:rsidRPr="00EB342A">
        <w:rPr>
          <w:rFonts w:ascii="Times New Roman" w:hAnsi="Times New Roman" w:cs="Times New Roman"/>
          <w:sz w:val="24"/>
          <w:szCs w:val="24"/>
        </w:rPr>
        <w:t>omezení hlavních cílů programu a zrušení jednotlivých podprogramů. Na podporu programu bylo uvolněno ze státního rozpočtu celkem 163 949 tis. Kč a celková výše uznaných nákladů programu činila 166 717 tis. Kč.</w:t>
      </w:r>
    </w:p>
    <w:p w:rsidR="00796818" w:rsidRPr="00EB342A" w:rsidRDefault="00796818" w:rsidP="00E17B96">
      <w:pPr>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V</w:t>
      </w:r>
      <w:r w:rsidR="00A00E89">
        <w:rPr>
          <w:rFonts w:ascii="Times New Roman" w:hAnsi="Times New Roman" w:cs="Times New Roman"/>
          <w:sz w:val="24"/>
          <w:szCs w:val="24"/>
        </w:rPr>
        <w:t> </w:t>
      </w:r>
      <w:r w:rsidRPr="00EB342A">
        <w:rPr>
          <w:rFonts w:ascii="Times New Roman" w:hAnsi="Times New Roman" w:cs="Times New Roman"/>
          <w:sz w:val="24"/>
          <w:szCs w:val="24"/>
        </w:rPr>
        <w:t>rámci programu bylo uplatněno 656 výsledků. Nejvyšší četnost byla v</w:t>
      </w:r>
      <w:r w:rsidR="00A00E89">
        <w:rPr>
          <w:rFonts w:ascii="Times New Roman" w:hAnsi="Times New Roman" w:cs="Times New Roman"/>
          <w:sz w:val="24"/>
          <w:szCs w:val="24"/>
        </w:rPr>
        <w:t> </w:t>
      </w:r>
      <w:r w:rsidRPr="00EB342A">
        <w:rPr>
          <w:rFonts w:ascii="Times New Roman" w:hAnsi="Times New Roman" w:cs="Times New Roman"/>
          <w:sz w:val="24"/>
          <w:szCs w:val="24"/>
        </w:rPr>
        <w:t>kategorii D – článek v</w:t>
      </w:r>
      <w:r w:rsidR="00A00E89">
        <w:rPr>
          <w:rFonts w:ascii="Times New Roman" w:hAnsi="Times New Roman" w:cs="Times New Roman"/>
          <w:sz w:val="24"/>
          <w:szCs w:val="24"/>
        </w:rPr>
        <w:t> </w:t>
      </w:r>
      <w:r w:rsidRPr="00EB342A">
        <w:rPr>
          <w:rFonts w:ascii="Times New Roman" w:hAnsi="Times New Roman" w:cs="Times New Roman"/>
          <w:sz w:val="24"/>
          <w:szCs w:val="24"/>
        </w:rPr>
        <w:t>odborném sborníku a v</w:t>
      </w:r>
      <w:r w:rsidR="00A00E89">
        <w:rPr>
          <w:rFonts w:ascii="Times New Roman" w:hAnsi="Times New Roman" w:cs="Times New Roman"/>
          <w:sz w:val="24"/>
          <w:szCs w:val="24"/>
        </w:rPr>
        <w:t> </w:t>
      </w:r>
      <w:r w:rsidRPr="00EB342A">
        <w:rPr>
          <w:rFonts w:ascii="Times New Roman" w:hAnsi="Times New Roman" w:cs="Times New Roman"/>
          <w:sz w:val="24"/>
          <w:szCs w:val="24"/>
        </w:rPr>
        <w:t>kategorii J – článek v</w:t>
      </w:r>
      <w:r w:rsidR="00A00E89">
        <w:rPr>
          <w:rFonts w:ascii="Times New Roman" w:hAnsi="Times New Roman" w:cs="Times New Roman"/>
          <w:sz w:val="24"/>
          <w:szCs w:val="24"/>
        </w:rPr>
        <w:t> </w:t>
      </w:r>
      <w:r w:rsidRPr="00EB342A">
        <w:rPr>
          <w:rFonts w:ascii="Times New Roman" w:hAnsi="Times New Roman" w:cs="Times New Roman"/>
          <w:sz w:val="24"/>
          <w:szCs w:val="24"/>
        </w:rPr>
        <w:t>odborném periodiku. Výsledky jsou dále prezentovány v</w:t>
      </w:r>
      <w:r w:rsidR="00A00E89">
        <w:rPr>
          <w:rFonts w:ascii="Times New Roman" w:hAnsi="Times New Roman" w:cs="Times New Roman"/>
          <w:sz w:val="24"/>
          <w:szCs w:val="24"/>
        </w:rPr>
        <w:t> </w:t>
      </w:r>
      <w:r w:rsidRPr="00EB342A">
        <w:rPr>
          <w:rFonts w:ascii="Times New Roman" w:hAnsi="Times New Roman" w:cs="Times New Roman"/>
          <w:sz w:val="24"/>
          <w:szCs w:val="24"/>
        </w:rPr>
        <w:t>odborných monografiích, významný je podíl aplikovaných výsledků formou specializované mapy s</w:t>
      </w:r>
      <w:r w:rsidR="00A00E89">
        <w:rPr>
          <w:rFonts w:ascii="Times New Roman" w:hAnsi="Times New Roman" w:cs="Times New Roman"/>
          <w:sz w:val="24"/>
          <w:szCs w:val="24"/>
        </w:rPr>
        <w:t> </w:t>
      </w:r>
      <w:r w:rsidRPr="00EB342A">
        <w:rPr>
          <w:rFonts w:ascii="Times New Roman" w:hAnsi="Times New Roman" w:cs="Times New Roman"/>
          <w:sz w:val="24"/>
          <w:szCs w:val="24"/>
        </w:rPr>
        <w:t>odborným obsahem, software a certifikované metodiky.</w:t>
      </w:r>
    </w:p>
    <w:p w:rsidR="00796818" w:rsidRPr="00EB342A" w:rsidRDefault="00796818" w:rsidP="00E17B96">
      <w:pPr>
        <w:pStyle w:val="Styl1"/>
        <w:rPr>
          <w:b/>
          <w:lang w:val="cs-CZ"/>
        </w:rPr>
      </w:pPr>
      <w:r w:rsidRPr="00EB342A">
        <w:rPr>
          <w:b/>
          <w:lang w:val="cs-CZ"/>
        </w:rPr>
        <w:t>Ministerstvo školství, mládeže a tělovýchovy – LC – Centra základního výzkumu</w:t>
      </w:r>
    </w:p>
    <w:p w:rsidR="00796818" w:rsidRPr="00EB342A" w:rsidRDefault="00796818" w:rsidP="00E17B96">
      <w:pPr>
        <w:pStyle w:val="Styl1"/>
        <w:rPr>
          <w:lang w:val="cs-CZ"/>
        </w:rPr>
      </w:pPr>
      <w:r w:rsidRPr="00EB342A">
        <w:rPr>
          <w:lang w:val="cs-CZ"/>
        </w:rPr>
        <w:t>Poskytovatel ve zprávě uvádí, že v</w:t>
      </w:r>
      <w:r w:rsidR="00A00E89">
        <w:rPr>
          <w:lang w:val="cs-CZ"/>
        </w:rPr>
        <w:t> </w:t>
      </w:r>
      <w:r w:rsidRPr="00EB342A">
        <w:rPr>
          <w:lang w:val="cs-CZ"/>
        </w:rPr>
        <w:t>rámci programu bylo podpořeno celkem 51 projektů. Celkové náklady na řešení programu činily 4 071 613 tis Kč a podpora z</w:t>
      </w:r>
      <w:r w:rsidR="00A00E89">
        <w:rPr>
          <w:lang w:val="cs-CZ"/>
        </w:rPr>
        <w:t> </w:t>
      </w:r>
      <w:r w:rsidRPr="00EB342A">
        <w:rPr>
          <w:lang w:val="cs-CZ"/>
        </w:rPr>
        <w:t>veřejných zdrojů dosáhla výše 3 163 562 tis. Kč.</w:t>
      </w:r>
    </w:p>
    <w:p w:rsidR="00796818" w:rsidRPr="00EB342A" w:rsidRDefault="00796818" w:rsidP="00E17B96">
      <w:pPr>
        <w:pStyle w:val="Styl1"/>
        <w:rPr>
          <w:lang w:val="cs-CZ"/>
        </w:rPr>
      </w:pPr>
      <w:r w:rsidRPr="00EB342A">
        <w:rPr>
          <w:lang w:val="cs-CZ"/>
        </w:rPr>
        <w:t>Do informačního systému RIV bylo odevzdáno 11 525 výsledků. Převážnou většinu z</w:t>
      </w:r>
      <w:r w:rsidR="00A00E89">
        <w:rPr>
          <w:lang w:val="cs-CZ"/>
        </w:rPr>
        <w:t> </w:t>
      </w:r>
      <w:r w:rsidRPr="00EB342A">
        <w:rPr>
          <w:lang w:val="cs-CZ"/>
        </w:rPr>
        <w:t xml:space="preserve">tohoto počtu tvoří výsledky typu J </w:t>
      </w:r>
      <w:r w:rsidR="00A00E89">
        <w:rPr>
          <w:lang w:val="cs-CZ"/>
        </w:rPr>
        <w:t>–</w:t>
      </w:r>
      <w:r w:rsidRPr="00EB342A">
        <w:rPr>
          <w:lang w:val="cs-CZ"/>
        </w:rPr>
        <w:t xml:space="preserve"> článek v</w:t>
      </w:r>
      <w:r w:rsidR="00A00E89">
        <w:rPr>
          <w:lang w:val="cs-CZ"/>
        </w:rPr>
        <w:t> </w:t>
      </w:r>
      <w:r w:rsidRPr="00EB342A">
        <w:rPr>
          <w:lang w:val="cs-CZ"/>
        </w:rPr>
        <w:t xml:space="preserve">odborném periodiku (65 %) a D </w:t>
      </w:r>
      <w:r w:rsidR="00A00E89">
        <w:rPr>
          <w:lang w:val="cs-CZ"/>
        </w:rPr>
        <w:t>–</w:t>
      </w:r>
      <w:r w:rsidRPr="00EB342A">
        <w:rPr>
          <w:lang w:val="cs-CZ"/>
        </w:rPr>
        <w:t xml:space="preserve"> článek ve sborníku (18</w:t>
      </w:r>
      <w:r w:rsidR="005828A1">
        <w:rPr>
          <w:lang w:val="cs-CZ"/>
        </w:rPr>
        <w:t xml:space="preserve"> </w:t>
      </w:r>
      <w:r w:rsidRPr="00EB342A">
        <w:rPr>
          <w:lang w:val="cs-CZ"/>
        </w:rPr>
        <w:t>%). Spolu s</w:t>
      </w:r>
      <w:r w:rsidR="00A00E89">
        <w:rPr>
          <w:lang w:val="cs-CZ"/>
        </w:rPr>
        <w:t> </w:t>
      </w:r>
      <w:r w:rsidRPr="00EB342A">
        <w:rPr>
          <w:lang w:val="cs-CZ"/>
        </w:rPr>
        <w:t>kapitolami v</w:t>
      </w:r>
      <w:r w:rsidR="00A00E89">
        <w:rPr>
          <w:lang w:val="cs-CZ"/>
        </w:rPr>
        <w:t> </w:t>
      </w:r>
      <w:r w:rsidRPr="00EB342A">
        <w:rPr>
          <w:lang w:val="cs-CZ"/>
        </w:rPr>
        <w:t>odborných knihách (necelých 5 %) a odbornými monografiemi (1,5 %) tak publikace tvořily téměř 90 % všech výsledků programu. Z</w:t>
      </w:r>
      <w:r w:rsidR="00A00E89">
        <w:rPr>
          <w:lang w:val="cs-CZ"/>
        </w:rPr>
        <w:t> </w:t>
      </w:r>
      <w:r w:rsidRPr="00EB342A">
        <w:rPr>
          <w:lang w:val="cs-CZ"/>
        </w:rPr>
        <w:t>celkového počtu uplatněných článků v</w:t>
      </w:r>
      <w:r w:rsidR="00A00E89">
        <w:rPr>
          <w:lang w:val="cs-CZ"/>
        </w:rPr>
        <w:t> </w:t>
      </w:r>
      <w:r w:rsidRPr="00EB342A">
        <w:rPr>
          <w:lang w:val="cs-CZ"/>
        </w:rPr>
        <w:t>odborných časopisech jich 86 % bylo vydáno v</w:t>
      </w:r>
      <w:r w:rsidR="00A00E89">
        <w:rPr>
          <w:lang w:val="cs-CZ"/>
        </w:rPr>
        <w:t> </w:t>
      </w:r>
      <w:r w:rsidRPr="00EB342A">
        <w:rPr>
          <w:lang w:val="cs-CZ"/>
        </w:rPr>
        <w:t>impaktovaných časopisech. Mezi aplikovanými výsledky programu bylo také 21 patentů, z</w:t>
      </w:r>
      <w:r w:rsidR="0003247C">
        <w:rPr>
          <w:lang w:val="cs-CZ"/>
        </w:rPr>
        <w:t>e kterých byly</w:t>
      </w:r>
      <w:r w:rsidRPr="00EB342A">
        <w:rPr>
          <w:lang w:val="cs-CZ"/>
        </w:rPr>
        <w:t xml:space="preserve"> </w:t>
      </w:r>
      <w:r w:rsidR="0003247C">
        <w:rPr>
          <w:lang w:val="cs-CZ"/>
        </w:rPr>
        <w:t>dva</w:t>
      </w:r>
      <w:r w:rsidRPr="00EB342A">
        <w:rPr>
          <w:lang w:val="cs-CZ"/>
        </w:rPr>
        <w:t xml:space="preserve"> zahraniční.</w:t>
      </w:r>
    </w:p>
    <w:p w:rsidR="00796818" w:rsidRPr="00EB342A" w:rsidRDefault="00796818" w:rsidP="00E17B96">
      <w:pPr>
        <w:autoSpaceDE w:val="0"/>
        <w:autoSpaceDN w:val="0"/>
        <w:adjustRightInd w:val="0"/>
        <w:spacing w:after="120" w:line="240" w:lineRule="auto"/>
        <w:ind w:firstLine="709"/>
        <w:jc w:val="both"/>
        <w:rPr>
          <w:rFonts w:ascii="Times New Roman" w:hAnsi="Times New Roman"/>
          <w:sz w:val="24"/>
          <w:szCs w:val="24"/>
        </w:rPr>
      </w:pPr>
      <w:r w:rsidRPr="00EB342A">
        <w:rPr>
          <w:rFonts w:ascii="Times New Roman" w:hAnsi="Times New Roman" w:cs="Times New Roman"/>
          <w:color w:val="000000"/>
          <w:sz w:val="24"/>
          <w:szCs w:val="24"/>
        </w:rPr>
        <w:lastRenderedPageBreak/>
        <w:t>Poskytovatel dále uvádí, že téměř všechny podpořené projekty (50 z</w:t>
      </w:r>
      <w:r w:rsidR="00A00E89">
        <w:rPr>
          <w:rFonts w:ascii="Times New Roman" w:hAnsi="Times New Roman" w:cs="Times New Roman"/>
          <w:color w:val="000000"/>
          <w:sz w:val="24"/>
          <w:szCs w:val="24"/>
        </w:rPr>
        <w:t> </w:t>
      </w:r>
      <w:r w:rsidRPr="00EB342A">
        <w:rPr>
          <w:rFonts w:ascii="Times New Roman" w:hAnsi="Times New Roman" w:cs="Times New Roman"/>
          <w:color w:val="000000"/>
          <w:sz w:val="24"/>
          <w:szCs w:val="24"/>
        </w:rPr>
        <w:t xml:space="preserve">celkových </w:t>
      </w:r>
      <w:r w:rsidRPr="00EB342A">
        <w:rPr>
          <w:rFonts w:ascii="Times New Roman" w:hAnsi="Times New Roman"/>
          <w:color w:val="000000"/>
          <w:sz w:val="24"/>
          <w:szCs w:val="24"/>
        </w:rPr>
        <w:t>51) byly ukončeny s</w:t>
      </w:r>
      <w:r w:rsidR="00A00E89">
        <w:rPr>
          <w:rFonts w:ascii="Times New Roman" w:hAnsi="Times New Roman"/>
          <w:color w:val="000000"/>
          <w:sz w:val="24"/>
          <w:szCs w:val="24"/>
        </w:rPr>
        <w:t> </w:t>
      </w:r>
      <w:r w:rsidRPr="00EB342A">
        <w:rPr>
          <w:rFonts w:ascii="Times New Roman" w:hAnsi="Times New Roman"/>
          <w:color w:val="000000"/>
          <w:sz w:val="24"/>
          <w:szCs w:val="24"/>
        </w:rPr>
        <w:t>výsledkem „uspěl s</w:t>
      </w:r>
      <w:r w:rsidR="00A00E89">
        <w:rPr>
          <w:rFonts w:ascii="Times New Roman" w:hAnsi="Times New Roman"/>
          <w:color w:val="000000"/>
          <w:sz w:val="24"/>
          <w:szCs w:val="24"/>
        </w:rPr>
        <w:t> </w:t>
      </w:r>
      <w:r w:rsidRPr="00EB342A">
        <w:rPr>
          <w:rFonts w:ascii="Times New Roman" w:hAnsi="Times New Roman"/>
          <w:color w:val="000000"/>
          <w:sz w:val="24"/>
          <w:szCs w:val="24"/>
        </w:rPr>
        <w:t>vynikajícími výsledky“ tedy s</w:t>
      </w:r>
      <w:r w:rsidR="00A00E89">
        <w:rPr>
          <w:rFonts w:ascii="Times New Roman" w:hAnsi="Times New Roman"/>
          <w:color w:val="000000"/>
          <w:sz w:val="24"/>
          <w:szCs w:val="24"/>
        </w:rPr>
        <w:t> </w:t>
      </w:r>
      <w:r w:rsidRPr="00EB342A">
        <w:rPr>
          <w:rFonts w:ascii="Times New Roman" w:hAnsi="Times New Roman"/>
          <w:color w:val="000000"/>
          <w:sz w:val="24"/>
          <w:szCs w:val="24"/>
        </w:rPr>
        <w:t>nejlepším možným hodnocením, pouze jeden projekt byl ukončen s</w:t>
      </w:r>
      <w:r w:rsidR="00A00E89">
        <w:rPr>
          <w:rFonts w:ascii="Times New Roman" w:hAnsi="Times New Roman"/>
          <w:color w:val="000000"/>
          <w:sz w:val="24"/>
          <w:szCs w:val="24"/>
        </w:rPr>
        <w:t> </w:t>
      </w:r>
      <w:r w:rsidRPr="00EB342A">
        <w:rPr>
          <w:rFonts w:ascii="Times New Roman" w:hAnsi="Times New Roman"/>
          <w:color w:val="000000"/>
          <w:sz w:val="24"/>
          <w:szCs w:val="24"/>
        </w:rPr>
        <w:t>výsledem „uspěl podle zadání“.</w:t>
      </w:r>
    </w:p>
    <w:p w:rsidR="00796818" w:rsidRPr="004345AE" w:rsidRDefault="00796818" w:rsidP="00E17B96">
      <w:pPr>
        <w:pStyle w:val="Styl1"/>
        <w:rPr>
          <w:b/>
          <w:lang w:val="cs-CZ"/>
        </w:rPr>
      </w:pPr>
      <w:r w:rsidRPr="004345AE">
        <w:rPr>
          <w:b/>
          <w:lang w:val="cs-CZ"/>
        </w:rPr>
        <w:t>Ministerstvo školství, mládeže a tělovýchovy – 1A, 1R – Národní program výzkumu</w:t>
      </w:r>
    </w:p>
    <w:p w:rsidR="00796818" w:rsidRPr="004345AE" w:rsidRDefault="0003247C" w:rsidP="00E17B96">
      <w:pPr>
        <w:pStyle w:val="Styl1"/>
        <w:rPr>
          <w:lang w:val="cs-CZ"/>
        </w:rPr>
      </w:pPr>
      <w:r>
        <w:rPr>
          <w:lang w:val="cs-CZ"/>
        </w:rPr>
        <w:t>NPV</w:t>
      </w:r>
      <w:r w:rsidR="00796818" w:rsidRPr="004345AE">
        <w:rPr>
          <w:lang w:val="cs-CZ"/>
        </w:rPr>
        <w:t xml:space="preserve"> se skládal z</w:t>
      </w:r>
      <w:r w:rsidR="00A00E89" w:rsidRPr="004345AE">
        <w:rPr>
          <w:lang w:val="cs-CZ"/>
        </w:rPr>
        <w:t> </w:t>
      </w:r>
      <w:r w:rsidR="00796818" w:rsidRPr="004345AE">
        <w:rPr>
          <w:lang w:val="cs-CZ"/>
        </w:rPr>
        <w:t>pěti tematických a tří průřezových programů. Poskytovatel uvedl informace o hodnocených programech rámcově za celý program</w:t>
      </w:r>
      <w:r>
        <w:rPr>
          <w:lang w:val="cs-CZ"/>
        </w:rPr>
        <w:t>.</w:t>
      </w:r>
    </w:p>
    <w:p w:rsidR="00796818" w:rsidRPr="004345AE" w:rsidRDefault="00796818" w:rsidP="00E17B96">
      <w:pPr>
        <w:autoSpaceDE w:val="0"/>
        <w:autoSpaceDN w:val="0"/>
        <w:adjustRightInd w:val="0"/>
        <w:spacing w:after="120" w:line="240" w:lineRule="auto"/>
        <w:ind w:firstLine="709"/>
        <w:jc w:val="both"/>
        <w:rPr>
          <w:rFonts w:ascii="Times New Roman" w:hAnsi="Times New Roman" w:cs="Times New Roman"/>
          <w:sz w:val="24"/>
          <w:szCs w:val="24"/>
        </w:rPr>
      </w:pPr>
      <w:r w:rsidRPr="004345AE">
        <w:rPr>
          <w:rFonts w:ascii="Times New Roman" w:hAnsi="Times New Roman" w:cs="Times New Roman"/>
          <w:sz w:val="24"/>
          <w:szCs w:val="24"/>
        </w:rPr>
        <w:t>V</w:t>
      </w:r>
      <w:r w:rsidR="00A00E89" w:rsidRPr="004345AE">
        <w:rPr>
          <w:rFonts w:ascii="Times New Roman" w:hAnsi="Times New Roman" w:cs="Times New Roman"/>
          <w:sz w:val="24"/>
          <w:szCs w:val="24"/>
        </w:rPr>
        <w:t> </w:t>
      </w:r>
      <w:r w:rsidR="0003247C">
        <w:rPr>
          <w:rFonts w:ascii="Times New Roman" w:hAnsi="Times New Roman" w:cs="Times New Roman"/>
          <w:sz w:val="24"/>
          <w:szCs w:val="24"/>
        </w:rPr>
        <w:t>NPV</w:t>
      </w:r>
      <w:r w:rsidRPr="004345AE">
        <w:rPr>
          <w:rFonts w:ascii="Times New Roman" w:hAnsi="Times New Roman" w:cs="Times New Roman"/>
          <w:sz w:val="24"/>
          <w:szCs w:val="24"/>
        </w:rPr>
        <w:t xml:space="preserve"> bylo celkově podpo</w:t>
      </w:r>
      <w:r w:rsidRPr="004345AE">
        <w:rPr>
          <w:rFonts w:ascii="Times New Roman" w:eastAsia="TimesNewRoman" w:hAnsi="Times New Roman" w:cs="Times New Roman"/>
          <w:sz w:val="24"/>
          <w:szCs w:val="24"/>
        </w:rPr>
        <w:t>ř</w:t>
      </w:r>
      <w:r w:rsidRPr="004345AE">
        <w:rPr>
          <w:rFonts w:ascii="Times New Roman" w:hAnsi="Times New Roman" w:cs="Times New Roman"/>
          <w:sz w:val="24"/>
          <w:szCs w:val="24"/>
        </w:rPr>
        <w:t xml:space="preserve">eno a </w:t>
      </w:r>
      <w:r w:rsidRPr="004345AE">
        <w:rPr>
          <w:rFonts w:ascii="Times New Roman" w:eastAsia="TimesNewRoman" w:hAnsi="Times New Roman" w:cs="Times New Roman"/>
          <w:sz w:val="24"/>
          <w:szCs w:val="24"/>
        </w:rPr>
        <w:t>ř</w:t>
      </w:r>
      <w:r w:rsidRPr="004345AE">
        <w:rPr>
          <w:rFonts w:ascii="Times New Roman" w:hAnsi="Times New Roman" w:cs="Times New Roman"/>
          <w:sz w:val="24"/>
          <w:szCs w:val="24"/>
        </w:rPr>
        <w:t>ešeno celkem 1014</w:t>
      </w:r>
      <w:r w:rsidR="005828A1" w:rsidRPr="004345AE">
        <w:rPr>
          <w:rFonts w:ascii="Times New Roman" w:hAnsi="Times New Roman" w:cs="Times New Roman"/>
          <w:sz w:val="24"/>
          <w:szCs w:val="24"/>
        </w:rPr>
        <w:t> </w:t>
      </w:r>
      <w:r w:rsidRPr="004345AE">
        <w:rPr>
          <w:rFonts w:ascii="Times New Roman" w:hAnsi="Times New Roman" w:cs="Times New Roman"/>
          <w:sz w:val="24"/>
          <w:szCs w:val="24"/>
        </w:rPr>
        <w:t>projekt</w:t>
      </w:r>
      <w:r w:rsidRPr="004345AE">
        <w:rPr>
          <w:rFonts w:ascii="Times New Roman" w:eastAsia="TimesNewRoman" w:hAnsi="Times New Roman" w:cs="Times New Roman"/>
          <w:sz w:val="24"/>
          <w:szCs w:val="24"/>
        </w:rPr>
        <w:t xml:space="preserve">ů </w:t>
      </w:r>
      <w:r w:rsidRPr="004345AE">
        <w:rPr>
          <w:rFonts w:ascii="Times New Roman" w:hAnsi="Times New Roman" w:cs="Times New Roman"/>
          <w:sz w:val="24"/>
          <w:szCs w:val="24"/>
        </w:rPr>
        <w:t>s</w:t>
      </w:r>
      <w:r w:rsidR="00A00E89" w:rsidRPr="004345AE">
        <w:rPr>
          <w:rFonts w:ascii="Times New Roman" w:hAnsi="Times New Roman" w:cs="Times New Roman"/>
          <w:sz w:val="24"/>
          <w:szCs w:val="24"/>
        </w:rPr>
        <w:t> </w:t>
      </w:r>
      <w:r w:rsidRPr="004345AE">
        <w:rPr>
          <w:rFonts w:ascii="Times New Roman" w:hAnsi="Times New Roman" w:cs="Times New Roman"/>
          <w:sz w:val="24"/>
          <w:szCs w:val="24"/>
        </w:rPr>
        <w:t>celkovými uznanými náklady 13 382 904 tis. K</w:t>
      </w:r>
      <w:r w:rsidRPr="004345AE">
        <w:rPr>
          <w:rFonts w:ascii="Times New Roman" w:eastAsia="TimesNewRoman" w:hAnsi="Times New Roman" w:cs="Times New Roman"/>
          <w:sz w:val="24"/>
          <w:szCs w:val="24"/>
        </w:rPr>
        <w:t xml:space="preserve">č a státní podporou ve výši </w:t>
      </w:r>
      <w:r w:rsidRPr="004345AE">
        <w:rPr>
          <w:rFonts w:ascii="Times New Roman" w:hAnsi="Times New Roman" w:cs="Times New Roman"/>
          <w:sz w:val="24"/>
          <w:szCs w:val="24"/>
        </w:rPr>
        <w:t>10 951 165 Kč. Celkové uznané náklady na program 1A činily 194 681 tis. Kč (státní podpora 182 074 tis. Kč). Na program 1R bylo celkové náklady ve výši 30 724 tis. Kč a státní podpora činila 29 994 tis. Kč.</w:t>
      </w:r>
    </w:p>
    <w:p w:rsidR="00796818" w:rsidRPr="00EB342A" w:rsidRDefault="00796818" w:rsidP="00E17B96">
      <w:pPr>
        <w:autoSpaceDE w:val="0"/>
        <w:autoSpaceDN w:val="0"/>
        <w:adjustRightInd w:val="0"/>
        <w:spacing w:after="120" w:line="240" w:lineRule="auto"/>
        <w:ind w:firstLine="709"/>
        <w:jc w:val="both"/>
        <w:rPr>
          <w:rFonts w:ascii="Times New Roman" w:hAnsi="Times New Roman" w:cs="Times New Roman"/>
          <w:sz w:val="24"/>
          <w:szCs w:val="24"/>
        </w:rPr>
      </w:pPr>
      <w:r w:rsidRPr="004345AE">
        <w:rPr>
          <w:rFonts w:ascii="Times New Roman" w:hAnsi="Times New Roman" w:cs="Times New Roman"/>
          <w:sz w:val="24"/>
          <w:szCs w:val="24"/>
        </w:rPr>
        <w:t>V</w:t>
      </w:r>
      <w:r w:rsidR="005828A1" w:rsidRPr="004345AE">
        <w:rPr>
          <w:rFonts w:ascii="Times New Roman" w:hAnsi="Times New Roman" w:cs="Times New Roman"/>
          <w:sz w:val="24"/>
          <w:szCs w:val="24"/>
        </w:rPr>
        <w:t> N</w:t>
      </w:r>
      <w:r w:rsidR="004252D3">
        <w:rPr>
          <w:rFonts w:ascii="Times New Roman" w:hAnsi="Times New Roman" w:cs="Times New Roman"/>
          <w:sz w:val="24"/>
          <w:szCs w:val="24"/>
        </w:rPr>
        <w:t>PV</w:t>
      </w:r>
      <w:r w:rsidRPr="004345AE">
        <w:rPr>
          <w:rFonts w:ascii="Times New Roman" w:hAnsi="Times New Roman" w:cs="Times New Roman"/>
          <w:sz w:val="24"/>
          <w:szCs w:val="24"/>
        </w:rPr>
        <w:t xml:space="preserve"> bylo za celou dobu </w:t>
      </w:r>
      <w:r w:rsidRPr="004345AE">
        <w:rPr>
          <w:rFonts w:ascii="Times New Roman" w:eastAsia="TimesNewRoman" w:hAnsi="Times New Roman" w:cs="Times New Roman"/>
          <w:sz w:val="24"/>
          <w:szCs w:val="24"/>
        </w:rPr>
        <w:t>ř</w:t>
      </w:r>
      <w:r w:rsidR="00495517">
        <w:rPr>
          <w:rFonts w:ascii="Times New Roman" w:hAnsi="Times New Roman" w:cs="Times New Roman"/>
          <w:sz w:val="24"/>
          <w:szCs w:val="24"/>
        </w:rPr>
        <w:t>ešení vyprodukováno 30 366 </w:t>
      </w:r>
      <w:r w:rsidRPr="004345AE">
        <w:rPr>
          <w:rFonts w:ascii="Times New Roman" w:hAnsi="Times New Roman" w:cs="Times New Roman"/>
          <w:sz w:val="24"/>
          <w:szCs w:val="24"/>
        </w:rPr>
        <w:t>výsledků, jejichž rozložení mezi dílčími programy bylo</w:t>
      </w:r>
      <w:r w:rsidR="00495517">
        <w:rPr>
          <w:rFonts w:ascii="Times New Roman" w:hAnsi="Times New Roman" w:cs="Times New Roman"/>
          <w:sz w:val="24"/>
          <w:szCs w:val="24"/>
        </w:rPr>
        <w:t xml:space="preserve"> nerovnoměrné (viz graf na str. </w:t>
      </w:r>
      <w:r w:rsidRPr="004345AE">
        <w:rPr>
          <w:rFonts w:ascii="Times New Roman" w:hAnsi="Times New Roman" w:cs="Times New Roman"/>
          <w:sz w:val="24"/>
          <w:szCs w:val="24"/>
        </w:rPr>
        <w:t>12 Závěrečné zprávy MŠMT). Mezi nejvýraznější výsledky patří články v</w:t>
      </w:r>
      <w:r w:rsidR="00A00E89" w:rsidRPr="004345AE">
        <w:rPr>
          <w:rFonts w:ascii="Times New Roman" w:hAnsi="Times New Roman" w:cs="Times New Roman"/>
          <w:sz w:val="24"/>
          <w:szCs w:val="24"/>
        </w:rPr>
        <w:t> </w:t>
      </w:r>
      <w:r w:rsidRPr="004345AE">
        <w:rPr>
          <w:rFonts w:ascii="Times New Roman" w:hAnsi="Times New Roman" w:cs="Times New Roman"/>
          <w:sz w:val="24"/>
          <w:szCs w:val="24"/>
        </w:rPr>
        <w:t>impaktovaných časopisech, příspěvky ve sbornících, mezi méně četné výsledky patří monografie a kapitoly v</w:t>
      </w:r>
      <w:r w:rsidR="00A00E89" w:rsidRPr="004345AE">
        <w:rPr>
          <w:rFonts w:ascii="Times New Roman" w:hAnsi="Times New Roman" w:cs="Times New Roman"/>
          <w:sz w:val="24"/>
          <w:szCs w:val="24"/>
        </w:rPr>
        <w:t> </w:t>
      </w:r>
      <w:r w:rsidRPr="004345AE">
        <w:rPr>
          <w:rFonts w:ascii="Times New Roman" w:hAnsi="Times New Roman" w:cs="Times New Roman"/>
          <w:sz w:val="24"/>
          <w:szCs w:val="24"/>
        </w:rPr>
        <w:t>odborných knihách.</w:t>
      </w:r>
    </w:p>
    <w:p w:rsidR="00796818" w:rsidRPr="00EB342A" w:rsidRDefault="00796818" w:rsidP="00E17B96">
      <w:pPr>
        <w:pStyle w:val="Styl1"/>
        <w:rPr>
          <w:b/>
          <w:lang w:val="cs-CZ"/>
        </w:rPr>
      </w:pPr>
      <w:r w:rsidRPr="00EB342A">
        <w:rPr>
          <w:b/>
          <w:lang w:val="cs-CZ"/>
        </w:rPr>
        <w:t>Ministerstvo školství, mládeže a tělovýchovy – 2 A, 2G – Národní program výzkumu</w:t>
      </w:r>
      <w:r w:rsidR="005828A1">
        <w:rPr>
          <w:b/>
          <w:lang w:val="cs-CZ"/>
        </w:rPr>
        <w:t> </w:t>
      </w:r>
      <w:r w:rsidRPr="00EB342A">
        <w:rPr>
          <w:b/>
          <w:lang w:val="cs-CZ"/>
        </w:rPr>
        <w:t>II</w:t>
      </w:r>
    </w:p>
    <w:p w:rsidR="00796818" w:rsidRPr="00EB342A" w:rsidRDefault="00796818" w:rsidP="00E17B96">
      <w:pPr>
        <w:autoSpaceDE w:val="0"/>
        <w:autoSpaceDN w:val="0"/>
        <w:adjustRightInd w:val="0"/>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Poskytovatel v</w:t>
      </w:r>
      <w:r w:rsidR="00A00E89">
        <w:rPr>
          <w:rFonts w:ascii="Times New Roman" w:hAnsi="Times New Roman" w:cs="Times New Roman"/>
          <w:sz w:val="24"/>
          <w:szCs w:val="24"/>
        </w:rPr>
        <w:t> </w:t>
      </w:r>
      <w:r w:rsidRPr="00EB342A">
        <w:rPr>
          <w:rFonts w:ascii="Times New Roman" w:hAnsi="Times New Roman" w:cs="Times New Roman"/>
          <w:sz w:val="24"/>
          <w:szCs w:val="24"/>
        </w:rPr>
        <w:t>závěrečné zprávě uvedl, že v</w:t>
      </w:r>
      <w:r w:rsidR="004252D3">
        <w:rPr>
          <w:rFonts w:ascii="Times New Roman" w:hAnsi="Times New Roman" w:cs="Times New Roman"/>
          <w:sz w:val="24"/>
          <w:szCs w:val="24"/>
        </w:rPr>
        <w:t xml:space="preserve"> NPV </w:t>
      </w:r>
      <w:r w:rsidRPr="00EB342A">
        <w:rPr>
          <w:rFonts w:ascii="Times New Roman" w:hAnsi="Times New Roman" w:cs="Times New Roman"/>
          <w:sz w:val="24"/>
          <w:szCs w:val="24"/>
        </w:rPr>
        <w:t>II bylo podpo</w:t>
      </w:r>
      <w:r w:rsidRPr="00EB342A">
        <w:rPr>
          <w:rFonts w:ascii="TimesNewRoman" w:eastAsia="TimesNewRoman" w:hAnsi="Times New Roman" w:cs="TimesNewRoman" w:hint="eastAsia"/>
          <w:sz w:val="24"/>
          <w:szCs w:val="24"/>
        </w:rPr>
        <w:t>ř</w:t>
      </w:r>
      <w:r w:rsidR="00947C9D">
        <w:rPr>
          <w:rFonts w:ascii="Times New Roman" w:hAnsi="Times New Roman" w:cs="Times New Roman"/>
          <w:sz w:val="24"/>
          <w:szCs w:val="24"/>
        </w:rPr>
        <w:t>eno celkem 325 </w:t>
      </w:r>
      <w:r w:rsidRPr="00EB342A">
        <w:rPr>
          <w:rFonts w:ascii="Times New Roman" w:hAnsi="Times New Roman" w:cs="Times New Roman"/>
          <w:sz w:val="24"/>
          <w:szCs w:val="24"/>
        </w:rPr>
        <w:t>projekt</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s</w:t>
      </w:r>
      <w:r w:rsidR="00A00E89">
        <w:rPr>
          <w:rFonts w:ascii="Times New Roman" w:hAnsi="Times New Roman" w:cs="Times New Roman"/>
          <w:sz w:val="24"/>
          <w:szCs w:val="24"/>
        </w:rPr>
        <w:t> </w:t>
      </w:r>
      <w:r w:rsidRPr="00EB342A">
        <w:rPr>
          <w:rFonts w:ascii="Times New Roman" w:hAnsi="Times New Roman" w:cs="Times New Roman"/>
          <w:sz w:val="24"/>
          <w:szCs w:val="24"/>
        </w:rPr>
        <w:t>celkovými uznanými náklady ve výši 7 422 128 tis. K</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 tedy v</w:t>
      </w:r>
      <w:r w:rsidR="00A00E89">
        <w:rPr>
          <w:rFonts w:ascii="Times New Roman" w:hAnsi="Times New Roman" w:cs="Times New Roman"/>
          <w:sz w:val="24"/>
          <w:szCs w:val="24"/>
        </w:rPr>
        <w:t> </w:t>
      </w:r>
      <w:r w:rsidRPr="00EB342A">
        <w:rPr>
          <w:rFonts w:ascii="Times New Roman" w:hAnsi="Times New Roman" w:cs="Times New Roman"/>
          <w:sz w:val="24"/>
          <w:szCs w:val="24"/>
        </w:rPr>
        <w:t>hodnot</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necelých 81 % p</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vodn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plánovaných celkových náklad</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na program. Na tyto projekty bylo ze státního rozpo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 xml:space="preserve">tu (resp. </w:t>
      </w:r>
      <w:r w:rsidR="00A00E89" w:rsidRPr="00EB342A">
        <w:rPr>
          <w:rFonts w:ascii="Times New Roman" w:hAnsi="Times New Roman" w:cs="Times New Roman"/>
          <w:sz w:val="24"/>
          <w:szCs w:val="24"/>
        </w:rPr>
        <w:t>Z</w:t>
      </w:r>
      <w:r w:rsidR="00A00E89">
        <w:rPr>
          <w:rFonts w:ascii="Times New Roman" w:hAnsi="Times New Roman" w:cs="Times New Roman"/>
          <w:sz w:val="24"/>
          <w:szCs w:val="24"/>
        </w:rPr>
        <w:t> </w:t>
      </w:r>
      <w:r w:rsidRPr="00EB342A">
        <w:rPr>
          <w:rFonts w:ascii="Times New Roman" w:hAnsi="Times New Roman" w:cs="Times New Roman"/>
          <w:sz w:val="24"/>
          <w:szCs w:val="24"/>
        </w:rPr>
        <w:t>rozpo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00495517">
        <w:rPr>
          <w:rFonts w:ascii="Times New Roman" w:hAnsi="Times New Roman" w:cs="Times New Roman"/>
          <w:sz w:val="24"/>
          <w:szCs w:val="24"/>
        </w:rPr>
        <w:t>MŠMT a MPO) vynaloženo 5 163 </w:t>
      </w:r>
      <w:r w:rsidRPr="00EB342A">
        <w:rPr>
          <w:rFonts w:ascii="Times New Roman" w:hAnsi="Times New Roman" w:cs="Times New Roman"/>
          <w:sz w:val="24"/>
          <w:szCs w:val="24"/>
        </w:rPr>
        <w:t>576 tis. K</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 tedy pouze 70 % p</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vodn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plánovaných ve</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ejných výdaj</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w:t>
      </w:r>
    </w:p>
    <w:p w:rsidR="00796818" w:rsidRPr="00EB342A" w:rsidRDefault="00796818" w:rsidP="00E17B96">
      <w:pPr>
        <w:autoSpaceDE w:val="0"/>
        <w:autoSpaceDN w:val="0"/>
        <w:adjustRightInd w:val="0"/>
        <w:spacing w:after="120" w:line="240" w:lineRule="auto"/>
        <w:ind w:firstLine="709"/>
        <w:jc w:val="both"/>
        <w:rPr>
          <w:rFonts w:ascii="Times New Roman" w:hAnsi="Times New Roman" w:cs="Times New Roman"/>
          <w:sz w:val="24"/>
          <w:szCs w:val="24"/>
        </w:rPr>
      </w:pPr>
      <w:r w:rsidRPr="00EB342A">
        <w:rPr>
          <w:rFonts w:ascii="Times New Roman" w:hAnsi="Times New Roman" w:cs="Times New Roman"/>
          <w:sz w:val="24"/>
          <w:szCs w:val="24"/>
        </w:rPr>
        <w:t>V</w:t>
      </w:r>
      <w:r w:rsidR="00A00E89">
        <w:rPr>
          <w:rFonts w:ascii="Times New Roman" w:hAnsi="Times New Roman" w:cs="Times New Roman"/>
          <w:sz w:val="24"/>
          <w:szCs w:val="24"/>
        </w:rPr>
        <w:t> </w:t>
      </w:r>
      <w:r w:rsidRPr="00EB342A">
        <w:rPr>
          <w:rFonts w:ascii="Times New Roman" w:hAnsi="Times New Roman" w:cs="Times New Roman"/>
          <w:sz w:val="24"/>
          <w:szCs w:val="24"/>
        </w:rPr>
        <w:t>p</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ípad</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programu 2A dosáhly skute</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né výdaje 73 % p</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vodn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 xml:space="preserve">plánované </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ástky. Nejmén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se úrovni plánovaných výdaj</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ze státního rozpo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tu z</w:t>
      </w:r>
      <w:r w:rsidR="00A00E89">
        <w:rPr>
          <w:rFonts w:ascii="Times New Roman" w:hAnsi="Times New Roman" w:cs="Times New Roman"/>
          <w:sz w:val="24"/>
          <w:szCs w:val="24"/>
        </w:rPr>
        <w:t> </w:t>
      </w:r>
      <w:r w:rsidRPr="00EB342A">
        <w:rPr>
          <w:rFonts w:ascii="Times New Roman" w:hAnsi="Times New Roman" w:cs="Times New Roman"/>
          <w:sz w:val="24"/>
          <w:szCs w:val="24"/>
        </w:rPr>
        <w:t>realizovaných program</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p</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iblížil program 2G, kde bylo p</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id</w:t>
      </w:r>
      <w:r w:rsidRPr="00EB342A">
        <w:rPr>
          <w:rFonts w:ascii="TimesNewRoman" w:eastAsia="TimesNewRoman" w:hAnsi="Times New Roman" w:cs="TimesNewRoman" w:hint="eastAsia"/>
          <w:sz w:val="24"/>
          <w:szCs w:val="24"/>
        </w:rPr>
        <w:t>ě</w:t>
      </w:r>
      <w:r w:rsidRPr="00EB342A">
        <w:rPr>
          <w:rFonts w:ascii="Times New Roman" w:hAnsi="Times New Roman" w:cs="Times New Roman"/>
          <w:sz w:val="24"/>
          <w:szCs w:val="24"/>
        </w:rPr>
        <w:t>leno pouze cca 3 % p</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vodn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 xml:space="preserve">plánované </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ástky.  Necelých 59 % ze státních prost</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edk</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na program, resp. 3 027 mil. K</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 bylo financováno z</w:t>
      </w:r>
      <w:r w:rsidR="00A00E89">
        <w:rPr>
          <w:rFonts w:ascii="Times New Roman" w:hAnsi="Times New Roman" w:cs="Times New Roman"/>
          <w:sz w:val="24"/>
          <w:szCs w:val="24"/>
        </w:rPr>
        <w:t> </w:t>
      </w:r>
      <w:r w:rsidRPr="00EB342A">
        <w:rPr>
          <w:rFonts w:ascii="Times New Roman" w:hAnsi="Times New Roman" w:cs="Times New Roman"/>
          <w:sz w:val="24"/>
          <w:szCs w:val="24"/>
        </w:rPr>
        <w:t>rozpo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tu MŠMT, zbývajících 41 %, resp. 2 137 mil. K</w:t>
      </w:r>
      <w:r w:rsidRPr="00EB342A">
        <w:rPr>
          <w:rFonts w:ascii="TimesNewRoman" w:eastAsia="TimesNewRoman" w:hAnsi="Times New Roman" w:cs="TimesNewRoman" w:hint="eastAsia"/>
          <w:sz w:val="24"/>
          <w:szCs w:val="24"/>
        </w:rPr>
        <w:t>č</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z</w:t>
      </w:r>
      <w:r w:rsidR="00A00E89">
        <w:rPr>
          <w:rFonts w:ascii="Times New Roman" w:hAnsi="Times New Roman" w:cs="Times New Roman"/>
          <w:sz w:val="24"/>
          <w:szCs w:val="24"/>
        </w:rPr>
        <w:t> </w:t>
      </w:r>
      <w:r w:rsidRPr="00EB342A">
        <w:rPr>
          <w:rFonts w:ascii="Times New Roman" w:hAnsi="Times New Roman" w:cs="Times New Roman"/>
          <w:sz w:val="24"/>
          <w:szCs w:val="24"/>
        </w:rPr>
        <w:t>rozpo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tu MPO.  V</w:t>
      </w:r>
      <w:r w:rsidR="00A00E89">
        <w:rPr>
          <w:rFonts w:ascii="Times New Roman" w:hAnsi="Times New Roman" w:cs="Times New Roman"/>
          <w:sz w:val="24"/>
          <w:szCs w:val="24"/>
        </w:rPr>
        <w:t> </w:t>
      </w:r>
      <w:r w:rsidRPr="00EB342A">
        <w:rPr>
          <w:rFonts w:ascii="Times New Roman" w:hAnsi="Times New Roman" w:cs="Times New Roman"/>
          <w:sz w:val="24"/>
          <w:szCs w:val="24"/>
        </w:rPr>
        <w:t>pr</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b</w:t>
      </w:r>
      <w:r w:rsidRPr="00EB342A">
        <w:rPr>
          <w:rFonts w:ascii="TimesNewRoman" w:eastAsia="TimesNewRoman" w:hAnsi="Times New Roman" w:cs="TimesNewRoman" w:hint="eastAsia"/>
          <w:sz w:val="24"/>
          <w:szCs w:val="24"/>
        </w:rPr>
        <w:t>ě</w:t>
      </w:r>
      <w:r w:rsidRPr="00EB342A">
        <w:rPr>
          <w:rFonts w:ascii="Times New Roman" w:hAnsi="Times New Roman" w:cs="Times New Roman"/>
          <w:sz w:val="24"/>
          <w:szCs w:val="24"/>
        </w:rPr>
        <w:t>hu trvání programu bylo v</w:t>
      </w:r>
      <w:r w:rsidR="00A00E89">
        <w:rPr>
          <w:rFonts w:ascii="Times New Roman" w:hAnsi="Times New Roman" w:cs="Times New Roman"/>
          <w:sz w:val="24"/>
          <w:szCs w:val="24"/>
        </w:rPr>
        <w:t> </w:t>
      </w:r>
      <w:r w:rsidRPr="00EB342A">
        <w:rPr>
          <w:rFonts w:ascii="Times New Roman" w:hAnsi="Times New Roman" w:cs="Times New Roman"/>
          <w:sz w:val="24"/>
          <w:szCs w:val="24"/>
        </w:rPr>
        <w:t>Rejst</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íku informací o výsledcích zve</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ejn</w:t>
      </w:r>
      <w:r w:rsidRPr="00EB342A">
        <w:rPr>
          <w:rFonts w:ascii="TimesNewRoman" w:eastAsia="TimesNewRoman" w:hAnsi="Times New Roman" w:cs="TimesNewRoman" w:hint="eastAsia"/>
          <w:sz w:val="24"/>
          <w:szCs w:val="24"/>
        </w:rPr>
        <w:t>ě</w:t>
      </w:r>
      <w:r w:rsidRPr="00EB342A">
        <w:rPr>
          <w:rFonts w:ascii="Times New Roman" w:hAnsi="Times New Roman" w:cs="Times New Roman"/>
          <w:sz w:val="24"/>
          <w:szCs w:val="24"/>
        </w:rPr>
        <w:t>no celkem 7 272 výsledků, tedy pr</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m</w:t>
      </w:r>
      <w:r w:rsidRPr="00EB342A">
        <w:rPr>
          <w:rFonts w:ascii="TimesNewRoman" w:eastAsia="TimesNewRoman" w:hAnsi="Times New Roman" w:cs="TimesNewRoman" w:hint="eastAsia"/>
          <w:sz w:val="24"/>
          <w:szCs w:val="24"/>
        </w:rPr>
        <w:t>ě</w:t>
      </w:r>
      <w:r w:rsidRPr="00EB342A">
        <w:rPr>
          <w:rFonts w:ascii="Times New Roman" w:hAnsi="Times New Roman" w:cs="Times New Roman"/>
          <w:sz w:val="24"/>
          <w:szCs w:val="24"/>
        </w:rPr>
        <w:t>rn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cca 22 výsledk</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na jeden projekt. V</w:t>
      </w:r>
      <w:r w:rsidR="00A00E89">
        <w:rPr>
          <w:rFonts w:ascii="Times New Roman" w:hAnsi="Times New Roman" w:cs="Times New Roman"/>
          <w:sz w:val="24"/>
          <w:szCs w:val="24"/>
        </w:rPr>
        <w:t> </w:t>
      </w:r>
      <w:r w:rsidRPr="00EB342A">
        <w:rPr>
          <w:rFonts w:ascii="Times New Roman" w:hAnsi="Times New Roman" w:cs="Times New Roman"/>
          <w:sz w:val="24"/>
          <w:szCs w:val="24"/>
        </w:rPr>
        <w:t>p</w:t>
      </w:r>
      <w:r w:rsidRPr="00EB342A">
        <w:rPr>
          <w:rFonts w:ascii="TimesNewRoman" w:eastAsia="TimesNewRoman" w:hAnsi="Times New Roman" w:cs="TimesNewRoman" w:hint="eastAsia"/>
          <w:sz w:val="24"/>
          <w:szCs w:val="24"/>
        </w:rPr>
        <w:t>ř</w:t>
      </w:r>
      <w:r w:rsidRPr="00EB342A">
        <w:rPr>
          <w:rFonts w:ascii="Times New Roman" w:hAnsi="Times New Roman" w:cs="Times New Roman"/>
          <w:sz w:val="24"/>
          <w:szCs w:val="24"/>
        </w:rPr>
        <w:t>ípad</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programu 2A Trvalá prosperita je podíl na 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tu výsledk</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w:t>
      </w:r>
      <w:r w:rsidRPr="00EB342A">
        <w:rPr>
          <w:rFonts w:ascii="Times New Roman" w:hAnsi="Times New Roman" w:cs="Times New Roman"/>
          <w:sz w:val="24"/>
          <w:szCs w:val="24"/>
        </w:rPr>
        <w:t>výrazn</w:t>
      </w:r>
      <w:r w:rsidRPr="00EB342A">
        <w:rPr>
          <w:rFonts w:ascii="TimesNewRoman" w:eastAsia="TimesNewRoman" w:hAnsi="Times New Roman" w:cs="TimesNewRoman" w:hint="eastAsia"/>
          <w:sz w:val="24"/>
          <w:szCs w:val="24"/>
        </w:rPr>
        <w:t>ě</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nižší než na po</w:t>
      </w:r>
      <w:r w:rsidRPr="00EB342A">
        <w:rPr>
          <w:rFonts w:ascii="TimesNewRoman" w:eastAsia="TimesNewRoman" w:hAnsi="Times New Roman" w:cs="TimesNewRoman" w:hint="eastAsia"/>
          <w:sz w:val="24"/>
          <w:szCs w:val="24"/>
        </w:rPr>
        <w:t>č</w:t>
      </w:r>
      <w:r w:rsidRPr="00EB342A">
        <w:rPr>
          <w:rFonts w:ascii="Times New Roman" w:hAnsi="Times New Roman" w:cs="Times New Roman"/>
          <w:sz w:val="24"/>
          <w:szCs w:val="24"/>
        </w:rPr>
        <w:t>tu projekt</w:t>
      </w:r>
      <w:r w:rsidRPr="00EB342A">
        <w:rPr>
          <w:rFonts w:ascii="TimesNewRoman" w:eastAsia="TimesNewRoman" w:hAnsi="Times New Roman" w:cs="TimesNewRoman" w:hint="eastAsia"/>
          <w:sz w:val="24"/>
          <w:szCs w:val="24"/>
        </w:rPr>
        <w:t>ů</w:t>
      </w:r>
      <w:r w:rsidRPr="00EB342A">
        <w:rPr>
          <w:rFonts w:ascii="TimesNewRoman" w:eastAsia="TimesNewRoman" w:hAnsi="Times New Roman" w:cs="TimesNewRoman"/>
          <w:sz w:val="24"/>
          <w:szCs w:val="24"/>
        </w:rPr>
        <w:t xml:space="preserve"> </w:t>
      </w:r>
      <w:r w:rsidRPr="00EB342A">
        <w:rPr>
          <w:rFonts w:ascii="Times New Roman" w:hAnsi="Times New Roman" w:cs="Times New Roman"/>
          <w:sz w:val="24"/>
          <w:szCs w:val="24"/>
        </w:rPr>
        <w:t>a financování z</w:t>
      </w:r>
      <w:r w:rsidR="00A00E89">
        <w:rPr>
          <w:rFonts w:ascii="Times New Roman" w:hAnsi="Times New Roman" w:cs="Times New Roman"/>
          <w:sz w:val="24"/>
          <w:szCs w:val="24"/>
        </w:rPr>
        <w:t> </w:t>
      </w:r>
      <w:r w:rsidRPr="00EB342A">
        <w:rPr>
          <w:rFonts w:ascii="Times New Roman" w:hAnsi="Times New Roman" w:cs="Times New Roman"/>
          <w:sz w:val="24"/>
          <w:szCs w:val="24"/>
        </w:rPr>
        <w:t>programu. To je ovšem dáno i v</w:t>
      </w:r>
      <w:r w:rsidRPr="00EB342A">
        <w:rPr>
          <w:rFonts w:ascii="TimesNewRoman" w:eastAsia="TimesNewRoman" w:hAnsi="Times New Roman" w:cs="TimesNewRoman" w:hint="eastAsia"/>
          <w:sz w:val="24"/>
          <w:szCs w:val="24"/>
        </w:rPr>
        <w:t>ě</w:t>
      </w:r>
      <w:r w:rsidRPr="00EB342A">
        <w:rPr>
          <w:rFonts w:ascii="Times New Roman" w:hAnsi="Times New Roman" w:cs="Times New Roman"/>
          <w:sz w:val="24"/>
          <w:szCs w:val="24"/>
        </w:rPr>
        <w:t>tším zam</w:t>
      </w:r>
      <w:r w:rsidRPr="00EB342A">
        <w:rPr>
          <w:rFonts w:ascii="TimesNewRoman" w:eastAsia="TimesNewRoman" w:hAnsi="Times New Roman" w:cs="TimesNewRoman" w:hint="eastAsia"/>
          <w:sz w:val="24"/>
          <w:szCs w:val="24"/>
        </w:rPr>
        <w:t>ěř</w:t>
      </w:r>
      <w:r w:rsidRPr="00EB342A">
        <w:rPr>
          <w:rFonts w:ascii="Times New Roman" w:hAnsi="Times New Roman" w:cs="Times New Roman"/>
          <w:sz w:val="24"/>
          <w:szCs w:val="24"/>
        </w:rPr>
        <w:t>ením programu na aplikovaný a pr</w:t>
      </w:r>
      <w:r w:rsidRPr="00EB342A">
        <w:rPr>
          <w:rFonts w:ascii="TimesNewRoman" w:eastAsia="TimesNewRoman" w:hAnsi="Times New Roman" w:cs="TimesNewRoman" w:hint="eastAsia"/>
          <w:sz w:val="24"/>
          <w:szCs w:val="24"/>
        </w:rPr>
        <w:t>ů</w:t>
      </w:r>
      <w:r w:rsidRPr="00EB342A">
        <w:rPr>
          <w:rFonts w:ascii="Times New Roman" w:hAnsi="Times New Roman" w:cs="Times New Roman"/>
          <w:sz w:val="24"/>
          <w:szCs w:val="24"/>
        </w:rPr>
        <w:t>myslový výzkum.</w:t>
      </w:r>
    </w:p>
    <w:p w:rsidR="00796818" w:rsidRPr="00EB342A" w:rsidRDefault="00796818" w:rsidP="00E17B96">
      <w:pPr>
        <w:autoSpaceDE w:val="0"/>
        <w:autoSpaceDN w:val="0"/>
        <w:adjustRightInd w:val="0"/>
        <w:spacing w:after="120" w:line="240" w:lineRule="auto"/>
        <w:ind w:firstLine="709"/>
        <w:jc w:val="both"/>
        <w:rPr>
          <w:rFonts w:ascii="Times New Roman" w:hAnsi="Times New Roman" w:cs="Times New Roman"/>
          <w:b/>
          <w:sz w:val="24"/>
          <w:szCs w:val="24"/>
        </w:rPr>
      </w:pPr>
      <w:r w:rsidRPr="00EB342A">
        <w:rPr>
          <w:rFonts w:ascii="Times New Roman" w:hAnsi="Times New Roman" w:cs="Times New Roman"/>
          <w:b/>
          <w:sz w:val="24"/>
          <w:szCs w:val="24"/>
        </w:rPr>
        <w:t xml:space="preserve">Ministerstvo zdravotnictví – NS </w:t>
      </w:r>
      <w:r w:rsidR="00A00E89">
        <w:rPr>
          <w:rFonts w:ascii="Times New Roman" w:hAnsi="Times New Roman" w:cs="Times New Roman"/>
          <w:b/>
          <w:sz w:val="24"/>
          <w:szCs w:val="24"/>
        </w:rPr>
        <w:t>–</w:t>
      </w:r>
      <w:r w:rsidRPr="00EB342A">
        <w:rPr>
          <w:rFonts w:ascii="Times New Roman" w:hAnsi="Times New Roman" w:cs="Times New Roman"/>
          <w:b/>
          <w:sz w:val="24"/>
          <w:szCs w:val="24"/>
        </w:rPr>
        <w:t xml:space="preserve"> Resortní program výzkumu a vývoje </w:t>
      </w:r>
      <w:r w:rsidR="00A00E89">
        <w:rPr>
          <w:rFonts w:ascii="Times New Roman" w:hAnsi="Times New Roman" w:cs="Times New Roman"/>
          <w:b/>
          <w:sz w:val="24"/>
          <w:szCs w:val="24"/>
        </w:rPr>
        <w:t>–</w:t>
      </w:r>
      <w:r w:rsidRPr="00EB342A">
        <w:rPr>
          <w:rFonts w:ascii="Times New Roman" w:hAnsi="Times New Roman" w:cs="Times New Roman"/>
          <w:b/>
          <w:sz w:val="24"/>
          <w:szCs w:val="24"/>
        </w:rPr>
        <w:t xml:space="preserve"> MZ II na léta 2008 – 2011</w:t>
      </w:r>
    </w:p>
    <w:p w:rsidR="00796818" w:rsidRPr="00EB342A" w:rsidRDefault="00796818" w:rsidP="00E17B96">
      <w:pPr>
        <w:pStyle w:val="Styl1"/>
        <w:rPr>
          <w:bCs/>
          <w:lang w:val="cs-CZ"/>
        </w:rPr>
      </w:pPr>
      <w:r w:rsidRPr="00EB342A">
        <w:rPr>
          <w:lang w:val="cs-CZ"/>
        </w:rPr>
        <w:t>V</w:t>
      </w:r>
      <w:r w:rsidR="00A00E89">
        <w:rPr>
          <w:lang w:val="cs-CZ"/>
        </w:rPr>
        <w:t> </w:t>
      </w:r>
      <w:r w:rsidRPr="00EB342A">
        <w:rPr>
          <w:lang w:val="cs-CZ"/>
        </w:rPr>
        <w:t>programu Ministerstva zdravotnictví byly vypsány dvě veřejné soutěže na účelovou podporu Interní grantové agentury Ministerstva zdravotnictví. Účelová podpora byla použita</w:t>
      </w:r>
      <w:r w:rsidRPr="00EB342A">
        <w:rPr>
          <w:bCs/>
          <w:lang w:val="cs-CZ"/>
        </w:rPr>
        <w:t xml:space="preserve"> na řešení projektů orientovaných na aplikovaný výzkum a vývoj ve zdravotnictví,</w:t>
      </w:r>
      <w:r w:rsidRPr="00EB342A">
        <w:rPr>
          <w:lang w:val="cs-CZ"/>
        </w:rPr>
        <w:t xml:space="preserve"> </w:t>
      </w:r>
      <w:r w:rsidRPr="00EB342A">
        <w:rPr>
          <w:bCs/>
          <w:lang w:val="cs-CZ"/>
        </w:rPr>
        <w:t>tj. projektů řešených za účelem získání nových poznatků směrovaných ke specifickému, předem stanovenému praktickému cíli s</w:t>
      </w:r>
      <w:r w:rsidR="00A00E89">
        <w:rPr>
          <w:bCs/>
          <w:lang w:val="cs-CZ"/>
        </w:rPr>
        <w:t> </w:t>
      </w:r>
      <w:r w:rsidRPr="00EB342A">
        <w:rPr>
          <w:bCs/>
          <w:lang w:val="cs-CZ"/>
        </w:rPr>
        <w:t>předpokládanou aplikací výsledků ve zdravotnictví. V</w:t>
      </w:r>
      <w:r w:rsidR="00A00E89">
        <w:rPr>
          <w:bCs/>
          <w:lang w:val="cs-CZ"/>
        </w:rPr>
        <w:t> </w:t>
      </w:r>
      <w:r w:rsidRPr="00EB342A">
        <w:rPr>
          <w:bCs/>
          <w:lang w:val="cs-CZ"/>
        </w:rPr>
        <w:t>obou veřejných soutěžích bylo podpořeno celkem 400 projektů. U 18 projektů byly na základě žádostí příjemců prodlouženy termíny na dokončení prací na dosažených výsledcích.</w:t>
      </w:r>
    </w:p>
    <w:p w:rsidR="00796818" w:rsidRPr="00EB342A" w:rsidRDefault="00796818" w:rsidP="00E17B96">
      <w:pPr>
        <w:pStyle w:val="Styl1"/>
        <w:rPr>
          <w:bCs/>
          <w:lang w:val="cs-CZ"/>
        </w:rPr>
      </w:pPr>
      <w:r w:rsidRPr="00EB342A">
        <w:rPr>
          <w:bCs/>
          <w:lang w:val="cs-CZ"/>
        </w:rPr>
        <w:t xml:space="preserve">Celkové výdaje na program činily 1 799 651 tis Kč, </w:t>
      </w:r>
      <w:r w:rsidR="004252D3">
        <w:rPr>
          <w:bCs/>
          <w:lang w:val="cs-CZ"/>
        </w:rPr>
        <w:t xml:space="preserve">přidělena byla </w:t>
      </w:r>
      <w:r w:rsidRPr="00EB342A">
        <w:rPr>
          <w:bCs/>
          <w:lang w:val="cs-CZ"/>
        </w:rPr>
        <w:t xml:space="preserve">státní podpora </w:t>
      </w:r>
      <w:r w:rsidR="004252D3">
        <w:rPr>
          <w:bCs/>
          <w:lang w:val="cs-CZ"/>
        </w:rPr>
        <w:t>ve výši</w:t>
      </w:r>
      <w:r w:rsidRPr="00EB342A">
        <w:rPr>
          <w:bCs/>
          <w:lang w:val="cs-CZ"/>
        </w:rPr>
        <w:t xml:space="preserve"> 1 767</w:t>
      </w:r>
      <w:r w:rsidR="005828A1">
        <w:rPr>
          <w:bCs/>
          <w:lang w:val="cs-CZ"/>
        </w:rPr>
        <w:t> </w:t>
      </w:r>
      <w:r w:rsidRPr="00EB342A">
        <w:rPr>
          <w:bCs/>
          <w:lang w:val="cs-CZ"/>
        </w:rPr>
        <w:t>372</w:t>
      </w:r>
      <w:r w:rsidR="005828A1">
        <w:rPr>
          <w:bCs/>
          <w:lang w:val="cs-CZ"/>
        </w:rPr>
        <w:t> </w:t>
      </w:r>
      <w:r w:rsidRPr="00EB342A">
        <w:rPr>
          <w:bCs/>
          <w:lang w:val="cs-CZ"/>
        </w:rPr>
        <w:t>tis.</w:t>
      </w:r>
      <w:r>
        <w:rPr>
          <w:bCs/>
          <w:lang w:val="cs-CZ"/>
        </w:rPr>
        <w:t> </w:t>
      </w:r>
      <w:r w:rsidRPr="00EB342A">
        <w:rPr>
          <w:bCs/>
          <w:lang w:val="cs-CZ"/>
        </w:rPr>
        <w:t>Kč.</w:t>
      </w:r>
    </w:p>
    <w:p w:rsidR="00796818" w:rsidRPr="00EB342A" w:rsidRDefault="00796818" w:rsidP="00E17B96">
      <w:pPr>
        <w:pStyle w:val="Styl1"/>
        <w:rPr>
          <w:bCs/>
          <w:lang w:val="cs-CZ"/>
        </w:rPr>
      </w:pPr>
      <w:r w:rsidRPr="00EB342A">
        <w:rPr>
          <w:bCs/>
          <w:lang w:val="cs-CZ"/>
        </w:rPr>
        <w:t xml:space="preserve">Specifické výsledky zdravotnického výzkumu se týkaly především oblasti diagnostiky, terapie a prevence. Hlavním zdrojem bodového hodnocení výsledků byla publikace výsledků </w:t>
      </w:r>
      <w:r w:rsidRPr="00EB342A">
        <w:rPr>
          <w:bCs/>
          <w:lang w:val="cs-CZ"/>
        </w:rPr>
        <w:lastRenderedPageBreak/>
        <w:t>s</w:t>
      </w:r>
      <w:r w:rsidR="00A00E89">
        <w:rPr>
          <w:bCs/>
          <w:lang w:val="cs-CZ"/>
        </w:rPr>
        <w:t> </w:t>
      </w:r>
      <w:proofErr w:type="spellStart"/>
      <w:r w:rsidRPr="00EB342A">
        <w:rPr>
          <w:bCs/>
          <w:lang w:val="cs-CZ"/>
        </w:rPr>
        <w:t>impact</w:t>
      </w:r>
      <w:proofErr w:type="spellEnd"/>
      <w:r w:rsidRPr="00EB342A">
        <w:rPr>
          <w:bCs/>
          <w:lang w:val="cs-CZ"/>
        </w:rPr>
        <w:t xml:space="preserve"> faktorem, poprvé byly ve výsledcích zahrnuty i ověřené technologie, výsledky byly popsány v</w:t>
      </w:r>
      <w:r w:rsidR="00A00E89">
        <w:rPr>
          <w:bCs/>
          <w:lang w:val="cs-CZ"/>
        </w:rPr>
        <w:t> </w:t>
      </w:r>
      <w:r w:rsidRPr="00EB342A">
        <w:rPr>
          <w:bCs/>
          <w:lang w:val="cs-CZ"/>
        </w:rPr>
        <w:t>řadě publikací.</w:t>
      </w:r>
    </w:p>
    <w:p w:rsidR="00796818" w:rsidRPr="00EB342A" w:rsidRDefault="00796818" w:rsidP="00E17B96">
      <w:pPr>
        <w:pStyle w:val="Styl1"/>
        <w:rPr>
          <w:b/>
          <w:bCs/>
          <w:lang w:val="cs-CZ"/>
        </w:rPr>
      </w:pPr>
      <w:r w:rsidRPr="00EB342A">
        <w:rPr>
          <w:b/>
          <w:bCs/>
          <w:lang w:val="cs-CZ"/>
        </w:rPr>
        <w:t>Ministerstvo životního prostředí – SP- Resortní program výzkumu v</w:t>
      </w:r>
      <w:r w:rsidR="00A00E89">
        <w:rPr>
          <w:b/>
          <w:bCs/>
          <w:lang w:val="cs-CZ"/>
        </w:rPr>
        <w:t> </w:t>
      </w:r>
      <w:r w:rsidRPr="00EB342A">
        <w:rPr>
          <w:b/>
          <w:bCs/>
          <w:lang w:val="cs-CZ"/>
        </w:rPr>
        <w:t xml:space="preserve">působnosti Ministerstva životního prostředí na léta 2007 </w:t>
      </w:r>
      <w:r w:rsidR="00A00E89">
        <w:rPr>
          <w:b/>
          <w:bCs/>
          <w:lang w:val="cs-CZ"/>
        </w:rPr>
        <w:t>–</w:t>
      </w:r>
      <w:r w:rsidRPr="00EB342A">
        <w:rPr>
          <w:b/>
          <w:bCs/>
          <w:lang w:val="cs-CZ"/>
        </w:rPr>
        <w:t xml:space="preserve"> 2011</w:t>
      </w:r>
    </w:p>
    <w:p w:rsidR="00796818" w:rsidRPr="00EB342A" w:rsidRDefault="00796818" w:rsidP="00E17B96">
      <w:pPr>
        <w:pStyle w:val="Styl1"/>
        <w:rPr>
          <w:bCs/>
          <w:lang w:val="cs-CZ"/>
        </w:rPr>
      </w:pPr>
      <w:r w:rsidRPr="00EB342A">
        <w:rPr>
          <w:bCs/>
          <w:lang w:val="cs-CZ"/>
        </w:rPr>
        <w:t>Ministerstvo životního prostředí v</w:t>
      </w:r>
      <w:r w:rsidR="00A00E89">
        <w:rPr>
          <w:bCs/>
          <w:lang w:val="cs-CZ"/>
        </w:rPr>
        <w:t> </w:t>
      </w:r>
      <w:r w:rsidRPr="00EB342A">
        <w:rPr>
          <w:bCs/>
          <w:lang w:val="cs-CZ"/>
        </w:rPr>
        <w:t>závěrečné hodnotící zprávě neuvedlo celkové výdaje na program. Nahlédnutím do IS VaVaI bylo zjištěno, že celkové výdaje na program činily 536 276 tis. Kč, státní podpora činila 481 765 tis. Kč. V</w:t>
      </w:r>
      <w:r w:rsidR="00A00E89">
        <w:rPr>
          <w:bCs/>
          <w:lang w:val="cs-CZ"/>
        </w:rPr>
        <w:t> </w:t>
      </w:r>
      <w:r w:rsidRPr="00EB342A">
        <w:rPr>
          <w:bCs/>
          <w:lang w:val="cs-CZ"/>
        </w:rPr>
        <w:t>roce 2011 došlo k</w:t>
      </w:r>
      <w:r w:rsidR="00A00E89">
        <w:rPr>
          <w:bCs/>
          <w:lang w:val="cs-CZ"/>
        </w:rPr>
        <w:t> </w:t>
      </w:r>
      <w:r w:rsidRPr="00EB342A">
        <w:rPr>
          <w:bCs/>
          <w:lang w:val="cs-CZ"/>
        </w:rPr>
        <w:t xml:space="preserve">redukci výdajů státního rozpočtu na </w:t>
      </w:r>
      <w:proofErr w:type="spellStart"/>
      <w:r w:rsidRPr="00EB342A">
        <w:rPr>
          <w:bCs/>
          <w:lang w:val="cs-CZ"/>
        </w:rPr>
        <w:t>VaV</w:t>
      </w:r>
      <w:proofErr w:type="spellEnd"/>
      <w:r w:rsidRPr="00EB342A">
        <w:rPr>
          <w:bCs/>
          <w:lang w:val="cs-CZ"/>
        </w:rPr>
        <w:t>, která byla provedena plošně na všechny projekty řešené v</w:t>
      </w:r>
      <w:r w:rsidR="00A00E89">
        <w:rPr>
          <w:bCs/>
          <w:lang w:val="cs-CZ"/>
        </w:rPr>
        <w:t> </w:t>
      </w:r>
      <w:r w:rsidRPr="00EB342A">
        <w:rPr>
          <w:bCs/>
          <w:lang w:val="cs-CZ"/>
        </w:rPr>
        <w:t>roce 2011.</w:t>
      </w:r>
    </w:p>
    <w:p w:rsidR="00796818" w:rsidRPr="00EB342A" w:rsidRDefault="00796818" w:rsidP="00E17B96">
      <w:pPr>
        <w:pStyle w:val="Styl1"/>
        <w:rPr>
          <w:bCs/>
          <w:lang w:val="cs-CZ"/>
        </w:rPr>
      </w:pPr>
      <w:r w:rsidRPr="00EB342A">
        <w:rPr>
          <w:bCs/>
          <w:lang w:val="cs-CZ"/>
        </w:rPr>
        <w:t>Jako zvlášť významné výsledky poskytovatel uvádí články v</w:t>
      </w:r>
      <w:r w:rsidR="00A00E89">
        <w:rPr>
          <w:bCs/>
          <w:lang w:val="cs-CZ"/>
        </w:rPr>
        <w:t> </w:t>
      </w:r>
      <w:r w:rsidRPr="00EB342A">
        <w:rPr>
          <w:bCs/>
          <w:lang w:val="cs-CZ"/>
        </w:rPr>
        <w:t>impaktovaných časopisech a</w:t>
      </w:r>
      <w:r w:rsidR="005F1BFF">
        <w:rPr>
          <w:bCs/>
          <w:lang w:val="cs-CZ"/>
        </w:rPr>
        <w:t> </w:t>
      </w:r>
      <w:r w:rsidRPr="00EB342A">
        <w:rPr>
          <w:bCs/>
          <w:lang w:val="cs-CZ"/>
        </w:rPr>
        <w:t>aplikované výsledky. Seznam veškerých výsledků a přínosy jednotlivých projektů jsou uvedeny ve zprávě poskytovatele.</w:t>
      </w:r>
    </w:p>
    <w:p w:rsidR="00796818" w:rsidRPr="00EB342A" w:rsidRDefault="00796818" w:rsidP="00E17B96">
      <w:pPr>
        <w:pStyle w:val="Styl1"/>
        <w:rPr>
          <w:b/>
          <w:bCs/>
          <w:lang w:val="cs-CZ"/>
        </w:rPr>
      </w:pPr>
      <w:r w:rsidRPr="00EB342A">
        <w:rPr>
          <w:b/>
          <w:bCs/>
          <w:lang w:val="cs-CZ"/>
        </w:rPr>
        <w:t>Ministerstvo obrany – OS – Schopnosti – dosažení deklarovaných aliančních požadavků</w:t>
      </w:r>
    </w:p>
    <w:p w:rsidR="00796818" w:rsidRPr="00EB342A" w:rsidRDefault="00796818" w:rsidP="00E17B96">
      <w:pPr>
        <w:pStyle w:val="Styl1"/>
        <w:rPr>
          <w:bCs/>
          <w:lang w:val="cs-CZ"/>
        </w:rPr>
      </w:pPr>
      <w:r w:rsidRPr="00EB342A">
        <w:rPr>
          <w:bCs/>
          <w:lang w:val="cs-CZ"/>
        </w:rPr>
        <w:t>Poskytovatel ve své závěrečné zprávě uvedl, že ve veřejných zakázkách na řešení projektů obranného vývoje probíhajících v</w:t>
      </w:r>
      <w:r w:rsidR="00A00E89">
        <w:rPr>
          <w:bCs/>
          <w:lang w:val="cs-CZ"/>
        </w:rPr>
        <w:t> </w:t>
      </w:r>
      <w:r w:rsidRPr="00EB342A">
        <w:rPr>
          <w:bCs/>
          <w:lang w:val="cs-CZ"/>
        </w:rPr>
        <w:t>jednotlivých letech obdrželo podporu 66 projektů. Jeden projekt byl ukončen bez čerpání podpory. Celkový objem poskytnutých účelových finančních prostředků na jejich podporu činil celkem 559 882 tis. Kč, skutečně vynaložené účelové prostředky byly realizovány ve výši 556 573 tis. Kč. Výše celkových uznaných nákladů byla shodná s</w:t>
      </w:r>
      <w:r w:rsidR="00A00E89">
        <w:rPr>
          <w:bCs/>
          <w:lang w:val="cs-CZ"/>
        </w:rPr>
        <w:t> </w:t>
      </w:r>
      <w:r w:rsidRPr="00EB342A">
        <w:rPr>
          <w:bCs/>
          <w:lang w:val="cs-CZ"/>
        </w:rPr>
        <w:t>účelovou podporou.</w:t>
      </w:r>
    </w:p>
    <w:p w:rsidR="00796818" w:rsidRPr="00EB342A" w:rsidRDefault="00796818" w:rsidP="00E17B96">
      <w:pPr>
        <w:pStyle w:val="Styl1"/>
        <w:rPr>
          <w:b/>
          <w:bCs/>
          <w:lang w:val="cs-CZ"/>
        </w:rPr>
      </w:pPr>
      <w:r w:rsidRPr="00EB342A">
        <w:rPr>
          <w:b/>
          <w:bCs/>
          <w:lang w:val="cs-CZ"/>
        </w:rPr>
        <w:t>Ministerstvo práce a sociálních věcí – HC – Sociálně ekonomický výzkum pro</w:t>
      </w:r>
      <w:r w:rsidR="004252D3">
        <w:rPr>
          <w:b/>
          <w:bCs/>
          <w:lang w:val="cs-CZ"/>
        </w:rPr>
        <w:t> </w:t>
      </w:r>
      <w:r w:rsidRPr="00EB342A">
        <w:rPr>
          <w:b/>
          <w:bCs/>
          <w:lang w:val="cs-CZ"/>
        </w:rPr>
        <w:t>potřeby státu v</w:t>
      </w:r>
      <w:r w:rsidR="00A00E89">
        <w:rPr>
          <w:b/>
          <w:bCs/>
          <w:lang w:val="cs-CZ"/>
        </w:rPr>
        <w:t> </w:t>
      </w:r>
      <w:r w:rsidRPr="00EB342A">
        <w:rPr>
          <w:b/>
          <w:bCs/>
          <w:lang w:val="cs-CZ"/>
        </w:rPr>
        <w:t>letech 2010 až 2011</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bCs/>
          <w:sz w:val="24"/>
          <w:szCs w:val="24"/>
        </w:rPr>
        <w:t>Ministerstvo práce a sociálních věcí v</w:t>
      </w:r>
      <w:r w:rsidR="00A00E89">
        <w:rPr>
          <w:rFonts w:ascii="Times New Roman" w:hAnsi="Times New Roman" w:cs="Times New Roman"/>
          <w:bCs/>
          <w:sz w:val="24"/>
          <w:szCs w:val="24"/>
        </w:rPr>
        <w:t> </w:t>
      </w:r>
      <w:r w:rsidRPr="00EB342A">
        <w:rPr>
          <w:rFonts w:ascii="Times New Roman" w:hAnsi="Times New Roman" w:cs="Times New Roman"/>
          <w:bCs/>
          <w:sz w:val="24"/>
          <w:szCs w:val="24"/>
        </w:rPr>
        <w:t>závěrečné zprávě k</w:t>
      </w:r>
      <w:r w:rsidR="00A00E89">
        <w:rPr>
          <w:rFonts w:ascii="Times New Roman" w:hAnsi="Times New Roman" w:cs="Times New Roman"/>
          <w:bCs/>
          <w:sz w:val="24"/>
          <w:szCs w:val="24"/>
        </w:rPr>
        <w:t> </w:t>
      </w:r>
      <w:r w:rsidRPr="00EB342A">
        <w:rPr>
          <w:rFonts w:ascii="Times New Roman" w:hAnsi="Times New Roman" w:cs="Times New Roman"/>
          <w:bCs/>
          <w:sz w:val="24"/>
          <w:szCs w:val="24"/>
        </w:rPr>
        <w:t xml:space="preserve">programu veřejných zakázek malého rozsahu uvádí, že celková podpora ze státního rozpočtu na řešení projektů činila 40 248 tis. Kč. Zpráva neuvádí celkové výdaje, nahlédnutím do IS VaVaI bylo zjištěno, že celkové výdaje činily </w:t>
      </w:r>
      <w:r w:rsidRPr="00EB342A">
        <w:rPr>
          <w:rFonts w:ascii="Times New Roman" w:hAnsi="Times New Roman" w:cs="Times New Roman"/>
          <w:sz w:val="24"/>
          <w:szCs w:val="24"/>
        </w:rPr>
        <w:t>39 548 tis. Kč a programu byla udělena státní podpora ve stejné výši.</w:t>
      </w:r>
    </w:p>
    <w:p w:rsidR="005F1BFF"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t>Poskytovatel v</w:t>
      </w:r>
      <w:r w:rsidR="00A00E89">
        <w:rPr>
          <w:rFonts w:ascii="Times New Roman" w:hAnsi="Times New Roman" w:cs="Times New Roman"/>
          <w:sz w:val="24"/>
          <w:szCs w:val="24"/>
        </w:rPr>
        <w:t> </w:t>
      </w:r>
      <w:r w:rsidRPr="00EB342A">
        <w:rPr>
          <w:rFonts w:ascii="Times New Roman" w:hAnsi="Times New Roman" w:cs="Times New Roman"/>
          <w:sz w:val="24"/>
          <w:szCs w:val="24"/>
        </w:rPr>
        <w:t>hodnotící zprávě uvádí konkrétní cíle programu a konstatuje, že jich bylo dosaženo. Zpráva rovněž obsahuje údaje o využití výsledků, které vznikly řešením jednotlivých programových projektů.</w:t>
      </w:r>
    </w:p>
    <w:p w:rsidR="00796818" w:rsidRPr="00EB342A" w:rsidRDefault="00796818" w:rsidP="00E17B96">
      <w:pPr>
        <w:spacing w:after="120" w:line="240" w:lineRule="auto"/>
        <w:ind w:right="-26" w:firstLine="709"/>
        <w:jc w:val="both"/>
        <w:rPr>
          <w:rFonts w:ascii="Times New Roman" w:hAnsi="Times New Roman" w:cs="Times New Roman"/>
          <w:b/>
          <w:sz w:val="24"/>
          <w:szCs w:val="24"/>
        </w:rPr>
      </w:pPr>
      <w:r w:rsidRPr="00EB342A">
        <w:rPr>
          <w:rFonts w:ascii="Times New Roman" w:hAnsi="Times New Roman" w:cs="Times New Roman"/>
          <w:b/>
          <w:sz w:val="24"/>
          <w:szCs w:val="24"/>
        </w:rPr>
        <w:t>Ministerstvo spravedlnosti – RD – Společnost, sankční politika, kriminalita</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t>Program obsahoval čtyři projekty, které byly dokončeny ve stanovených termínech. Výsledky byly předány poskytovateli a byly publikovány ve formě monografií, kapitol v</w:t>
      </w:r>
      <w:r w:rsidR="00A00E89">
        <w:rPr>
          <w:rFonts w:ascii="Times New Roman" w:hAnsi="Times New Roman" w:cs="Times New Roman"/>
          <w:sz w:val="24"/>
          <w:szCs w:val="24"/>
        </w:rPr>
        <w:t> </w:t>
      </w:r>
      <w:r w:rsidRPr="00EB342A">
        <w:rPr>
          <w:rFonts w:ascii="Times New Roman" w:hAnsi="Times New Roman" w:cs="Times New Roman"/>
          <w:sz w:val="24"/>
          <w:szCs w:val="24"/>
        </w:rPr>
        <w:t>knihách, článků v</w:t>
      </w:r>
      <w:r w:rsidR="00A00E89">
        <w:rPr>
          <w:rFonts w:ascii="Times New Roman" w:hAnsi="Times New Roman" w:cs="Times New Roman"/>
          <w:sz w:val="24"/>
          <w:szCs w:val="24"/>
        </w:rPr>
        <w:t> </w:t>
      </w:r>
      <w:r w:rsidRPr="00EB342A">
        <w:rPr>
          <w:rFonts w:ascii="Times New Roman" w:hAnsi="Times New Roman" w:cs="Times New Roman"/>
          <w:sz w:val="24"/>
          <w:szCs w:val="24"/>
        </w:rPr>
        <w:t>recenzovaných časopisech a dalšími formami (články ve sbornících, referáty na odborných konferencích a seminářích). Poskytovatel v</w:t>
      </w:r>
      <w:r w:rsidR="00A00E89">
        <w:rPr>
          <w:rFonts w:ascii="Times New Roman" w:hAnsi="Times New Roman" w:cs="Times New Roman"/>
          <w:sz w:val="24"/>
          <w:szCs w:val="24"/>
        </w:rPr>
        <w:t> </w:t>
      </w:r>
      <w:r w:rsidRPr="00EB342A">
        <w:rPr>
          <w:rFonts w:ascii="Times New Roman" w:hAnsi="Times New Roman" w:cs="Times New Roman"/>
          <w:sz w:val="24"/>
          <w:szCs w:val="24"/>
        </w:rPr>
        <w:t>závěrečné zprávě konstatuje, že cíle programu byly naplněny.</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t>Poskytovatel v</w:t>
      </w:r>
      <w:r w:rsidR="00A00E89">
        <w:rPr>
          <w:rFonts w:ascii="Times New Roman" w:hAnsi="Times New Roman" w:cs="Times New Roman"/>
          <w:sz w:val="24"/>
          <w:szCs w:val="24"/>
        </w:rPr>
        <w:t> </w:t>
      </w:r>
      <w:r w:rsidRPr="00EB342A">
        <w:rPr>
          <w:rFonts w:ascii="Times New Roman" w:hAnsi="Times New Roman" w:cs="Times New Roman"/>
          <w:sz w:val="24"/>
          <w:szCs w:val="24"/>
        </w:rPr>
        <w:t>závěrečné zprávě neuvedl celkové výdaje na řešení programu. Podle IS</w:t>
      </w:r>
      <w:r w:rsidR="005F1BFF">
        <w:rPr>
          <w:rFonts w:ascii="Times New Roman" w:hAnsi="Times New Roman" w:cs="Times New Roman"/>
          <w:sz w:val="24"/>
          <w:szCs w:val="24"/>
        </w:rPr>
        <w:t> </w:t>
      </w:r>
      <w:r w:rsidRPr="00EB342A">
        <w:rPr>
          <w:rFonts w:ascii="Times New Roman" w:hAnsi="Times New Roman" w:cs="Times New Roman"/>
          <w:sz w:val="24"/>
          <w:szCs w:val="24"/>
        </w:rPr>
        <w:t>VaVaI celkové výdaje činily 24 707 tis. Kč, státní podpora byla podle zprávy poskytovatele udělena ve výši 24 476 tis. Kč. Nahlédnutím do IS VaVaI bylo zjištěno, že státní podpora na</w:t>
      </w:r>
      <w:r w:rsidR="004252D3">
        <w:rPr>
          <w:rFonts w:ascii="Times New Roman" w:hAnsi="Times New Roman" w:cs="Times New Roman"/>
          <w:sz w:val="24"/>
          <w:szCs w:val="24"/>
        </w:rPr>
        <w:t> </w:t>
      </w:r>
      <w:r w:rsidRPr="00EB342A">
        <w:rPr>
          <w:rFonts w:ascii="Times New Roman" w:hAnsi="Times New Roman" w:cs="Times New Roman"/>
          <w:sz w:val="24"/>
          <w:szCs w:val="24"/>
        </w:rPr>
        <w:t>program se rovnala výši celkových nákladů na program a dosáhla tedy 24 707 tis. Kč.</w:t>
      </w:r>
    </w:p>
    <w:p w:rsidR="00796818" w:rsidRPr="00EB342A" w:rsidRDefault="00796818" w:rsidP="00E17B96">
      <w:pPr>
        <w:spacing w:after="120" w:line="240" w:lineRule="auto"/>
        <w:ind w:right="-26" w:firstLine="709"/>
        <w:jc w:val="both"/>
        <w:rPr>
          <w:rFonts w:ascii="Times New Roman" w:hAnsi="Times New Roman" w:cs="Times New Roman"/>
          <w:b/>
          <w:sz w:val="24"/>
          <w:szCs w:val="24"/>
        </w:rPr>
      </w:pPr>
      <w:r w:rsidRPr="00EB342A">
        <w:rPr>
          <w:rFonts w:ascii="Times New Roman" w:hAnsi="Times New Roman" w:cs="Times New Roman"/>
          <w:b/>
          <w:sz w:val="24"/>
          <w:szCs w:val="24"/>
        </w:rPr>
        <w:t xml:space="preserve">Ministerstvo vnitra – VE </w:t>
      </w:r>
      <w:r w:rsidR="00A00E89">
        <w:rPr>
          <w:rFonts w:ascii="Times New Roman" w:hAnsi="Times New Roman" w:cs="Times New Roman"/>
          <w:b/>
          <w:sz w:val="24"/>
          <w:szCs w:val="24"/>
        </w:rPr>
        <w:t>–</w:t>
      </w:r>
      <w:r w:rsidRPr="00EB342A">
        <w:rPr>
          <w:rFonts w:ascii="Times New Roman" w:hAnsi="Times New Roman" w:cs="Times New Roman"/>
          <w:b/>
          <w:sz w:val="24"/>
          <w:szCs w:val="24"/>
        </w:rPr>
        <w:t xml:space="preserve"> Resortní výzkum a vývoj</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t>Poskytovatel v</w:t>
      </w:r>
      <w:r w:rsidR="00A00E89">
        <w:rPr>
          <w:rFonts w:ascii="Times New Roman" w:hAnsi="Times New Roman" w:cs="Times New Roman"/>
          <w:sz w:val="24"/>
          <w:szCs w:val="24"/>
        </w:rPr>
        <w:t> </w:t>
      </w:r>
      <w:r w:rsidRPr="00EB342A">
        <w:rPr>
          <w:rFonts w:ascii="Times New Roman" w:hAnsi="Times New Roman" w:cs="Times New Roman"/>
          <w:sz w:val="24"/>
          <w:szCs w:val="24"/>
        </w:rPr>
        <w:t>závěrečné hodnotící zprávě k</w:t>
      </w:r>
      <w:r w:rsidR="00A00E89">
        <w:rPr>
          <w:rFonts w:ascii="Times New Roman" w:hAnsi="Times New Roman" w:cs="Times New Roman"/>
          <w:sz w:val="24"/>
          <w:szCs w:val="24"/>
        </w:rPr>
        <w:t> </w:t>
      </w:r>
      <w:r w:rsidRPr="00EB342A">
        <w:rPr>
          <w:rFonts w:ascii="Times New Roman" w:hAnsi="Times New Roman" w:cs="Times New Roman"/>
          <w:sz w:val="24"/>
          <w:szCs w:val="24"/>
        </w:rPr>
        <w:t>programu uvádí, že program byl realizován jako soubor veřejných zakázek v</w:t>
      </w:r>
      <w:r w:rsidR="00A00E89">
        <w:rPr>
          <w:rFonts w:ascii="Times New Roman" w:hAnsi="Times New Roman" w:cs="Times New Roman"/>
          <w:sz w:val="24"/>
          <w:szCs w:val="24"/>
        </w:rPr>
        <w:t> </w:t>
      </w:r>
      <w:r w:rsidRPr="00EB342A">
        <w:rPr>
          <w:rFonts w:ascii="Times New Roman" w:hAnsi="Times New Roman" w:cs="Times New Roman"/>
          <w:sz w:val="24"/>
          <w:szCs w:val="24"/>
        </w:rPr>
        <w:t>oblastech fungování veřejné správy, ochrany zabezpečení archiválií v</w:t>
      </w:r>
      <w:r w:rsidR="00A00E89">
        <w:rPr>
          <w:rFonts w:ascii="Times New Roman" w:hAnsi="Times New Roman" w:cs="Times New Roman"/>
          <w:sz w:val="24"/>
          <w:szCs w:val="24"/>
        </w:rPr>
        <w:t> </w:t>
      </w:r>
      <w:r w:rsidRPr="00EB342A">
        <w:rPr>
          <w:rFonts w:ascii="Times New Roman" w:hAnsi="Times New Roman" w:cs="Times New Roman"/>
          <w:sz w:val="24"/>
          <w:szCs w:val="24"/>
        </w:rPr>
        <w:t>klasické i elektronické podobě, prevenci trestné činnosti a odhalování latentní kriminality a kriminalistické identifikace osob.</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lastRenderedPageBreak/>
        <w:t>Program byl schválen s</w:t>
      </w:r>
      <w:r w:rsidR="00A00E89">
        <w:rPr>
          <w:rFonts w:ascii="Times New Roman" w:hAnsi="Times New Roman" w:cs="Times New Roman"/>
          <w:sz w:val="24"/>
          <w:szCs w:val="24"/>
        </w:rPr>
        <w:t> </w:t>
      </w:r>
      <w:r w:rsidRPr="00EB342A">
        <w:rPr>
          <w:rFonts w:ascii="Times New Roman" w:hAnsi="Times New Roman" w:cs="Times New Roman"/>
          <w:sz w:val="24"/>
          <w:szCs w:val="24"/>
        </w:rPr>
        <w:t>rozpočtem na celé období ve výši 11 803 tis. Kč a poskytovatel uvádí, že celkově byly čerpány prostředky ve výši 11 789 tis. Kč. Podle IS VaVaI činila státní podpora na program 11 803 tis. Kč.</w:t>
      </w:r>
    </w:p>
    <w:p w:rsidR="00796818" w:rsidRPr="00EB342A" w:rsidRDefault="00796818" w:rsidP="00E17B96">
      <w:pPr>
        <w:spacing w:after="120" w:line="240" w:lineRule="auto"/>
        <w:ind w:right="-26" w:firstLine="709"/>
        <w:jc w:val="both"/>
        <w:rPr>
          <w:rFonts w:ascii="Times New Roman" w:hAnsi="Times New Roman" w:cs="Times New Roman"/>
          <w:sz w:val="24"/>
          <w:szCs w:val="24"/>
        </w:rPr>
      </w:pPr>
      <w:r w:rsidRPr="00EB342A">
        <w:rPr>
          <w:rFonts w:ascii="Times New Roman" w:hAnsi="Times New Roman" w:cs="Times New Roman"/>
          <w:sz w:val="24"/>
          <w:szCs w:val="24"/>
        </w:rPr>
        <w:t>Dále poskytovatel uvádí, že z</w:t>
      </w:r>
      <w:r w:rsidR="00A00E89">
        <w:rPr>
          <w:rFonts w:ascii="Times New Roman" w:hAnsi="Times New Roman" w:cs="Times New Roman"/>
          <w:sz w:val="24"/>
          <w:szCs w:val="24"/>
        </w:rPr>
        <w:t> </w:t>
      </w:r>
      <w:r w:rsidRPr="00EB342A">
        <w:rPr>
          <w:rFonts w:ascii="Times New Roman" w:hAnsi="Times New Roman" w:cs="Times New Roman"/>
          <w:sz w:val="24"/>
          <w:szCs w:val="24"/>
        </w:rPr>
        <w:t>celkového počtu 10 projektů dosáhly tři projekty vynikajících výsledků a sedm projektů uspělo dle zadání.</w:t>
      </w:r>
    </w:p>
    <w:p w:rsidR="00114FB4" w:rsidRPr="005F1BFF" w:rsidRDefault="00114FB4" w:rsidP="002927A4">
      <w:pPr>
        <w:pStyle w:val="Styl1"/>
        <w:numPr>
          <w:ilvl w:val="1"/>
          <w:numId w:val="34"/>
        </w:numPr>
        <w:rPr>
          <w:lang w:val="cs-CZ"/>
        </w:rPr>
      </w:pPr>
      <w:r w:rsidRPr="005F1BFF">
        <w:rPr>
          <w:b/>
          <w:lang w:val="cs-CZ"/>
        </w:rPr>
        <w:t xml:space="preserve">Porovnání výsledků řešení </w:t>
      </w:r>
      <w:r w:rsidR="00760798" w:rsidRPr="005F1BFF">
        <w:rPr>
          <w:b/>
          <w:lang w:val="cs-CZ"/>
        </w:rPr>
        <w:t>programů</w:t>
      </w:r>
      <w:r w:rsidRPr="005F1BFF">
        <w:rPr>
          <w:b/>
          <w:lang w:val="cs-CZ"/>
        </w:rPr>
        <w:t xml:space="preserve"> podle hodnocení poskytovatelů s</w:t>
      </w:r>
      <w:r w:rsidR="00AE0005" w:rsidRPr="005F1BFF">
        <w:rPr>
          <w:b/>
          <w:lang w:val="cs-CZ"/>
        </w:rPr>
        <w:t> </w:t>
      </w:r>
      <w:r w:rsidRPr="005F1BFF">
        <w:rPr>
          <w:b/>
          <w:lang w:val="cs-CZ"/>
        </w:rPr>
        <w:t>výsledky obsaženými v IS VaVaI</w:t>
      </w:r>
    </w:p>
    <w:p w:rsidR="00340B28" w:rsidRDefault="00B82785" w:rsidP="00E17B96">
      <w:pPr>
        <w:pStyle w:val="Styl1"/>
        <w:rPr>
          <w:lang w:val="cs-CZ"/>
        </w:rPr>
      </w:pPr>
      <w:r w:rsidRPr="00327B80">
        <w:rPr>
          <w:lang w:val="cs-CZ"/>
        </w:rPr>
        <w:t>Z</w:t>
      </w:r>
      <w:r w:rsidR="00760798">
        <w:rPr>
          <w:lang w:val="cs-CZ"/>
        </w:rPr>
        <w:t> </w:t>
      </w:r>
      <w:r w:rsidR="00FC1237">
        <w:rPr>
          <w:lang w:val="cs-CZ"/>
        </w:rPr>
        <w:t xml:space="preserve">celkem </w:t>
      </w:r>
      <w:r w:rsidRPr="00327B80">
        <w:rPr>
          <w:lang w:val="cs-CZ"/>
        </w:rPr>
        <w:t>8</w:t>
      </w:r>
      <w:r w:rsidR="00034D23">
        <w:rPr>
          <w:lang w:val="cs-CZ"/>
        </w:rPr>
        <w:t>29</w:t>
      </w:r>
      <w:r w:rsidRPr="00327B80">
        <w:rPr>
          <w:lang w:val="cs-CZ"/>
        </w:rPr>
        <w:t xml:space="preserve"> projektů bylo </w:t>
      </w:r>
      <w:r w:rsidR="00DF06C5" w:rsidRPr="00327B80">
        <w:rPr>
          <w:lang w:val="cs-CZ"/>
        </w:rPr>
        <w:t>podle údajů obsažených v</w:t>
      </w:r>
      <w:r w:rsidR="00760798">
        <w:rPr>
          <w:lang w:val="cs-CZ"/>
        </w:rPr>
        <w:t> </w:t>
      </w:r>
      <w:r w:rsidR="00DF06C5" w:rsidRPr="00327B80">
        <w:rPr>
          <w:lang w:val="cs-CZ"/>
        </w:rPr>
        <w:t xml:space="preserve">IS VaVaI </w:t>
      </w:r>
      <w:r w:rsidR="00034D23">
        <w:rPr>
          <w:lang w:val="cs-CZ"/>
        </w:rPr>
        <w:t>366</w:t>
      </w:r>
      <w:r w:rsidRPr="00327B80">
        <w:rPr>
          <w:lang w:val="cs-CZ"/>
        </w:rPr>
        <w:t xml:space="preserve"> projektů </w:t>
      </w:r>
      <w:r w:rsidR="00FC1237">
        <w:rPr>
          <w:lang w:val="cs-CZ"/>
        </w:rPr>
        <w:t>ukončeno</w:t>
      </w:r>
      <w:r w:rsidRPr="00327B80">
        <w:rPr>
          <w:lang w:val="cs-CZ"/>
        </w:rPr>
        <w:t xml:space="preserve"> s</w:t>
      </w:r>
      <w:r w:rsidR="00760798">
        <w:rPr>
          <w:lang w:val="cs-CZ"/>
        </w:rPr>
        <w:t> </w:t>
      </w:r>
      <w:r w:rsidRPr="00327B80">
        <w:rPr>
          <w:lang w:val="cs-CZ"/>
        </w:rPr>
        <w:t>vynikajícími výsledky (</w:t>
      </w:r>
      <w:r w:rsidR="00034D23">
        <w:rPr>
          <w:lang w:val="cs-CZ"/>
        </w:rPr>
        <w:t>44,1</w:t>
      </w:r>
      <w:r w:rsidRPr="00327B80">
        <w:rPr>
          <w:lang w:val="cs-CZ"/>
        </w:rPr>
        <w:t xml:space="preserve"> %), </w:t>
      </w:r>
      <w:r w:rsidR="00034D23">
        <w:rPr>
          <w:lang w:val="cs-CZ"/>
        </w:rPr>
        <w:t>432</w:t>
      </w:r>
      <w:r w:rsidRPr="00327B80">
        <w:rPr>
          <w:lang w:val="cs-CZ"/>
        </w:rPr>
        <w:t xml:space="preserve"> proje</w:t>
      </w:r>
      <w:r w:rsidR="00C06B67" w:rsidRPr="00327B80">
        <w:rPr>
          <w:lang w:val="cs-CZ"/>
        </w:rPr>
        <w:t>ktů uspělo podle zadání (</w:t>
      </w:r>
      <w:r w:rsidR="00034D23">
        <w:rPr>
          <w:lang w:val="cs-CZ"/>
        </w:rPr>
        <w:t>52,1</w:t>
      </w:r>
      <w:r w:rsidR="00B57E1F" w:rsidRPr="00327B80">
        <w:rPr>
          <w:lang w:val="cs-CZ"/>
        </w:rPr>
        <w:t xml:space="preserve"> %) a</w:t>
      </w:r>
      <w:r w:rsidR="00FC1237">
        <w:rPr>
          <w:lang w:val="cs-CZ"/>
        </w:rPr>
        <w:t> </w:t>
      </w:r>
      <w:r w:rsidR="00C06B67" w:rsidRPr="00327B80">
        <w:rPr>
          <w:lang w:val="cs-CZ"/>
        </w:rPr>
        <w:t>u</w:t>
      </w:r>
      <w:r w:rsidR="00FC1237">
        <w:rPr>
          <w:lang w:val="cs-CZ"/>
        </w:rPr>
        <w:t> </w:t>
      </w:r>
      <w:r w:rsidR="00034D23">
        <w:rPr>
          <w:lang w:val="cs-CZ"/>
        </w:rPr>
        <w:t>31</w:t>
      </w:r>
      <w:r w:rsidR="00495517">
        <w:rPr>
          <w:lang w:val="cs-CZ"/>
        </w:rPr>
        <w:t> </w:t>
      </w:r>
      <w:r w:rsidR="00C06B67" w:rsidRPr="00327B80">
        <w:rPr>
          <w:lang w:val="cs-CZ"/>
        </w:rPr>
        <w:t>projektů nebylo splněno zadání (</w:t>
      </w:r>
      <w:r w:rsidR="00034D23">
        <w:rPr>
          <w:lang w:val="cs-CZ"/>
        </w:rPr>
        <w:t>3,7</w:t>
      </w:r>
      <w:r w:rsidR="00017C41" w:rsidRPr="00327B80">
        <w:rPr>
          <w:lang w:val="cs-CZ"/>
        </w:rPr>
        <w:t xml:space="preserve"> </w:t>
      </w:r>
      <w:r w:rsidR="00C06B67" w:rsidRPr="00327B80">
        <w:rPr>
          <w:lang w:val="cs-CZ"/>
        </w:rPr>
        <w:t>%).</w:t>
      </w:r>
    </w:p>
    <w:p w:rsidR="004E70C2" w:rsidRPr="00327B80" w:rsidRDefault="00E41D9A" w:rsidP="00E17B96">
      <w:pPr>
        <w:pStyle w:val="Styl1"/>
        <w:rPr>
          <w:rFonts w:eastAsia="Times New Roman"/>
          <w:lang w:val="cs-CZ" w:eastAsia="ar-SA"/>
        </w:rPr>
      </w:pPr>
      <w:r w:rsidRPr="00327B80">
        <w:rPr>
          <w:lang w:val="cs-CZ"/>
        </w:rPr>
        <w:t>Nejvyšší podíl projektů vyhodnocených jako projekty s</w:t>
      </w:r>
      <w:r w:rsidR="00760798">
        <w:rPr>
          <w:lang w:val="cs-CZ"/>
        </w:rPr>
        <w:t> </w:t>
      </w:r>
      <w:r w:rsidRPr="00327B80">
        <w:rPr>
          <w:lang w:val="cs-CZ"/>
        </w:rPr>
        <w:t xml:space="preserve">vynikajícími výsledky vykázalo Ministerstvo školství, mládeže a tělovýchovy u programu </w:t>
      </w:r>
      <w:r w:rsidRPr="00327B80">
        <w:rPr>
          <w:rFonts w:eastAsia="Times New Roman"/>
          <w:lang w:val="cs-CZ" w:eastAsia="ar-SA"/>
        </w:rPr>
        <w:t>LC. Z</w:t>
      </w:r>
      <w:r w:rsidR="00760798">
        <w:rPr>
          <w:rFonts w:eastAsia="Times New Roman"/>
          <w:lang w:val="cs-CZ" w:eastAsia="ar-SA"/>
        </w:rPr>
        <w:t> </w:t>
      </w:r>
      <w:r w:rsidRPr="00327B80">
        <w:rPr>
          <w:rFonts w:eastAsia="Times New Roman"/>
          <w:lang w:val="cs-CZ" w:eastAsia="ar-SA"/>
        </w:rPr>
        <w:t xml:space="preserve">celkem 51 řešených projektů bylo </w:t>
      </w:r>
      <w:r w:rsidR="0043075E" w:rsidRPr="00327B80">
        <w:rPr>
          <w:rFonts w:eastAsia="Times New Roman"/>
          <w:lang w:val="cs-CZ" w:eastAsia="ar-SA"/>
        </w:rPr>
        <w:t xml:space="preserve">podle údajů předaných do IS VaVaI </w:t>
      </w:r>
      <w:r w:rsidR="004D13CA" w:rsidRPr="00327B80">
        <w:rPr>
          <w:rFonts w:eastAsia="Times New Roman"/>
          <w:lang w:val="cs-CZ" w:eastAsia="ar-SA"/>
        </w:rPr>
        <w:t>50 z</w:t>
      </w:r>
      <w:r w:rsidR="00760798">
        <w:rPr>
          <w:rFonts w:eastAsia="Times New Roman"/>
          <w:lang w:val="cs-CZ" w:eastAsia="ar-SA"/>
        </w:rPr>
        <w:t> </w:t>
      </w:r>
      <w:r w:rsidR="004D13CA" w:rsidRPr="00327B80">
        <w:rPr>
          <w:rFonts w:eastAsia="Times New Roman"/>
          <w:lang w:val="cs-CZ" w:eastAsia="ar-SA"/>
        </w:rPr>
        <w:t xml:space="preserve">nich </w:t>
      </w:r>
      <w:r w:rsidRPr="00327B80">
        <w:rPr>
          <w:rFonts w:eastAsia="Times New Roman"/>
          <w:lang w:val="cs-CZ" w:eastAsia="ar-SA"/>
        </w:rPr>
        <w:t>ukončeno s</w:t>
      </w:r>
      <w:r w:rsidR="00760798">
        <w:rPr>
          <w:rFonts w:eastAsia="Times New Roman"/>
          <w:lang w:val="cs-CZ" w:eastAsia="ar-SA"/>
        </w:rPr>
        <w:t> </w:t>
      </w:r>
      <w:r w:rsidRPr="00327B80">
        <w:rPr>
          <w:rFonts w:eastAsia="Times New Roman"/>
          <w:lang w:val="cs-CZ" w:eastAsia="ar-SA"/>
        </w:rPr>
        <w:t>vynikajícími výsledky</w:t>
      </w:r>
      <w:r w:rsidR="00017C41" w:rsidRPr="00327B80">
        <w:rPr>
          <w:rFonts w:eastAsia="Times New Roman"/>
          <w:lang w:val="cs-CZ" w:eastAsia="ar-SA"/>
        </w:rPr>
        <w:t xml:space="preserve"> (98 %)</w:t>
      </w:r>
      <w:r w:rsidRPr="00327B80">
        <w:rPr>
          <w:rFonts w:eastAsia="Times New Roman"/>
          <w:lang w:val="cs-CZ" w:eastAsia="ar-SA"/>
        </w:rPr>
        <w:t>.</w:t>
      </w:r>
      <w:r w:rsidR="008D7FE0">
        <w:rPr>
          <w:rFonts w:eastAsia="Times New Roman"/>
          <w:lang w:val="cs-CZ" w:eastAsia="ar-SA"/>
        </w:rPr>
        <w:t xml:space="preserve"> </w:t>
      </w:r>
      <w:r w:rsidRPr="00327B80">
        <w:rPr>
          <w:rFonts w:eastAsia="Times New Roman"/>
          <w:lang w:val="cs-CZ" w:eastAsia="ar-SA"/>
        </w:rPr>
        <w:t>Vysok</w:t>
      </w:r>
      <w:r w:rsidR="00A73B3A">
        <w:rPr>
          <w:rFonts w:eastAsia="Times New Roman"/>
          <w:lang w:val="cs-CZ" w:eastAsia="ar-SA"/>
        </w:rPr>
        <w:t>ého</w:t>
      </w:r>
      <w:r w:rsidRPr="00327B80">
        <w:rPr>
          <w:rFonts w:eastAsia="Times New Roman"/>
          <w:lang w:val="cs-CZ" w:eastAsia="ar-SA"/>
        </w:rPr>
        <w:t xml:space="preserve"> podíl</w:t>
      </w:r>
      <w:r w:rsidR="00A73B3A">
        <w:rPr>
          <w:rFonts w:eastAsia="Times New Roman"/>
          <w:lang w:val="cs-CZ" w:eastAsia="ar-SA"/>
        </w:rPr>
        <w:t>u</w:t>
      </w:r>
      <w:r w:rsidRPr="00327B80">
        <w:rPr>
          <w:rFonts w:eastAsia="Times New Roman"/>
          <w:lang w:val="cs-CZ" w:eastAsia="ar-SA"/>
        </w:rPr>
        <w:t xml:space="preserve"> projektů </w:t>
      </w:r>
      <w:r w:rsidR="00D0241E">
        <w:rPr>
          <w:rFonts w:eastAsia="Times New Roman"/>
          <w:lang w:val="cs-CZ" w:eastAsia="ar-SA"/>
        </w:rPr>
        <w:t xml:space="preserve">ukončených </w:t>
      </w:r>
      <w:r w:rsidRPr="00327B80">
        <w:rPr>
          <w:rFonts w:eastAsia="Times New Roman"/>
          <w:lang w:val="cs-CZ" w:eastAsia="ar-SA"/>
        </w:rPr>
        <w:t>s</w:t>
      </w:r>
      <w:r w:rsidR="00760798">
        <w:rPr>
          <w:rFonts w:eastAsia="Times New Roman"/>
          <w:lang w:val="cs-CZ" w:eastAsia="ar-SA"/>
        </w:rPr>
        <w:t> </w:t>
      </w:r>
      <w:r w:rsidRPr="00327B80">
        <w:rPr>
          <w:rFonts w:eastAsia="Times New Roman"/>
          <w:lang w:val="cs-CZ" w:eastAsia="ar-SA"/>
        </w:rPr>
        <w:t xml:space="preserve">vynikajícími výsledky </w:t>
      </w:r>
      <w:r w:rsidR="00A73B3A">
        <w:rPr>
          <w:rFonts w:eastAsia="Times New Roman"/>
          <w:lang w:val="cs-CZ" w:eastAsia="ar-SA"/>
        </w:rPr>
        <w:t>dosáhlo rovněž</w:t>
      </w:r>
      <w:r w:rsidRPr="00327B80">
        <w:rPr>
          <w:rFonts w:eastAsia="Times New Roman"/>
          <w:lang w:val="cs-CZ" w:eastAsia="ar-SA"/>
        </w:rPr>
        <w:t xml:space="preserve"> </w:t>
      </w:r>
      <w:r w:rsidR="004D13CA" w:rsidRPr="00327B80">
        <w:rPr>
          <w:rFonts w:eastAsia="Times New Roman"/>
          <w:lang w:val="cs-CZ" w:eastAsia="ar-SA"/>
        </w:rPr>
        <w:t>Ministerstv</w:t>
      </w:r>
      <w:r w:rsidR="00A73B3A">
        <w:rPr>
          <w:rFonts w:eastAsia="Times New Roman"/>
          <w:lang w:val="cs-CZ" w:eastAsia="ar-SA"/>
        </w:rPr>
        <w:t>o</w:t>
      </w:r>
      <w:r w:rsidR="004D13CA" w:rsidRPr="00327B80">
        <w:rPr>
          <w:rFonts w:eastAsia="Times New Roman"/>
          <w:lang w:val="cs-CZ" w:eastAsia="ar-SA"/>
        </w:rPr>
        <w:t xml:space="preserve"> zdravotnictví</w:t>
      </w:r>
      <w:r w:rsidR="00A73B3A">
        <w:rPr>
          <w:rFonts w:eastAsia="Times New Roman"/>
          <w:lang w:val="cs-CZ" w:eastAsia="ar-SA"/>
        </w:rPr>
        <w:t xml:space="preserve"> </w:t>
      </w:r>
      <w:r w:rsidR="00255B42">
        <w:rPr>
          <w:rFonts w:eastAsia="Times New Roman"/>
          <w:lang w:val="cs-CZ" w:eastAsia="ar-SA"/>
        </w:rPr>
        <w:t xml:space="preserve">u </w:t>
      </w:r>
      <w:r w:rsidR="00A73B3A">
        <w:rPr>
          <w:rFonts w:eastAsia="Times New Roman"/>
          <w:lang w:val="cs-CZ" w:eastAsia="ar-SA"/>
        </w:rPr>
        <w:t>programu NS</w:t>
      </w:r>
      <w:r w:rsidRPr="00327B80">
        <w:rPr>
          <w:rFonts w:eastAsia="Times New Roman"/>
          <w:lang w:val="cs-CZ" w:eastAsia="ar-SA"/>
        </w:rPr>
        <w:t xml:space="preserve">. </w:t>
      </w:r>
      <w:r w:rsidR="00A73B3A">
        <w:rPr>
          <w:rFonts w:eastAsia="Times New Roman"/>
          <w:lang w:val="cs-CZ" w:eastAsia="ar-SA"/>
        </w:rPr>
        <w:t xml:space="preserve">Jejich zastoupení činí </w:t>
      </w:r>
      <w:r w:rsidR="00B1418A" w:rsidRPr="00327B80">
        <w:rPr>
          <w:rFonts w:eastAsia="Times New Roman"/>
          <w:lang w:val="cs-CZ" w:eastAsia="ar-SA"/>
        </w:rPr>
        <w:t>70</w:t>
      </w:r>
      <w:r w:rsidR="00017C41" w:rsidRPr="00327B80">
        <w:rPr>
          <w:rFonts w:eastAsia="Times New Roman"/>
          <w:lang w:val="cs-CZ" w:eastAsia="ar-SA"/>
        </w:rPr>
        <w:t xml:space="preserve"> </w:t>
      </w:r>
      <w:r w:rsidR="00B1418A" w:rsidRPr="00327B80">
        <w:rPr>
          <w:rFonts w:eastAsia="Times New Roman"/>
          <w:lang w:val="cs-CZ" w:eastAsia="ar-SA"/>
        </w:rPr>
        <w:t xml:space="preserve">% </w:t>
      </w:r>
      <w:r w:rsidR="00A73B3A">
        <w:rPr>
          <w:rFonts w:eastAsia="Times New Roman"/>
          <w:lang w:val="cs-CZ" w:eastAsia="ar-SA"/>
        </w:rPr>
        <w:t xml:space="preserve">(vynikajících výsledků dosáhlo </w:t>
      </w:r>
      <w:r w:rsidR="00B619D7" w:rsidRPr="00327B80">
        <w:rPr>
          <w:rFonts w:eastAsia="Times New Roman"/>
          <w:lang w:val="cs-CZ" w:eastAsia="ar-SA"/>
        </w:rPr>
        <w:t>2</w:t>
      </w:r>
      <w:r w:rsidR="00624AE4">
        <w:rPr>
          <w:rFonts w:eastAsia="Times New Roman"/>
          <w:lang w:val="cs-CZ" w:eastAsia="ar-SA"/>
        </w:rPr>
        <w:t>8</w:t>
      </w:r>
      <w:r w:rsidR="00B1418A" w:rsidRPr="00327B80">
        <w:rPr>
          <w:rFonts w:eastAsia="Times New Roman"/>
          <w:lang w:val="cs-CZ" w:eastAsia="ar-SA"/>
        </w:rPr>
        <w:t>0 z</w:t>
      </w:r>
      <w:r w:rsidR="00760798">
        <w:rPr>
          <w:rFonts w:eastAsia="Times New Roman"/>
          <w:lang w:val="cs-CZ" w:eastAsia="ar-SA"/>
        </w:rPr>
        <w:t> </w:t>
      </w:r>
      <w:r w:rsidR="00B1418A" w:rsidRPr="00327B80">
        <w:rPr>
          <w:rFonts w:eastAsia="Times New Roman"/>
          <w:lang w:val="cs-CZ" w:eastAsia="ar-SA"/>
        </w:rPr>
        <w:t>celk</w:t>
      </w:r>
      <w:r w:rsidR="00B619D7" w:rsidRPr="00327B80">
        <w:rPr>
          <w:rFonts w:eastAsia="Times New Roman"/>
          <w:lang w:val="cs-CZ" w:eastAsia="ar-SA"/>
        </w:rPr>
        <w:t>em</w:t>
      </w:r>
      <w:r w:rsidR="00B1418A" w:rsidRPr="00327B80">
        <w:rPr>
          <w:rFonts w:eastAsia="Times New Roman"/>
          <w:lang w:val="cs-CZ" w:eastAsia="ar-SA"/>
        </w:rPr>
        <w:t xml:space="preserve"> 400</w:t>
      </w:r>
      <w:r w:rsidR="00B619D7" w:rsidRPr="00327B80">
        <w:rPr>
          <w:rFonts w:eastAsia="Times New Roman"/>
          <w:lang w:val="cs-CZ" w:eastAsia="ar-SA"/>
        </w:rPr>
        <w:t xml:space="preserve"> řešených</w:t>
      </w:r>
      <w:r w:rsidR="008D7FE0">
        <w:rPr>
          <w:rFonts w:eastAsia="Times New Roman"/>
          <w:lang w:val="cs-CZ" w:eastAsia="ar-SA"/>
        </w:rPr>
        <w:t xml:space="preserve"> projektů</w:t>
      </w:r>
      <w:r w:rsidR="00B1418A" w:rsidRPr="00327B80">
        <w:rPr>
          <w:rFonts w:eastAsia="Times New Roman"/>
          <w:lang w:val="cs-CZ" w:eastAsia="ar-SA"/>
        </w:rPr>
        <w:t xml:space="preserve">). </w:t>
      </w:r>
      <w:r w:rsidR="008D7FE0">
        <w:rPr>
          <w:rFonts w:eastAsia="Times New Roman"/>
          <w:lang w:val="cs-CZ" w:eastAsia="ar-SA"/>
        </w:rPr>
        <w:t xml:space="preserve">Současně však </w:t>
      </w:r>
      <w:r w:rsidR="004A7505">
        <w:rPr>
          <w:rFonts w:eastAsia="Times New Roman"/>
          <w:lang w:val="cs-CZ" w:eastAsia="ar-SA"/>
        </w:rPr>
        <w:t>bylo zjištěno</w:t>
      </w:r>
      <w:r w:rsidR="008D7FE0">
        <w:rPr>
          <w:rFonts w:eastAsia="Times New Roman"/>
          <w:lang w:val="cs-CZ" w:eastAsia="ar-SA"/>
        </w:rPr>
        <w:t xml:space="preserve">, </w:t>
      </w:r>
      <w:r w:rsidR="008D7FE0" w:rsidRPr="006F4765">
        <w:rPr>
          <w:rFonts w:eastAsia="Times New Roman"/>
          <w:lang w:val="cs-CZ" w:eastAsia="ar-SA"/>
        </w:rPr>
        <w:t>že u</w:t>
      </w:r>
      <w:r w:rsidR="00D0241E" w:rsidRPr="006F4765">
        <w:rPr>
          <w:rFonts w:eastAsia="Times New Roman"/>
          <w:lang w:val="cs-CZ" w:eastAsia="ar-SA"/>
        </w:rPr>
        <w:t> </w:t>
      </w:r>
      <w:r w:rsidR="00855279" w:rsidRPr="006F4765">
        <w:rPr>
          <w:rFonts w:eastAsia="Times New Roman"/>
          <w:lang w:val="cs-CZ" w:eastAsia="ar-SA"/>
        </w:rPr>
        <w:t>51</w:t>
      </w:r>
      <w:r w:rsidR="00B1418A" w:rsidRPr="006F4765">
        <w:rPr>
          <w:rFonts w:eastAsia="Times New Roman"/>
          <w:lang w:val="cs-CZ" w:eastAsia="ar-SA"/>
        </w:rPr>
        <w:t> </w:t>
      </w:r>
      <w:r w:rsidR="00A73B3A" w:rsidRPr="006F4765">
        <w:rPr>
          <w:rFonts w:eastAsia="Times New Roman"/>
          <w:lang w:val="cs-CZ" w:eastAsia="ar-SA"/>
        </w:rPr>
        <w:t>z</w:t>
      </w:r>
      <w:r w:rsidR="00760798" w:rsidRPr="006F4765">
        <w:rPr>
          <w:rFonts w:eastAsia="Times New Roman"/>
          <w:lang w:val="cs-CZ" w:eastAsia="ar-SA"/>
        </w:rPr>
        <w:t> </w:t>
      </w:r>
      <w:r w:rsidR="00D0241E" w:rsidRPr="006F4765">
        <w:rPr>
          <w:rFonts w:eastAsia="Times New Roman"/>
          <w:lang w:val="cs-CZ" w:eastAsia="ar-SA"/>
        </w:rPr>
        <w:t xml:space="preserve">těchto </w:t>
      </w:r>
      <w:r w:rsidR="00E43BF6" w:rsidRPr="006F4765">
        <w:rPr>
          <w:rFonts w:eastAsia="Times New Roman"/>
          <w:lang w:val="cs-CZ" w:eastAsia="ar-SA"/>
        </w:rPr>
        <w:t>projektů</w:t>
      </w:r>
      <w:r w:rsidR="008D7FE0" w:rsidRPr="006F4765">
        <w:rPr>
          <w:rFonts w:eastAsia="Times New Roman"/>
          <w:lang w:val="cs-CZ" w:eastAsia="ar-SA"/>
        </w:rPr>
        <w:t xml:space="preserve"> ne</w:t>
      </w:r>
      <w:r w:rsidR="004A7505" w:rsidRPr="006F4765">
        <w:rPr>
          <w:rFonts w:eastAsia="Times New Roman"/>
          <w:lang w:val="cs-CZ" w:eastAsia="ar-SA"/>
        </w:rPr>
        <w:t>n</w:t>
      </w:r>
      <w:r w:rsidR="008D7FE0" w:rsidRPr="006F4765">
        <w:rPr>
          <w:rFonts w:eastAsia="Times New Roman"/>
          <w:lang w:val="cs-CZ" w:eastAsia="ar-SA"/>
        </w:rPr>
        <w:t xml:space="preserve">í </w:t>
      </w:r>
      <w:r w:rsidR="004A7505" w:rsidRPr="006F4765">
        <w:rPr>
          <w:rFonts w:eastAsia="Times New Roman"/>
          <w:lang w:val="cs-CZ" w:eastAsia="ar-SA"/>
        </w:rPr>
        <w:t>v</w:t>
      </w:r>
      <w:r w:rsidR="00760798" w:rsidRPr="006F4765">
        <w:rPr>
          <w:rFonts w:eastAsia="Times New Roman"/>
          <w:lang w:val="cs-CZ" w:eastAsia="ar-SA"/>
        </w:rPr>
        <w:t> </w:t>
      </w:r>
      <w:r w:rsidR="00B619D7" w:rsidRPr="006F4765">
        <w:rPr>
          <w:rFonts w:eastAsia="Times New Roman"/>
          <w:lang w:val="cs-CZ" w:eastAsia="ar-SA"/>
        </w:rPr>
        <w:t xml:space="preserve">IS VaVaI </w:t>
      </w:r>
      <w:r w:rsidR="004A7505" w:rsidRPr="006F4765">
        <w:rPr>
          <w:rFonts w:eastAsia="Times New Roman"/>
          <w:lang w:val="cs-CZ" w:eastAsia="ar-SA"/>
        </w:rPr>
        <w:t>evidován</w:t>
      </w:r>
      <w:r w:rsidR="00D0241E" w:rsidRPr="006F4765">
        <w:rPr>
          <w:rFonts w:eastAsia="Times New Roman"/>
          <w:lang w:val="cs-CZ" w:eastAsia="ar-SA"/>
        </w:rPr>
        <w:t xml:space="preserve"> </w:t>
      </w:r>
      <w:r w:rsidR="00F55927" w:rsidRPr="006F4765">
        <w:rPr>
          <w:rFonts w:eastAsia="Times New Roman"/>
          <w:lang w:val="cs-CZ" w:eastAsia="ar-SA"/>
        </w:rPr>
        <w:t>žádn</w:t>
      </w:r>
      <w:r w:rsidR="004A7505" w:rsidRPr="006F4765">
        <w:rPr>
          <w:rFonts w:eastAsia="Times New Roman"/>
          <w:lang w:val="cs-CZ" w:eastAsia="ar-SA"/>
        </w:rPr>
        <w:t>ý</w:t>
      </w:r>
      <w:r w:rsidR="00E43BF6" w:rsidRPr="006F4765">
        <w:rPr>
          <w:rFonts w:eastAsia="Times New Roman"/>
          <w:lang w:val="cs-CZ" w:eastAsia="ar-SA"/>
        </w:rPr>
        <w:t xml:space="preserve"> </w:t>
      </w:r>
      <w:r w:rsidR="003B18E6" w:rsidRPr="006F4765">
        <w:rPr>
          <w:rFonts w:eastAsia="Times New Roman"/>
          <w:lang w:val="cs-CZ" w:eastAsia="ar-SA"/>
        </w:rPr>
        <w:t>výsled</w:t>
      </w:r>
      <w:r w:rsidR="004A7505" w:rsidRPr="006F4765">
        <w:rPr>
          <w:rFonts w:eastAsia="Times New Roman"/>
          <w:lang w:val="cs-CZ" w:eastAsia="ar-SA"/>
        </w:rPr>
        <w:t>e</w:t>
      </w:r>
      <w:r w:rsidR="003B18E6" w:rsidRPr="006F4765">
        <w:rPr>
          <w:rFonts w:eastAsia="Times New Roman"/>
          <w:lang w:val="cs-CZ" w:eastAsia="ar-SA"/>
        </w:rPr>
        <w:t>k</w:t>
      </w:r>
      <w:r w:rsidR="00855279">
        <w:rPr>
          <w:rFonts w:eastAsia="Times New Roman"/>
          <w:lang w:val="cs-CZ" w:eastAsia="ar-SA"/>
        </w:rPr>
        <w:t xml:space="preserve">, přestože jde </w:t>
      </w:r>
      <w:r w:rsidR="00855279" w:rsidRPr="00855279">
        <w:rPr>
          <w:rFonts w:eastAsia="Times New Roman"/>
          <w:lang w:val="cs-CZ" w:eastAsia="ar-SA"/>
        </w:rPr>
        <w:t>o čtyřleté projekty s</w:t>
      </w:r>
      <w:r w:rsidR="00760798">
        <w:rPr>
          <w:rFonts w:eastAsia="Times New Roman"/>
          <w:lang w:val="cs-CZ" w:eastAsia="ar-SA"/>
        </w:rPr>
        <w:t> </w:t>
      </w:r>
      <w:r w:rsidR="00855279" w:rsidRPr="00855279">
        <w:rPr>
          <w:rFonts w:eastAsia="Times New Roman"/>
          <w:lang w:val="cs-CZ" w:eastAsia="ar-SA"/>
        </w:rPr>
        <w:t>poměrně vysokými alokovanými částkami</w:t>
      </w:r>
      <w:r w:rsidR="00855279">
        <w:rPr>
          <w:rFonts w:eastAsia="Times New Roman"/>
          <w:lang w:val="cs-CZ" w:eastAsia="ar-SA"/>
        </w:rPr>
        <w:t>.</w:t>
      </w:r>
      <w:r w:rsidR="003B18E6" w:rsidRPr="00327B80">
        <w:rPr>
          <w:rFonts w:eastAsia="Times New Roman"/>
          <w:lang w:val="cs-CZ" w:eastAsia="ar-SA"/>
        </w:rPr>
        <w:t xml:space="preserve"> </w:t>
      </w:r>
      <w:r w:rsidR="00A73B3A">
        <w:rPr>
          <w:rFonts w:eastAsia="Times New Roman"/>
          <w:lang w:val="cs-CZ" w:eastAsia="ar-SA"/>
        </w:rPr>
        <w:t xml:space="preserve">Žádných </w:t>
      </w:r>
      <w:r w:rsidR="003B18E6" w:rsidRPr="00327B80">
        <w:rPr>
          <w:rFonts w:eastAsia="Times New Roman"/>
          <w:lang w:val="cs-CZ" w:eastAsia="ar-SA"/>
        </w:rPr>
        <w:t>vynikající</w:t>
      </w:r>
      <w:r w:rsidR="00165F9F" w:rsidRPr="00327B80">
        <w:rPr>
          <w:rFonts w:eastAsia="Times New Roman"/>
          <w:lang w:val="cs-CZ" w:eastAsia="ar-SA"/>
        </w:rPr>
        <w:t>ch</w:t>
      </w:r>
      <w:r w:rsidR="003B18E6" w:rsidRPr="00327B80">
        <w:rPr>
          <w:rFonts w:eastAsia="Times New Roman"/>
          <w:lang w:val="cs-CZ" w:eastAsia="ar-SA"/>
        </w:rPr>
        <w:t xml:space="preserve"> výsledk</w:t>
      </w:r>
      <w:r w:rsidR="00165F9F" w:rsidRPr="00327B80">
        <w:rPr>
          <w:rFonts w:eastAsia="Times New Roman"/>
          <w:lang w:val="cs-CZ" w:eastAsia="ar-SA"/>
        </w:rPr>
        <w:t>ů</w:t>
      </w:r>
      <w:r w:rsidR="00D8348D" w:rsidRPr="00327B80">
        <w:rPr>
          <w:rFonts w:eastAsia="Times New Roman"/>
          <w:lang w:val="cs-CZ" w:eastAsia="ar-SA"/>
        </w:rPr>
        <w:t xml:space="preserve"> </w:t>
      </w:r>
      <w:r w:rsidR="00A73B3A">
        <w:rPr>
          <w:rFonts w:eastAsia="Times New Roman"/>
          <w:lang w:val="cs-CZ" w:eastAsia="ar-SA"/>
        </w:rPr>
        <w:t xml:space="preserve">nedosáhl podle </w:t>
      </w:r>
      <w:r w:rsidR="00B52854">
        <w:rPr>
          <w:rFonts w:eastAsia="Times New Roman"/>
          <w:lang w:val="cs-CZ" w:eastAsia="ar-SA"/>
        </w:rPr>
        <w:t>zhodnocení</w:t>
      </w:r>
      <w:r w:rsidR="00D0241E">
        <w:rPr>
          <w:rFonts w:eastAsia="Times New Roman"/>
          <w:lang w:val="cs-CZ" w:eastAsia="ar-SA"/>
        </w:rPr>
        <w:t xml:space="preserve"> poskytovatel</w:t>
      </w:r>
      <w:r w:rsidR="00B52854">
        <w:rPr>
          <w:rFonts w:eastAsia="Times New Roman"/>
          <w:lang w:val="cs-CZ" w:eastAsia="ar-SA"/>
        </w:rPr>
        <w:t>e</w:t>
      </w:r>
      <w:r w:rsidR="00B13D60">
        <w:rPr>
          <w:rFonts w:eastAsia="Times New Roman"/>
          <w:lang w:val="cs-CZ" w:eastAsia="ar-SA"/>
        </w:rPr>
        <w:t>m</w:t>
      </w:r>
      <w:r w:rsidR="00A73B3A">
        <w:rPr>
          <w:rFonts w:eastAsia="Times New Roman"/>
          <w:lang w:val="cs-CZ" w:eastAsia="ar-SA"/>
        </w:rPr>
        <w:t xml:space="preserve"> </w:t>
      </w:r>
      <w:r w:rsidR="00B52854">
        <w:rPr>
          <w:rFonts w:eastAsia="Times New Roman"/>
          <w:lang w:val="cs-CZ" w:eastAsia="ar-SA"/>
        </w:rPr>
        <w:t>ani jeden</w:t>
      </w:r>
      <w:r w:rsidR="00A550FD" w:rsidRPr="00327B80">
        <w:rPr>
          <w:rFonts w:eastAsia="Times New Roman"/>
          <w:lang w:val="cs-CZ" w:eastAsia="ar-SA"/>
        </w:rPr>
        <w:t xml:space="preserve"> z</w:t>
      </w:r>
      <w:r w:rsidR="00760798">
        <w:rPr>
          <w:rFonts w:eastAsia="Times New Roman"/>
          <w:lang w:val="cs-CZ" w:eastAsia="ar-SA"/>
        </w:rPr>
        <w:t> </w:t>
      </w:r>
      <w:r w:rsidR="003B18E6" w:rsidRPr="00327B80">
        <w:rPr>
          <w:rFonts w:eastAsia="Times New Roman"/>
          <w:lang w:val="cs-CZ" w:eastAsia="ar-SA"/>
        </w:rPr>
        <w:t>projekt</w:t>
      </w:r>
      <w:r w:rsidR="00B1418A" w:rsidRPr="00327B80">
        <w:rPr>
          <w:rFonts w:eastAsia="Times New Roman"/>
          <w:lang w:val="cs-CZ" w:eastAsia="ar-SA"/>
        </w:rPr>
        <w:t>ů</w:t>
      </w:r>
      <w:r w:rsidR="003B18E6" w:rsidRPr="00327B80">
        <w:rPr>
          <w:rFonts w:eastAsia="Times New Roman"/>
          <w:lang w:val="cs-CZ" w:eastAsia="ar-SA"/>
        </w:rPr>
        <w:t xml:space="preserve"> řešen</w:t>
      </w:r>
      <w:r w:rsidR="00B1418A" w:rsidRPr="00327B80">
        <w:rPr>
          <w:rFonts w:eastAsia="Times New Roman"/>
          <w:lang w:val="cs-CZ" w:eastAsia="ar-SA"/>
        </w:rPr>
        <w:t>ých</w:t>
      </w:r>
      <w:r w:rsidR="003B18E6" w:rsidRPr="00327B80">
        <w:rPr>
          <w:rFonts w:eastAsia="Times New Roman"/>
          <w:lang w:val="cs-CZ" w:eastAsia="ar-SA"/>
        </w:rPr>
        <w:t xml:space="preserve"> </w:t>
      </w:r>
      <w:r w:rsidR="00855279">
        <w:rPr>
          <w:rFonts w:eastAsia="Times New Roman"/>
          <w:lang w:val="cs-CZ" w:eastAsia="ar-SA"/>
        </w:rPr>
        <w:t>v</w:t>
      </w:r>
      <w:r w:rsidR="00760798">
        <w:rPr>
          <w:rFonts w:eastAsia="Times New Roman"/>
          <w:lang w:val="cs-CZ" w:eastAsia="ar-SA"/>
        </w:rPr>
        <w:t> </w:t>
      </w:r>
      <w:r w:rsidR="003B18E6" w:rsidRPr="00327B80">
        <w:rPr>
          <w:rFonts w:eastAsia="Times New Roman"/>
          <w:lang w:val="cs-CZ" w:eastAsia="ar-SA"/>
        </w:rPr>
        <w:t>program</w:t>
      </w:r>
      <w:r w:rsidR="00855279">
        <w:rPr>
          <w:rFonts w:eastAsia="Times New Roman"/>
          <w:lang w:val="cs-CZ" w:eastAsia="ar-SA"/>
        </w:rPr>
        <w:t>ech</w:t>
      </w:r>
      <w:r w:rsidR="003B18E6" w:rsidRPr="00327B80">
        <w:rPr>
          <w:rFonts w:eastAsia="Times New Roman"/>
          <w:lang w:val="cs-CZ" w:eastAsia="ar-SA"/>
        </w:rPr>
        <w:t xml:space="preserve"> Ministerstva dopravy (CG), Ministerstva kultury (DD) a Ministerstva práce a</w:t>
      </w:r>
      <w:r w:rsidR="00F163DF" w:rsidRPr="00327B80">
        <w:rPr>
          <w:rFonts w:eastAsia="Times New Roman"/>
          <w:lang w:val="cs-CZ" w:eastAsia="ar-SA"/>
        </w:rPr>
        <w:t> </w:t>
      </w:r>
      <w:r w:rsidR="003B18E6" w:rsidRPr="00327B80">
        <w:rPr>
          <w:rFonts w:eastAsia="Times New Roman"/>
          <w:lang w:val="cs-CZ" w:eastAsia="ar-SA"/>
        </w:rPr>
        <w:t>sociálních věcí (HC).</w:t>
      </w:r>
    </w:p>
    <w:p w:rsidR="00A00E89" w:rsidRDefault="00994A80" w:rsidP="00E17B96">
      <w:pPr>
        <w:pStyle w:val="Styl1"/>
        <w:rPr>
          <w:lang w:val="cs-CZ"/>
        </w:rPr>
      </w:pPr>
      <w:r w:rsidRPr="00974FC0">
        <w:rPr>
          <w:rFonts w:eastAsia="Times New Roman"/>
          <w:lang w:val="cs-CZ" w:eastAsia="ar-SA"/>
        </w:rPr>
        <w:t>K</w:t>
      </w:r>
      <w:r w:rsidR="00760798">
        <w:rPr>
          <w:rFonts w:eastAsia="Times New Roman"/>
          <w:lang w:val="cs-CZ" w:eastAsia="ar-SA"/>
        </w:rPr>
        <w:t> </w:t>
      </w:r>
      <w:r w:rsidRPr="00974FC0">
        <w:rPr>
          <w:rFonts w:eastAsia="Times New Roman"/>
          <w:lang w:val="cs-CZ" w:eastAsia="ar-SA"/>
        </w:rPr>
        <w:t>naplnění zadání nedošlo</w:t>
      </w:r>
      <w:r w:rsidR="00255B42">
        <w:rPr>
          <w:rFonts w:eastAsia="Times New Roman"/>
          <w:lang w:val="cs-CZ" w:eastAsia="ar-SA"/>
        </w:rPr>
        <w:t xml:space="preserve"> pouze </w:t>
      </w:r>
      <w:r w:rsidR="00255B42" w:rsidRPr="00974FC0">
        <w:rPr>
          <w:lang w:val="cs-CZ"/>
        </w:rPr>
        <w:t xml:space="preserve">u </w:t>
      </w:r>
      <w:r w:rsidR="00BF35FC">
        <w:rPr>
          <w:lang w:val="cs-CZ"/>
        </w:rPr>
        <w:t>31</w:t>
      </w:r>
      <w:r w:rsidRPr="00974FC0">
        <w:rPr>
          <w:rFonts w:eastAsia="Times New Roman"/>
          <w:lang w:val="cs-CZ" w:eastAsia="ar-SA"/>
        </w:rPr>
        <w:t xml:space="preserve"> z</w:t>
      </w:r>
      <w:r w:rsidR="00760798">
        <w:rPr>
          <w:rFonts w:eastAsia="Times New Roman"/>
          <w:lang w:val="cs-CZ" w:eastAsia="ar-SA"/>
        </w:rPr>
        <w:t> </w:t>
      </w:r>
      <w:r w:rsidRPr="00974FC0">
        <w:rPr>
          <w:rFonts w:eastAsia="Times New Roman"/>
          <w:lang w:val="cs-CZ" w:eastAsia="ar-SA"/>
        </w:rPr>
        <w:t xml:space="preserve">celkem </w:t>
      </w:r>
      <w:r w:rsidRPr="00974FC0">
        <w:rPr>
          <w:lang w:val="cs-CZ"/>
        </w:rPr>
        <w:t>8</w:t>
      </w:r>
      <w:r w:rsidR="00034D23">
        <w:rPr>
          <w:lang w:val="cs-CZ"/>
        </w:rPr>
        <w:t>29</w:t>
      </w:r>
      <w:r w:rsidRPr="00974FC0">
        <w:rPr>
          <w:lang w:val="cs-CZ"/>
        </w:rPr>
        <w:t xml:space="preserve"> projektů</w:t>
      </w:r>
      <w:r w:rsidR="0039073B" w:rsidRPr="00974FC0">
        <w:rPr>
          <w:lang w:val="cs-CZ"/>
        </w:rPr>
        <w:t xml:space="preserve">. </w:t>
      </w:r>
      <w:r w:rsidRPr="00974FC0">
        <w:rPr>
          <w:lang w:val="cs-CZ"/>
        </w:rPr>
        <w:t>Souhrnná m</w:t>
      </w:r>
      <w:r w:rsidR="0039073B" w:rsidRPr="00974FC0">
        <w:rPr>
          <w:lang w:val="cs-CZ"/>
        </w:rPr>
        <w:t>íra neúspěšnosti řešení tak činí</w:t>
      </w:r>
      <w:r w:rsidR="00511583" w:rsidRPr="00974FC0">
        <w:rPr>
          <w:lang w:val="cs-CZ"/>
        </w:rPr>
        <w:t xml:space="preserve"> </w:t>
      </w:r>
      <w:r w:rsidR="00BF35FC">
        <w:rPr>
          <w:lang w:val="cs-CZ"/>
        </w:rPr>
        <w:t>3</w:t>
      </w:r>
      <w:r w:rsidR="00D37E67" w:rsidRPr="00974FC0">
        <w:rPr>
          <w:lang w:val="cs-CZ"/>
        </w:rPr>
        <w:t>,</w:t>
      </w:r>
      <w:r w:rsidR="00BF35FC">
        <w:rPr>
          <w:lang w:val="cs-CZ"/>
        </w:rPr>
        <w:t>7</w:t>
      </w:r>
      <w:r w:rsidR="00E767CB">
        <w:rPr>
          <w:lang w:val="cs-CZ"/>
        </w:rPr>
        <w:t xml:space="preserve"> </w:t>
      </w:r>
      <w:r w:rsidR="00D37E67" w:rsidRPr="00974FC0">
        <w:rPr>
          <w:lang w:val="cs-CZ"/>
        </w:rPr>
        <w:t xml:space="preserve">%. </w:t>
      </w:r>
      <w:r w:rsidR="00F37F44" w:rsidRPr="00974FC0">
        <w:rPr>
          <w:lang w:val="cs-CZ"/>
        </w:rPr>
        <w:t>Ž</w:t>
      </w:r>
      <w:r w:rsidR="004E70C2" w:rsidRPr="00974FC0">
        <w:rPr>
          <w:lang w:val="cs-CZ"/>
        </w:rPr>
        <w:t xml:space="preserve">ádného </w:t>
      </w:r>
      <w:r w:rsidR="004E70C2" w:rsidRPr="009C2384">
        <w:rPr>
          <w:lang w:val="cs-CZ"/>
        </w:rPr>
        <w:t>výsledku</w:t>
      </w:r>
      <w:r w:rsidR="004E70C2" w:rsidRPr="00974FC0">
        <w:rPr>
          <w:lang w:val="cs-CZ"/>
        </w:rPr>
        <w:t xml:space="preserve"> </w:t>
      </w:r>
      <w:r w:rsidR="0009180D" w:rsidRPr="00974FC0">
        <w:rPr>
          <w:lang w:val="cs-CZ"/>
        </w:rPr>
        <w:t>však</w:t>
      </w:r>
      <w:r w:rsidR="00D37E67" w:rsidRPr="00974FC0">
        <w:rPr>
          <w:lang w:val="cs-CZ"/>
        </w:rPr>
        <w:t xml:space="preserve"> podle údajů obsažených v</w:t>
      </w:r>
      <w:r w:rsidR="005F1BFF">
        <w:rPr>
          <w:lang w:val="cs-CZ"/>
        </w:rPr>
        <w:t> </w:t>
      </w:r>
      <w:r w:rsidR="00D37E67" w:rsidRPr="00974FC0">
        <w:rPr>
          <w:lang w:val="cs-CZ"/>
        </w:rPr>
        <w:t>IS</w:t>
      </w:r>
      <w:r w:rsidR="005F1BFF">
        <w:rPr>
          <w:lang w:val="cs-CZ"/>
        </w:rPr>
        <w:t> </w:t>
      </w:r>
      <w:r w:rsidR="00D37E67" w:rsidRPr="00974FC0">
        <w:rPr>
          <w:lang w:val="cs-CZ"/>
        </w:rPr>
        <w:t xml:space="preserve">VaVaI </w:t>
      </w:r>
      <w:r w:rsidR="00511583" w:rsidRPr="00974FC0">
        <w:rPr>
          <w:lang w:val="cs-CZ"/>
        </w:rPr>
        <w:t xml:space="preserve">nedosáhlo </w:t>
      </w:r>
      <w:r w:rsidR="00160913">
        <w:rPr>
          <w:lang w:val="cs-CZ"/>
        </w:rPr>
        <w:t>105</w:t>
      </w:r>
      <w:r w:rsidR="004E70C2" w:rsidRPr="00974FC0">
        <w:rPr>
          <w:lang w:val="cs-CZ"/>
        </w:rPr>
        <w:t xml:space="preserve"> projektů</w:t>
      </w:r>
      <w:r w:rsidR="006612AE" w:rsidRPr="00974FC0">
        <w:rPr>
          <w:lang w:val="cs-CZ"/>
        </w:rPr>
        <w:t xml:space="preserve"> </w:t>
      </w:r>
      <w:r w:rsidR="00E742F7" w:rsidRPr="00974FC0">
        <w:rPr>
          <w:lang w:val="cs-CZ"/>
        </w:rPr>
        <w:t>(</w:t>
      </w:r>
      <w:r w:rsidR="00160913">
        <w:rPr>
          <w:lang w:val="cs-CZ"/>
        </w:rPr>
        <w:t>6</w:t>
      </w:r>
      <w:r w:rsidR="007815AE">
        <w:rPr>
          <w:lang w:val="cs-CZ"/>
        </w:rPr>
        <w:t>,2</w:t>
      </w:r>
      <w:r w:rsidR="00E742F7" w:rsidRPr="00974FC0">
        <w:rPr>
          <w:lang w:val="cs-CZ"/>
        </w:rPr>
        <w:t xml:space="preserve"> %)</w:t>
      </w:r>
      <w:r w:rsidR="00277D31">
        <w:rPr>
          <w:lang w:val="cs-CZ"/>
        </w:rPr>
        <w:t>,</w:t>
      </w:r>
      <w:r w:rsidR="0039073B" w:rsidRPr="00974FC0">
        <w:rPr>
          <w:lang w:val="cs-CZ"/>
        </w:rPr>
        <w:t xml:space="preserve"> a </w:t>
      </w:r>
      <w:r w:rsidR="00511583" w:rsidRPr="00974FC0">
        <w:rPr>
          <w:lang w:val="cs-CZ"/>
        </w:rPr>
        <w:t>p</w:t>
      </w:r>
      <w:r w:rsidR="00E742F7" w:rsidRPr="00974FC0">
        <w:rPr>
          <w:lang w:val="cs-CZ"/>
        </w:rPr>
        <w:t xml:space="preserve">řesto </w:t>
      </w:r>
      <w:r w:rsidR="00511583" w:rsidRPr="00974FC0">
        <w:rPr>
          <w:lang w:val="cs-CZ"/>
        </w:rPr>
        <w:t xml:space="preserve">pouze </w:t>
      </w:r>
      <w:r w:rsidR="0013234C" w:rsidRPr="00974FC0">
        <w:rPr>
          <w:lang w:val="cs-CZ"/>
        </w:rPr>
        <w:t>u</w:t>
      </w:r>
      <w:r w:rsidR="00D37E67" w:rsidRPr="00974FC0">
        <w:rPr>
          <w:lang w:val="cs-CZ"/>
        </w:rPr>
        <w:t xml:space="preserve"> </w:t>
      </w:r>
      <w:r w:rsidR="00160913">
        <w:rPr>
          <w:lang w:val="cs-CZ"/>
        </w:rPr>
        <w:t>14</w:t>
      </w:r>
      <w:r w:rsidR="00D37E67" w:rsidRPr="00974FC0">
        <w:rPr>
          <w:lang w:val="cs-CZ"/>
        </w:rPr>
        <w:t> </w:t>
      </w:r>
      <w:r w:rsidR="00E742F7" w:rsidRPr="00974FC0">
        <w:rPr>
          <w:lang w:val="cs-CZ"/>
        </w:rPr>
        <w:t>z</w:t>
      </w:r>
      <w:r w:rsidR="00760798">
        <w:rPr>
          <w:lang w:val="cs-CZ"/>
        </w:rPr>
        <w:t> </w:t>
      </w:r>
      <w:r w:rsidR="00D37E67" w:rsidRPr="00974FC0">
        <w:rPr>
          <w:lang w:val="cs-CZ"/>
        </w:rPr>
        <w:t>nich</w:t>
      </w:r>
      <w:r w:rsidR="00E742F7" w:rsidRPr="00974FC0">
        <w:rPr>
          <w:lang w:val="cs-CZ"/>
        </w:rPr>
        <w:t xml:space="preserve"> </w:t>
      </w:r>
      <w:r w:rsidR="00D37E67" w:rsidRPr="00974FC0">
        <w:rPr>
          <w:lang w:val="cs-CZ"/>
        </w:rPr>
        <w:t xml:space="preserve">IS VaVaI </w:t>
      </w:r>
      <w:r w:rsidR="00E742F7" w:rsidRPr="00974FC0">
        <w:rPr>
          <w:lang w:val="cs-CZ"/>
        </w:rPr>
        <w:t>evid</w:t>
      </w:r>
      <w:r w:rsidR="00D37E67" w:rsidRPr="00974FC0">
        <w:rPr>
          <w:lang w:val="cs-CZ"/>
        </w:rPr>
        <w:t xml:space="preserve">uje, že během jejich řešení </w:t>
      </w:r>
      <w:r w:rsidR="00511583" w:rsidRPr="00974FC0">
        <w:rPr>
          <w:lang w:val="cs-CZ"/>
        </w:rPr>
        <w:t>nebylo splněno</w:t>
      </w:r>
      <w:r w:rsidR="0039073B" w:rsidRPr="00974FC0">
        <w:rPr>
          <w:lang w:val="cs-CZ"/>
        </w:rPr>
        <w:t xml:space="preserve"> zadání</w:t>
      </w:r>
      <w:r w:rsidR="00D37E67" w:rsidRPr="00974FC0">
        <w:rPr>
          <w:lang w:val="cs-CZ"/>
        </w:rPr>
        <w:t>.</w:t>
      </w:r>
      <w:r w:rsidR="00E742F7" w:rsidRPr="00974FC0">
        <w:rPr>
          <w:lang w:val="cs-CZ"/>
        </w:rPr>
        <w:t xml:space="preserve"> </w:t>
      </w:r>
      <w:r w:rsidR="00D37E67" w:rsidRPr="00974FC0">
        <w:rPr>
          <w:lang w:val="cs-CZ"/>
        </w:rPr>
        <w:t>U </w:t>
      </w:r>
      <w:r w:rsidR="00160913">
        <w:rPr>
          <w:lang w:val="cs-CZ"/>
        </w:rPr>
        <w:t>26</w:t>
      </w:r>
      <w:r w:rsidR="00D37E67" w:rsidRPr="00974FC0">
        <w:rPr>
          <w:lang w:val="cs-CZ"/>
        </w:rPr>
        <w:t> </w:t>
      </w:r>
      <w:r w:rsidR="006612AE" w:rsidRPr="00974FC0">
        <w:rPr>
          <w:lang w:val="cs-CZ"/>
        </w:rPr>
        <w:t>z</w:t>
      </w:r>
      <w:r w:rsidR="00760798">
        <w:rPr>
          <w:lang w:val="cs-CZ"/>
        </w:rPr>
        <w:t> </w:t>
      </w:r>
      <w:r w:rsidR="006612AE" w:rsidRPr="00974FC0">
        <w:rPr>
          <w:lang w:val="cs-CZ"/>
        </w:rPr>
        <w:t xml:space="preserve">těchto projektů </w:t>
      </w:r>
      <w:r w:rsidR="00D37E67" w:rsidRPr="00974FC0">
        <w:rPr>
          <w:lang w:val="cs-CZ"/>
        </w:rPr>
        <w:t>je poté</w:t>
      </w:r>
      <w:r w:rsidR="0013234C" w:rsidRPr="00974FC0">
        <w:rPr>
          <w:lang w:val="cs-CZ"/>
        </w:rPr>
        <w:t xml:space="preserve"> </w:t>
      </w:r>
      <w:r w:rsidR="00D37E67" w:rsidRPr="00974FC0">
        <w:rPr>
          <w:lang w:val="cs-CZ"/>
        </w:rPr>
        <w:t>v</w:t>
      </w:r>
      <w:r w:rsidR="00760798">
        <w:rPr>
          <w:lang w:val="cs-CZ"/>
        </w:rPr>
        <w:t> </w:t>
      </w:r>
      <w:r w:rsidR="0013234C" w:rsidRPr="00974FC0">
        <w:rPr>
          <w:lang w:val="cs-CZ"/>
        </w:rPr>
        <w:t xml:space="preserve">IS VaVaI </w:t>
      </w:r>
      <w:r w:rsidR="0039073B" w:rsidRPr="00974FC0">
        <w:rPr>
          <w:lang w:val="cs-CZ"/>
        </w:rPr>
        <w:t xml:space="preserve">dokonce </w:t>
      </w:r>
      <w:r w:rsidR="00511583" w:rsidRPr="00974FC0">
        <w:rPr>
          <w:lang w:val="cs-CZ"/>
        </w:rPr>
        <w:t>uvedeno</w:t>
      </w:r>
      <w:r w:rsidR="00D37E67" w:rsidRPr="00974FC0">
        <w:rPr>
          <w:lang w:val="cs-CZ"/>
        </w:rPr>
        <w:t xml:space="preserve"> </w:t>
      </w:r>
      <w:r w:rsidR="006612AE" w:rsidRPr="00974FC0">
        <w:rPr>
          <w:lang w:val="cs-CZ"/>
        </w:rPr>
        <w:t>dos</w:t>
      </w:r>
      <w:r w:rsidR="0043075E" w:rsidRPr="00974FC0">
        <w:rPr>
          <w:lang w:val="cs-CZ"/>
        </w:rPr>
        <w:t>ažení</w:t>
      </w:r>
      <w:r w:rsidR="006612AE" w:rsidRPr="00974FC0">
        <w:rPr>
          <w:lang w:val="cs-CZ"/>
        </w:rPr>
        <w:t xml:space="preserve"> vynikajících výsledků</w:t>
      </w:r>
      <w:r w:rsidR="00271CF2">
        <w:rPr>
          <w:lang w:val="cs-CZ"/>
        </w:rPr>
        <w:t xml:space="preserve"> (ve 22 případech se jedná o</w:t>
      </w:r>
      <w:r w:rsidR="00842F71" w:rsidRPr="00974FC0">
        <w:rPr>
          <w:lang w:val="cs-CZ"/>
        </w:rPr>
        <w:t xml:space="preserve"> projekt</w:t>
      </w:r>
      <w:r w:rsidR="00271CF2">
        <w:rPr>
          <w:lang w:val="cs-CZ"/>
        </w:rPr>
        <w:t>y</w:t>
      </w:r>
      <w:r w:rsidR="00842F71" w:rsidRPr="00974FC0">
        <w:rPr>
          <w:lang w:val="cs-CZ"/>
        </w:rPr>
        <w:t xml:space="preserve"> řešen</w:t>
      </w:r>
      <w:r w:rsidR="00271CF2">
        <w:rPr>
          <w:lang w:val="cs-CZ"/>
        </w:rPr>
        <w:t>é</w:t>
      </w:r>
      <w:r w:rsidR="00842F71" w:rsidRPr="00974FC0">
        <w:rPr>
          <w:lang w:val="cs-CZ"/>
        </w:rPr>
        <w:t xml:space="preserve"> v</w:t>
      </w:r>
      <w:r w:rsidR="00760798">
        <w:rPr>
          <w:lang w:val="cs-CZ"/>
        </w:rPr>
        <w:t> </w:t>
      </w:r>
      <w:r w:rsidR="00842F71" w:rsidRPr="00974FC0">
        <w:rPr>
          <w:lang w:val="cs-CZ"/>
        </w:rPr>
        <w:t xml:space="preserve">programu </w:t>
      </w:r>
      <w:r w:rsidR="00271CF2">
        <w:rPr>
          <w:lang w:val="cs-CZ"/>
        </w:rPr>
        <w:t xml:space="preserve">NS </w:t>
      </w:r>
      <w:r w:rsidR="00842F71" w:rsidRPr="00974FC0">
        <w:rPr>
          <w:lang w:val="cs-CZ"/>
        </w:rPr>
        <w:t>Ministerstva zdravotnictví</w:t>
      </w:r>
      <w:r w:rsidR="00271CF2">
        <w:rPr>
          <w:lang w:val="cs-CZ"/>
        </w:rPr>
        <w:t>).</w:t>
      </w:r>
    </w:p>
    <w:p w:rsidR="00B92617" w:rsidRDefault="00287E41" w:rsidP="00B92617">
      <w:pPr>
        <w:pStyle w:val="Styl1"/>
        <w:rPr>
          <w:lang w:val="cs-CZ"/>
        </w:rPr>
      </w:pPr>
      <w:r>
        <w:rPr>
          <w:lang w:val="cs-CZ"/>
        </w:rPr>
        <w:t>P</w:t>
      </w:r>
      <w:r w:rsidR="00A00E89">
        <w:rPr>
          <w:lang w:val="cs-CZ"/>
        </w:rPr>
        <w:t>rogram</w:t>
      </w:r>
      <w:r>
        <w:rPr>
          <w:lang w:val="cs-CZ"/>
        </w:rPr>
        <w:t>y</w:t>
      </w:r>
      <w:r w:rsidR="00A00E89">
        <w:rPr>
          <w:lang w:val="cs-CZ"/>
        </w:rPr>
        <w:t xml:space="preserve"> s</w:t>
      </w:r>
      <w:r w:rsidR="00760798">
        <w:rPr>
          <w:lang w:val="cs-CZ"/>
        </w:rPr>
        <w:t> </w:t>
      </w:r>
      <w:r w:rsidR="00A00E89">
        <w:rPr>
          <w:lang w:val="cs-CZ"/>
        </w:rPr>
        <w:t xml:space="preserve">projekty bez jakéhokoliv uplatněného výsledku obsahuje Tabulka č. </w:t>
      </w:r>
      <w:r w:rsidR="00C53D4B">
        <w:rPr>
          <w:lang w:val="cs-CZ"/>
        </w:rPr>
        <w:t>6</w:t>
      </w:r>
      <w:r>
        <w:rPr>
          <w:lang w:val="cs-CZ"/>
        </w:rPr>
        <w:t xml:space="preserve"> a</w:t>
      </w:r>
      <w:r w:rsidR="005F1BFF">
        <w:rPr>
          <w:lang w:val="cs-CZ"/>
        </w:rPr>
        <w:t> úplný</w:t>
      </w:r>
      <w:r>
        <w:rPr>
          <w:lang w:val="cs-CZ"/>
        </w:rPr>
        <w:t xml:space="preserve"> výčet takových projektů je uveden v příloze 6.</w:t>
      </w:r>
    </w:p>
    <w:p w:rsidR="00B92617" w:rsidRDefault="00B92617" w:rsidP="00B92617">
      <w:pPr>
        <w:pStyle w:val="Styl1"/>
        <w:rPr>
          <w:lang w:val="cs-CZ"/>
        </w:rPr>
        <w:sectPr w:rsidR="00B92617" w:rsidSect="00DE2C54">
          <w:headerReference w:type="default" r:id="rId9"/>
          <w:footerReference w:type="default" r:id="rId10"/>
          <w:footnotePr>
            <w:numRestart w:val="eachPage"/>
          </w:footnotePr>
          <w:type w:val="continuous"/>
          <w:pgSz w:w="11906" w:h="16838"/>
          <w:pgMar w:top="1417" w:right="1417" w:bottom="1417" w:left="1417" w:header="708" w:footer="709" w:gutter="0"/>
          <w:cols w:space="708"/>
          <w:docGrid w:linePitch="360"/>
        </w:sectPr>
      </w:pPr>
    </w:p>
    <w:p w:rsidR="00B92617" w:rsidRPr="00DE2C54" w:rsidRDefault="00B92617" w:rsidP="003E45CA">
      <w:pPr>
        <w:pStyle w:val="Styl1"/>
        <w:ind w:left="1560" w:hanging="851"/>
        <w:rPr>
          <w:b/>
          <w:lang w:val="cs-CZ"/>
        </w:rPr>
      </w:pPr>
      <w:r w:rsidRPr="00DE2C54">
        <w:rPr>
          <w:b/>
          <w:lang w:val="cs-CZ"/>
        </w:rPr>
        <w:lastRenderedPageBreak/>
        <w:t xml:space="preserve">Tabulka </w:t>
      </w:r>
      <w:r w:rsidR="00DE2C54" w:rsidRPr="00DE2C54">
        <w:rPr>
          <w:b/>
          <w:lang w:val="cs-CZ"/>
        </w:rPr>
        <w:t>č. </w:t>
      </w:r>
      <w:r w:rsidRPr="00DE2C54">
        <w:rPr>
          <w:b/>
          <w:lang w:val="cs-CZ"/>
        </w:rPr>
        <w:t>6</w:t>
      </w:r>
      <w:r w:rsidR="00DE2C54" w:rsidRPr="00DE2C54">
        <w:rPr>
          <w:b/>
          <w:lang w:val="cs-CZ"/>
        </w:rPr>
        <w:t>:</w:t>
      </w:r>
      <w:r w:rsidRPr="00DE2C54">
        <w:rPr>
          <w:b/>
          <w:lang w:val="cs-CZ"/>
        </w:rPr>
        <w:t xml:space="preserve"> Počet projektů bez jakéhokoliv uplatněného výsledku v </w:t>
      </w:r>
      <w:proofErr w:type="gramStart"/>
      <w:r w:rsidRPr="00DE2C54">
        <w:rPr>
          <w:b/>
          <w:lang w:val="cs-CZ"/>
        </w:rPr>
        <w:t>RIV</w:t>
      </w:r>
      <w:proofErr w:type="gramEnd"/>
    </w:p>
    <w:p w:rsidR="00B92617" w:rsidRDefault="00B92617" w:rsidP="00F64DDF">
      <w:pPr>
        <w:pStyle w:val="Styl1"/>
        <w:rPr>
          <w:lang w:val="cs-CZ"/>
        </w:rPr>
      </w:pPr>
    </w:p>
    <w:tbl>
      <w:tblPr>
        <w:tblW w:w="10725" w:type="dxa"/>
        <w:jc w:val="center"/>
        <w:tblInd w:w="55" w:type="dxa"/>
        <w:tblLayout w:type="fixed"/>
        <w:tblCellMar>
          <w:left w:w="70" w:type="dxa"/>
          <w:right w:w="70" w:type="dxa"/>
        </w:tblCellMar>
        <w:tblLook w:val="04A0" w:firstRow="1" w:lastRow="0" w:firstColumn="1" w:lastColumn="0" w:noHBand="0" w:noVBand="1"/>
      </w:tblPr>
      <w:tblGrid>
        <w:gridCol w:w="1174"/>
        <w:gridCol w:w="1251"/>
        <w:gridCol w:w="885"/>
        <w:gridCol w:w="1100"/>
        <w:gridCol w:w="992"/>
        <w:gridCol w:w="787"/>
        <w:gridCol w:w="1134"/>
        <w:gridCol w:w="1275"/>
        <w:gridCol w:w="962"/>
        <w:gridCol w:w="1165"/>
      </w:tblGrid>
      <w:tr w:rsidR="00F64DDF" w:rsidRPr="00287E41" w:rsidTr="00B92617">
        <w:trPr>
          <w:trHeight w:val="1890"/>
          <w:tblHeader/>
          <w:jc w:val="center"/>
        </w:trPr>
        <w:tc>
          <w:tcPr>
            <w:tcW w:w="1174"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Poskytovatel</w:t>
            </w:r>
          </w:p>
        </w:tc>
        <w:tc>
          <w:tcPr>
            <w:tcW w:w="1251"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Celkový počet hodnocených projektů</w:t>
            </w:r>
          </w:p>
        </w:tc>
        <w:tc>
          <w:tcPr>
            <w:tcW w:w="885" w:type="dxa"/>
            <w:tcBorders>
              <w:top w:val="single" w:sz="8" w:space="0" w:color="auto"/>
              <w:left w:val="nil"/>
              <w:bottom w:val="single" w:sz="4" w:space="0" w:color="auto"/>
              <w:right w:val="nil"/>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Program výzkumu a vývoje</w:t>
            </w:r>
          </w:p>
        </w:tc>
        <w:tc>
          <w:tcPr>
            <w:tcW w:w="110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Podpora ze státního rozpočtu čerpaná na projekt za celou dobu řešení tis.</w:t>
            </w:r>
            <w:r w:rsidR="003E45CA">
              <w:rPr>
                <w:rFonts w:ascii="Times New Roman" w:eastAsia="Times New Roman" w:hAnsi="Times New Roman" w:cs="Times New Roman"/>
                <w:bCs/>
                <w:iCs/>
                <w:color w:val="000000"/>
                <w:sz w:val="20"/>
                <w:szCs w:val="20"/>
                <w:lang w:eastAsia="cs-CZ"/>
              </w:rPr>
              <w:t xml:space="preserve"> </w:t>
            </w:r>
            <w:r w:rsidRPr="00F64DDF">
              <w:rPr>
                <w:rFonts w:ascii="Times New Roman" w:eastAsia="Times New Roman" w:hAnsi="Times New Roman" w:cs="Times New Roman"/>
                <w:bCs/>
                <w:iCs/>
                <w:color w:val="000000"/>
                <w:sz w:val="20"/>
                <w:szCs w:val="20"/>
                <w:lang w:eastAsia="cs-CZ"/>
              </w:rPr>
              <w:t>Kč</w:t>
            </w:r>
          </w:p>
        </w:tc>
        <w:tc>
          <w:tcPr>
            <w:tcW w:w="992"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 xml:space="preserve">V - Vynikající výsledky </w:t>
            </w:r>
          </w:p>
        </w:tc>
        <w:tc>
          <w:tcPr>
            <w:tcW w:w="787"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U - Uspěl podle zadání</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O - Nesplněno zadání, smlouva však byla dodržena</w:t>
            </w:r>
          </w:p>
        </w:tc>
        <w:tc>
          <w:tcPr>
            <w:tcW w:w="1275"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S - Nesplněno zadání, bylo přistoupeno k sankčním ustanovením smlouvy</w:t>
            </w:r>
          </w:p>
        </w:tc>
        <w:tc>
          <w:tcPr>
            <w:tcW w:w="962" w:type="dxa"/>
            <w:tcBorders>
              <w:top w:val="single" w:sz="8" w:space="0" w:color="auto"/>
              <w:left w:val="nil"/>
              <w:bottom w:val="single" w:sz="4" w:space="0" w:color="auto"/>
              <w:right w:val="single" w:sz="4"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počet projektů bez výsledku</w:t>
            </w:r>
          </w:p>
        </w:tc>
        <w:tc>
          <w:tcPr>
            <w:tcW w:w="1165" w:type="dxa"/>
            <w:tcBorders>
              <w:top w:val="single" w:sz="8" w:space="0" w:color="auto"/>
              <w:left w:val="nil"/>
              <w:bottom w:val="single" w:sz="4" w:space="0" w:color="auto"/>
              <w:right w:val="single" w:sz="8" w:space="0" w:color="auto"/>
            </w:tcBorders>
            <w:shd w:val="clear" w:color="auto" w:fill="auto"/>
            <w:vAlign w:val="center"/>
            <w:hideMark/>
          </w:tcPr>
          <w:p w:rsidR="00287E41" w:rsidRPr="00F64DDF" w:rsidRDefault="00287E41" w:rsidP="00F64DDF">
            <w:pPr>
              <w:spacing w:after="120" w:line="240" w:lineRule="auto"/>
              <w:jc w:val="center"/>
              <w:rPr>
                <w:rFonts w:ascii="Times New Roman" w:eastAsia="Times New Roman" w:hAnsi="Times New Roman" w:cs="Times New Roman"/>
                <w:bCs/>
                <w:iCs/>
                <w:color w:val="000000"/>
                <w:sz w:val="20"/>
                <w:szCs w:val="20"/>
                <w:lang w:eastAsia="cs-CZ"/>
              </w:rPr>
            </w:pPr>
            <w:r w:rsidRPr="00F64DDF">
              <w:rPr>
                <w:rFonts w:ascii="Times New Roman" w:eastAsia="Times New Roman" w:hAnsi="Times New Roman" w:cs="Times New Roman"/>
                <w:bCs/>
                <w:iCs/>
                <w:color w:val="000000"/>
                <w:sz w:val="20"/>
                <w:szCs w:val="20"/>
                <w:lang w:eastAsia="cs-CZ"/>
              </w:rPr>
              <w:t>Podíl z</w:t>
            </w:r>
            <w:r w:rsidR="00F64DDF">
              <w:rPr>
                <w:rFonts w:ascii="Times New Roman" w:eastAsia="Times New Roman" w:hAnsi="Times New Roman" w:cs="Times New Roman"/>
                <w:bCs/>
                <w:iCs/>
                <w:color w:val="000000"/>
                <w:sz w:val="20"/>
                <w:szCs w:val="20"/>
                <w:lang w:eastAsia="cs-CZ"/>
              </w:rPr>
              <w:t> </w:t>
            </w:r>
            <w:r w:rsidRPr="00F64DDF">
              <w:rPr>
                <w:rFonts w:ascii="Times New Roman" w:eastAsia="Times New Roman" w:hAnsi="Times New Roman" w:cs="Times New Roman"/>
                <w:bCs/>
                <w:iCs/>
                <w:color w:val="000000"/>
                <w:sz w:val="20"/>
                <w:szCs w:val="20"/>
                <w:lang w:eastAsia="cs-CZ"/>
              </w:rPr>
              <w:t>celkového počtu projektů</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AV ČR</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76</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1E</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AV ČR</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53</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1Q</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MD</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129</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1F</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23 490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8</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6,20 %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MD</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87</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CG</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4 588</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2,30 %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MK</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13</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DB</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MK</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15</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DC</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MK</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12</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DD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MK</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37</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proofErr w:type="gramStart"/>
            <w:r w:rsidRPr="00F64DDF">
              <w:rPr>
                <w:rFonts w:ascii="Times New Roman" w:eastAsia="Times New Roman" w:hAnsi="Times New Roman" w:cs="Times New Roman"/>
                <w:color w:val="000000"/>
                <w:sz w:val="20"/>
                <w:szCs w:val="20"/>
                <w:lang w:eastAsia="cs-CZ"/>
              </w:rPr>
              <w:t>DE</w:t>
            </w:r>
            <w:proofErr w:type="gramEnd"/>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MMR</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23</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WD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2 160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4,35 %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MO</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65</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OS</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6 146</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1,54 %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MPO</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49</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1H</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17 100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4,08 %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MPO</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139</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2A</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42 116</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2,88 %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MPSV</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29</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1J</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MPSV</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34</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HC</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19 790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17</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17</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MS</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RD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51</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LC</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lastRenderedPageBreak/>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36</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1M</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3E45CA" w:rsidP="00B92617">
            <w:pPr>
              <w:spacing w:after="120" w:line="240" w:lineRule="auto"/>
              <w:jc w:val="right"/>
              <w:rPr>
                <w:rFonts w:ascii="Times New Roman" w:eastAsia="Times New Roman" w:hAnsi="Times New Roman" w:cs="Times New Roman"/>
                <w:color w:val="000000"/>
                <w:sz w:val="20"/>
                <w:szCs w:val="20"/>
                <w:lang w:eastAsia="cs-CZ"/>
              </w:rPr>
            </w:pPr>
            <w:r>
              <w:rPr>
                <w:rFonts w:ascii="Times New Roman" w:eastAsia="Times New Roman" w:hAnsi="Times New Roman" w:cs="Times New Roman"/>
                <w:color w:val="000000"/>
                <w:sz w:val="20"/>
                <w:szCs w:val="20"/>
                <w:lang w:eastAsia="cs-CZ"/>
              </w:rPr>
              <w:t xml:space="preserve"> </w:t>
            </w:r>
            <w:r w:rsidR="00287E41"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115</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2B</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7 983</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1,74 %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17</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2C</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15 538</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5,88 %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16</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2G</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MV</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10</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proofErr w:type="gramStart"/>
            <w:r w:rsidRPr="00F64DDF">
              <w:rPr>
                <w:rFonts w:ascii="Times New Roman" w:eastAsia="Times New Roman" w:hAnsi="Times New Roman" w:cs="Times New Roman"/>
                <w:color w:val="000000"/>
                <w:sz w:val="20"/>
                <w:szCs w:val="20"/>
                <w:lang w:eastAsia="cs-CZ"/>
              </w:rPr>
              <w:t>VE</w:t>
            </w:r>
            <w:proofErr w:type="gramEnd"/>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proofErr w:type="spellStart"/>
            <w:r w:rsidRPr="00F64DDF">
              <w:rPr>
                <w:rFonts w:ascii="Times New Roman" w:eastAsia="Times New Roman" w:hAnsi="Times New Roman" w:cs="Times New Roman"/>
                <w:color w:val="000000"/>
                <w:sz w:val="20"/>
                <w:szCs w:val="20"/>
                <w:lang w:eastAsia="cs-CZ"/>
              </w:rPr>
              <w:t>MZd</w:t>
            </w:r>
            <w:proofErr w:type="spellEnd"/>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50</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1A</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10 199</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6,00 %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proofErr w:type="spellStart"/>
            <w:r w:rsidRPr="00F64DDF">
              <w:rPr>
                <w:rFonts w:ascii="Times New Roman" w:eastAsia="Times New Roman" w:hAnsi="Times New Roman" w:cs="Times New Roman"/>
                <w:color w:val="000000"/>
                <w:sz w:val="20"/>
                <w:szCs w:val="20"/>
                <w:lang w:eastAsia="cs-CZ"/>
              </w:rPr>
              <w:t>MZd</w:t>
            </w:r>
            <w:proofErr w:type="spellEnd"/>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400</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NS</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197 142</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22</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8</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51</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12,75 %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MZE</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36</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1B</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MZE</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67</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1G</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MZE</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9</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1R</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MŽP</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21</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1C</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3 673</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2</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9,52 %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MŽP</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10</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1D</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1 894</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10,00 %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MŽP</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w:t>
            </w:r>
          </w:p>
        </w:tc>
        <w:tc>
          <w:tcPr>
            <w:tcW w:w="885" w:type="dxa"/>
            <w:tcBorders>
              <w:top w:val="nil"/>
              <w:left w:val="nil"/>
              <w:bottom w:val="single" w:sz="4"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1I</w:t>
            </w:r>
          </w:p>
        </w:tc>
        <w:tc>
          <w:tcPr>
            <w:tcW w:w="1100" w:type="dxa"/>
            <w:tcBorders>
              <w:top w:val="nil"/>
              <w:left w:val="single" w:sz="4" w:space="0" w:color="auto"/>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0,00 %</w:t>
            </w:r>
          </w:p>
        </w:tc>
      </w:tr>
      <w:tr w:rsidR="00F64DDF" w:rsidRPr="00287E41" w:rsidTr="00B92617">
        <w:trPr>
          <w:trHeight w:val="390"/>
          <w:jc w:val="center"/>
        </w:trPr>
        <w:tc>
          <w:tcPr>
            <w:tcW w:w="1174" w:type="dxa"/>
            <w:tcBorders>
              <w:top w:val="nil"/>
              <w:left w:val="single" w:sz="8" w:space="0" w:color="auto"/>
              <w:bottom w:val="nil"/>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MŽP</w:t>
            </w:r>
          </w:p>
        </w:tc>
        <w:tc>
          <w:tcPr>
            <w:tcW w:w="1251" w:type="dxa"/>
            <w:tcBorders>
              <w:top w:val="nil"/>
              <w:left w:val="nil"/>
              <w:bottom w:val="nil"/>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78</w:t>
            </w:r>
          </w:p>
        </w:tc>
        <w:tc>
          <w:tcPr>
            <w:tcW w:w="885" w:type="dxa"/>
            <w:tcBorders>
              <w:top w:val="nil"/>
              <w:left w:val="nil"/>
              <w:bottom w:val="nil"/>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SP</w:t>
            </w:r>
          </w:p>
        </w:tc>
        <w:tc>
          <w:tcPr>
            <w:tcW w:w="1100" w:type="dxa"/>
            <w:tcBorders>
              <w:top w:val="nil"/>
              <w:left w:val="single" w:sz="4" w:space="0" w:color="auto"/>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53 917</w:t>
            </w:r>
          </w:p>
        </w:tc>
        <w:tc>
          <w:tcPr>
            <w:tcW w:w="992"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787"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9</w:t>
            </w:r>
          </w:p>
        </w:tc>
        <w:tc>
          <w:tcPr>
            <w:tcW w:w="1134"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 </w:t>
            </w:r>
          </w:p>
        </w:tc>
        <w:tc>
          <w:tcPr>
            <w:tcW w:w="1275"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w:t>
            </w:r>
          </w:p>
        </w:tc>
        <w:tc>
          <w:tcPr>
            <w:tcW w:w="962"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10</w:t>
            </w:r>
          </w:p>
        </w:tc>
        <w:tc>
          <w:tcPr>
            <w:tcW w:w="1165" w:type="dxa"/>
            <w:tcBorders>
              <w:top w:val="nil"/>
              <w:left w:val="nil"/>
              <w:bottom w:val="nil"/>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color w:val="000000"/>
                <w:sz w:val="20"/>
                <w:szCs w:val="20"/>
                <w:lang w:eastAsia="cs-CZ"/>
              </w:rPr>
            </w:pPr>
            <w:r w:rsidRPr="00F64DDF">
              <w:rPr>
                <w:rFonts w:ascii="Times New Roman" w:eastAsia="Times New Roman" w:hAnsi="Times New Roman" w:cs="Times New Roman"/>
                <w:color w:val="000000"/>
                <w:sz w:val="20"/>
                <w:szCs w:val="20"/>
                <w:lang w:eastAsia="cs-CZ"/>
              </w:rPr>
              <w:t>12,82 %</w:t>
            </w:r>
          </w:p>
        </w:tc>
      </w:tr>
      <w:tr w:rsidR="00F64DDF" w:rsidRPr="00287E41" w:rsidTr="00B92617">
        <w:trPr>
          <w:trHeight w:val="390"/>
          <w:jc w:val="center"/>
        </w:trPr>
        <w:tc>
          <w:tcPr>
            <w:tcW w:w="117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CELKEM</w:t>
            </w:r>
          </w:p>
        </w:tc>
        <w:tc>
          <w:tcPr>
            <w:tcW w:w="1251" w:type="dxa"/>
            <w:tcBorders>
              <w:top w:val="single" w:sz="8" w:space="0" w:color="auto"/>
              <w:left w:val="nil"/>
              <w:bottom w:val="single" w:sz="8"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1 689</w:t>
            </w:r>
          </w:p>
        </w:tc>
        <w:tc>
          <w:tcPr>
            <w:tcW w:w="885" w:type="dxa"/>
            <w:tcBorders>
              <w:top w:val="single" w:sz="8" w:space="0" w:color="auto"/>
              <w:left w:val="nil"/>
              <w:bottom w:val="single" w:sz="8" w:space="0" w:color="auto"/>
              <w:right w:val="nil"/>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 </w:t>
            </w:r>
          </w:p>
        </w:tc>
        <w:tc>
          <w:tcPr>
            <w:tcW w:w="1100"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382 246</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26</w:t>
            </w:r>
          </w:p>
        </w:tc>
        <w:tc>
          <w:tcPr>
            <w:tcW w:w="787"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65</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12</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2</w:t>
            </w:r>
          </w:p>
        </w:tc>
        <w:tc>
          <w:tcPr>
            <w:tcW w:w="962"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105</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t>6,22 %</w:t>
            </w:r>
          </w:p>
        </w:tc>
      </w:tr>
      <w:tr w:rsidR="00287E41" w:rsidRPr="00287E41" w:rsidTr="00B92617">
        <w:trPr>
          <w:trHeight w:val="871"/>
          <w:jc w:val="center"/>
        </w:trPr>
        <w:tc>
          <w:tcPr>
            <w:tcW w:w="10725" w:type="dxa"/>
            <w:gridSpan w:val="10"/>
            <w:tcBorders>
              <w:top w:val="nil"/>
              <w:left w:val="single" w:sz="8" w:space="0" w:color="auto"/>
              <w:bottom w:val="single" w:sz="4" w:space="0" w:color="auto"/>
              <w:right w:val="single" w:sz="8" w:space="0" w:color="000000"/>
            </w:tcBorders>
            <w:shd w:val="clear" w:color="auto" w:fill="auto"/>
            <w:vAlign w:val="center"/>
            <w:hideMark/>
          </w:tcPr>
          <w:p w:rsidR="00287E41" w:rsidRPr="00F64DDF" w:rsidRDefault="00287E41" w:rsidP="003E45CA">
            <w:pPr>
              <w:spacing w:after="120" w:line="240" w:lineRule="auto"/>
              <w:jc w:val="center"/>
              <w:rPr>
                <w:rFonts w:ascii="Times New Roman" w:eastAsia="Times New Roman" w:hAnsi="Times New Roman" w:cs="Times New Roman"/>
                <w:b/>
                <w:bCs/>
                <w:color w:val="000000"/>
                <w:sz w:val="20"/>
                <w:szCs w:val="20"/>
                <w:lang w:eastAsia="cs-CZ"/>
              </w:rPr>
            </w:pPr>
            <w:r w:rsidRPr="00F64DDF">
              <w:rPr>
                <w:rFonts w:ascii="Times New Roman" w:eastAsia="Times New Roman" w:hAnsi="Times New Roman" w:cs="Times New Roman"/>
                <w:b/>
                <w:bCs/>
                <w:color w:val="000000"/>
                <w:sz w:val="20"/>
                <w:szCs w:val="20"/>
                <w:lang w:eastAsia="cs-CZ"/>
              </w:rPr>
              <w:lastRenderedPageBreak/>
              <w:t xml:space="preserve">Dílčí programy Národního programu výzkumu a </w:t>
            </w:r>
            <w:r w:rsidR="003E45CA" w:rsidRPr="00F64DDF">
              <w:rPr>
                <w:rFonts w:ascii="Times New Roman" w:eastAsia="Times New Roman" w:hAnsi="Times New Roman" w:cs="Times New Roman"/>
                <w:b/>
                <w:bCs/>
                <w:color w:val="000000"/>
                <w:sz w:val="20"/>
                <w:szCs w:val="20"/>
                <w:lang w:eastAsia="cs-CZ"/>
              </w:rPr>
              <w:t xml:space="preserve">Národního programu výzkumu </w:t>
            </w:r>
            <w:r w:rsidRPr="00F64DDF">
              <w:rPr>
                <w:rFonts w:ascii="Times New Roman" w:eastAsia="Times New Roman" w:hAnsi="Times New Roman" w:cs="Times New Roman"/>
                <w:b/>
                <w:bCs/>
                <w:color w:val="000000"/>
                <w:sz w:val="20"/>
                <w:szCs w:val="20"/>
                <w:lang w:eastAsia="cs-CZ"/>
              </w:rPr>
              <w:t>II, které byly koncipovány a vládou schváleny s jiným typem priority, než jsou výsledky VaVaI</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49</w:t>
            </w:r>
          </w:p>
        </w:tc>
        <w:tc>
          <w:tcPr>
            <w:tcW w:w="885"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1K</w:t>
            </w:r>
          </w:p>
        </w:tc>
        <w:tc>
          <w:tcPr>
            <w:tcW w:w="1100"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1 824</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2</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3</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6,12 %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36</w:t>
            </w:r>
          </w:p>
        </w:tc>
        <w:tc>
          <w:tcPr>
            <w:tcW w:w="885"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1N</w:t>
            </w:r>
          </w:p>
        </w:tc>
        <w:tc>
          <w:tcPr>
            <w:tcW w:w="1100"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221 900</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4</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10</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15</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41,67 %</w:t>
            </w:r>
          </w:p>
        </w:tc>
      </w:tr>
      <w:tr w:rsidR="00F64DDF" w:rsidRPr="00287E41" w:rsidTr="00B92617">
        <w:trPr>
          <w:trHeight w:val="375"/>
          <w:jc w:val="center"/>
        </w:trPr>
        <w:tc>
          <w:tcPr>
            <w:tcW w:w="1174" w:type="dxa"/>
            <w:tcBorders>
              <w:top w:val="nil"/>
              <w:left w:val="single" w:sz="8" w:space="0" w:color="auto"/>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MŠMT</w:t>
            </w:r>
          </w:p>
        </w:tc>
        <w:tc>
          <w:tcPr>
            <w:tcW w:w="1251"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359</w:t>
            </w:r>
          </w:p>
        </w:tc>
        <w:tc>
          <w:tcPr>
            <w:tcW w:w="885" w:type="dxa"/>
            <w:tcBorders>
              <w:top w:val="nil"/>
              <w:left w:val="nil"/>
              <w:bottom w:val="single" w:sz="4"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1P</w:t>
            </w:r>
          </w:p>
        </w:tc>
        <w:tc>
          <w:tcPr>
            <w:tcW w:w="1100"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136 285</w:t>
            </w:r>
          </w:p>
        </w:tc>
        <w:tc>
          <w:tcPr>
            <w:tcW w:w="99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16</w:t>
            </w:r>
          </w:p>
        </w:tc>
        <w:tc>
          <w:tcPr>
            <w:tcW w:w="787"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34</w:t>
            </w:r>
          </w:p>
        </w:tc>
        <w:tc>
          <w:tcPr>
            <w:tcW w:w="1134"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1275"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962" w:type="dxa"/>
            <w:tcBorders>
              <w:top w:val="nil"/>
              <w:left w:val="nil"/>
              <w:bottom w:val="single" w:sz="4"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50</w:t>
            </w:r>
          </w:p>
        </w:tc>
        <w:tc>
          <w:tcPr>
            <w:tcW w:w="1165" w:type="dxa"/>
            <w:tcBorders>
              <w:top w:val="nil"/>
              <w:left w:val="nil"/>
              <w:bottom w:val="single" w:sz="4"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13,93 %</w:t>
            </w:r>
          </w:p>
        </w:tc>
      </w:tr>
      <w:tr w:rsidR="00F64DDF" w:rsidRPr="00287E41" w:rsidTr="00B92617">
        <w:trPr>
          <w:trHeight w:val="390"/>
          <w:jc w:val="center"/>
        </w:trPr>
        <w:tc>
          <w:tcPr>
            <w:tcW w:w="1174" w:type="dxa"/>
            <w:tcBorders>
              <w:top w:val="nil"/>
              <w:left w:val="single" w:sz="8" w:space="0" w:color="auto"/>
              <w:bottom w:val="nil"/>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MŠMT</w:t>
            </w:r>
          </w:p>
        </w:tc>
        <w:tc>
          <w:tcPr>
            <w:tcW w:w="1251" w:type="dxa"/>
            <w:tcBorders>
              <w:top w:val="nil"/>
              <w:left w:val="nil"/>
              <w:bottom w:val="nil"/>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35</w:t>
            </w:r>
          </w:p>
        </w:tc>
        <w:tc>
          <w:tcPr>
            <w:tcW w:w="885" w:type="dxa"/>
            <w:tcBorders>
              <w:top w:val="nil"/>
              <w:left w:val="nil"/>
              <w:bottom w:val="nil"/>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2E</w:t>
            </w:r>
          </w:p>
        </w:tc>
        <w:tc>
          <w:tcPr>
            <w:tcW w:w="1100"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7 475</w:t>
            </w:r>
          </w:p>
        </w:tc>
        <w:tc>
          <w:tcPr>
            <w:tcW w:w="992"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787"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2</w:t>
            </w:r>
          </w:p>
        </w:tc>
        <w:tc>
          <w:tcPr>
            <w:tcW w:w="1134"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1275"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 </w:t>
            </w:r>
          </w:p>
        </w:tc>
        <w:tc>
          <w:tcPr>
            <w:tcW w:w="962" w:type="dxa"/>
            <w:tcBorders>
              <w:top w:val="nil"/>
              <w:left w:val="nil"/>
              <w:bottom w:val="nil"/>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2</w:t>
            </w:r>
          </w:p>
        </w:tc>
        <w:tc>
          <w:tcPr>
            <w:tcW w:w="1165" w:type="dxa"/>
            <w:tcBorders>
              <w:top w:val="nil"/>
              <w:left w:val="nil"/>
              <w:bottom w:val="nil"/>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5,71 %</w:t>
            </w:r>
          </w:p>
        </w:tc>
      </w:tr>
      <w:tr w:rsidR="00F64DDF" w:rsidRPr="00287E41" w:rsidTr="00B92617">
        <w:trPr>
          <w:trHeight w:val="330"/>
          <w:jc w:val="center"/>
        </w:trPr>
        <w:tc>
          <w:tcPr>
            <w:tcW w:w="1174"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CELKEM</w:t>
            </w:r>
          </w:p>
        </w:tc>
        <w:tc>
          <w:tcPr>
            <w:tcW w:w="1251" w:type="dxa"/>
            <w:tcBorders>
              <w:top w:val="single" w:sz="8" w:space="0" w:color="auto"/>
              <w:left w:val="nil"/>
              <w:bottom w:val="single" w:sz="8" w:space="0" w:color="auto"/>
              <w:right w:val="single" w:sz="4" w:space="0" w:color="auto"/>
            </w:tcBorders>
            <w:shd w:val="clear" w:color="auto" w:fill="auto"/>
            <w:noWrap/>
            <w:vAlign w:val="center"/>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479</w:t>
            </w:r>
          </w:p>
        </w:tc>
        <w:tc>
          <w:tcPr>
            <w:tcW w:w="885" w:type="dxa"/>
            <w:tcBorders>
              <w:top w:val="single" w:sz="8" w:space="0" w:color="auto"/>
              <w:left w:val="nil"/>
              <w:bottom w:val="single" w:sz="8" w:space="0" w:color="auto"/>
              <w:right w:val="single" w:sz="4" w:space="0" w:color="auto"/>
            </w:tcBorders>
            <w:shd w:val="clear" w:color="auto" w:fill="auto"/>
            <w:noWrap/>
            <w:vAlign w:val="center"/>
            <w:hideMark/>
          </w:tcPr>
          <w:p w:rsidR="00287E41" w:rsidRPr="00F64DDF" w:rsidRDefault="00287E41" w:rsidP="001F473D">
            <w:pPr>
              <w:spacing w:after="120" w:line="240" w:lineRule="auto"/>
              <w:jc w:val="both"/>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 </w:t>
            </w:r>
          </w:p>
        </w:tc>
        <w:tc>
          <w:tcPr>
            <w:tcW w:w="1100"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367 484</w:t>
            </w:r>
          </w:p>
        </w:tc>
        <w:tc>
          <w:tcPr>
            <w:tcW w:w="992"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21</w:t>
            </w:r>
          </w:p>
        </w:tc>
        <w:tc>
          <w:tcPr>
            <w:tcW w:w="787"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48</w:t>
            </w:r>
          </w:p>
        </w:tc>
        <w:tc>
          <w:tcPr>
            <w:tcW w:w="1134"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1</w:t>
            </w:r>
          </w:p>
        </w:tc>
        <w:tc>
          <w:tcPr>
            <w:tcW w:w="1275"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0</w:t>
            </w:r>
          </w:p>
        </w:tc>
        <w:tc>
          <w:tcPr>
            <w:tcW w:w="962" w:type="dxa"/>
            <w:tcBorders>
              <w:top w:val="single" w:sz="8" w:space="0" w:color="auto"/>
              <w:left w:val="nil"/>
              <w:bottom w:val="single" w:sz="8" w:space="0" w:color="auto"/>
              <w:right w:val="single" w:sz="4"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b/>
                <w:bCs/>
                <w:sz w:val="20"/>
                <w:szCs w:val="20"/>
                <w:lang w:eastAsia="cs-CZ"/>
              </w:rPr>
            </w:pPr>
            <w:r w:rsidRPr="00F64DDF">
              <w:rPr>
                <w:rFonts w:ascii="Times New Roman" w:eastAsia="Times New Roman" w:hAnsi="Times New Roman" w:cs="Times New Roman"/>
                <w:b/>
                <w:bCs/>
                <w:sz w:val="20"/>
                <w:szCs w:val="20"/>
                <w:lang w:eastAsia="cs-CZ"/>
              </w:rPr>
              <w:t>70</w:t>
            </w:r>
          </w:p>
        </w:tc>
        <w:tc>
          <w:tcPr>
            <w:tcW w:w="1165" w:type="dxa"/>
            <w:tcBorders>
              <w:top w:val="single" w:sz="8" w:space="0" w:color="auto"/>
              <w:left w:val="nil"/>
              <w:bottom w:val="single" w:sz="8" w:space="0" w:color="auto"/>
              <w:right w:val="single" w:sz="8" w:space="0" w:color="auto"/>
            </w:tcBorders>
            <w:shd w:val="clear" w:color="auto" w:fill="auto"/>
            <w:noWrap/>
            <w:vAlign w:val="bottom"/>
            <w:hideMark/>
          </w:tcPr>
          <w:p w:rsidR="00287E41" w:rsidRPr="00F64DDF" w:rsidRDefault="00287E41" w:rsidP="00B92617">
            <w:pPr>
              <w:spacing w:after="120" w:line="240" w:lineRule="auto"/>
              <w:jc w:val="right"/>
              <w:rPr>
                <w:rFonts w:ascii="Times New Roman" w:eastAsia="Times New Roman" w:hAnsi="Times New Roman" w:cs="Times New Roman"/>
                <w:sz w:val="20"/>
                <w:szCs w:val="20"/>
                <w:lang w:eastAsia="cs-CZ"/>
              </w:rPr>
            </w:pPr>
            <w:r w:rsidRPr="00F64DDF">
              <w:rPr>
                <w:rFonts w:ascii="Times New Roman" w:eastAsia="Times New Roman" w:hAnsi="Times New Roman" w:cs="Times New Roman"/>
                <w:sz w:val="20"/>
                <w:szCs w:val="20"/>
                <w:lang w:eastAsia="cs-CZ"/>
              </w:rPr>
              <w:t>14,61 %</w:t>
            </w:r>
          </w:p>
        </w:tc>
      </w:tr>
    </w:tbl>
    <w:p w:rsidR="00EE6444" w:rsidRDefault="00EE6444" w:rsidP="001F473D">
      <w:pPr>
        <w:pStyle w:val="Styl1"/>
        <w:ind w:firstLine="360"/>
        <w:rPr>
          <w:lang w:val="cs-CZ"/>
        </w:rPr>
        <w:sectPr w:rsidR="00EE6444" w:rsidSect="006F4765">
          <w:pgSz w:w="16838" w:h="11906" w:orient="landscape"/>
          <w:pgMar w:top="1417" w:right="1417" w:bottom="1417" w:left="1417" w:header="708" w:footer="709" w:gutter="0"/>
          <w:cols w:space="708"/>
          <w:docGrid w:linePitch="360"/>
        </w:sectPr>
      </w:pPr>
    </w:p>
    <w:p w:rsidR="00974FC0" w:rsidRDefault="0002168A" w:rsidP="00E17B96">
      <w:pPr>
        <w:pStyle w:val="Styl1"/>
        <w:rPr>
          <w:lang w:val="cs-CZ"/>
        </w:rPr>
      </w:pPr>
      <w:r w:rsidRPr="00327B80">
        <w:rPr>
          <w:lang w:val="cs-CZ"/>
        </w:rPr>
        <w:lastRenderedPageBreak/>
        <w:t xml:space="preserve">Nejvyšší </w:t>
      </w:r>
      <w:r w:rsidR="00BA773C">
        <w:rPr>
          <w:lang w:val="cs-CZ"/>
        </w:rPr>
        <w:t>podíl</w:t>
      </w:r>
      <w:r w:rsidRPr="00327B80">
        <w:rPr>
          <w:lang w:val="cs-CZ"/>
        </w:rPr>
        <w:t xml:space="preserve"> projektů</w:t>
      </w:r>
      <w:r w:rsidR="00E73270">
        <w:rPr>
          <w:lang w:val="cs-CZ"/>
        </w:rPr>
        <w:t xml:space="preserve"> ukončených</w:t>
      </w:r>
      <w:r w:rsidRPr="00327B80">
        <w:rPr>
          <w:lang w:val="cs-CZ"/>
        </w:rPr>
        <w:t xml:space="preserve"> bez bodově ohodnocených výsledků vykázal</w:t>
      </w:r>
      <w:r w:rsidR="00BA773C">
        <w:rPr>
          <w:lang w:val="cs-CZ"/>
        </w:rPr>
        <w:t xml:space="preserve">y </w:t>
      </w:r>
      <w:r w:rsidR="00E73270">
        <w:rPr>
          <w:lang w:val="cs-CZ"/>
        </w:rPr>
        <w:t xml:space="preserve">podle </w:t>
      </w:r>
      <w:r w:rsidR="00BA773C">
        <w:rPr>
          <w:lang w:val="cs-CZ"/>
        </w:rPr>
        <w:t>údaj</w:t>
      </w:r>
      <w:r w:rsidR="00E73270">
        <w:rPr>
          <w:lang w:val="cs-CZ"/>
        </w:rPr>
        <w:t xml:space="preserve">ů </w:t>
      </w:r>
      <w:r w:rsidR="00BA773C">
        <w:rPr>
          <w:lang w:val="cs-CZ"/>
        </w:rPr>
        <w:t>obsažen</w:t>
      </w:r>
      <w:r w:rsidR="00E73270">
        <w:rPr>
          <w:lang w:val="cs-CZ"/>
        </w:rPr>
        <w:t>ých</w:t>
      </w:r>
      <w:r w:rsidR="00BA773C">
        <w:rPr>
          <w:lang w:val="cs-CZ"/>
        </w:rPr>
        <w:t xml:space="preserve"> v</w:t>
      </w:r>
      <w:r w:rsidR="00760798">
        <w:rPr>
          <w:lang w:val="cs-CZ"/>
        </w:rPr>
        <w:t> </w:t>
      </w:r>
      <w:r w:rsidR="00BA773C">
        <w:rPr>
          <w:lang w:val="cs-CZ"/>
        </w:rPr>
        <w:t>IS VaVaI program</w:t>
      </w:r>
      <w:r w:rsidR="00E73270">
        <w:rPr>
          <w:lang w:val="cs-CZ"/>
        </w:rPr>
        <w:t>y</w:t>
      </w:r>
      <w:r w:rsidRPr="00327B80">
        <w:rPr>
          <w:lang w:val="cs-CZ"/>
        </w:rPr>
        <w:t xml:space="preserve"> spadající do gesce Ministerstva životního prostředí (SP) </w:t>
      </w:r>
      <w:r w:rsidR="00760798">
        <w:rPr>
          <w:lang w:val="cs-CZ"/>
        </w:rPr>
        <w:t>–</w:t>
      </w:r>
      <w:r w:rsidRPr="00327B80">
        <w:rPr>
          <w:lang w:val="cs-CZ"/>
        </w:rPr>
        <w:t xml:space="preserve"> 21,8 %, Ministerstva spravedlnosti (RD) </w:t>
      </w:r>
      <w:r w:rsidR="00760798">
        <w:rPr>
          <w:lang w:val="cs-CZ"/>
        </w:rPr>
        <w:t>–</w:t>
      </w:r>
      <w:r w:rsidRPr="00327B80">
        <w:rPr>
          <w:lang w:val="cs-CZ"/>
        </w:rPr>
        <w:t xml:space="preserve"> 25</w:t>
      </w:r>
      <w:r w:rsidR="005F1BFF">
        <w:rPr>
          <w:lang w:val="cs-CZ"/>
        </w:rPr>
        <w:t xml:space="preserve"> </w:t>
      </w:r>
      <w:r w:rsidRPr="00327B80">
        <w:rPr>
          <w:lang w:val="cs-CZ"/>
        </w:rPr>
        <w:t xml:space="preserve">%, Ministerstva dopravy (CG) </w:t>
      </w:r>
      <w:r w:rsidR="00760798">
        <w:rPr>
          <w:lang w:val="cs-CZ"/>
        </w:rPr>
        <w:t>–</w:t>
      </w:r>
      <w:r w:rsidRPr="00327B80">
        <w:rPr>
          <w:lang w:val="cs-CZ"/>
        </w:rPr>
        <w:t xml:space="preserve"> 25,3 %, Ministerstva obrany (OS) </w:t>
      </w:r>
      <w:r w:rsidR="00760798">
        <w:rPr>
          <w:lang w:val="cs-CZ"/>
        </w:rPr>
        <w:t>–</w:t>
      </w:r>
      <w:r w:rsidRPr="00327B80">
        <w:rPr>
          <w:lang w:val="cs-CZ"/>
        </w:rPr>
        <w:t xml:space="preserve"> 41,5</w:t>
      </w:r>
      <w:r w:rsidR="00E767CB">
        <w:rPr>
          <w:lang w:val="cs-CZ"/>
        </w:rPr>
        <w:t xml:space="preserve"> </w:t>
      </w:r>
      <w:r w:rsidRPr="00327B80">
        <w:rPr>
          <w:lang w:val="cs-CZ"/>
        </w:rPr>
        <w:t xml:space="preserve">%, Ministerstva vnitra (VE) </w:t>
      </w:r>
      <w:r w:rsidR="00760798">
        <w:rPr>
          <w:lang w:val="cs-CZ"/>
        </w:rPr>
        <w:t>–</w:t>
      </w:r>
      <w:r w:rsidRPr="00327B80">
        <w:rPr>
          <w:lang w:val="cs-CZ"/>
        </w:rPr>
        <w:t xml:space="preserve"> 50</w:t>
      </w:r>
      <w:r w:rsidR="005F1BFF">
        <w:rPr>
          <w:lang w:val="cs-CZ"/>
        </w:rPr>
        <w:t xml:space="preserve"> </w:t>
      </w:r>
      <w:r w:rsidRPr="00327B80">
        <w:rPr>
          <w:lang w:val="cs-CZ"/>
        </w:rPr>
        <w:t xml:space="preserve">%, a </w:t>
      </w:r>
      <w:r w:rsidR="00974FC0">
        <w:rPr>
          <w:lang w:val="cs-CZ"/>
        </w:rPr>
        <w:t xml:space="preserve">zejména </w:t>
      </w:r>
      <w:r w:rsidRPr="00327B80">
        <w:rPr>
          <w:lang w:val="cs-CZ"/>
        </w:rPr>
        <w:t xml:space="preserve">Ministerstva práce a sociálních věcí (HC) </w:t>
      </w:r>
      <w:r w:rsidR="00760798">
        <w:rPr>
          <w:lang w:val="cs-CZ"/>
        </w:rPr>
        <w:t>–</w:t>
      </w:r>
      <w:r w:rsidRPr="00327B80">
        <w:rPr>
          <w:lang w:val="cs-CZ"/>
        </w:rPr>
        <w:t xml:space="preserve"> 82,4 %. </w:t>
      </w:r>
      <w:r w:rsidR="00A05B2F">
        <w:rPr>
          <w:lang w:val="cs-CZ"/>
        </w:rPr>
        <w:t>V</w:t>
      </w:r>
      <w:r w:rsidR="00760798">
        <w:rPr>
          <w:lang w:val="cs-CZ"/>
        </w:rPr>
        <w:t> </w:t>
      </w:r>
      <w:r w:rsidR="00A05B2F">
        <w:rPr>
          <w:lang w:val="cs-CZ"/>
        </w:rPr>
        <w:t>případě</w:t>
      </w:r>
      <w:r w:rsidR="004B3F03" w:rsidRPr="00327B80">
        <w:rPr>
          <w:lang w:val="cs-CZ"/>
        </w:rPr>
        <w:t xml:space="preserve"> </w:t>
      </w:r>
      <w:r w:rsidR="00BA773C">
        <w:rPr>
          <w:lang w:val="cs-CZ"/>
        </w:rPr>
        <w:t xml:space="preserve">posledně uvedeného </w:t>
      </w:r>
      <w:r w:rsidR="004B3F03" w:rsidRPr="00327B80">
        <w:rPr>
          <w:lang w:val="cs-CZ"/>
        </w:rPr>
        <w:t xml:space="preserve">programu (HC) bodově </w:t>
      </w:r>
      <w:r w:rsidR="00974FC0">
        <w:rPr>
          <w:lang w:val="cs-CZ"/>
        </w:rPr>
        <w:t>o</w:t>
      </w:r>
      <w:r w:rsidR="004B3F03" w:rsidRPr="00327B80">
        <w:rPr>
          <w:lang w:val="cs-CZ"/>
        </w:rPr>
        <w:t>hodnocených výsledků nedosáhlo</w:t>
      </w:r>
      <w:r w:rsidR="00880816" w:rsidRPr="00327B80">
        <w:rPr>
          <w:lang w:val="cs-CZ"/>
        </w:rPr>
        <w:t xml:space="preserve"> 28</w:t>
      </w:r>
      <w:r w:rsidR="004B3F03" w:rsidRPr="00327B80">
        <w:rPr>
          <w:lang w:val="cs-CZ"/>
        </w:rPr>
        <w:t> </w:t>
      </w:r>
      <w:r w:rsidR="00880816" w:rsidRPr="00327B80">
        <w:rPr>
          <w:lang w:val="cs-CZ"/>
        </w:rPr>
        <w:t>projektů z</w:t>
      </w:r>
      <w:r w:rsidR="00760798">
        <w:rPr>
          <w:lang w:val="cs-CZ"/>
        </w:rPr>
        <w:t> </w:t>
      </w:r>
      <w:r w:rsidR="00880816" w:rsidRPr="00327B80">
        <w:rPr>
          <w:lang w:val="cs-CZ"/>
        </w:rPr>
        <w:t xml:space="preserve">celkových 34 </w:t>
      </w:r>
      <w:r w:rsidR="00974FC0">
        <w:rPr>
          <w:lang w:val="cs-CZ"/>
        </w:rPr>
        <w:t xml:space="preserve">řešených </w:t>
      </w:r>
      <w:r w:rsidR="00BA773C">
        <w:rPr>
          <w:lang w:val="cs-CZ"/>
        </w:rPr>
        <w:t>projektů</w:t>
      </w:r>
      <w:r w:rsidR="00974FC0">
        <w:rPr>
          <w:lang w:val="cs-CZ"/>
        </w:rPr>
        <w:t>. Přesto p</w:t>
      </w:r>
      <w:r w:rsidR="00880816" w:rsidRPr="00327B80">
        <w:rPr>
          <w:lang w:val="cs-CZ"/>
        </w:rPr>
        <w:t>odle údajů</w:t>
      </w:r>
      <w:r w:rsidR="00BA773C">
        <w:rPr>
          <w:lang w:val="cs-CZ"/>
        </w:rPr>
        <w:t xml:space="preserve"> předaných </w:t>
      </w:r>
      <w:r w:rsidR="00880816" w:rsidRPr="00327B80">
        <w:rPr>
          <w:lang w:val="cs-CZ"/>
        </w:rPr>
        <w:t>poskytovatel</w:t>
      </w:r>
      <w:r w:rsidR="00BA773C">
        <w:rPr>
          <w:lang w:val="cs-CZ"/>
        </w:rPr>
        <w:t>em</w:t>
      </w:r>
      <w:r w:rsidR="00880816" w:rsidRPr="00327B80">
        <w:rPr>
          <w:lang w:val="cs-CZ"/>
        </w:rPr>
        <w:t xml:space="preserve"> do IS VaVaI 27 z</w:t>
      </w:r>
      <w:r w:rsidR="00760798">
        <w:rPr>
          <w:lang w:val="cs-CZ"/>
        </w:rPr>
        <w:t> </w:t>
      </w:r>
      <w:r w:rsidR="00880816" w:rsidRPr="00327B80">
        <w:rPr>
          <w:lang w:val="cs-CZ"/>
        </w:rPr>
        <w:t xml:space="preserve">těchto projektů </w:t>
      </w:r>
      <w:r w:rsidR="00BA773C">
        <w:rPr>
          <w:lang w:val="cs-CZ"/>
        </w:rPr>
        <w:t>splnilo zadání</w:t>
      </w:r>
      <w:r w:rsidR="00880816" w:rsidRPr="00327B80">
        <w:rPr>
          <w:lang w:val="cs-CZ"/>
        </w:rPr>
        <w:t xml:space="preserve"> a</w:t>
      </w:r>
      <w:r w:rsidR="00974FC0">
        <w:rPr>
          <w:lang w:val="cs-CZ"/>
        </w:rPr>
        <w:t> </w:t>
      </w:r>
      <w:r w:rsidR="00880816" w:rsidRPr="00327B80">
        <w:rPr>
          <w:lang w:val="cs-CZ"/>
        </w:rPr>
        <w:t>pouze 1 z</w:t>
      </w:r>
      <w:r w:rsidR="00760798">
        <w:rPr>
          <w:lang w:val="cs-CZ"/>
        </w:rPr>
        <w:t> </w:t>
      </w:r>
      <w:r w:rsidR="00880816" w:rsidRPr="00327B80">
        <w:rPr>
          <w:lang w:val="cs-CZ"/>
        </w:rPr>
        <w:t xml:space="preserve">těchto projektů podle zadání neuspěl. </w:t>
      </w:r>
    </w:p>
    <w:p w:rsidR="00327B80" w:rsidRPr="00327B80" w:rsidRDefault="00327B80" w:rsidP="00E17B96">
      <w:pPr>
        <w:pStyle w:val="Styl1"/>
        <w:rPr>
          <w:lang w:val="cs-CZ"/>
        </w:rPr>
      </w:pPr>
      <w:r w:rsidRPr="00327B80">
        <w:rPr>
          <w:lang w:val="cs-CZ"/>
        </w:rPr>
        <w:t xml:space="preserve">Na řešení projektů, které </w:t>
      </w:r>
      <w:r w:rsidR="00EB0430">
        <w:rPr>
          <w:lang w:val="cs-CZ"/>
        </w:rPr>
        <w:t>byly v</w:t>
      </w:r>
      <w:r w:rsidR="00760798">
        <w:rPr>
          <w:lang w:val="cs-CZ"/>
        </w:rPr>
        <w:t> </w:t>
      </w:r>
      <w:r w:rsidR="00EB0430">
        <w:rPr>
          <w:lang w:val="cs-CZ"/>
        </w:rPr>
        <w:t>souhrnu za</w:t>
      </w:r>
      <w:r w:rsidRPr="00327B80">
        <w:rPr>
          <w:lang w:val="cs-CZ"/>
        </w:rPr>
        <w:t xml:space="preserve"> všech</w:t>
      </w:r>
      <w:r w:rsidR="00EB0430">
        <w:rPr>
          <w:lang w:val="cs-CZ"/>
        </w:rPr>
        <w:t>ny</w:t>
      </w:r>
      <w:r w:rsidRPr="00327B80">
        <w:rPr>
          <w:lang w:val="cs-CZ"/>
        </w:rPr>
        <w:t xml:space="preserve"> hodnocen</w:t>
      </w:r>
      <w:r w:rsidR="00EB0430">
        <w:rPr>
          <w:lang w:val="cs-CZ"/>
        </w:rPr>
        <w:t>é</w:t>
      </w:r>
      <w:r w:rsidRPr="00327B80">
        <w:rPr>
          <w:lang w:val="cs-CZ"/>
        </w:rPr>
        <w:t xml:space="preserve"> program</w:t>
      </w:r>
      <w:r w:rsidR="00EB0430">
        <w:rPr>
          <w:lang w:val="cs-CZ"/>
        </w:rPr>
        <w:t>y</w:t>
      </w:r>
      <w:r w:rsidRPr="00327B80">
        <w:rPr>
          <w:lang w:val="cs-CZ"/>
        </w:rPr>
        <w:t xml:space="preserve"> dohromady </w:t>
      </w:r>
      <w:r w:rsidR="00EB0430">
        <w:rPr>
          <w:lang w:val="cs-CZ"/>
        </w:rPr>
        <w:t>ukončeny bez</w:t>
      </w:r>
      <w:r w:rsidRPr="00327B80">
        <w:rPr>
          <w:lang w:val="cs-CZ"/>
        </w:rPr>
        <w:t xml:space="preserve"> bodově ohodnoceného výsledku, bylo vydáno celkem </w:t>
      </w:r>
      <w:r w:rsidR="00BF35FC">
        <w:rPr>
          <w:lang w:val="cs-CZ"/>
        </w:rPr>
        <w:t>689</w:t>
      </w:r>
      <w:r w:rsidR="005F1BFF">
        <w:rPr>
          <w:lang w:val="cs-CZ"/>
        </w:rPr>
        <w:t> </w:t>
      </w:r>
      <w:r w:rsidR="004F2E4F">
        <w:rPr>
          <w:lang w:val="cs-CZ"/>
        </w:rPr>
        <w:t>4</w:t>
      </w:r>
      <w:r w:rsidR="00BF35FC">
        <w:rPr>
          <w:lang w:val="cs-CZ"/>
        </w:rPr>
        <w:t>38</w:t>
      </w:r>
      <w:r w:rsidRPr="00327B80">
        <w:rPr>
          <w:lang w:val="cs-CZ"/>
        </w:rPr>
        <w:t xml:space="preserve"> tis. Kč</w:t>
      </w:r>
      <w:r w:rsidR="004B2408">
        <w:rPr>
          <w:lang w:val="cs-CZ"/>
        </w:rPr>
        <w:t xml:space="preserve"> (4,</w:t>
      </w:r>
      <w:r w:rsidR="00BF35FC">
        <w:rPr>
          <w:lang w:val="cs-CZ"/>
        </w:rPr>
        <w:t>6</w:t>
      </w:r>
      <w:r w:rsidR="004B2408">
        <w:rPr>
          <w:lang w:val="cs-CZ"/>
        </w:rPr>
        <w:t xml:space="preserve"> %)</w:t>
      </w:r>
      <w:r w:rsidRPr="00327B80">
        <w:rPr>
          <w:lang w:val="cs-CZ"/>
        </w:rPr>
        <w:t>, z</w:t>
      </w:r>
      <w:r w:rsidR="00760798">
        <w:rPr>
          <w:lang w:val="cs-CZ"/>
        </w:rPr>
        <w:t> </w:t>
      </w:r>
      <w:r w:rsidRPr="00327B80">
        <w:rPr>
          <w:lang w:val="cs-CZ"/>
        </w:rPr>
        <w:t xml:space="preserve">toho </w:t>
      </w:r>
      <w:r w:rsidR="00BF35FC">
        <w:rPr>
          <w:lang w:val="cs-CZ"/>
        </w:rPr>
        <w:t>656</w:t>
      </w:r>
      <w:r w:rsidR="005F1BFF">
        <w:rPr>
          <w:lang w:val="cs-CZ"/>
        </w:rPr>
        <w:t> </w:t>
      </w:r>
      <w:r w:rsidR="00BF35FC">
        <w:rPr>
          <w:lang w:val="cs-CZ"/>
        </w:rPr>
        <w:t>487</w:t>
      </w:r>
      <w:r w:rsidRPr="00327B80">
        <w:rPr>
          <w:lang w:val="cs-CZ"/>
        </w:rPr>
        <w:t xml:space="preserve"> tis. Kč </w:t>
      </w:r>
      <w:r w:rsidR="004B2408">
        <w:rPr>
          <w:lang w:val="cs-CZ"/>
        </w:rPr>
        <w:t>(</w:t>
      </w:r>
      <w:r w:rsidR="00BF35FC">
        <w:rPr>
          <w:lang w:val="cs-CZ"/>
        </w:rPr>
        <w:t>4,7</w:t>
      </w:r>
      <w:r w:rsidR="004B2408">
        <w:rPr>
          <w:lang w:val="cs-CZ"/>
        </w:rPr>
        <w:t xml:space="preserve"> %) </w:t>
      </w:r>
      <w:r w:rsidR="00974FC0">
        <w:rPr>
          <w:lang w:val="cs-CZ"/>
        </w:rPr>
        <w:t xml:space="preserve">ve formě podpory </w:t>
      </w:r>
      <w:r w:rsidRPr="00327B80">
        <w:rPr>
          <w:lang w:val="cs-CZ"/>
        </w:rPr>
        <w:t>z</w:t>
      </w:r>
      <w:r w:rsidR="00760798">
        <w:rPr>
          <w:lang w:val="cs-CZ"/>
        </w:rPr>
        <w:t> </w:t>
      </w:r>
      <w:r w:rsidRPr="00327B80">
        <w:rPr>
          <w:lang w:val="cs-CZ"/>
        </w:rPr>
        <w:t>veřejných prostředků.</w:t>
      </w:r>
    </w:p>
    <w:p w:rsidR="006539C3" w:rsidRPr="006539C3" w:rsidRDefault="006539C3" w:rsidP="00E17B96">
      <w:pPr>
        <w:pStyle w:val="Styl1"/>
        <w:rPr>
          <w:lang w:val="cs-CZ"/>
        </w:rPr>
      </w:pPr>
      <w:r w:rsidRPr="006539C3">
        <w:rPr>
          <w:lang w:val="cs-CZ"/>
        </w:rPr>
        <w:t xml:space="preserve">Bližší </w:t>
      </w:r>
      <w:r>
        <w:rPr>
          <w:lang w:val="cs-CZ"/>
        </w:rPr>
        <w:t xml:space="preserve">údaje o </w:t>
      </w:r>
      <w:r w:rsidRPr="006539C3">
        <w:rPr>
          <w:lang w:val="cs-CZ"/>
        </w:rPr>
        <w:t xml:space="preserve">hodnocení </w:t>
      </w:r>
      <w:r>
        <w:rPr>
          <w:lang w:val="cs-CZ"/>
        </w:rPr>
        <w:t xml:space="preserve">projektů ze strany </w:t>
      </w:r>
      <w:r w:rsidRPr="006539C3">
        <w:rPr>
          <w:lang w:val="cs-CZ"/>
        </w:rPr>
        <w:t>poskytovatel</w:t>
      </w:r>
      <w:r>
        <w:rPr>
          <w:lang w:val="cs-CZ"/>
        </w:rPr>
        <w:t>ů jsou uvedeny v</w:t>
      </w:r>
      <w:r w:rsidR="00760798">
        <w:rPr>
          <w:lang w:val="cs-CZ"/>
        </w:rPr>
        <w:t> </w:t>
      </w:r>
      <w:r>
        <w:rPr>
          <w:lang w:val="cs-CZ"/>
        </w:rPr>
        <w:t>Přílo</w:t>
      </w:r>
      <w:r w:rsidR="005F1BFF">
        <w:rPr>
          <w:lang w:val="cs-CZ"/>
        </w:rPr>
        <w:t>hách</w:t>
      </w:r>
      <w:r>
        <w:rPr>
          <w:lang w:val="cs-CZ"/>
        </w:rPr>
        <w:t xml:space="preserve"> č.</w:t>
      </w:r>
      <w:r w:rsidR="005F1BFF">
        <w:rPr>
          <w:lang w:val="cs-CZ"/>
        </w:rPr>
        <w:t> </w:t>
      </w:r>
      <w:r w:rsidR="00BA773C">
        <w:rPr>
          <w:lang w:val="cs-CZ"/>
        </w:rPr>
        <w:t>4</w:t>
      </w:r>
      <w:r w:rsidR="007A13BE">
        <w:rPr>
          <w:lang w:val="cs-CZ"/>
        </w:rPr>
        <w:t xml:space="preserve"> a 5</w:t>
      </w:r>
      <w:r>
        <w:rPr>
          <w:lang w:val="cs-CZ"/>
        </w:rPr>
        <w:t>.</w:t>
      </w:r>
    </w:p>
    <w:p w:rsidR="002F3456" w:rsidRPr="006F4765" w:rsidRDefault="00760798"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b/>
          <w:sz w:val="24"/>
          <w:szCs w:val="24"/>
        </w:rPr>
        <w:t>5.4</w:t>
      </w:r>
      <w:r>
        <w:rPr>
          <w:rFonts w:ascii="Times New Roman" w:hAnsi="Times New Roman" w:cs="Times New Roman"/>
          <w:b/>
          <w:sz w:val="24"/>
          <w:szCs w:val="24"/>
        </w:rPr>
        <w:tab/>
      </w:r>
      <w:r w:rsidR="00E630F9" w:rsidRPr="006F4765">
        <w:rPr>
          <w:rFonts w:ascii="Times New Roman" w:hAnsi="Times New Roman" w:cs="Times New Roman"/>
          <w:b/>
          <w:sz w:val="24"/>
          <w:szCs w:val="24"/>
        </w:rPr>
        <w:t>Naplnění cílů hodnocených programů</w:t>
      </w:r>
      <w:r w:rsidR="002F3456" w:rsidRPr="006F4765">
        <w:rPr>
          <w:rFonts w:ascii="Times New Roman" w:hAnsi="Times New Roman" w:cs="Times New Roman"/>
          <w:b/>
          <w:sz w:val="24"/>
          <w:szCs w:val="24"/>
        </w:rPr>
        <w:t xml:space="preserve"> </w:t>
      </w:r>
    </w:p>
    <w:p w:rsidR="00E25C6C" w:rsidRPr="00327B80" w:rsidRDefault="00956069"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P</w:t>
      </w:r>
      <w:r w:rsidR="0090093D" w:rsidRPr="00327B80">
        <w:rPr>
          <w:rFonts w:ascii="Times New Roman" w:hAnsi="Times New Roman" w:cs="Times New Roman"/>
          <w:sz w:val="24"/>
          <w:szCs w:val="24"/>
        </w:rPr>
        <w:t>osoudit</w:t>
      </w:r>
      <w:r w:rsidR="002F3456" w:rsidRPr="00327B80">
        <w:rPr>
          <w:rFonts w:ascii="Times New Roman" w:hAnsi="Times New Roman" w:cs="Times New Roman"/>
          <w:sz w:val="24"/>
          <w:szCs w:val="24"/>
        </w:rPr>
        <w:t xml:space="preserve"> </w:t>
      </w:r>
      <w:r>
        <w:rPr>
          <w:rFonts w:ascii="Times New Roman" w:hAnsi="Times New Roman" w:cs="Times New Roman"/>
          <w:sz w:val="24"/>
          <w:szCs w:val="24"/>
        </w:rPr>
        <w:t>naplnění</w:t>
      </w:r>
      <w:r w:rsidR="0090093D" w:rsidRPr="00327B80">
        <w:rPr>
          <w:rFonts w:ascii="Times New Roman" w:hAnsi="Times New Roman" w:cs="Times New Roman"/>
          <w:sz w:val="24"/>
          <w:szCs w:val="24"/>
        </w:rPr>
        <w:t xml:space="preserve"> </w:t>
      </w:r>
      <w:r w:rsidR="002F3456" w:rsidRPr="00327B80">
        <w:rPr>
          <w:rFonts w:ascii="Times New Roman" w:hAnsi="Times New Roman" w:cs="Times New Roman"/>
          <w:sz w:val="24"/>
          <w:szCs w:val="24"/>
        </w:rPr>
        <w:t>cíl</w:t>
      </w:r>
      <w:r>
        <w:rPr>
          <w:rFonts w:ascii="Times New Roman" w:hAnsi="Times New Roman" w:cs="Times New Roman"/>
          <w:sz w:val="24"/>
          <w:szCs w:val="24"/>
        </w:rPr>
        <w:t>ů</w:t>
      </w:r>
      <w:r w:rsidR="0090093D" w:rsidRPr="00327B80">
        <w:rPr>
          <w:rFonts w:ascii="Times New Roman" w:hAnsi="Times New Roman" w:cs="Times New Roman"/>
          <w:sz w:val="24"/>
          <w:szCs w:val="24"/>
        </w:rPr>
        <w:t xml:space="preserve"> </w:t>
      </w:r>
      <w:r>
        <w:rPr>
          <w:rFonts w:ascii="Times New Roman" w:hAnsi="Times New Roman" w:cs="Times New Roman"/>
          <w:sz w:val="24"/>
          <w:szCs w:val="24"/>
        </w:rPr>
        <w:t xml:space="preserve">hodnocených </w:t>
      </w:r>
      <w:r w:rsidR="0090093D" w:rsidRPr="00327B80">
        <w:rPr>
          <w:rFonts w:ascii="Times New Roman" w:hAnsi="Times New Roman" w:cs="Times New Roman"/>
          <w:sz w:val="24"/>
          <w:szCs w:val="24"/>
        </w:rPr>
        <w:t xml:space="preserve">programů lze </w:t>
      </w:r>
      <w:r w:rsidR="00D829EF" w:rsidRPr="00327B80">
        <w:rPr>
          <w:rFonts w:ascii="Times New Roman" w:hAnsi="Times New Roman" w:cs="Times New Roman"/>
          <w:sz w:val="24"/>
          <w:szCs w:val="24"/>
        </w:rPr>
        <w:t>pouze</w:t>
      </w:r>
      <w:r w:rsidR="0090093D" w:rsidRPr="00327B80">
        <w:rPr>
          <w:rFonts w:ascii="Times New Roman" w:hAnsi="Times New Roman" w:cs="Times New Roman"/>
          <w:sz w:val="24"/>
          <w:szCs w:val="24"/>
        </w:rPr>
        <w:t xml:space="preserve"> </w:t>
      </w:r>
      <w:r w:rsidR="008D675B">
        <w:rPr>
          <w:rFonts w:ascii="Times New Roman" w:hAnsi="Times New Roman" w:cs="Times New Roman"/>
          <w:sz w:val="24"/>
          <w:szCs w:val="24"/>
        </w:rPr>
        <w:t>obtížně</w:t>
      </w:r>
      <w:r w:rsidR="002F3456" w:rsidRPr="00327B80">
        <w:rPr>
          <w:rFonts w:ascii="Times New Roman" w:hAnsi="Times New Roman" w:cs="Times New Roman"/>
          <w:sz w:val="24"/>
          <w:szCs w:val="24"/>
        </w:rPr>
        <w:t>, protože v</w:t>
      </w:r>
      <w:r w:rsidR="00CC4D93" w:rsidRPr="00327B80">
        <w:rPr>
          <w:rFonts w:ascii="Times New Roman" w:hAnsi="Times New Roman" w:cs="Times New Roman"/>
          <w:sz w:val="24"/>
          <w:szCs w:val="24"/>
        </w:rPr>
        <w:t> </w:t>
      </w:r>
      <w:r w:rsidR="002F3456" w:rsidRPr="00327B80">
        <w:rPr>
          <w:rFonts w:ascii="Times New Roman" w:hAnsi="Times New Roman" w:cs="Times New Roman"/>
          <w:sz w:val="24"/>
          <w:szCs w:val="24"/>
        </w:rPr>
        <w:t xml:space="preserve">době, kdy byly </w:t>
      </w:r>
      <w:r w:rsidR="0090093D" w:rsidRPr="00327B80">
        <w:rPr>
          <w:rFonts w:ascii="Times New Roman" w:hAnsi="Times New Roman" w:cs="Times New Roman"/>
          <w:sz w:val="24"/>
          <w:szCs w:val="24"/>
        </w:rPr>
        <w:t xml:space="preserve">programy </w:t>
      </w:r>
      <w:r w:rsidR="00CC4D93" w:rsidRPr="00327B80">
        <w:rPr>
          <w:rFonts w:ascii="Times New Roman" w:hAnsi="Times New Roman" w:cs="Times New Roman"/>
          <w:sz w:val="24"/>
          <w:szCs w:val="24"/>
        </w:rPr>
        <w:t xml:space="preserve">ukončené </w:t>
      </w:r>
      <w:r w:rsidR="00D01AC1">
        <w:rPr>
          <w:rFonts w:ascii="Times New Roman" w:hAnsi="Times New Roman" w:cs="Times New Roman"/>
          <w:sz w:val="24"/>
          <w:szCs w:val="24"/>
        </w:rPr>
        <w:t>v roce</w:t>
      </w:r>
      <w:r w:rsidR="00D01AC1" w:rsidRPr="00327B80">
        <w:rPr>
          <w:rFonts w:ascii="Times New Roman" w:hAnsi="Times New Roman" w:cs="Times New Roman"/>
          <w:sz w:val="24"/>
          <w:szCs w:val="24"/>
        </w:rPr>
        <w:t xml:space="preserve"> </w:t>
      </w:r>
      <w:r w:rsidR="00CC4D93" w:rsidRPr="00327B80">
        <w:rPr>
          <w:rFonts w:ascii="Times New Roman" w:hAnsi="Times New Roman" w:cs="Times New Roman"/>
          <w:sz w:val="24"/>
          <w:szCs w:val="24"/>
        </w:rPr>
        <w:t xml:space="preserve">2011 </w:t>
      </w:r>
      <w:r w:rsidR="002F3456" w:rsidRPr="00327B80">
        <w:rPr>
          <w:rFonts w:ascii="Times New Roman" w:hAnsi="Times New Roman" w:cs="Times New Roman"/>
          <w:sz w:val="24"/>
          <w:szCs w:val="24"/>
        </w:rPr>
        <w:t>připravovány a</w:t>
      </w:r>
      <w:r w:rsidR="0090093D" w:rsidRPr="00327B80">
        <w:rPr>
          <w:rFonts w:ascii="Times New Roman" w:hAnsi="Times New Roman" w:cs="Times New Roman"/>
          <w:sz w:val="24"/>
          <w:szCs w:val="24"/>
        </w:rPr>
        <w:t> </w:t>
      </w:r>
      <w:r w:rsidR="002F3456" w:rsidRPr="00327B80">
        <w:rPr>
          <w:rFonts w:ascii="Times New Roman" w:hAnsi="Times New Roman" w:cs="Times New Roman"/>
          <w:sz w:val="24"/>
          <w:szCs w:val="24"/>
        </w:rPr>
        <w:t>zahajovány</w:t>
      </w:r>
      <w:r w:rsidR="0090093D" w:rsidRPr="00327B80">
        <w:rPr>
          <w:rFonts w:ascii="Times New Roman" w:hAnsi="Times New Roman" w:cs="Times New Roman"/>
          <w:sz w:val="24"/>
          <w:szCs w:val="24"/>
        </w:rPr>
        <w:t>,</w:t>
      </w:r>
      <w:r w:rsidR="002F3456" w:rsidRPr="00327B80">
        <w:rPr>
          <w:rFonts w:ascii="Times New Roman" w:hAnsi="Times New Roman" w:cs="Times New Roman"/>
          <w:sz w:val="24"/>
          <w:szCs w:val="24"/>
        </w:rPr>
        <w:t xml:space="preserve"> nebyly </w:t>
      </w:r>
      <w:r w:rsidR="0090093D" w:rsidRPr="00327B80">
        <w:rPr>
          <w:rFonts w:ascii="Times New Roman" w:hAnsi="Times New Roman" w:cs="Times New Roman"/>
          <w:sz w:val="24"/>
          <w:szCs w:val="24"/>
        </w:rPr>
        <w:t xml:space="preserve">ještě RVVI </w:t>
      </w:r>
      <w:r w:rsidR="00905085" w:rsidRPr="00327B80">
        <w:rPr>
          <w:rFonts w:ascii="Times New Roman" w:hAnsi="Times New Roman" w:cs="Times New Roman"/>
          <w:sz w:val="24"/>
          <w:szCs w:val="24"/>
        </w:rPr>
        <w:t>po</w:t>
      </w:r>
      <w:r w:rsidR="002F3456" w:rsidRPr="00327B80">
        <w:rPr>
          <w:rFonts w:ascii="Times New Roman" w:hAnsi="Times New Roman" w:cs="Times New Roman"/>
          <w:sz w:val="24"/>
          <w:szCs w:val="24"/>
        </w:rPr>
        <w:t xml:space="preserve">žadovány některé </w:t>
      </w:r>
      <w:r w:rsidR="0090093D" w:rsidRPr="00327B80">
        <w:rPr>
          <w:rFonts w:ascii="Times New Roman" w:hAnsi="Times New Roman" w:cs="Times New Roman"/>
          <w:sz w:val="24"/>
          <w:szCs w:val="24"/>
        </w:rPr>
        <w:t>z </w:t>
      </w:r>
      <w:r w:rsidR="002F3456" w:rsidRPr="00327B80">
        <w:rPr>
          <w:rFonts w:ascii="Times New Roman" w:hAnsi="Times New Roman" w:cs="Times New Roman"/>
          <w:sz w:val="24"/>
          <w:szCs w:val="24"/>
        </w:rPr>
        <w:t>náležitost</w:t>
      </w:r>
      <w:r w:rsidR="0090093D" w:rsidRPr="00327B80">
        <w:rPr>
          <w:rFonts w:ascii="Times New Roman" w:hAnsi="Times New Roman" w:cs="Times New Roman"/>
          <w:sz w:val="24"/>
          <w:szCs w:val="24"/>
        </w:rPr>
        <w:t>í, které jsou u</w:t>
      </w:r>
      <w:r w:rsidR="00D829EF" w:rsidRPr="00327B80">
        <w:rPr>
          <w:rFonts w:ascii="Times New Roman" w:hAnsi="Times New Roman" w:cs="Times New Roman"/>
          <w:sz w:val="24"/>
          <w:szCs w:val="24"/>
        </w:rPr>
        <w:t> </w:t>
      </w:r>
      <w:r w:rsidR="0090093D" w:rsidRPr="00327B80">
        <w:rPr>
          <w:rFonts w:ascii="Times New Roman" w:hAnsi="Times New Roman" w:cs="Times New Roman"/>
          <w:sz w:val="24"/>
          <w:szCs w:val="24"/>
        </w:rPr>
        <w:t>předkládaných a posuzovaných návrhů programů</w:t>
      </w:r>
      <w:r w:rsidR="002F3456" w:rsidRPr="00327B80">
        <w:rPr>
          <w:rFonts w:ascii="Times New Roman" w:hAnsi="Times New Roman" w:cs="Times New Roman"/>
          <w:sz w:val="24"/>
          <w:szCs w:val="24"/>
        </w:rPr>
        <w:t xml:space="preserve"> </w:t>
      </w:r>
      <w:r w:rsidR="00D829EF" w:rsidRPr="00327B80">
        <w:rPr>
          <w:rFonts w:ascii="Times New Roman" w:hAnsi="Times New Roman" w:cs="Times New Roman"/>
          <w:sz w:val="24"/>
          <w:szCs w:val="24"/>
        </w:rPr>
        <w:t xml:space="preserve">standardně </w:t>
      </w:r>
      <w:r w:rsidR="00905085" w:rsidRPr="00327B80">
        <w:rPr>
          <w:rFonts w:ascii="Times New Roman" w:hAnsi="Times New Roman" w:cs="Times New Roman"/>
          <w:sz w:val="24"/>
          <w:szCs w:val="24"/>
        </w:rPr>
        <w:t>vy</w:t>
      </w:r>
      <w:r w:rsidR="0090093D" w:rsidRPr="00327B80">
        <w:rPr>
          <w:rFonts w:ascii="Times New Roman" w:hAnsi="Times New Roman" w:cs="Times New Roman"/>
          <w:sz w:val="24"/>
          <w:szCs w:val="24"/>
        </w:rPr>
        <w:t xml:space="preserve">žadovány od roku 2009 </w:t>
      </w:r>
      <w:r w:rsidR="002F3456" w:rsidRPr="00327B80">
        <w:rPr>
          <w:rFonts w:ascii="Times New Roman" w:hAnsi="Times New Roman" w:cs="Times New Roman"/>
          <w:sz w:val="24"/>
          <w:szCs w:val="24"/>
        </w:rPr>
        <w:t>(</w:t>
      </w:r>
      <w:r w:rsidR="0090093D" w:rsidRPr="00327B80">
        <w:rPr>
          <w:rFonts w:ascii="Times New Roman" w:hAnsi="Times New Roman" w:cs="Times New Roman"/>
          <w:sz w:val="24"/>
          <w:szCs w:val="24"/>
        </w:rPr>
        <w:t>jedná se zejména o </w:t>
      </w:r>
      <w:r w:rsidR="002F3456" w:rsidRPr="00327B80">
        <w:rPr>
          <w:rFonts w:ascii="Times New Roman" w:hAnsi="Times New Roman" w:cs="Times New Roman"/>
          <w:sz w:val="24"/>
          <w:szCs w:val="24"/>
        </w:rPr>
        <w:t>konkrétní definování cílů a očekávaných přínosů</w:t>
      </w:r>
      <w:r w:rsidR="00CC4D93" w:rsidRPr="00327B80">
        <w:rPr>
          <w:rFonts w:ascii="Times New Roman" w:hAnsi="Times New Roman" w:cs="Times New Roman"/>
          <w:sz w:val="24"/>
          <w:szCs w:val="24"/>
        </w:rPr>
        <w:t xml:space="preserve"> programu</w:t>
      </w:r>
      <w:r w:rsidR="00D829EF" w:rsidRPr="00327B80">
        <w:rPr>
          <w:rFonts w:ascii="Times New Roman" w:hAnsi="Times New Roman" w:cs="Times New Roman"/>
          <w:sz w:val="24"/>
          <w:szCs w:val="24"/>
        </w:rPr>
        <w:t>)</w:t>
      </w:r>
      <w:r w:rsidR="002F3456" w:rsidRPr="00327B80">
        <w:rPr>
          <w:rFonts w:ascii="Times New Roman" w:hAnsi="Times New Roman" w:cs="Times New Roman"/>
          <w:sz w:val="24"/>
          <w:szCs w:val="24"/>
        </w:rPr>
        <w:t xml:space="preserve">. </w:t>
      </w:r>
      <w:r w:rsidR="00277D31">
        <w:rPr>
          <w:rFonts w:ascii="Times New Roman" w:hAnsi="Times New Roman" w:cs="Times New Roman"/>
          <w:sz w:val="24"/>
          <w:szCs w:val="24"/>
        </w:rPr>
        <w:t xml:space="preserve">U programů realizovaných </w:t>
      </w:r>
      <w:r w:rsidR="002F3456" w:rsidRPr="00327B80">
        <w:rPr>
          <w:rFonts w:ascii="Times New Roman" w:hAnsi="Times New Roman" w:cs="Times New Roman"/>
          <w:sz w:val="24"/>
          <w:szCs w:val="24"/>
        </w:rPr>
        <w:t>ve formě veřejných zakázek</w:t>
      </w:r>
      <w:r w:rsidR="0090093D" w:rsidRPr="00327B80">
        <w:rPr>
          <w:rFonts w:ascii="Times New Roman" w:hAnsi="Times New Roman" w:cs="Times New Roman"/>
          <w:sz w:val="24"/>
          <w:szCs w:val="24"/>
        </w:rPr>
        <w:t xml:space="preserve"> ve</w:t>
      </w:r>
      <w:r w:rsidR="0098717D">
        <w:rPr>
          <w:rFonts w:ascii="Times New Roman" w:hAnsi="Times New Roman" w:cs="Times New Roman"/>
          <w:sz w:val="24"/>
          <w:szCs w:val="24"/>
        </w:rPr>
        <w:t> </w:t>
      </w:r>
      <w:r w:rsidR="0090093D" w:rsidRPr="00327B80">
        <w:rPr>
          <w:rFonts w:ascii="Times New Roman" w:hAnsi="Times New Roman" w:cs="Times New Roman"/>
          <w:sz w:val="24"/>
          <w:szCs w:val="24"/>
        </w:rPr>
        <w:t>výzkumu, vývoji a inovacích</w:t>
      </w:r>
      <w:r w:rsidR="00277D31">
        <w:rPr>
          <w:rFonts w:ascii="Times New Roman" w:hAnsi="Times New Roman" w:cs="Times New Roman"/>
          <w:sz w:val="24"/>
          <w:szCs w:val="24"/>
        </w:rPr>
        <w:t>, které</w:t>
      </w:r>
      <w:r w:rsidR="002F3456" w:rsidRPr="00327B80">
        <w:rPr>
          <w:rFonts w:ascii="Times New Roman" w:hAnsi="Times New Roman" w:cs="Times New Roman"/>
          <w:sz w:val="24"/>
          <w:szCs w:val="24"/>
        </w:rPr>
        <w:t xml:space="preserve"> nepodléhaly </w:t>
      </w:r>
      <w:r w:rsidR="00D829EF" w:rsidRPr="00327B80">
        <w:rPr>
          <w:rFonts w:ascii="Times New Roman" w:hAnsi="Times New Roman" w:cs="Times New Roman"/>
          <w:sz w:val="24"/>
          <w:szCs w:val="24"/>
        </w:rPr>
        <w:t xml:space="preserve">až </w:t>
      </w:r>
      <w:r w:rsidR="0090093D" w:rsidRPr="00327B80">
        <w:rPr>
          <w:rFonts w:ascii="Times New Roman" w:hAnsi="Times New Roman" w:cs="Times New Roman"/>
          <w:sz w:val="24"/>
          <w:szCs w:val="24"/>
        </w:rPr>
        <w:t xml:space="preserve">do roku 2009 </w:t>
      </w:r>
      <w:r w:rsidR="002F3456" w:rsidRPr="00327B80">
        <w:rPr>
          <w:rFonts w:ascii="Times New Roman" w:hAnsi="Times New Roman" w:cs="Times New Roman"/>
          <w:sz w:val="24"/>
          <w:szCs w:val="24"/>
        </w:rPr>
        <w:t xml:space="preserve">projednání </w:t>
      </w:r>
      <w:r w:rsidR="0090093D" w:rsidRPr="00327B80">
        <w:rPr>
          <w:rFonts w:ascii="Times New Roman" w:hAnsi="Times New Roman" w:cs="Times New Roman"/>
          <w:sz w:val="24"/>
          <w:szCs w:val="24"/>
        </w:rPr>
        <w:t>RVVI</w:t>
      </w:r>
      <w:r w:rsidR="002F3456" w:rsidRPr="00327B80">
        <w:rPr>
          <w:rFonts w:ascii="Times New Roman" w:hAnsi="Times New Roman" w:cs="Times New Roman"/>
          <w:sz w:val="24"/>
          <w:szCs w:val="24"/>
        </w:rPr>
        <w:t xml:space="preserve"> a</w:t>
      </w:r>
      <w:r w:rsidR="005F1BFF">
        <w:rPr>
          <w:rFonts w:ascii="Times New Roman" w:hAnsi="Times New Roman" w:cs="Times New Roman"/>
          <w:sz w:val="24"/>
          <w:szCs w:val="24"/>
        </w:rPr>
        <w:t> </w:t>
      </w:r>
      <w:r w:rsidR="002F3456" w:rsidRPr="00327B80">
        <w:rPr>
          <w:rFonts w:ascii="Times New Roman" w:hAnsi="Times New Roman" w:cs="Times New Roman"/>
          <w:sz w:val="24"/>
          <w:szCs w:val="24"/>
        </w:rPr>
        <w:t>schvá</w:t>
      </w:r>
      <w:r w:rsidR="0090093D" w:rsidRPr="00327B80">
        <w:rPr>
          <w:rFonts w:ascii="Times New Roman" w:hAnsi="Times New Roman" w:cs="Times New Roman"/>
          <w:sz w:val="24"/>
          <w:szCs w:val="24"/>
        </w:rPr>
        <w:t>le</w:t>
      </w:r>
      <w:r w:rsidR="002F3456" w:rsidRPr="00327B80">
        <w:rPr>
          <w:rFonts w:ascii="Times New Roman" w:hAnsi="Times New Roman" w:cs="Times New Roman"/>
          <w:sz w:val="24"/>
          <w:szCs w:val="24"/>
        </w:rPr>
        <w:t>ní vládou</w:t>
      </w:r>
      <w:r w:rsidR="0090093D" w:rsidRPr="00327B80">
        <w:rPr>
          <w:rFonts w:ascii="Times New Roman" w:hAnsi="Times New Roman" w:cs="Times New Roman"/>
          <w:sz w:val="24"/>
          <w:szCs w:val="24"/>
        </w:rPr>
        <w:t xml:space="preserve"> ČR</w:t>
      </w:r>
      <w:r w:rsidR="002F3456" w:rsidRPr="00327B80">
        <w:rPr>
          <w:rFonts w:ascii="Times New Roman" w:hAnsi="Times New Roman" w:cs="Times New Roman"/>
          <w:sz w:val="24"/>
          <w:szCs w:val="24"/>
        </w:rPr>
        <w:t>, nelze nyní posoudit původně očekávaný záměr poskytovatel</w:t>
      </w:r>
      <w:r w:rsidR="00D829EF" w:rsidRPr="00327B80">
        <w:rPr>
          <w:rFonts w:ascii="Times New Roman" w:hAnsi="Times New Roman" w:cs="Times New Roman"/>
          <w:sz w:val="24"/>
          <w:szCs w:val="24"/>
        </w:rPr>
        <w:t>ů</w:t>
      </w:r>
      <w:r w:rsidR="00E14725">
        <w:rPr>
          <w:rFonts w:ascii="Times New Roman" w:hAnsi="Times New Roman" w:cs="Times New Roman"/>
          <w:sz w:val="24"/>
          <w:szCs w:val="24"/>
        </w:rPr>
        <w:t>, a to</w:t>
      </w:r>
      <w:r w:rsidR="002F3456" w:rsidRPr="00327B80">
        <w:rPr>
          <w:rFonts w:ascii="Times New Roman" w:hAnsi="Times New Roman" w:cs="Times New Roman"/>
          <w:sz w:val="24"/>
          <w:szCs w:val="24"/>
        </w:rPr>
        <w:t xml:space="preserve"> ani v</w:t>
      </w:r>
      <w:r w:rsidR="00277D31">
        <w:rPr>
          <w:rFonts w:ascii="Times New Roman" w:hAnsi="Times New Roman" w:cs="Times New Roman"/>
          <w:sz w:val="24"/>
          <w:szCs w:val="24"/>
        </w:rPr>
        <w:t> </w:t>
      </w:r>
      <w:r w:rsidR="002F3456" w:rsidRPr="00327B80">
        <w:rPr>
          <w:rFonts w:ascii="Times New Roman" w:hAnsi="Times New Roman" w:cs="Times New Roman"/>
          <w:sz w:val="24"/>
          <w:szCs w:val="24"/>
        </w:rPr>
        <w:t>základních kritériích.</w:t>
      </w:r>
      <w:r w:rsidR="002C419F" w:rsidRPr="00327B80">
        <w:rPr>
          <w:rFonts w:ascii="Times New Roman" w:hAnsi="Times New Roman" w:cs="Times New Roman"/>
          <w:sz w:val="24"/>
          <w:szCs w:val="24"/>
        </w:rPr>
        <w:t xml:space="preserve"> </w:t>
      </w:r>
    </w:p>
    <w:p w:rsidR="00347040" w:rsidRDefault="00DA1C6F"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Z</w:t>
      </w:r>
      <w:r w:rsidR="00E14725">
        <w:rPr>
          <w:rFonts w:ascii="Times New Roman" w:hAnsi="Times New Roman" w:cs="Times New Roman"/>
          <w:sz w:val="24"/>
          <w:szCs w:val="24"/>
        </w:rPr>
        <w:t> </w:t>
      </w:r>
      <w:r w:rsidR="00D952A8">
        <w:rPr>
          <w:rFonts w:ascii="Times New Roman" w:hAnsi="Times New Roman" w:cs="Times New Roman"/>
          <w:sz w:val="24"/>
          <w:szCs w:val="24"/>
        </w:rPr>
        <w:t>údajů</w:t>
      </w:r>
      <w:r w:rsidR="00E14725">
        <w:rPr>
          <w:rFonts w:ascii="Times New Roman" w:hAnsi="Times New Roman" w:cs="Times New Roman"/>
          <w:sz w:val="24"/>
          <w:szCs w:val="24"/>
        </w:rPr>
        <w:t xml:space="preserve"> </w:t>
      </w:r>
      <w:r w:rsidR="00D952A8">
        <w:rPr>
          <w:rFonts w:ascii="Times New Roman" w:hAnsi="Times New Roman" w:cs="Times New Roman"/>
          <w:sz w:val="24"/>
          <w:szCs w:val="24"/>
        </w:rPr>
        <w:t xml:space="preserve">uvedených poskytovateli v souhrnných zprávách o jimi provedeném hodnocení ukončených programů </w:t>
      </w:r>
      <w:r>
        <w:rPr>
          <w:rFonts w:ascii="Times New Roman" w:hAnsi="Times New Roman" w:cs="Times New Roman"/>
          <w:sz w:val="24"/>
          <w:szCs w:val="24"/>
        </w:rPr>
        <w:t>vyplývá</w:t>
      </w:r>
      <w:r w:rsidR="00D952A8">
        <w:rPr>
          <w:rFonts w:ascii="Times New Roman" w:hAnsi="Times New Roman" w:cs="Times New Roman"/>
          <w:sz w:val="24"/>
          <w:szCs w:val="24"/>
        </w:rPr>
        <w:t xml:space="preserve">, že dosažené výsledky jednotlivých projektů </w:t>
      </w:r>
      <w:r w:rsidR="00137221">
        <w:rPr>
          <w:rFonts w:ascii="Times New Roman" w:hAnsi="Times New Roman" w:cs="Times New Roman"/>
          <w:sz w:val="24"/>
          <w:szCs w:val="24"/>
        </w:rPr>
        <w:t xml:space="preserve">naplánované </w:t>
      </w:r>
      <w:r w:rsidR="002F3456" w:rsidRPr="00327B80">
        <w:rPr>
          <w:rFonts w:ascii="Times New Roman" w:hAnsi="Times New Roman" w:cs="Times New Roman"/>
          <w:sz w:val="24"/>
          <w:szCs w:val="24"/>
        </w:rPr>
        <w:t>cíle</w:t>
      </w:r>
      <w:r>
        <w:rPr>
          <w:rFonts w:ascii="Times New Roman" w:hAnsi="Times New Roman" w:cs="Times New Roman"/>
          <w:sz w:val="24"/>
          <w:szCs w:val="24"/>
        </w:rPr>
        <w:t xml:space="preserve"> </w:t>
      </w:r>
      <w:r w:rsidR="00D952A8">
        <w:rPr>
          <w:rFonts w:ascii="Times New Roman" w:hAnsi="Times New Roman" w:cs="Times New Roman"/>
          <w:sz w:val="24"/>
          <w:szCs w:val="24"/>
        </w:rPr>
        <w:t>hodnocených programů naplnily.</w:t>
      </w:r>
      <w:r w:rsidR="00791F40">
        <w:rPr>
          <w:rFonts w:ascii="Times New Roman" w:hAnsi="Times New Roman" w:cs="Times New Roman"/>
          <w:sz w:val="24"/>
          <w:szCs w:val="24"/>
        </w:rPr>
        <w:t xml:space="preserve"> </w:t>
      </w:r>
    </w:p>
    <w:p w:rsidR="00184822" w:rsidRPr="00347040" w:rsidRDefault="00D37B31"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U programu </w:t>
      </w:r>
      <w:r w:rsidRPr="00327B80">
        <w:rPr>
          <w:rFonts w:ascii="Times New Roman" w:hAnsi="Times New Roman" w:cs="Times New Roman"/>
          <w:sz w:val="24"/>
          <w:szCs w:val="24"/>
        </w:rPr>
        <w:t>Ministerstva práce a sociálních věcí (HC)</w:t>
      </w:r>
      <w:r>
        <w:rPr>
          <w:rFonts w:ascii="Times New Roman" w:hAnsi="Times New Roman" w:cs="Times New Roman"/>
          <w:sz w:val="24"/>
          <w:szCs w:val="24"/>
        </w:rPr>
        <w:t xml:space="preserve"> </w:t>
      </w:r>
      <w:r w:rsidR="00FB45CB">
        <w:rPr>
          <w:rFonts w:ascii="Times New Roman" w:hAnsi="Times New Roman" w:cs="Times New Roman"/>
          <w:sz w:val="24"/>
          <w:szCs w:val="24"/>
        </w:rPr>
        <w:t>byl</w:t>
      </w:r>
      <w:r w:rsidR="001D09DD">
        <w:rPr>
          <w:rFonts w:ascii="Times New Roman" w:hAnsi="Times New Roman" w:cs="Times New Roman"/>
          <w:sz w:val="24"/>
          <w:szCs w:val="24"/>
        </w:rPr>
        <w:t xml:space="preserve">a zjištěna závažná disproporce mezi údaji v IS </w:t>
      </w:r>
      <w:proofErr w:type="spellStart"/>
      <w:r w:rsidR="001D09DD">
        <w:rPr>
          <w:rFonts w:ascii="Times New Roman" w:hAnsi="Times New Roman" w:cs="Times New Roman"/>
          <w:sz w:val="24"/>
          <w:szCs w:val="24"/>
        </w:rPr>
        <w:t>VaV</w:t>
      </w:r>
      <w:proofErr w:type="spellEnd"/>
      <w:r w:rsidR="001D09DD">
        <w:rPr>
          <w:rFonts w:ascii="Times New Roman" w:hAnsi="Times New Roman" w:cs="Times New Roman"/>
          <w:sz w:val="24"/>
          <w:szCs w:val="24"/>
        </w:rPr>
        <w:t xml:space="preserve"> a údaji zaslanými v souhrnné zprávě</w:t>
      </w:r>
      <w:r>
        <w:rPr>
          <w:rFonts w:ascii="Times New Roman" w:hAnsi="Times New Roman" w:cs="Times New Roman"/>
          <w:sz w:val="24"/>
          <w:szCs w:val="24"/>
        </w:rPr>
        <w:t xml:space="preserve">. Podle údajů předaných poskytovatelem do IS VaVaI bylo </w:t>
      </w:r>
      <w:r w:rsidR="00B31F1C">
        <w:rPr>
          <w:rFonts w:ascii="Times New Roman" w:hAnsi="Times New Roman" w:cs="Times New Roman"/>
          <w:sz w:val="24"/>
          <w:szCs w:val="24"/>
        </w:rPr>
        <w:t xml:space="preserve">28 projektů </w:t>
      </w:r>
      <w:r w:rsidR="00735AE8">
        <w:rPr>
          <w:rFonts w:ascii="Times New Roman" w:hAnsi="Times New Roman" w:cs="Times New Roman"/>
          <w:sz w:val="24"/>
          <w:szCs w:val="24"/>
        </w:rPr>
        <w:t xml:space="preserve">z 34 </w:t>
      </w:r>
      <w:r>
        <w:rPr>
          <w:rFonts w:ascii="Times New Roman" w:hAnsi="Times New Roman" w:cs="Times New Roman"/>
          <w:sz w:val="24"/>
          <w:szCs w:val="24"/>
        </w:rPr>
        <w:t>ukončeno</w:t>
      </w:r>
      <w:r w:rsidR="00FB45CB">
        <w:rPr>
          <w:rFonts w:ascii="Times New Roman" w:hAnsi="Times New Roman" w:cs="Times New Roman"/>
          <w:sz w:val="24"/>
          <w:szCs w:val="24"/>
        </w:rPr>
        <w:t xml:space="preserve"> </w:t>
      </w:r>
      <w:r w:rsidR="00FB45CB" w:rsidRPr="009C2384">
        <w:rPr>
          <w:rFonts w:ascii="Times New Roman" w:hAnsi="Times New Roman" w:cs="Times New Roman"/>
          <w:sz w:val="24"/>
          <w:szCs w:val="24"/>
        </w:rPr>
        <w:t xml:space="preserve">bez </w:t>
      </w:r>
      <w:r w:rsidRPr="00760798">
        <w:rPr>
          <w:rFonts w:ascii="Times New Roman" w:hAnsi="Times New Roman" w:cs="Times New Roman"/>
          <w:sz w:val="24"/>
          <w:szCs w:val="24"/>
        </w:rPr>
        <w:t xml:space="preserve">bodově </w:t>
      </w:r>
      <w:r w:rsidR="00B076AD" w:rsidRPr="00760798">
        <w:rPr>
          <w:rFonts w:ascii="Times New Roman" w:hAnsi="Times New Roman" w:cs="Times New Roman"/>
          <w:sz w:val="24"/>
          <w:szCs w:val="24"/>
        </w:rPr>
        <w:t>o</w:t>
      </w:r>
      <w:r w:rsidRPr="00760798">
        <w:rPr>
          <w:rFonts w:ascii="Times New Roman" w:hAnsi="Times New Roman" w:cs="Times New Roman"/>
          <w:sz w:val="24"/>
          <w:szCs w:val="24"/>
        </w:rPr>
        <w:t>hodnocen</w:t>
      </w:r>
      <w:r w:rsidR="00735AE8" w:rsidRPr="00760798">
        <w:rPr>
          <w:rFonts w:ascii="Times New Roman" w:hAnsi="Times New Roman" w:cs="Times New Roman"/>
          <w:sz w:val="24"/>
          <w:szCs w:val="24"/>
        </w:rPr>
        <w:t>ého</w:t>
      </w:r>
      <w:r w:rsidRPr="00760798">
        <w:rPr>
          <w:rFonts w:ascii="Times New Roman" w:hAnsi="Times New Roman" w:cs="Times New Roman"/>
          <w:sz w:val="24"/>
          <w:szCs w:val="24"/>
        </w:rPr>
        <w:t xml:space="preserve"> výsledku</w:t>
      </w:r>
      <w:r w:rsidR="00BE36FB" w:rsidRPr="00760798">
        <w:rPr>
          <w:rFonts w:ascii="Times New Roman" w:hAnsi="Times New Roman" w:cs="Times New Roman"/>
          <w:sz w:val="24"/>
          <w:szCs w:val="24"/>
        </w:rPr>
        <w:t xml:space="preserve"> (tj. </w:t>
      </w:r>
      <w:r w:rsidRPr="00760798">
        <w:rPr>
          <w:rFonts w:ascii="Times New Roman" w:hAnsi="Times New Roman" w:cs="Times New Roman"/>
          <w:sz w:val="24"/>
          <w:szCs w:val="24"/>
        </w:rPr>
        <w:t>82,4 %</w:t>
      </w:r>
      <w:r w:rsidR="00BE36FB" w:rsidRPr="00760798">
        <w:rPr>
          <w:rFonts w:ascii="Times New Roman" w:hAnsi="Times New Roman" w:cs="Times New Roman"/>
          <w:sz w:val="24"/>
          <w:szCs w:val="24"/>
        </w:rPr>
        <w:t>)</w:t>
      </w:r>
      <w:r>
        <w:rPr>
          <w:rFonts w:ascii="Times New Roman" w:hAnsi="Times New Roman" w:cs="Times New Roman"/>
          <w:sz w:val="24"/>
          <w:szCs w:val="24"/>
        </w:rPr>
        <w:t xml:space="preserve">. </w:t>
      </w:r>
      <w:r w:rsidR="00586BA1" w:rsidRPr="00347040">
        <w:rPr>
          <w:rFonts w:ascii="Times New Roman" w:hAnsi="Times New Roman" w:cs="Times New Roman"/>
          <w:sz w:val="24"/>
          <w:szCs w:val="24"/>
        </w:rPr>
        <w:t>P</w:t>
      </w:r>
      <w:r w:rsidR="009C1156" w:rsidRPr="00347040">
        <w:rPr>
          <w:rFonts w:ascii="Times New Roman" w:hAnsi="Times New Roman" w:cs="Times New Roman"/>
          <w:sz w:val="24"/>
          <w:szCs w:val="24"/>
        </w:rPr>
        <w:t xml:space="preserve">oskytovatel </w:t>
      </w:r>
      <w:r w:rsidR="00586BA1" w:rsidRPr="00347040">
        <w:rPr>
          <w:rFonts w:ascii="Times New Roman" w:hAnsi="Times New Roman" w:cs="Times New Roman"/>
          <w:sz w:val="24"/>
          <w:szCs w:val="24"/>
        </w:rPr>
        <w:t xml:space="preserve">v souhrnné zprávě </w:t>
      </w:r>
      <w:r w:rsidR="00735AE8">
        <w:rPr>
          <w:rFonts w:ascii="Times New Roman" w:hAnsi="Times New Roman" w:cs="Times New Roman"/>
          <w:sz w:val="24"/>
          <w:szCs w:val="24"/>
        </w:rPr>
        <w:t xml:space="preserve">o jím provedeném hodnocení programu přesto </w:t>
      </w:r>
      <w:r w:rsidR="009C1156" w:rsidRPr="00347040">
        <w:rPr>
          <w:rFonts w:ascii="Times New Roman" w:hAnsi="Times New Roman" w:cs="Times New Roman"/>
          <w:sz w:val="24"/>
          <w:szCs w:val="24"/>
        </w:rPr>
        <w:t>uv</w:t>
      </w:r>
      <w:r w:rsidR="00BE36FB">
        <w:rPr>
          <w:rFonts w:ascii="Times New Roman" w:hAnsi="Times New Roman" w:cs="Times New Roman"/>
          <w:sz w:val="24"/>
          <w:szCs w:val="24"/>
        </w:rPr>
        <w:t>ádí</w:t>
      </w:r>
      <w:r w:rsidR="009C1156" w:rsidRPr="00347040">
        <w:rPr>
          <w:rFonts w:ascii="Times New Roman" w:hAnsi="Times New Roman" w:cs="Times New Roman"/>
          <w:sz w:val="24"/>
          <w:szCs w:val="24"/>
        </w:rPr>
        <w:t>, že 33 projektů</w:t>
      </w:r>
      <w:r w:rsidR="00735AE8">
        <w:rPr>
          <w:rFonts w:ascii="Times New Roman" w:hAnsi="Times New Roman" w:cs="Times New Roman"/>
          <w:sz w:val="24"/>
          <w:szCs w:val="24"/>
        </w:rPr>
        <w:t xml:space="preserve"> uspělo podle zadání</w:t>
      </w:r>
      <w:r w:rsidR="00BE36FB">
        <w:rPr>
          <w:rFonts w:ascii="Times New Roman" w:hAnsi="Times New Roman" w:cs="Times New Roman"/>
          <w:sz w:val="24"/>
          <w:szCs w:val="24"/>
        </w:rPr>
        <w:t>,</w:t>
      </w:r>
      <w:r w:rsidR="00735AE8">
        <w:rPr>
          <w:rFonts w:ascii="Times New Roman" w:hAnsi="Times New Roman" w:cs="Times New Roman"/>
          <w:sz w:val="24"/>
          <w:szCs w:val="24"/>
        </w:rPr>
        <w:t xml:space="preserve"> a mír</w:t>
      </w:r>
      <w:r w:rsidR="00BE36FB">
        <w:rPr>
          <w:rFonts w:ascii="Times New Roman" w:hAnsi="Times New Roman" w:cs="Times New Roman"/>
          <w:sz w:val="24"/>
          <w:szCs w:val="24"/>
        </w:rPr>
        <w:t>u</w:t>
      </w:r>
      <w:r w:rsidR="00735AE8">
        <w:rPr>
          <w:rFonts w:ascii="Times New Roman" w:hAnsi="Times New Roman" w:cs="Times New Roman"/>
          <w:sz w:val="24"/>
          <w:szCs w:val="24"/>
        </w:rPr>
        <w:t xml:space="preserve"> splnění</w:t>
      </w:r>
      <w:r w:rsidR="009C1156" w:rsidRPr="00347040">
        <w:rPr>
          <w:rFonts w:ascii="Times New Roman" w:hAnsi="Times New Roman" w:cs="Times New Roman"/>
          <w:sz w:val="24"/>
          <w:szCs w:val="24"/>
        </w:rPr>
        <w:t xml:space="preserve"> cílů programu</w:t>
      </w:r>
      <w:r w:rsidR="00586BA1" w:rsidRPr="00347040">
        <w:rPr>
          <w:rFonts w:ascii="Times New Roman" w:hAnsi="Times New Roman" w:cs="Times New Roman"/>
          <w:sz w:val="24"/>
          <w:szCs w:val="24"/>
        </w:rPr>
        <w:t xml:space="preserve"> </w:t>
      </w:r>
      <w:r w:rsidR="00BE36FB">
        <w:rPr>
          <w:rFonts w:ascii="Times New Roman" w:hAnsi="Times New Roman" w:cs="Times New Roman"/>
          <w:sz w:val="24"/>
          <w:szCs w:val="24"/>
        </w:rPr>
        <w:t>stanovuje na</w:t>
      </w:r>
      <w:r w:rsidR="004516F2">
        <w:rPr>
          <w:rFonts w:ascii="Times New Roman" w:hAnsi="Times New Roman" w:cs="Times New Roman"/>
          <w:sz w:val="24"/>
          <w:szCs w:val="24"/>
        </w:rPr>
        <w:t> </w:t>
      </w:r>
      <w:r w:rsidR="00735AE8">
        <w:rPr>
          <w:rFonts w:ascii="Times New Roman" w:hAnsi="Times New Roman" w:cs="Times New Roman"/>
          <w:sz w:val="24"/>
          <w:szCs w:val="24"/>
        </w:rPr>
        <w:t xml:space="preserve">87 %. Toto tvrzení </w:t>
      </w:r>
      <w:r w:rsidR="00632D2C">
        <w:rPr>
          <w:rFonts w:ascii="Times New Roman" w:hAnsi="Times New Roman" w:cs="Times New Roman"/>
          <w:sz w:val="24"/>
          <w:szCs w:val="24"/>
        </w:rPr>
        <w:t>však</w:t>
      </w:r>
      <w:r w:rsidR="00586BA1" w:rsidRPr="00347040">
        <w:rPr>
          <w:rFonts w:ascii="Times New Roman" w:hAnsi="Times New Roman" w:cs="Times New Roman"/>
          <w:sz w:val="24"/>
          <w:szCs w:val="24"/>
        </w:rPr>
        <w:t xml:space="preserve"> </w:t>
      </w:r>
      <w:r w:rsidR="009C1156" w:rsidRPr="00347040">
        <w:rPr>
          <w:rFonts w:ascii="Times New Roman" w:hAnsi="Times New Roman" w:cs="Times New Roman"/>
          <w:sz w:val="24"/>
          <w:szCs w:val="24"/>
        </w:rPr>
        <w:t>není jakkoliv podložen</w:t>
      </w:r>
      <w:r w:rsidR="00735AE8">
        <w:rPr>
          <w:rFonts w:ascii="Times New Roman" w:hAnsi="Times New Roman" w:cs="Times New Roman"/>
          <w:sz w:val="24"/>
          <w:szCs w:val="24"/>
        </w:rPr>
        <w:t>o</w:t>
      </w:r>
      <w:r w:rsidR="009C1156" w:rsidRPr="00347040">
        <w:rPr>
          <w:rFonts w:ascii="Times New Roman" w:hAnsi="Times New Roman" w:cs="Times New Roman"/>
          <w:sz w:val="24"/>
          <w:szCs w:val="24"/>
        </w:rPr>
        <w:t xml:space="preserve"> údaji předanými </w:t>
      </w:r>
      <w:r w:rsidR="00735AE8">
        <w:rPr>
          <w:rFonts w:ascii="Times New Roman" w:hAnsi="Times New Roman" w:cs="Times New Roman"/>
          <w:sz w:val="24"/>
          <w:szCs w:val="24"/>
        </w:rPr>
        <w:t xml:space="preserve">poskytovatelem </w:t>
      </w:r>
      <w:r w:rsidR="009C1156" w:rsidRPr="00347040">
        <w:rPr>
          <w:rFonts w:ascii="Times New Roman" w:hAnsi="Times New Roman" w:cs="Times New Roman"/>
          <w:sz w:val="24"/>
          <w:szCs w:val="24"/>
        </w:rPr>
        <w:t>do</w:t>
      </w:r>
      <w:r w:rsidR="004516F2">
        <w:rPr>
          <w:rFonts w:ascii="Times New Roman" w:hAnsi="Times New Roman" w:cs="Times New Roman"/>
          <w:sz w:val="24"/>
          <w:szCs w:val="24"/>
        </w:rPr>
        <w:t> </w:t>
      </w:r>
      <w:r w:rsidR="009C1156" w:rsidRPr="00347040">
        <w:rPr>
          <w:rFonts w:ascii="Times New Roman" w:hAnsi="Times New Roman" w:cs="Times New Roman"/>
          <w:sz w:val="24"/>
          <w:szCs w:val="24"/>
        </w:rPr>
        <w:t>IS</w:t>
      </w:r>
      <w:r w:rsidR="005F1BFF">
        <w:rPr>
          <w:rFonts w:ascii="Times New Roman" w:hAnsi="Times New Roman" w:cs="Times New Roman"/>
          <w:sz w:val="24"/>
          <w:szCs w:val="24"/>
        </w:rPr>
        <w:t> </w:t>
      </w:r>
      <w:r w:rsidR="009C1156" w:rsidRPr="00347040">
        <w:rPr>
          <w:rFonts w:ascii="Times New Roman" w:hAnsi="Times New Roman" w:cs="Times New Roman"/>
          <w:sz w:val="24"/>
          <w:szCs w:val="24"/>
        </w:rPr>
        <w:t>VaVaI.</w:t>
      </w:r>
    </w:p>
    <w:p w:rsidR="001A4DA3" w:rsidRPr="00865C1E" w:rsidRDefault="00BE36FB" w:rsidP="00E17B96">
      <w:pPr>
        <w:pStyle w:val="Default"/>
        <w:spacing w:after="120"/>
        <w:ind w:firstLine="709"/>
        <w:jc w:val="both"/>
      </w:pPr>
      <w:r w:rsidRPr="00865C1E">
        <w:t xml:space="preserve">Poskytovatel </w:t>
      </w:r>
      <w:r w:rsidR="00474BA5" w:rsidRPr="00865C1E">
        <w:t>v údajích předaných</w:t>
      </w:r>
      <w:r w:rsidRPr="00865C1E">
        <w:t xml:space="preserve"> </w:t>
      </w:r>
      <w:r w:rsidR="00474BA5" w:rsidRPr="00865C1E">
        <w:t xml:space="preserve">do </w:t>
      </w:r>
      <w:r w:rsidRPr="00865C1E">
        <w:t>IS VaVaI definoval cíl programu j</w:t>
      </w:r>
      <w:r w:rsidR="00474BA5" w:rsidRPr="00865C1E">
        <w:t>ako „</w:t>
      </w:r>
      <w:r w:rsidR="00474BA5" w:rsidRPr="00865C1E">
        <w:rPr>
          <w:i/>
        </w:rPr>
        <w:t>systematický rozvoj v oblasti sociálně ekonomického výzkumu, prováděného za účelem získání nových znalostí, jejich využití v praxi a dosažení takové znalostní úrovně, která umožní orgánům státní správy, tedy státu, získávat, osvojovat si, udržovat a rozvíjet specifické schopnosti potřebné pro zajištění sociálně ekonomického rozvoje státu a jeho obyvatel</w:t>
      </w:r>
      <w:r w:rsidR="00474BA5" w:rsidRPr="00865C1E">
        <w:t>“.</w:t>
      </w:r>
      <w:r w:rsidRPr="00865C1E">
        <w:t xml:space="preserve"> </w:t>
      </w:r>
      <w:r w:rsidR="00474BA5" w:rsidRPr="00865C1E">
        <w:t xml:space="preserve">Hlavní očekávané výsledky </w:t>
      </w:r>
      <w:r w:rsidR="00F03B12" w:rsidRPr="00865C1E">
        <w:t>poté</w:t>
      </w:r>
      <w:r w:rsidR="00474BA5" w:rsidRPr="00865C1E">
        <w:t xml:space="preserve"> kvantifikoval </w:t>
      </w:r>
      <w:r w:rsidR="00CA6ADE">
        <w:t>jako</w:t>
      </w:r>
      <w:r w:rsidR="00474BA5" w:rsidRPr="00865C1E">
        <w:t>: „</w:t>
      </w:r>
      <w:r w:rsidR="00474BA5" w:rsidRPr="00865C1E">
        <w:rPr>
          <w:i/>
        </w:rPr>
        <w:t>24 výsledků promítnutých do právních předpisů, norem, směrnic a předpisů nelegislativní povahy</w:t>
      </w:r>
      <w:r w:rsidR="00495517">
        <w:rPr>
          <w:i/>
        </w:rPr>
        <w:t>; 10 certifikovaných metodik; 1 </w:t>
      </w:r>
      <w:r w:rsidR="00474BA5" w:rsidRPr="00865C1E">
        <w:rPr>
          <w:i/>
        </w:rPr>
        <w:t>software.</w:t>
      </w:r>
      <w:r w:rsidR="00474BA5" w:rsidRPr="00865C1E">
        <w:t>“</w:t>
      </w:r>
      <w:r w:rsidR="00311384" w:rsidRPr="00865C1E">
        <w:t xml:space="preserve"> Ze srovnání </w:t>
      </w:r>
      <w:r w:rsidR="001A4DA3" w:rsidRPr="00865C1E">
        <w:t xml:space="preserve">s </w:t>
      </w:r>
      <w:r w:rsidR="00311384" w:rsidRPr="00865C1E">
        <w:t>údaj</w:t>
      </w:r>
      <w:r w:rsidR="001A4DA3" w:rsidRPr="00865C1E">
        <w:t>i</w:t>
      </w:r>
      <w:r w:rsidR="00311384" w:rsidRPr="00865C1E">
        <w:t xml:space="preserve"> o ukončených projektech</w:t>
      </w:r>
      <w:r w:rsidR="00495517">
        <w:t xml:space="preserve"> předaných poskytovatelem do</w:t>
      </w:r>
      <w:r w:rsidR="00CA6ADE">
        <w:t> </w:t>
      </w:r>
      <w:r w:rsidR="00495517">
        <w:t>IS </w:t>
      </w:r>
      <w:r w:rsidR="00311384" w:rsidRPr="00865C1E">
        <w:t xml:space="preserve">VaVaI nicméně vyplývá, že </w:t>
      </w:r>
      <w:r w:rsidR="00255339">
        <w:t>u</w:t>
      </w:r>
      <w:r w:rsidR="001A4DA3" w:rsidRPr="00865C1E">
        <w:t xml:space="preserve"> programu bylo dosaženo pouze 1 výsledku druhu H (t</w:t>
      </w:r>
      <w:r w:rsidR="00000AA7">
        <w:t>zn</w:t>
      </w:r>
      <w:r w:rsidR="001A4DA3" w:rsidRPr="00865C1E">
        <w:t>.</w:t>
      </w:r>
      <w:r w:rsidR="00CA6ADE">
        <w:t> </w:t>
      </w:r>
      <w:r w:rsidR="001A4DA3" w:rsidRPr="00865C1E">
        <w:t>poskytovatelem realizované výsledky promítnuté do právn</w:t>
      </w:r>
      <w:r w:rsidR="00495517">
        <w:t>ích předpisů a norem, směrnic a </w:t>
      </w:r>
      <w:r w:rsidR="001A4DA3" w:rsidRPr="00865C1E">
        <w:t>předpisů nelegislativní povahy a strategických a koncepčních dokumentů), žádného výsledk</w:t>
      </w:r>
      <w:r w:rsidR="00F03B12" w:rsidRPr="00865C1E">
        <w:t>u</w:t>
      </w:r>
      <w:r w:rsidR="001A4DA3" w:rsidRPr="00865C1E">
        <w:t xml:space="preserve"> druhu N</w:t>
      </w:r>
      <w:r w:rsidR="00000AA7">
        <w:t> </w:t>
      </w:r>
      <w:r w:rsidR="001A4DA3" w:rsidRPr="00865C1E">
        <w:t>(t</w:t>
      </w:r>
      <w:r w:rsidR="00000AA7">
        <w:t>zn</w:t>
      </w:r>
      <w:r w:rsidR="001A4DA3" w:rsidRPr="00865C1E">
        <w:t xml:space="preserve">. certifikovaná metodika, postup, mapa) a </w:t>
      </w:r>
      <w:r w:rsidR="00000AA7">
        <w:t>žádného výsledku druhu R (tzn</w:t>
      </w:r>
      <w:r w:rsidR="00CF0A2D" w:rsidRPr="00865C1E">
        <w:t>. software).</w:t>
      </w:r>
      <w:r w:rsidR="00F03B12" w:rsidRPr="00865C1E">
        <w:t xml:space="preserve"> </w:t>
      </w:r>
      <w:r w:rsidR="00000AA7">
        <w:t>Kvantifikované cíle programu tak podle údajů předaných poskytovatelem do</w:t>
      </w:r>
      <w:r w:rsidR="00CA6ADE">
        <w:t> </w:t>
      </w:r>
      <w:r w:rsidR="00947C9D">
        <w:t>I</w:t>
      </w:r>
      <w:r w:rsidR="00000AA7">
        <w:t xml:space="preserve">S </w:t>
      </w:r>
      <w:proofErr w:type="spellStart"/>
      <w:r w:rsidR="00000AA7">
        <w:t>VaVaI</w:t>
      </w:r>
      <w:proofErr w:type="spellEnd"/>
      <w:r w:rsidR="00000AA7">
        <w:t xml:space="preserve"> nebyly naplněny.</w:t>
      </w:r>
      <w:r w:rsidR="001A4DA3" w:rsidRPr="00865C1E">
        <w:t xml:space="preserve"> </w:t>
      </w:r>
    </w:p>
    <w:p w:rsidR="00B90464" w:rsidRPr="00327B80" w:rsidRDefault="00B90464" w:rsidP="00E17B96">
      <w:pPr>
        <w:spacing w:after="12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Vzhledem k tomu, že v době schvalování programů ukončených </w:t>
      </w:r>
      <w:r w:rsidR="00D01AC1">
        <w:rPr>
          <w:rFonts w:ascii="Times New Roman" w:hAnsi="Times New Roman" w:cs="Times New Roman"/>
          <w:sz w:val="24"/>
          <w:szCs w:val="24"/>
        </w:rPr>
        <w:t xml:space="preserve">v roce </w:t>
      </w:r>
      <w:r>
        <w:rPr>
          <w:rFonts w:ascii="Times New Roman" w:hAnsi="Times New Roman" w:cs="Times New Roman"/>
          <w:sz w:val="24"/>
          <w:szCs w:val="24"/>
        </w:rPr>
        <w:t>2011 nevyžadovala RVVI ještě bližší indikátory plnění cílů</w:t>
      </w:r>
      <w:r w:rsidR="003709C0">
        <w:rPr>
          <w:rFonts w:ascii="Times New Roman" w:hAnsi="Times New Roman" w:cs="Times New Roman"/>
          <w:sz w:val="24"/>
          <w:szCs w:val="24"/>
        </w:rPr>
        <w:t xml:space="preserve"> programů</w:t>
      </w:r>
      <w:r>
        <w:rPr>
          <w:rFonts w:ascii="Times New Roman" w:hAnsi="Times New Roman" w:cs="Times New Roman"/>
          <w:sz w:val="24"/>
          <w:szCs w:val="24"/>
        </w:rPr>
        <w:t>, lze skutečné naplnění cílů hodnocených programů</w:t>
      </w:r>
      <w:r w:rsidR="003709C0">
        <w:rPr>
          <w:rFonts w:ascii="Times New Roman" w:hAnsi="Times New Roman" w:cs="Times New Roman"/>
          <w:sz w:val="24"/>
          <w:szCs w:val="24"/>
        </w:rPr>
        <w:t xml:space="preserve">, jak již bylo uvedeno výše, </w:t>
      </w:r>
      <w:r>
        <w:rPr>
          <w:rFonts w:ascii="Times New Roman" w:hAnsi="Times New Roman" w:cs="Times New Roman"/>
          <w:sz w:val="24"/>
          <w:szCs w:val="24"/>
        </w:rPr>
        <w:t xml:space="preserve">určit </w:t>
      </w:r>
      <w:r w:rsidR="00F12934">
        <w:rPr>
          <w:rFonts w:ascii="Times New Roman" w:hAnsi="Times New Roman" w:cs="Times New Roman"/>
          <w:sz w:val="24"/>
          <w:szCs w:val="24"/>
        </w:rPr>
        <w:t xml:space="preserve">velmi </w:t>
      </w:r>
      <w:r>
        <w:rPr>
          <w:rFonts w:ascii="Times New Roman" w:hAnsi="Times New Roman" w:cs="Times New Roman"/>
          <w:sz w:val="24"/>
          <w:szCs w:val="24"/>
        </w:rPr>
        <w:t>složit</w:t>
      </w:r>
      <w:r w:rsidR="003709C0">
        <w:rPr>
          <w:rFonts w:ascii="Times New Roman" w:hAnsi="Times New Roman" w:cs="Times New Roman"/>
          <w:sz w:val="24"/>
          <w:szCs w:val="24"/>
        </w:rPr>
        <w:t>ě</w:t>
      </w:r>
      <w:r>
        <w:rPr>
          <w:rFonts w:ascii="Times New Roman" w:hAnsi="Times New Roman" w:cs="Times New Roman"/>
          <w:sz w:val="24"/>
          <w:szCs w:val="24"/>
        </w:rPr>
        <w:t xml:space="preserve">. </w:t>
      </w:r>
      <w:r w:rsidR="001D09DD">
        <w:rPr>
          <w:rFonts w:ascii="Times New Roman" w:hAnsi="Times New Roman" w:cs="Times New Roman"/>
          <w:sz w:val="24"/>
          <w:szCs w:val="24"/>
        </w:rPr>
        <w:t>P</w:t>
      </w:r>
      <w:r w:rsidR="00DA1C6F">
        <w:rPr>
          <w:rFonts w:ascii="Times New Roman" w:hAnsi="Times New Roman" w:cs="Times New Roman"/>
          <w:sz w:val="24"/>
          <w:szCs w:val="24"/>
        </w:rPr>
        <w:t xml:space="preserve">odle sdělení poskytovatelů </w:t>
      </w:r>
      <w:r w:rsidR="001D09DD">
        <w:rPr>
          <w:rFonts w:ascii="Times New Roman" w:hAnsi="Times New Roman" w:cs="Times New Roman"/>
          <w:sz w:val="24"/>
          <w:szCs w:val="24"/>
        </w:rPr>
        <w:t xml:space="preserve">byly </w:t>
      </w:r>
      <w:r w:rsidR="00000AA7">
        <w:rPr>
          <w:rFonts w:ascii="Times New Roman" w:hAnsi="Times New Roman" w:cs="Times New Roman"/>
          <w:sz w:val="24"/>
          <w:szCs w:val="24"/>
        </w:rPr>
        <w:t>kvalitativní</w:t>
      </w:r>
      <w:r w:rsidR="00DA1C6F">
        <w:rPr>
          <w:rFonts w:ascii="Times New Roman" w:hAnsi="Times New Roman" w:cs="Times New Roman"/>
          <w:sz w:val="24"/>
          <w:szCs w:val="24"/>
        </w:rPr>
        <w:t xml:space="preserve"> cíl</w:t>
      </w:r>
      <w:r w:rsidR="00000AA7">
        <w:rPr>
          <w:rFonts w:ascii="Times New Roman" w:hAnsi="Times New Roman" w:cs="Times New Roman"/>
          <w:sz w:val="24"/>
          <w:szCs w:val="24"/>
        </w:rPr>
        <w:t>e</w:t>
      </w:r>
      <w:r w:rsidR="00DA1C6F">
        <w:rPr>
          <w:rFonts w:ascii="Times New Roman" w:hAnsi="Times New Roman" w:cs="Times New Roman"/>
          <w:sz w:val="24"/>
          <w:szCs w:val="24"/>
        </w:rPr>
        <w:t xml:space="preserve"> </w:t>
      </w:r>
      <w:r w:rsidR="001D09DD">
        <w:rPr>
          <w:rFonts w:ascii="Times New Roman" w:hAnsi="Times New Roman" w:cs="Times New Roman"/>
          <w:sz w:val="24"/>
          <w:szCs w:val="24"/>
        </w:rPr>
        <w:t xml:space="preserve">všech </w:t>
      </w:r>
      <w:r w:rsidR="00DA1C6F">
        <w:rPr>
          <w:rFonts w:ascii="Times New Roman" w:hAnsi="Times New Roman" w:cs="Times New Roman"/>
          <w:sz w:val="24"/>
          <w:szCs w:val="24"/>
        </w:rPr>
        <w:t>programů naplněny</w:t>
      </w:r>
      <w:r w:rsidR="003709C0">
        <w:rPr>
          <w:rFonts w:ascii="Times New Roman" w:hAnsi="Times New Roman" w:cs="Times New Roman"/>
          <w:sz w:val="24"/>
          <w:szCs w:val="24"/>
        </w:rPr>
        <w:t>.</w:t>
      </w:r>
    </w:p>
    <w:p w:rsidR="00C630E0" w:rsidRPr="002927A4" w:rsidRDefault="002A42AE" w:rsidP="002927A4">
      <w:pPr>
        <w:pStyle w:val="Odstavecseseznamem"/>
        <w:numPr>
          <w:ilvl w:val="0"/>
          <w:numId w:val="34"/>
        </w:numPr>
        <w:spacing w:after="120" w:line="240" w:lineRule="auto"/>
        <w:jc w:val="both"/>
        <w:rPr>
          <w:rFonts w:ascii="Times New Roman" w:hAnsi="Times New Roman" w:cs="Times New Roman"/>
          <w:b/>
          <w:sz w:val="24"/>
          <w:szCs w:val="24"/>
        </w:rPr>
      </w:pPr>
      <w:r w:rsidRPr="002927A4">
        <w:rPr>
          <w:rFonts w:ascii="Times New Roman" w:hAnsi="Times New Roman" w:cs="Times New Roman"/>
          <w:b/>
          <w:sz w:val="24"/>
          <w:szCs w:val="24"/>
        </w:rPr>
        <w:t>Shrnutí</w:t>
      </w:r>
    </w:p>
    <w:p w:rsidR="00351180" w:rsidRPr="00327B80" w:rsidRDefault="00351180" w:rsidP="00E17B96">
      <w:pPr>
        <w:pStyle w:val="Styl1"/>
        <w:rPr>
          <w:lang w:val="cs-CZ"/>
        </w:rPr>
      </w:pPr>
      <w:r w:rsidRPr="00327B80">
        <w:rPr>
          <w:lang w:val="cs-CZ"/>
        </w:rPr>
        <w:t>Hodnocen</w:t>
      </w:r>
      <w:r w:rsidR="008653BC">
        <w:rPr>
          <w:lang w:val="cs-CZ"/>
        </w:rPr>
        <w:t>o</w:t>
      </w:r>
      <w:r w:rsidRPr="00327B80">
        <w:rPr>
          <w:lang w:val="cs-CZ"/>
        </w:rPr>
        <w:t xml:space="preserve"> bylo </w:t>
      </w:r>
      <w:r w:rsidR="008653BC">
        <w:rPr>
          <w:lang w:val="cs-CZ"/>
        </w:rPr>
        <w:t>celkem</w:t>
      </w:r>
      <w:r w:rsidRPr="00327B80">
        <w:rPr>
          <w:lang w:val="cs-CZ"/>
        </w:rPr>
        <w:t xml:space="preserve"> 15 programů</w:t>
      </w:r>
      <w:r w:rsidR="004F35F5" w:rsidRPr="00327B80">
        <w:rPr>
          <w:lang w:val="cs-CZ"/>
        </w:rPr>
        <w:t xml:space="preserve"> účelové podpory ukončených </w:t>
      </w:r>
      <w:r w:rsidR="00F12934">
        <w:rPr>
          <w:lang w:val="cs-CZ"/>
        </w:rPr>
        <w:t xml:space="preserve">v roce </w:t>
      </w:r>
      <w:r w:rsidR="004F35F5" w:rsidRPr="00327B80">
        <w:rPr>
          <w:lang w:val="cs-CZ"/>
        </w:rPr>
        <w:t>2011</w:t>
      </w:r>
      <w:r w:rsidRPr="00327B80">
        <w:rPr>
          <w:lang w:val="cs-CZ"/>
        </w:rPr>
        <w:t>. V</w:t>
      </w:r>
      <w:r w:rsidR="00C35C9E">
        <w:rPr>
          <w:lang w:val="cs-CZ"/>
        </w:rPr>
        <w:t> </w:t>
      </w:r>
      <w:r w:rsidRPr="00327B80">
        <w:rPr>
          <w:lang w:val="cs-CZ"/>
        </w:rPr>
        <w:t xml:space="preserve">rámci 11 </w:t>
      </w:r>
      <w:r w:rsidR="008653BC">
        <w:rPr>
          <w:lang w:val="cs-CZ"/>
        </w:rPr>
        <w:t>z </w:t>
      </w:r>
      <w:r w:rsidR="007D2D28">
        <w:rPr>
          <w:lang w:val="cs-CZ"/>
        </w:rPr>
        <w:t>nich</w:t>
      </w:r>
      <w:r w:rsidR="008653BC">
        <w:rPr>
          <w:lang w:val="cs-CZ"/>
        </w:rPr>
        <w:t xml:space="preserve"> </w:t>
      </w:r>
      <w:r w:rsidRPr="00327B80">
        <w:rPr>
          <w:lang w:val="cs-CZ"/>
        </w:rPr>
        <w:t xml:space="preserve">byly </w:t>
      </w:r>
      <w:r w:rsidR="008653BC">
        <w:rPr>
          <w:lang w:val="cs-CZ"/>
        </w:rPr>
        <w:t xml:space="preserve">jednotlivé </w:t>
      </w:r>
      <w:r w:rsidRPr="00327B80">
        <w:rPr>
          <w:lang w:val="cs-CZ"/>
        </w:rPr>
        <w:t xml:space="preserve">projekty zadávány </w:t>
      </w:r>
      <w:r w:rsidR="008653BC">
        <w:rPr>
          <w:lang w:val="cs-CZ"/>
        </w:rPr>
        <w:t>prostřednictvím</w:t>
      </w:r>
      <w:r w:rsidRPr="00327B80">
        <w:rPr>
          <w:lang w:val="cs-CZ"/>
        </w:rPr>
        <w:t xml:space="preserve"> veřejných soutěží ve</w:t>
      </w:r>
      <w:r w:rsidR="00F92B23">
        <w:rPr>
          <w:lang w:val="cs-CZ"/>
        </w:rPr>
        <w:t> </w:t>
      </w:r>
      <w:r w:rsidRPr="00327B80">
        <w:rPr>
          <w:lang w:val="cs-CZ"/>
        </w:rPr>
        <w:t>výzkumu, vývoji a inovacích</w:t>
      </w:r>
      <w:r w:rsidR="008653BC">
        <w:rPr>
          <w:lang w:val="cs-CZ"/>
        </w:rPr>
        <w:t>,</w:t>
      </w:r>
      <w:r w:rsidRPr="00327B80">
        <w:rPr>
          <w:lang w:val="cs-CZ"/>
        </w:rPr>
        <w:t xml:space="preserve"> </w:t>
      </w:r>
      <w:r w:rsidR="008653BC">
        <w:rPr>
          <w:lang w:val="cs-CZ"/>
        </w:rPr>
        <w:t>u</w:t>
      </w:r>
      <w:r w:rsidRPr="00327B80">
        <w:rPr>
          <w:lang w:val="cs-CZ"/>
        </w:rPr>
        <w:t xml:space="preserve"> </w:t>
      </w:r>
      <w:r w:rsidR="00F12934">
        <w:rPr>
          <w:lang w:val="cs-CZ"/>
        </w:rPr>
        <w:t>zbylých</w:t>
      </w:r>
      <w:r w:rsidRPr="00327B80">
        <w:rPr>
          <w:lang w:val="cs-CZ"/>
        </w:rPr>
        <w:t xml:space="preserve"> </w:t>
      </w:r>
      <w:r w:rsidR="00CA6ADE">
        <w:rPr>
          <w:lang w:val="cs-CZ"/>
        </w:rPr>
        <w:t>čtyř</w:t>
      </w:r>
      <w:r w:rsidRPr="00327B80">
        <w:rPr>
          <w:lang w:val="cs-CZ"/>
        </w:rPr>
        <w:t xml:space="preserve"> program</w:t>
      </w:r>
      <w:r w:rsidR="008653BC">
        <w:rPr>
          <w:lang w:val="cs-CZ"/>
        </w:rPr>
        <w:t>ů se tak dělo</w:t>
      </w:r>
      <w:r w:rsidRPr="00327B80">
        <w:rPr>
          <w:lang w:val="cs-CZ"/>
        </w:rPr>
        <w:t xml:space="preserve"> </w:t>
      </w:r>
      <w:r w:rsidR="008653BC">
        <w:rPr>
          <w:lang w:val="cs-CZ"/>
        </w:rPr>
        <w:t xml:space="preserve">na základě </w:t>
      </w:r>
      <w:r w:rsidRPr="00327B80">
        <w:rPr>
          <w:lang w:val="cs-CZ"/>
        </w:rPr>
        <w:t>veřejných zakázek ve výzkumu, vývoji a inovacích.</w:t>
      </w:r>
    </w:p>
    <w:p w:rsidR="002A42AE" w:rsidRPr="00327B80" w:rsidRDefault="004F35F5" w:rsidP="00E17B96">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Na </w:t>
      </w:r>
      <w:r w:rsidR="00F92B23">
        <w:rPr>
          <w:rFonts w:ascii="Times New Roman" w:hAnsi="Times New Roman" w:cs="Times New Roman"/>
          <w:sz w:val="24"/>
          <w:szCs w:val="24"/>
        </w:rPr>
        <w:t xml:space="preserve">řešení </w:t>
      </w:r>
      <w:r w:rsidR="00EA2101">
        <w:rPr>
          <w:rFonts w:ascii="Times New Roman" w:hAnsi="Times New Roman" w:cs="Times New Roman"/>
          <w:sz w:val="24"/>
          <w:szCs w:val="24"/>
        </w:rPr>
        <w:t>829</w:t>
      </w:r>
      <w:r w:rsidRPr="00327B80">
        <w:rPr>
          <w:rFonts w:ascii="Times New Roman" w:hAnsi="Times New Roman" w:cs="Times New Roman"/>
          <w:sz w:val="24"/>
          <w:szCs w:val="24"/>
        </w:rPr>
        <w:t xml:space="preserve"> projektů bylo vynaloženo </w:t>
      </w:r>
      <w:r w:rsidR="00F92B23">
        <w:rPr>
          <w:rFonts w:ascii="Times New Roman" w:hAnsi="Times New Roman" w:cs="Times New Roman"/>
          <w:sz w:val="24"/>
          <w:szCs w:val="24"/>
        </w:rPr>
        <w:t xml:space="preserve">celkem </w:t>
      </w:r>
      <w:r w:rsidR="00EA2101">
        <w:rPr>
          <w:rFonts w:ascii="Times New Roman" w:hAnsi="Times New Roman" w:cs="Times New Roman"/>
          <w:sz w:val="24"/>
          <w:szCs w:val="24"/>
        </w:rPr>
        <w:t>7</w:t>
      </w:r>
      <w:r w:rsidR="004516F2">
        <w:rPr>
          <w:rFonts w:ascii="Times New Roman" w:hAnsi="Times New Roman" w:cs="Times New Roman"/>
          <w:sz w:val="24"/>
          <w:szCs w:val="24"/>
        </w:rPr>
        <w:t> </w:t>
      </w:r>
      <w:r w:rsidR="00EA2101">
        <w:rPr>
          <w:rFonts w:ascii="Times New Roman" w:hAnsi="Times New Roman" w:cs="Times New Roman"/>
          <w:sz w:val="24"/>
          <w:szCs w:val="24"/>
        </w:rPr>
        <w:t>656</w:t>
      </w:r>
      <w:r w:rsidR="004516F2">
        <w:rPr>
          <w:rFonts w:ascii="Times New Roman" w:hAnsi="Times New Roman" w:cs="Times New Roman"/>
          <w:sz w:val="24"/>
          <w:szCs w:val="24"/>
        </w:rPr>
        <w:t> </w:t>
      </w:r>
      <w:r w:rsidR="00EA2101">
        <w:rPr>
          <w:rFonts w:ascii="Times New Roman" w:hAnsi="Times New Roman" w:cs="Times New Roman"/>
          <w:sz w:val="24"/>
          <w:szCs w:val="24"/>
        </w:rPr>
        <w:t>473</w:t>
      </w:r>
      <w:r w:rsidRPr="00327B80">
        <w:rPr>
          <w:rFonts w:ascii="Times New Roman" w:hAnsi="Times New Roman" w:cs="Times New Roman"/>
          <w:sz w:val="24"/>
          <w:szCs w:val="24"/>
        </w:rPr>
        <w:t xml:space="preserve"> tis. Kč, z toho </w:t>
      </w:r>
      <w:r w:rsidR="00EA2101">
        <w:rPr>
          <w:rFonts w:ascii="Times New Roman" w:hAnsi="Times New Roman" w:cs="Times New Roman"/>
          <w:sz w:val="24"/>
          <w:szCs w:val="24"/>
        </w:rPr>
        <w:t>6</w:t>
      </w:r>
      <w:r w:rsidR="004516F2">
        <w:rPr>
          <w:rFonts w:ascii="Times New Roman" w:hAnsi="Times New Roman" w:cs="Times New Roman"/>
          <w:sz w:val="24"/>
          <w:szCs w:val="24"/>
        </w:rPr>
        <w:t> </w:t>
      </w:r>
      <w:r w:rsidR="00EA2101">
        <w:rPr>
          <w:rFonts w:ascii="Times New Roman" w:hAnsi="Times New Roman" w:cs="Times New Roman"/>
          <w:sz w:val="24"/>
          <w:szCs w:val="24"/>
        </w:rPr>
        <w:t>574</w:t>
      </w:r>
      <w:r w:rsidR="004516F2">
        <w:rPr>
          <w:rFonts w:ascii="Times New Roman" w:hAnsi="Times New Roman" w:cs="Times New Roman"/>
          <w:sz w:val="24"/>
          <w:szCs w:val="24"/>
        </w:rPr>
        <w:t> </w:t>
      </w:r>
      <w:r w:rsidR="00EA2101">
        <w:rPr>
          <w:rFonts w:ascii="Times New Roman" w:hAnsi="Times New Roman" w:cs="Times New Roman"/>
          <w:sz w:val="24"/>
          <w:szCs w:val="24"/>
        </w:rPr>
        <w:t>438 </w:t>
      </w:r>
      <w:r w:rsidRPr="00327B80">
        <w:rPr>
          <w:rFonts w:ascii="Times New Roman" w:hAnsi="Times New Roman" w:cs="Times New Roman"/>
          <w:sz w:val="24"/>
          <w:szCs w:val="24"/>
        </w:rPr>
        <w:t>tis.</w:t>
      </w:r>
      <w:r w:rsidR="00EA2101">
        <w:rPr>
          <w:rFonts w:ascii="Times New Roman" w:hAnsi="Times New Roman" w:cs="Times New Roman"/>
          <w:sz w:val="24"/>
          <w:szCs w:val="24"/>
        </w:rPr>
        <w:t> </w:t>
      </w:r>
      <w:r w:rsidRPr="00327B80">
        <w:rPr>
          <w:rFonts w:ascii="Times New Roman" w:hAnsi="Times New Roman" w:cs="Times New Roman"/>
          <w:sz w:val="24"/>
          <w:szCs w:val="24"/>
        </w:rPr>
        <w:t xml:space="preserve">Kč z veřejných prostředků. </w:t>
      </w:r>
      <w:r w:rsidR="00F92B23">
        <w:rPr>
          <w:rFonts w:ascii="Times New Roman" w:hAnsi="Times New Roman" w:cs="Times New Roman"/>
          <w:sz w:val="24"/>
          <w:szCs w:val="24"/>
        </w:rPr>
        <w:t>Průměrná m</w:t>
      </w:r>
      <w:r w:rsidRPr="00327B80">
        <w:rPr>
          <w:rFonts w:ascii="Times New Roman" w:hAnsi="Times New Roman" w:cs="Times New Roman"/>
          <w:sz w:val="24"/>
          <w:szCs w:val="24"/>
        </w:rPr>
        <w:t xml:space="preserve">íra podpory </w:t>
      </w:r>
      <w:r w:rsidR="00F77321" w:rsidRPr="00327B80">
        <w:rPr>
          <w:rFonts w:ascii="Times New Roman" w:hAnsi="Times New Roman" w:cs="Times New Roman"/>
          <w:sz w:val="24"/>
          <w:szCs w:val="24"/>
        </w:rPr>
        <w:t xml:space="preserve">z veřejných prostředků </w:t>
      </w:r>
      <w:r w:rsidRPr="00327B80">
        <w:rPr>
          <w:rFonts w:ascii="Times New Roman" w:hAnsi="Times New Roman" w:cs="Times New Roman"/>
          <w:sz w:val="24"/>
          <w:szCs w:val="24"/>
        </w:rPr>
        <w:t xml:space="preserve">tak činila </w:t>
      </w:r>
      <w:r w:rsidR="00EA2101">
        <w:rPr>
          <w:rFonts w:ascii="Times New Roman" w:hAnsi="Times New Roman" w:cs="Times New Roman"/>
          <w:sz w:val="24"/>
          <w:szCs w:val="24"/>
        </w:rPr>
        <w:t>85</w:t>
      </w:r>
      <w:r w:rsidRPr="00327B80">
        <w:rPr>
          <w:rFonts w:ascii="Times New Roman" w:hAnsi="Times New Roman" w:cs="Times New Roman"/>
          <w:sz w:val="24"/>
          <w:szCs w:val="24"/>
        </w:rPr>
        <w:t>,</w:t>
      </w:r>
      <w:r w:rsidR="00EA2101">
        <w:rPr>
          <w:rFonts w:ascii="Times New Roman" w:hAnsi="Times New Roman" w:cs="Times New Roman"/>
          <w:sz w:val="24"/>
          <w:szCs w:val="24"/>
        </w:rPr>
        <w:t>87</w:t>
      </w:r>
      <w:r w:rsidRPr="00327B80">
        <w:rPr>
          <w:rFonts w:ascii="Times New Roman" w:hAnsi="Times New Roman" w:cs="Times New Roman"/>
          <w:sz w:val="24"/>
          <w:szCs w:val="24"/>
        </w:rPr>
        <w:t xml:space="preserve"> %. </w:t>
      </w:r>
      <w:r w:rsidR="00F77321" w:rsidRPr="00327B80">
        <w:rPr>
          <w:rFonts w:ascii="Times New Roman" w:hAnsi="Times New Roman" w:cs="Times New Roman"/>
          <w:sz w:val="24"/>
          <w:szCs w:val="24"/>
        </w:rPr>
        <w:t>D</w:t>
      </w:r>
      <w:r w:rsidRPr="00327B80">
        <w:rPr>
          <w:rFonts w:ascii="Times New Roman" w:hAnsi="Times New Roman" w:cs="Times New Roman"/>
          <w:sz w:val="24"/>
          <w:szCs w:val="24"/>
        </w:rPr>
        <w:t>osaženo </w:t>
      </w:r>
      <w:r w:rsidR="00F77321" w:rsidRPr="00327B80">
        <w:rPr>
          <w:rFonts w:ascii="Times New Roman" w:hAnsi="Times New Roman" w:cs="Times New Roman"/>
          <w:sz w:val="24"/>
          <w:szCs w:val="24"/>
        </w:rPr>
        <w:t xml:space="preserve">bylo </w:t>
      </w:r>
      <w:r w:rsidRPr="00327B80">
        <w:rPr>
          <w:rFonts w:ascii="Times New Roman" w:hAnsi="Times New Roman" w:cs="Times New Roman"/>
          <w:sz w:val="24"/>
          <w:szCs w:val="24"/>
        </w:rPr>
        <w:t>celkem 5</w:t>
      </w:r>
      <w:r w:rsidR="004516F2">
        <w:rPr>
          <w:rFonts w:ascii="Times New Roman" w:hAnsi="Times New Roman" w:cs="Times New Roman"/>
          <w:sz w:val="24"/>
          <w:szCs w:val="24"/>
        </w:rPr>
        <w:t> </w:t>
      </w:r>
      <w:r w:rsidR="00EA2101">
        <w:rPr>
          <w:rFonts w:ascii="Times New Roman" w:hAnsi="Times New Roman" w:cs="Times New Roman"/>
          <w:sz w:val="24"/>
          <w:szCs w:val="24"/>
        </w:rPr>
        <w:t>075</w:t>
      </w:r>
      <w:r w:rsidR="004516F2">
        <w:rPr>
          <w:rFonts w:ascii="Times New Roman" w:hAnsi="Times New Roman" w:cs="Times New Roman"/>
          <w:sz w:val="24"/>
          <w:szCs w:val="24"/>
        </w:rPr>
        <w:t> </w:t>
      </w:r>
      <w:r w:rsidR="00EA2101">
        <w:rPr>
          <w:rFonts w:ascii="Times New Roman" w:hAnsi="Times New Roman" w:cs="Times New Roman"/>
          <w:sz w:val="24"/>
          <w:szCs w:val="24"/>
        </w:rPr>
        <w:t>944</w:t>
      </w:r>
      <w:r w:rsidRPr="00327B80">
        <w:rPr>
          <w:rFonts w:ascii="Times New Roman" w:hAnsi="Times New Roman" w:cs="Times New Roman"/>
          <w:sz w:val="24"/>
          <w:szCs w:val="24"/>
        </w:rPr>
        <w:t xml:space="preserve"> bodově ohodnocených výsledků s celkovým ohodnocením </w:t>
      </w:r>
      <w:r w:rsidR="00EA2101">
        <w:rPr>
          <w:rFonts w:ascii="Times New Roman" w:hAnsi="Times New Roman" w:cs="Times New Roman"/>
          <w:sz w:val="24"/>
          <w:szCs w:val="24"/>
        </w:rPr>
        <w:t>184</w:t>
      </w:r>
      <w:r w:rsidR="004516F2">
        <w:rPr>
          <w:rFonts w:ascii="Times New Roman" w:hAnsi="Times New Roman" w:cs="Times New Roman"/>
          <w:sz w:val="24"/>
          <w:szCs w:val="24"/>
        </w:rPr>
        <w:t> </w:t>
      </w:r>
      <w:r w:rsidRPr="00327B80">
        <w:rPr>
          <w:rFonts w:ascii="Times New Roman" w:hAnsi="Times New Roman" w:cs="Times New Roman"/>
          <w:sz w:val="24"/>
          <w:szCs w:val="24"/>
        </w:rPr>
        <w:t>8</w:t>
      </w:r>
      <w:r w:rsidR="00EA2101">
        <w:rPr>
          <w:rFonts w:ascii="Times New Roman" w:hAnsi="Times New Roman" w:cs="Times New Roman"/>
          <w:sz w:val="24"/>
          <w:szCs w:val="24"/>
        </w:rPr>
        <w:t>80</w:t>
      </w:r>
      <w:r w:rsidRPr="00327B80">
        <w:rPr>
          <w:rFonts w:ascii="Times New Roman" w:hAnsi="Times New Roman" w:cs="Times New Roman"/>
          <w:sz w:val="24"/>
          <w:szCs w:val="24"/>
        </w:rPr>
        <w:t>,1</w:t>
      </w:r>
      <w:r w:rsidR="00EA2101">
        <w:rPr>
          <w:rFonts w:ascii="Times New Roman" w:hAnsi="Times New Roman" w:cs="Times New Roman"/>
          <w:sz w:val="24"/>
          <w:szCs w:val="24"/>
        </w:rPr>
        <w:t>78</w:t>
      </w:r>
      <w:r w:rsidRPr="00327B80">
        <w:rPr>
          <w:rFonts w:ascii="Times New Roman" w:hAnsi="Times New Roman" w:cs="Times New Roman"/>
          <w:sz w:val="24"/>
          <w:szCs w:val="24"/>
        </w:rPr>
        <w:t xml:space="preserve"> bodů.</w:t>
      </w:r>
      <w:r w:rsidR="00F77321" w:rsidRPr="00327B80">
        <w:rPr>
          <w:rFonts w:ascii="Times New Roman" w:hAnsi="Times New Roman" w:cs="Times New Roman"/>
          <w:sz w:val="24"/>
          <w:szCs w:val="24"/>
        </w:rPr>
        <w:t xml:space="preserve"> </w:t>
      </w:r>
      <w:r w:rsidR="002A42AE" w:rsidRPr="00327B80">
        <w:rPr>
          <w:rFonts w:ascii="Times New Roman" w:hAnsi="Times New Roman" w:cs="Times New Roman"/>
          <w:sz w:val="24"/>
          <w:szCs w:val="24"/>
        </w:rPr>
        <w:t xml:space="preserve">Tzv. průměrný projekt </w:t>
      </w:r>
      <w:r w:rsidR="00386E50">
        <w:rPr>
          <w:rFonts w:ascii="Times New Roman" w:hAnsi="Times New Roman" w:cs="Times New Roman"/>
          <w:sz w:val="24"/>
          <w:szCs w:val="24"/>
        </w:rPr>
        <w:t xml:space="preserve">za všechny hodnocené programy dohromady byl </w:t>
      </w:r>
      <w:r w:rsidR="002A42AE" w:rsidRPr="00327B80">
        <w:rPr>
          <w:rFonts w:ascii="Times New Roman" w:hAnsi="Times New Roman" w:cs="Times New Roman"/>
          <w:sz w:val="24"/>
          <w:szCs w:val="24"/>
        </w:rPr>
        <w:t>řešen s celkovými náklady ve výši 13</w:t>
      </w:r>
      <w:r w:rsidR="004516F2">
        <w:rPr>
          <w:rFonts w:ascii="Times New Roman" w:hAnsi="Times New Roman" w:cs="Times New Roman"/>
          <w:sz w:val="24"/>
          <w:szCs w:val="24"/>
        </w:rPr>
        <w:t> </w:t>
      </w:r>
      <w:r w:rsidR="002A42AE" w:rsidRPr="00327B80">
        <w:rPr>
          <w:rFonts w:ascii="Times New Roman" w:hAnsi="Times New Roman" w:cs="Times New Roman"/>
          <w:sz w:val="24"/>
          <w:szCs w:val="24"/>
        </w:rPr>
        <w:t>12</w:t>
      </w:r>
      <w:r w:rsidR="008653BC">
        <w:rPr>
          <w:rFonts w:ascii="Times New Roman" w:hAnsi="Times New Roman" w:cs="Times New Roman"/>
          <w:sz w:val="24"/>
          <w:szCs w:val="24"/>
        </w:rPr>
        <w:t>4</w:t>
      </w:r>
      <w:r w:rsidR="002A42AE" w:rsidRPr="00327B80">
        <w:rPr>
          <w:rFonts w:ascii="Times New Roman" w:hAnsi="Times New Roman" w:cs="Times New Roman"/>
          <w:sz w:val="24"/>
          <w:szCs w:val="24"/>
        </w:rPr>
        <w:t> tis. Kč</w:t>
      </w:r>
      <w:r w:rsidR="00F77321" w:rsidRPr="00327B80">
        <w:rPr>
          <w:rFonts w:ascii="Times New Roman" w:hAnsi="Times New Roman" w:cs="Times New Roman"/>
          <w:sz w:val="24"/>
          <w:szCs w:val="24"/>
        </w:rPr>
        <w:t xml:space="preserve">, </w:t>
      </w:r>
      <w:r w:rsidR="002A42AE" w:rsidRPr="00327B80">
        <w:rPr>
          <w:rFonts w:ascii="Times New Roman" w:hAnsi="Times New Roman" w:cs="Times New Roman"/>
          <w:sz w:val="24"/>
          <w:szCs w:val="24"/>
        </w:rPr>
        <w:t xml:space="preserve">podpora z veřejných prostředků </w:t>
      </w:r>
      <w:r w:rsidR="008653BC">
        <w:rPr>
          <w:rFonts w:ascii="Times New Roman" w:hAnsi="Times New Roman" w:cs="Times New Roman"/>
          <w:sz w:val="24"/>
          <w:szCs w:val="24"/>
        </w:rPr>
        <w:t>u něj</w:t>
      </w:r>
      <w:r w:rsidR="002A42AE" w:rsidRPr="00327B80">
        <w:rPr>
          <w:rFonts w:ascii="Times New Roman" w:hAnsi="Times New Roman" w:cs="Times New Roman"/>
          <w:sz w:val="24"/>
          <w:szCs w:val="24"/>
        </w:rPr>
        <w:t xml:space="preserve"> činila 10</w:t>
      </w:r>
      <w:r w:rsidR="004516F2">
        <w:rPr>
          <w:rFonts w:ascii="Times New Roman" w:hAnsi="Times New Roman" w:cs="Times New Roman"/>
          <w:sz w:val="24"/>
          <w:szCs w:val="24"/>
        </w:rPr>
        <w:t> </w:t>
      </w:r>
      <w:r w:rsidR="002A42AE" w:rsidRPr="00327B80">
        <w:rPr>
          <w:rFonts w:ascii="Times New Roman" w:hAnsi="Times New Roman" w:cs="Times New Roman"/>
          <w:sz w:val="24"/>
          <w:szCs w:val="24"/>
        </w:rPr>
        <w:t>46</w:t>
      </w:r>
      <w:r w:rsidR="008653BC">
        <w:rPr>
          <w:rFonts w:ascii="Times New Roman" w:hAnsi="Times New Roman" w:cs="Times New Roman"/>
          <w:sz w:val="24"/>
          <w:szCs w:val="24"/>
        </w:rPr>
        <w:t>2</w:t>
      </w:r>
      <w:r w:rsidR="002A42AE" w:rsidRPr="00327B80">
        <w:rPr>
          <w:rFonts w:ascii="Times New Roman" w:hAnsi="Times New Roman" w:cs="Times New Roman"/>
          <w:sz w:val="24"/>
          <w:szCs w:val="24"/>
        </w:rPr>
        <w:t> tis. Kč a </w:t>
      </w:r>
      <w:r w:rsidR="008653BC">
        <w:rPr>
          <w:rFonts w:ascii="Times New Roman" w:hAnsi="Times New Roman" w:cs="Times New Roman"/>
          <w:sz w:val="24"/>
          <w:szCs w:val="24"/>
        </w:rPr>
        <w:t xml:space="preserve">jeho řešením bylo </w:t>
      </w:r>
      <w:r w:rsidR="008934B8" w:rsidRPr="00327B80">
        <w:rPr>
          <w:rFonts w:ascii="Times New Roman" w:hAnsi="Times New Roman" w:cs="Times New Roman"/>
          <w:sz w:val="24"/>
          <w:szCs w:val="24"/>
        </w:rPr>
        <w:t xml:space="preserve">dosaženo </w:t>
      </w:r>
      <w:r w:rsidR="002A42AE" w:rsidRPr="00327B80">
        <w:rPr>
          <w:rFonts w:ascii="Times New Roman" w:hAnsi="Times New Roman" w:cs="Times New Roman"/>
          <w:sz w:val="24"/>
          <w:szCs w:val="24"/>
        </w:rPr>
        <w:t xml:space="preserve">7,33 </w:t>
      </w:r>
      <w:r w:rsidR="00F92B23">
        <w:rPr>
          <w:rFonts w:ascii="Times New Roman" w:hAnsi="Times New Roman" w:cs="Times New Roman"/>
          <w:sz w:val="24"/>
          <w:szCs w:val="24"/>
        </w:rPr>
        <w:t>bodově hodnocen</w:t>
      </w:r>
      <w:r w:rsidR="00822E41">
        <w:rPr>
          <w:rFonts w:ascii="Times New Roman" w:hAnsi="Times New Roman" w:cs="Times New Roman"/>
          <w:sz w:val="24"/>
          <w:szCs w:val="24"/>
        </w:rPr>
        <w:t>ých</w:t>
      </w:r>
      <w:r w:rsidR="002A42AE" w:rsidRPr="00327B80">
        <w:rPr>
          <w:rFonts w:ascii="Times New Roman" w:hAnsi="Times New Roman" w:cs="Times New Roman"/>
          <w:sz w:val="24"/>
          <w:szCs w:val="24"/>
        </w:rPr>
        <w:t xml:space="preserve"> výsledk</w:t>
      </w:r>
      <w:r w:rsidR="00822E41">
        <w:rPr>
          <w:rFonts w:ascii="Times New Roman" w:hAnsi="Times New Roman" w:cs="Times New Roman"/>
          <w:sz w:val="24"/>
          <w:szCs w:val="24"/>
        </w:rPr>
        <w:t>ů</w:t>
      </w:r>
      <w:r w:rsidR="002A42AE" w:rsidRPr="00327B80">
        <w:rPr>
          <w:rFonts w:ascii="Times New Roman" w:hAnsi="Times New Roman" w:cs="Times New Roman"/>
          <w:sz w:val="24"/>
          <w:szCs w:val="24"/>
        </w:rPr>
        <w:t xml:space="preserve"> s ohodnocením 237,5 bodu. Nejčastějším druhem </w:t>
      </w:r>
      <w:r w:rsidR="00822E41">
        <w:rPr>
          <w:rFonts w:ascii="Times New Roman" w:hAnsi="Times New Roman" w:cs="Times New Roman"/>
          <w:sz w:val="24"/>
          <w:szCs w:val="24"/>
        </w:rPr>
        <w:t xml:space="preserve">dosaženého </w:t>
      </w:r>
      <w:r w:rsidR="002A42AE" w:rsidRPr="00327B80">
        <w:rPr>
          <w:rFonts w:ascii="Times New Roman" w:hAnsi="Times New Roman" w:cs="Times New Roman"/>
          <w:sz w:val="24"/>
          <w:szCs w:val="24"/>
        </w:rPr>
        <w:t xml:space="preserve">výsledku byl </w:t>
      </w:r>
      <w:r w:rsidR="002A42AE" w:rsidRPr="00327B80">
        <w:rPr>
          <w:rFonts w:ascii="Times New Roman" w:hAnsi="Times New Roman" w:cs="Times New Roman"/>
          <w:bCs/>
          <w:sz w:val="24"/>
          <w:szCs w:val="24"/>
        </w:rPr>
        <w:t>článek v</w:t>
      </w:r>
      <w:r w:rsidR="00CA6ADE">
        <w:rPr>
          <w:rFonts w:ascii="Times New Roman" w:hAnsi="Times New Roman" w:cs="Times New Roman"/>
          <w:bCs/>
          <w:sz w:val="24"/>
          <w:szCs w:val="24"/>
        </w:rPr>
        <w:t> </w:t>
      </w:r>
      <w:r w:rsidR="002A42AE" w:rsidRPr="00327B80">
        <w:rPr>
          <w:rFonts w:ascii="Times New Roman" w:hAnsi="Times New Roman" w:cs="Times New Roman"/>
          <w:bCs/>
          <w:sz w:val="24"/>
          <w:szCs w:val="24"/>
        </w:rPr>
        <w:t xml:space="preserve">odborném periodiku obsažený v databázi Web </w:t>
      </w:r>
      <w:proofErr w:type="spellStart"/>
      <w:r w:rsidR="002A42AE" w:rsidRPr="00327B80">
        <w:rPr>
          <w:rFonts w:ascii="Times New Roman" w:hAnsi="Times New Roman" w:cs="Times New Roman"/>
          <w:bCs/>
          <w:sz w:val="24"/>
          <w:szCs w:val="24"/>
        </w:rPr>
        <w:t>of</w:t>
      </w:r>
      <w:proofErr w:type="spellEnd"/>
      <w:r w:rsidR="002A42AE" w:rsidRPr="00327B80">
        <w:rPr>
          <w:rFonts w:ascii="Times New Roman" w:hAnsi="Times New Roman" w:cs="Times New Roman"/>
          <w:bCs/>
          <w:sz w:val="24"/>
          <w:szCs w:val="24"/>
        </w:rPr>
        <w:t xml:space="preserve"> Science (31,82</w:t>
      </w:r>
      <w:r w:rsidR="008934B8" w:rsidRPr="00327B80">
        <w:rPr>
          <w:rFonts w:ascii="Times New Roman" w:hAnsi="Times New Roman" w:cs="Times New Roman"/>
          <w:bCs/>
          <w:sz w:val="24"/>
          <w:szCs w:val="24"/>
        </w:rPr>
        <w:t xml:space="preserve"> </w:t>
      </w:r>
      <w:r w:rsidR="00386E50">
        <w:rPr>
          <w:rFonts w:ascii="Times New Roman" w:hAnsi="Times New Roman" w:cs="Times New Roman"/>
          <w:bCs/>
          <w:sz w:val="24"/>
          <w:szCs w:val="24"/>
        </w:rPr>
        <w:t>%)</w:t>
      </w:r>
      <w:r w:rsidR="00386E50">
        <w:rPr>
          <w:rFonts w:ascii="Times New Roman" w:eastAsia="Calibri" w:hAnsi="Times New Roman" w:cs="Times New Roman"/>
          <w:sz w:val="24"/>
          <w:szCs w:val="24"/>
          <w:lang w:bidi="en-US"/>
        </w:rPr>
        <w:t>.</w:t>
      </w:r>
    </w:p>
    <w:p w:rsidR="002A42AE" w:rsidRPr="00327B80" w:rsidRDefault="004F35F5" w:rsidP="00E17B96">
      <w:pPr>
        <w:spacing w:after="120" w:line="240" w:lineRule="auto"/>
        <w:ind w:firstLine="709"/>
        <w:jc w:val="both"/>
        <w:rPr>
          <w:rFonts w:ascii="Times New Roman" w:hAnsi="Times New Roman" w:cs="Times New Roman"/>
          <w:sz w:val="24"/>
          <w:szCs w:val="24"/>
        </w:rPr>
      </w:pPr>
      <w:r w:rsidRPr="00327B80">
        <w:rPr>
          <w:rFonts w:ascii="Times New Roman" w:hAnsi="Times New Roman" w:cs="Times New Roman"/>
          <w:sz w:val="24"/>
          <w:szCs w:val="24"/>
        </w:rPr>
        <w:t xml:space="preserve">Průměrná hodnota Indexu SR pro všechny </w:t>
      </w:r>
      <w:r w:rsidR="00B556DF">
        <w:rPr>
          <w:rFonts w:ascii="Times New Roman" w:hAnsi="Times New Roman" w:cs="Times New Roman"/>
          <w:sz w:val="24"/>
          <w:szCs w:val="24"/>
        </w:rPr>
        <w:t xml:space="preserve">hodnocené </w:t>
      </w:r>
      <w:r w:rsidRPr="00327B80">
        <w:rPr>
          <w:rFonts w:ascii="Times New Roman" w:hAnsi="Times New Roman" w:cs="Times New Roman"/>
          <w:sz w:val="24"/>
          <w:szCs w:val="24"/>
        </w:rPr>
        <w:t xml:space="preserve">programy dohromady </w:t>
      </w:r>
      <w:r w:rsidR="00B556DF">
        <w:rPr>
          <w:rFonts w:ascii="Times New Roman" w:hAnsi="Times New Roman" w:cs="Times New Roman"/>
          <w:sz w:val="24"/>
          <w:szCs w:val="24"/>
        </w:rPr>
        <w:t>činí</w:t>
      </w:r>
      <w:r w:rsidRPr="00327B80">
        <w:rPr>
          <w:rFonts w:ascii="Times New Roman" w:hAnsi="Times New Roman" w:cs="Times New Roman"/>
          <w:sz w:val="24"/>
          <w:szCs w:val="24"/>
        </w:rPr>
        <w:t xml:space="preserve"> 22,</w:t>
      </w:r>
      <w:r w:rsidR="00EA2101">
        <w:rPr>
          <w:rFonts w:ascii="Times New Roman" w:hAnsi="Times New Roman" w:cs="Times New Roman"/>
          <w:sz w:val="24"/>
          <w:szCs w:val="24"/>
        </w:rPr>
        <w:t>8</w:t>
      </w:r>
      <w:r w:rsidRPr="00327B80">
        <w:rPr>
          <w:rFonts w:ascii="Times New Roman" w:hAnsi="Times New Roman" w:cs="Times New Roman"/>
          <w:sz w:val="24"/>
          <w:szCs w:val="24"/>
        </w:rPr>
        <w:t xml:space="preserve">, což znamená, že za každý 1 mil. Kč </w:t>
      </w:r>
      <w:r w:rsidR="00386E50">
        <w:rPr>
          <w:rFonts w:ascii="Times New Roman" w:hAnsi="Times New Roman" w:cs="Times New Roman"/>
          <w:sz w:val="24"/>
          <w:szCs w:val="24"/>
        </w:rPr>
        <w:t xml:space="preserve">vynaložený ve formě </w:t>
      </w:r>
      <w:r w:rsidRPr="00327B80">
        <w:rPr>
          <w:rFonts w:ascii="Times New Roman" w:hAnsi="Times New Roman" w:cs="Times New Roman"/>
          <w:sz w:val="24"/>
          <w:szCs w:val="24"/>
        </w:rPr>
        <w:t>podpory z veřejných prostředků bylo dosaženo výsledků s průměrným ohodnocením 22,</w:t>
      </w:r>
      <w:r w:rsidR="00EA2101">
        <w:rPr>
          <w:rFonts w:ascii="Times New Roman" w:hAnsi="Times New Roman" w:cs="Times New Roman"/>
          <w:sz w:val="24"/>
          <w:szCs w:val="24"/>
        </w:rPr>
        <w:t>8</w:t>
      </w:r>
      <w:r w:rsidRPr="00327B80">
        <w:rPr>
          <w:rFonts w:ascii="Times New Roman" w:hAnsi="Times New Roman" w:cs="Times New Roman"/>
          <w:sz w:val="24"/>
          <w:szCs w:val="24"/>
        </w:rPr>
        <w:t xml:space="preserve"> bodu.</w:t>
      </w:r>
      <w:r w:rsidR="002A42AE" w:rsidRPr="00327B80">
        <w:rPr>
          <w:rFonts w:ascii="Times New Roman" w:hAnsi="Times New Roman" w:cs="Times New Roman"/>
          <w:sz w:val="24"/>
          <w:szCs w:val="24"/>
        </w:rPr>
        <w:t xml:space="preserve"> Nejvyšší hodnotu Indexu SR vykázaly programy spadající do gesce Ministerstva kultury DB (145,27), DE (124,33) a DD (113,4), nejnižší hodnoty naopak programy spadající do gesce Ministerstva práce a sociálních věcí (</w:t>
      </w:r>
      <w:r w:rsidR="00F92B23">
        <w:rPr>
          <w:rFonts w:ascii="Times New Roman" w:hAnsi="Times New Roman" w:cs="Times New Roman"/>
          <w:sz w:val="24"/>
          <w:szCs w:val="24"/>
        </w:rPr>
        <w:t xml:space="preserve">HC - </w:t>
      </w:r>
      <w:r w:rsidR="002A42AE" w:rsidRPr="00327B80">
        <w:rPr>
          <w:rFonts w:ascii="Times New Roman" w:hAnsi="Times New Roman" w:cs="Times New Roman"/>
          <w:sz w:val="24"/>
          <w:szCs w:val="24"/>
        </w:rPr>
        <w:t>6,35) a Ministerstva obrany (</w:t>
      </w:r>
      <w:r w:rsidR="00F92B23">
        <w:rPr>
          <w:rFonts w:ascii="Times New Roman" w:hAnsi="Times New Roman" w:cs="Times New Roman"/>
          <w:sz w:val="24"/>
          <w:szCs w:val="24"/>
        </w:rPr>
        <w:t xml:space="preserve">OS - </w:t>
      </w:r>
      <w:r w:rsidR="002A42AE" w:rsidRPr="00327B80">
        <w:rPr>
          <w:rFonts w:ascii="Times New Roman" w:hAnsi="Times New Roman" w:cs="Times New Roman"/>
          <w:sz w:val="24"/>
          <w:szCs w:val="24"/>
        </w:rPr>
        <w:t>4,14).</w:t>
      </w:r>
    </w:p>
    <w:p w:rsidR="007E2DC7" w:rsidRPr="00327B80" w:rsidRDefault="000E4295" w:rsidP="00E17B96">
      <w:pPr>
        <w:pStyle w:val="Styl1"/>
        <w:rPr>
          <w:rFonts w:eastAsia="Times New Roman"/>
          <w:lang w:val="cs-CZ" w:eastAsia="ar-SA"/>
        </w:rPr>
      </w:pPr>
      <w:r>
        <w:rPr>
          <w:lang w:val="cs-CZ"/>
        </w:rPr>
        <w:t>Co se týká stupně hodnocení projektů ze strany poskytovatele, n</w:t>
      </w:r>
      <w:r w:rsidR="007E2DC7" w:rsidRPr="00327B80">
        <w:rPr>
          <w:lang w:val="cs-CZ"/>
        </w:rPr>
        <w:t>ejvyšší podíl projektů</w:t>
      </w:r>
      <w:r>
        <w:rPr>
          <w:lang w:val="cs-CZ"/>
        </w:rPr>
        <w:t xml:space="preserve"> ukončených s </w:t>
      </w:r>
      <w:r w:rsidR="007E2DC7" w:rsidRPr="00327B80">
        <w:rPr>
          <w:lang w:val="cs-CZ"/>
        </w:rPr>
        <w:t>vynikající</w:t>
      </w:r>
      <w:r>
        <w:rPr>
          <w:lang w:val="cs-CZ"/>
        </w:rPr>
        <w:t>mi</w:t>
      </w:r>
      <w:r w:rsidR="007E2DC7" w:rsidRPr="00327B80">
        <w:rPr>
          <w:lang w:val="cs-CZ"/>
        </w:rPr>
        <w:t xml:space="preserve"> výsledk</w:t>
      </w:r>
      <w:r>
        <w:rPr>
          <w:lang w:val="cs-CZ"/>
        </w:rPr>
        <w:t>y</w:t>
      </w:r>
      <w:r w:rsidR="007E2DC7" w:rsidRPr="00327B80">
        <w:rPr>
          <w:lang w:val="cs-CZ"/>
        </w:rPr>
        <w:t xml:space="preserve"> </w:t>
      </w:r>
      <w:r>
        <w:rPr>
          <w:lang w:val="cs-CZ"/>
        </w:rPr>
        <w:t xml:space="preserve">vykázalo </w:t>
      </w:r>
      <w:r w:rsidR="007E2DC7" w:rsidRPr="00327B80">
        <w:rPr>
          <w:lang w:val="cs-CZ"/>
        </w:rPr>
        <w:t>Ministerstvo školství, mládeže a</w:t>
      </w:r>
      <w:r w:rsidR="00B744FB">
        <w:rPr>
          <w:lang w:val="cs-CZ"/>
        </w:rPr>
        <w:t> </w:t>
      </w:r>
      <w:r w:rsidR="007E2DC7" w:rsidRPr="00327B80">
        <w:rPr>
          <w:lang w:val="cs-CZ"/>
        </w:rPr>
        <w:t xml:space="preserve">tělovýchovy </w:t>
      </w:r>
      <w:r w:rsidR="00B744FB">
        <w:rPr>
          <w:lang w:val="cs-CZ"/>
        </w:rPr>
        <w:t>u</w:t>
      </w:r>
      <w:r>
        <w:rPr>
          <w:lang w:val="cs-CZ"/>
        </w:rPr>
        <w:t> </w:t>
      </w:r>
      <w:r w:rsidR="00B744FB">
        <w:rPr>
          <w:lang w:val="cs-CZ"/>
        </w:rPr>
        <w:t xml:space="preserve">programu LC (98 %) </w:t>
      </w:r>
      <w:r w:rsidR="00B744FB">
        <w:rPr>
          <w:rFonts w:eastAsia="Times New Roman"/>
          <w:lang w:val="cs-CZ" w:eastAsia="ar-SA"/>
        </w:rPr>
        <w:t>a</w:t>
      </w:r>
      <w:r w:rsidR="007E2DC7" w:rsidRPr="00327B80">
        <w:rPr>
          <w:rFonts w:eastAsia="Times New Roman"/>
          <w:lang w:val="cs-CZ" w:eastAsia="ar-SA"/>
        </w:rPr>
        <w:t xml:space="preserve"> Ministerstv</w:t>
      </w:r>
      <w:r w:rsidR="007E2DC7">
        <w:rPr>
          <w:rFonts w:eastAsia="Times New Roman"/>
          <w:lang w:val="cs-CZ" w:eastAsia="ar-SA"/>
        </w:rPr>
        <w:t>o</w:t>
      </w:r>
      <w:r w:rsidR="007E2DC7" w:rsidRPr="00327B80">
        <w:rPr>
          <w:rFonts w:eastAsia="Times New Roman"/>
          <w:lang w:val="cs-CZ" w:eastAsia="ar-SA"/>
        </w:rPr>
        <w:t xml:space="preserve"> zdravotnictví</w:t>
      </w:r>
      <w:r w:rsidR="007E2DC7">
        <w:rPr>
          <w:rFonts w:eastAsia="Times New Roman"/>
          <w:lang w:val="cs-CZ" w:eastAsia="ar-SA"/>
        </w:rPr>
        <w:t xml:space="preserve"> </w:t>
      </w:r>
      <w:r w:rsidR="00B744FB">
        <w:rPr>
          <w:rFonts w:eastAsia="Times New Roman"/>
          <w:lang w:val="cs-CZ" w:eastAsia="ar-SA"/>
        </w:rPr>
        <w:t>u </w:t>
      </w:r>
      <w:r w:rsidR="007E2DC7">
        <w:rPr>
          <w:rFonts w:eastAsia="Times New Roman"/>
          <w:lang w:val="cs-CZ" w:eastAsia="ar-SA"/>
        </w:rPr>
        <w:t>programu NS</w:t>
      </w:r>
      <w:r w:rsidR="00B744FB">
        <w:rPr>
          <w:rFonts w:eastAsia="Times New Roman"/>
          <w:lang w:val="cs-CZ" w:eastAsia="ar-SA"/>
        </w:rPr>
        <w:t xml:space="preserve"> (70 %)</w:t>
      </w:r>
      <w:r w:rsidR="007E2DC7" w:rsidRPr="00327B80">
        <w:rPr>
          <w:rFonts w:eastAsia="Times New Roman"/>
          <w:lang w:val="cs-CZ" w:eastAsia="ar-SA"/>
        </w:rPr>
        <w:t xml:space="preserve">. </w:t>
      </w:r>
      <w:r w:rsidR="007E2DC7">
        <w:rPr>
          <w:rFonts w:eastAsia="Times New Roman"/>
          <w:lang w:val="cs-CZ" w:eastAsia="ar-SA"/>
        </w:rPr>
        <w:t xml:space="preserve">Žádných </w:t>
      </w:r>
      <w:r w:rsidR="007E2DC7" w:rsidRPr="00327B80">
        <w:rPr>
          <w:rFonts w:eastAsia="Times New Roman"/>
          <w:lang w:val="cs-CZ" w:eastAsia="ar-SA"/>
        </w:rPr>
        <w:t xml:space="preserve">vynikajících výsledků </w:t>
      </w:r>
      <w:r w:rsidR="00362DC5">
        <w:rPr>
          <w:rFonts w:eastAsia="Times New Roman"/>
          <w:lang w:val="cs-CZ" w:eastAsia="ar-SA"/>
        </w:rPr>
        <w:t xml:space="preserve">nedosáhl </w:t>
      </w:r>
      <w:r w:rsidR="00B744FB">
        <w:rPr>
          <w:rFonts w:eastAsia="Times New Roman"/>
          <w:lang w:val="cs-CZ" w:eastAsia="ar-SA"/>
        </w:rPr>
        <w:t xml:space="preserve">podle údajů </w:t>
      </w:r>
      <w:r>
        <w:rPr>
          <w:rFonts w:eastAsia="Times New Roman"/>
          <w:lang w:val="cs-CZ" w:eastAsia="ar-SA"/>
        </w:rPr>
        <w:t xml:space="preserve">předaných </w:t>
      </w:r>
      <w:r w:rsidR="00056371">
        <w:rPr>
          <w:rFonts w:eastAsia="Times New Roman"/>
          <w:lang w:val="cs-CZ" w:eastAsia="ar-SA"/>
        </w:rPr>
        <w:t xml:space="preserve">poskytovateli </w:t>
      </w:r>
      <w:r>
        <w:rPr>
          <w:rFonts w:eastAsia="Times New Roman"/>
          <w:lang w:val="cs-CZ" w:eastAsia="ar-SA"/>
        </w:rPr>
        <w:t xml:space="preserve">do </w:t>
      </w:r>
      <w:r w:rsidR="00B744FB">
        <w:rPr>
          <w:rFonts w:eastAsia="Times New Roman"/>
          <w:lang w:val="cs-CZ" w:eastAsia="ar-SA"/>
        </w:rPr>
        <w:t xml:space="preserve">v IS VaVaI </w:t>
      </w:r>
      <w:r w:rsidR="007E2DC7" w:rsidRPr="00327B80">
        <w:rPr>
          <w:rFonts w:eastAsia="Times New Roman"/>
          <w:lang w:val="cs-CZ" w:eastAsia="ar-SA"/>
        </w:rPr>
        <w:t>ani jeden z projektů řešených programů Ministerstva dopravy (CG), Ministerstva kultury (DD) a Ministerstva práce a sociálních věcí (HC).</w:t>
      </w:r>
    </w:p>
    <w:p w:rsidR="00760D0A" w:rsidRDefault="00327B80" w:rsidP="00E17B96">
      <w:pPr>
        <w:pStyle w:val="Styl1"/>
        <w:rPr>
          <w:lang w:val="cs-CZ"/>
        </w:rPr>
      </w:pPr>
      <w:r w:rsidRPr="00327B80">
        <w:rPr>
          <w:lang w:val="cs-CZ"/>
        </w:rPr>
        <w:t xml:space="preserve">Údaje obsažené v IS VaVaI </w:t>
      </w:r>
      <w:r w:rsidR="00362DC5">
        <w:rPr>
          <w:lang w:val="cs-CZ"/>
        </w:rPr>
        <w:t>indikují</w:t>
      </w:r>
      <w:r w:rsidRPr="00327B80">
        <w:rPr>
          <w:lang w:val="cs-CZ"/>
        </w:rPr>
        <w:t xml:space="preserve">, že </w:t>
      </w:r>
      <w:r w:rsidR="004516F2">
        <w:rPr>
          <w:lang w:val="cs-CZ"/>
        </w:rPr>
        <w:t xml:space="preserve">zadání </w:t>
      </w:r>
      <w:r w:rsidR="00591D6F">
        <w:rPr>
          <w:lang w:val="cs-CZ"/>
        </w:rPr>
        <w:t>nebylo</w:t>
      </w:r>
      <w:r w:rsidRPr="00327B80">
        <w:rPr>
          <w:lang w:val="cs-CZ"/>
        </w:rPr>
        <w:t> </w:t>
      </w:r>
      <w:r w:rsidR="00362DC5">
        <w:rPr>
          <w:lang w:val="cs-CZ"/>
        </w:rPr>
        <w:t>splněn</w:t>
      </w:r>
      <w:r w:rsidR="00591D6F">
        <w:rPr>
          <w:lang w:val="cs-CZ"/>
        </w:rPr>
        <w:t>o</w:t>
      </w:r>
      <w:r w:rsidRPr="00327B80">
        <w:rPr>
          <w:lang w:val="cs-CZ"/>
        </w:rPr>
        <w:t xml:space="preserve"> pouze u </w:t>
      </w:r>
      <w:r w:rsidR="00563B8B">
        <w:rPr>
          <w:lang w:val="cs-CZ"/>
        </w:rPr>
        <w:t>31</w:t>
      </w:r>
      <w:r w:rsidRPr="00327B80">
        <w:rPr>
          <w:lang w:val="cs-CZ"/>
        </w:rPr>
        <w:t xml:space="preserve"> z celk</w:t>
      </w:r>
      <w:r w:rsidR="00591D6F">
        <w:rPr>
          <w:lang w:val="cs-CZ"/>
        </w:rPr>
        <w:t>em</w:t>
      </w:r>
      <w:r w:rsidRPr="00327B80">
        <w:rPr>
          <w:lang w:val="cs-CZ"/>
        </w:rPr>
        <w:t xml:space="preserve"> 8</w:t>
      </w:r>
      <w:r w:rsidR="00563B8B">
        <w:rPr>
          <w:lang w:val="cs-CZ"/>
        </w:rPr>
        <w:t>29</w:t>
      </w:r>
      <w:r w:rsidRPr="00327B80">
        <w:rPr>
          <w:lang w:val="cs-CZ"/>
        </w:rPr>
        <w:t xml:space="preserve"> řešených </w:t>
      </w:r>
      <w:r w:rsidR="00362DC5">
        <w:rPr>
          <w:lang w:val="cs-CZ"/>
        </w:rPr>
        <w:t xml:space="preserve">projektů </w:t>
      </w:r>
      <w:r w:rsidRPr="00327B80">
        <w:rPr>
          <w:lang w:val="cs-CZ"/>
        </w:rPr>
        <w:t>(</w:t>
      </w:r>
      <w:r w:rsidR="00563B8B">
        <w:rPr>
          <w:lang w:val="cs-CZ"/>
        </w:rPr>
        <w:t>3</w:t>
      </w:r>
      <w:r w:rsidRPr="00327B80">
        <w:rPr>
          <w:lang w:val="cs-CZ"/>
        </w:rPr>
        <w:t>,</w:t>
      </w:r>
      <w:r w:rsidR="00563B8B">
        <w:rPr>
          <w:lang w:val="cs-CZ"/>
        </w:rPr>
        <w:t>7</w:t>
      </w:r>
      <w:r w:rsidR="00E767CB">
        <w:rPr>
          <w:lang w:val="cs-CZ"/>
        </w:rPr>
        <w:t xml:space="preserve"> </w:t>
      </w:r>
      <w:r w:rsidRPr="00327B80">
        <w:rPr>
          <w:lang w:val="cs-CZ"/>
        </w:rPr>
        <w:t xml:space="preserve">%). </w:t>
      </w:r>
      <w:r w:rsidR="00760798">
        <w:rPr>
          <w:lang w:val="cs-CZ"/>
        </w:rPr>
        <w:t>Žádné uplatněné</w:t>
      </w:r>
      <w:r w:rsidRPr="00327B80">
        <w:rPr>
          <w:lang w:val="cs-CZ"/>
        </w:rPr>
        <w:t xml:space="preserve"> výsled</w:t>
      </w:r>
      <w:r w:rsidR="00B744FB">
        <w:rPr>
          <w:lang w:val="cs-CZ"/>
        </w:rPr>
        <w:t>k</w:t>
      </w:r>
      <w:r w:rsidR="00AA5210">
        <w:rPr>
          <w:lang w:val="cs-CZ"/>
        </w:rPr>
        <w:t>y</w:t>
      </w:r>
      <w:r w:rsidRPr="00327B80">
        <w:rPr>
          <w:lang w:val="cs-CZ"/>
        </w:rPr>
        <w:t xml:space="preserve"> IS VaVaI </w:t>
      </w:r>
      <w:r w:rsidR="00AA5210">
        <w:rPr>
          <w:lang w:val="cs-CZ"/>
        </w:rPr>
        <w:t>ne</w:t>
      </w:r>
      <w:r w:rsidR="00B744FB">
        <w:rPr>
          <w:lang w:val="cs-CZ"/>
        </w:rPr>
        <w:t>eviduje u</w:t>
      </w:r>
      <w:r w:rsidRPr="00327B80">
        <w:rPr>
          <w:lang w:val="cs-CZ"/>
        </w:rPr>
        <w:t xml:space="preserve"> </w:t>
      </w:r>
      <w:r w:rsidR="00760798">
        <w:rPr>
          <w:lang w:val="cs-CZ"/>
        </w:rPr>
        <w:t>105</w:t>
      </w:r>
      <w:r w:rsidRPr="00327B80">
        <w:rPr>
          <w:lang w:val="cs-CZ"/>
        </w:rPr>
        <w:t xml:space="preserve"> projektů (</w:t>
      </w:r>
      <w:r w:rsidR="00760798">
        <w:rPr>
          <w:lang w:val="cs-CZ"/>
        </w:rPr>
        <w:t>6,2</w:t>
      </w:r>
      <w:r w:rsidRPr="00327B80">
        <w:rPr>
          <w:lang w:val="cs-CZ"/>
        </w:rPr>
        <w:t xml:space="preserve"> %)</w:t>
      </w:r>
      <w:r w:rsidR="000154F7">
        <w:rPr>
          <w:lang w:val="cs-CZ"/>
        </w:rPr>
        <w:t>.</w:t>
      </w:r>
      <w:r w:rsidRPr="00327B80">
        <w:rPr>
          <w:lang w:val="cs-CZ"/>
        </w:rPr>
        <w:t xml:space="preserve"> </w:t>
      </w:r>
    </w:p>
    <w:p w:rsidR="00760D0A" w:rsidRDefault="00760D0A" w:rsidP="00E17B96">
      <w:pPr>
        <w:pStyle w:val="Styl1"/>
        <w:rPr>
          <w:lang w:val="cs-CZ"/>
        </w:rPr>
      </w:pPr>
      <w:r w:rsidRPr="00760D0A">
        <w:rPr>
          <w:lang w:val="cs-CZ"/>
        </w:rPr>
        <w:t xml:space="preserve">Informace uvedené v souhrnných zprávách poskytovatelů o jimi provedeném zhodnocení výsledků ukončených programů vypovídají o tom, že v rámci všech hodnocených programů byly naplněny jejich kvalitativní cíle. </w:t>
      </w:r>
    </w:p>
    <w:p w:rsidR="00137D79" w:rsidRPr="002927A4" w:rsidRDefault="00137D79" w:rsidP="002927A4">
      <w:pPr>
        <w:pStyle w:val="Odstavecseseznamem"/>
        <w:numPr>
          <w:ilvl w:val="0"/>
          <w:numId w:val="34"/>
        </w:numPr>
        <w:spacing w:after="120" w:line="240" w:lineRule="auto"/>
        <w:jc w:val="both"/>
        <w:rPr>
          <w:rFonts w:ascii="Times New Roman" w:hAnsi="Times New Roman" w:cs="Times New Roman"/>
          <w:b/>
          <w:sz w:val="24"/>
          <w:szCs w:val="24"/>
        </w:rPr>
      </w:pPr>
      <w:r w:rsidRPr="002927A4">
        <w:rPr>
          <w:rFonts w:ascii="Times New Roman" w:hAnsi="Times New Roman" w:cs="Times New Roman"/>
          <w:b/>
          <w:sz w:val="24"/>
          <w:szCs w:val="24"/>
        </w:rPr>
        <w:t>Závěr</w:t>
      </w:r>
    </w:p>
    <w:p w:rsidR="008548C9" w:rsidRDefault="008548C9" w:rsidP="00E17B96">
      <w:pPr>
        <w:pStyle w:val="Styl1"/>
        <w:rPr>
          <w:lang w:val="cs-CZ"/>
        </w:rPr>
      </w:pPr>
      <w:r>
        <w:rPr>
          <w:lang w:val="cs-CZ"/>
        </w:rPr>
        <w:t xml:space="preserve">Během </w:t>
      </w:r>
      <w:r w:rsidR="00FE5F40">
        <w:rPr>
          <w:lang w:val="cs-CZ"/>
        </w:rPr>
        <w:t xml:space="preserve">Hodnocení </w:t>
      </w:r>
      <w:r>
        <w:rPr>
          <w:lang w:val="cs-CZ"/>
        </w:rPr>
        <w:t xml:space="preserve">bylo zjištěno, že u </w:t>
      </w:r>
      <w:r w:rsidR="007C4494">
        <w:rPr>
          <w:lang w:val="cs-CZ"/>
        </w:rPr>
        <w:t>řady</w:t>
      </w:r>
      <w:r>
        <w:rPr>
          <w:lang w:val="cs-CZ"/>
        </w:rPr>
        <w:t xml:space="preserve"> </w:t>
      </w:r>
      <w:r w:rsidR="00A7412B" w:rsidRPr="00327B80">
        <w:rPr>
          <w:lang w:val="cs-CZ"/>
        </w:rPr>
        <w:t>programů</w:t>
      </w:r>
      <w:r>
        <w:rPr>
          <w:lang w:val="cs-CZ"/>
        </w:rPr>
        <w:t xml:space="preserve"> ukončených </w:t>
      </w:r>
      <w:r w:rsidR="00F12934">
        <w:rPr>
          <w:lang w:val="cs-CZ"/>
        </w:rPr>
        <w:t>v </w:t>
      </w:r>
      <w:r>
        <w:rPr>
          <w:lang w:val="cs-CZ"/>
        </w:rPr>
        <w:t>ro</w:t>
      </w:r>
      <w:r w:rsidR="00F12934">
        <w:rPr>
          <w:lang w:val="cs-CZ"/>
        </w:rPr>
        <w:t>ce</w:t>
      </w:r>
      <w:r>
        <w:rPr>
          <w:lang w:val="cs-CZ"/>
        </w:rPr>
        <w:t xml:space="preserve"> 2011</w:t>
      </w:r>
      <w:r w:rsidR="00A7412B" w:rsidRPr="00327B80">
        <w:rPr>
          <w:lang w:val="cs-CZ"/>
        </w:rPr>
        <w:t xml:space="preserve"> </w:t>
      </w:r>
      <w:r w:rsidR="00FE5F40">
        <w:rPr>
          <w:lang w:val="cs-CZ"/>
        </w:rPr>
        <w:t xml:space="preserve">rozpočtové </w:t>
      </w:r>
      <w:r w:rsidR="00A7412B" w:rsidRPr="00327B80">
        <w:rPr>
          <w:lang w:val="cs-CZ"/>
        </w:rPr>
        <w:t xml:space="preserve">údaje obsažené v IS VaVaI </w:t>
      </w:r>
      <w:r w:rsidR="00FE5F40">
        <w:rPr>
          <w:lang w:val="cs-CZ"/>
        </w:rPr>
        <w:t>(celkové uznané náklady na řešení projektů v rámci programu a</w:t>
      </w:r>
      <w:r w:rsidR="007C4494">
        <w:rPr>
          <w:lang w:val="cs-CZ"/>
        </w:rPr>
        <w:t xml:space="preserve"> celková </w:t>
      </w:r>
      <w:r w:rsidR="00FE5F40">
        <w:rPr>
          <w:lang w:val="cs-CZ"/>
        </w:rPr>
        <w:t xml:space="preserve">výše podpory z veřejných prostředků) </w:t>
      </w:r>
      <w:r w:rsidR="00A7412B" w:rsidRPr="00327B80">
        <w:rPr>
          <w:lang w:val="cs-CZ"/>
        </w:rPr>
        <w:t>neodpovídají údajům obsaženým ve zprávách poskytovatelů o jimi provedeném hodnocení ukončených programů, a to přesto, že údaje do IS</w:t>
      </w:r>
      <w:r w:rsidR="00FE5F40">
        <w:rPr>
          <w:lang w:val="cs-CZ"/>
        </w:rPr>
        <w:t> </w:t>
      </w:r>
      <w:r w:rsidR="00A7412B" w:rsidRPr="00327B80">
        <w:rPr>
          <w:lang w:val="cs-CZ"/>
        </w:rPr>
        <w:t>VaVaI předáv</w:t>
      </w:r>
      <w:r w:rsidR="00AD00F8">
        <w:rPr>
          <w:lang w:val="cs-CZ"/>
        </w:rPr>
        <w:t>ají</w:t>
      </w:r>
      <w:r w:rsidR="00A7412B" w:rsidRPr="00327B80">
        <w:rPr>
          <w:lang w:val="cs-CZ"/>
        </w:rPr>
        <w:t xml:space="preserve"> sam</w:t>
      </w:r>
      <w:r w:rsidR="007C4494">
        <w:rPr>
          <w:lang w:val="cs-CZ"/>
        </w:rPr>
        <w:t>i</w:t>
      </w:r>
      <w:r w:rsidR="00A7412B" w:rsidRPr="00327B80">
        <w:rPr>
          <w:lang w:val="cs-CZ"/>
        </w:rPr>
        <w:t xml:space="preserve"> poskytovatel</w:t>
      </w:r>
      <w:r w:rsidR="00AD00F8">
        <w:rPr>
          <w:lang w:val="cs-CZ"/>
        </w:rPr>
        <w:t>é</w:t>
      </w:r>
      <w:r w:rsidR="00A7412B" w:rsidRPr="00327B80">
        <w:rPr>
          <w:lang w:val="cs-CZ"/>
        </w:rPr>
        <w:t xml:space="preserve">. </w:t>
      </w:r>
    </w:p>
    <w:p w:rsidR="008548C9" w:rsidRPr="00327B80" w:rsidRDefault="008548C9" w:rsidP="00E17B96">
      <w:pPr>
        <w:pStyle w:val="Styl1"/>
        <w:rPr>
          <w:lang w:val="cs-CZ"/>
        </w:rPr>
      </w:pPr>
      <w:r>
        <w:rPr>
          <w:lang w:val="cs-CZ"/>
        </w:rPr>
        <w:t xml:space="preserve">Dále byla </w:t>
      </w:r>
      <w:r w:rsidR="00AD00F8">
        <w:rPr>
          <w:lang w:val="cs-CZ"/>
        </w:rPr>
        <w:t>prokázána</w:t>
      </w:r>
      <w:r>
        <w:rPr>
          <w:lang w:val="cs-CZ"/>
        </w:rPr>
        <w:t xml:space="preserve"> tendence poskytovatelů hodnotit i projekty, které nedosáhly žádných </w:t>
      </w:r>
      <w:r w:rsidR="00677128">
        <w:rPr>
          <w:lang w:val="cs-CZ"/>
        </w:rPr>
        <w:t>bodově ohodnocených výsledků, či nemají v RIV žádný záznam o výsledku (ačkoliv jde o projekty víceleté s významnou podporou z veřejných prostředků),</w:t>
      </w:r>
      <w:r w:rsidR="00F12934">
        <w:rPr>
          <w:lang w:val="cs-CZ"/>
        </w:rPr>
        <w:t xml:space="preserve"> </w:t>
      </w:r>
      <w:r>
        <w:rPr>
          <w:lang w:val="cs-CZ"/>
        </w:rPr>
        <w:t xml:space="preserve">jako projekty, které </w:t>
      </w:r>
      <w:r w:rsidR="009238B4">
        <w:rPr>
          <w:lang w:val="cs-CZ"/>
        </w:rPr>
        <w:t>uspěly podle zadání</w:t>
      </w:r>
      <w:r w:rsidR="008C24ED">
        <w:rPr>
          <w:lang w:val="cs-CZ"/>
        </w:rPr>
        <w:t>.</w:t>
      </w:r>
      <w:r>
        <w:rPr>
          <w:lang w:val="cs-CZ"/>
        </w:rPr>
        <w:t xml:space="preserve"> </w:t>
      </w:r>
    </w:p>
    <w:sectPr w:rsidR="008548C9" w:rsidRPr="00327B80" w:rsidSect="00B12603">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C54" w:rsidRDefault="00DE2C54" w:rsidP="0049226C">
      <w:pPr>
        <w:spacing w:after="0" w:line="240" w:lineRule="auto"/>
      </w:pPr>
      <w:r>
        <w:separator/>
      </w:r>
    </w:p>
  </w:endnote>
  <w:endnote w:type="continuationSeparator" w:id="0">
    <w:p w:rsidR="00DE2C54" w:rsidRDefault="00DE2C54" w:rsidP="004922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3705871"/>
      <w:docPartObj>
        <w:docPartGallery w:val="Page Numbers (Bottom of Page)"/>
        <w:docPartUnique/>
      </w:docPartObj>
    </w:sdtPr>
    <w:sdtContent>
      <w:p w:rsidR="00DE2C54" w:rsidRDefault="00DE2C54">
        <w:pPr>
          <w:pStyle w:val="Zpat"/>
          <w:jc w:val="right"/>
        </w:pPr>
        <w:r>
          <w:fldChar w:fldCharType="begin"/>
        </w:r>
        <w:r>
          <w:instrText>PAGE   \* MERGEFORMAT</w:instrText>
        </w:r>
        <w:r>
          <w:fldChar w:fldCharType="separate"/>
        </w:r>
        <w:r w:rsidR="00B54B02">
          <w:rPr>
            <w:noProof/>
          </w:rPr>
          <w:t>18</w:t>
        </w:r>
        <w:r>
          <w:fldChar w:fldCharType="end"/>
        </w:r>
      </w:p>
    </w:sdtContent>
  </w:sdt>
  <w:p w:rsidR="00DE2C54" w:rsidRDefault="00DE2C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C54" w:rsidRDefault="00DE2C54" w:rsidP="0049226C">
      <w:pPr>
        <w:spacing w:after="0" w:line="240" w:lineRule="auto"/>
      </w:pPr>
      <w:r>
        <w:separator/>
      </w:r>
    </w:p>
  </w:footnote>
  <w:footnote w:type="continuationSeparator" w:id="0">
    <w:p w:rsidR="00DE2C54" w:rsidRDefault="00DE2C54" w:rsidP="0049226C">
      <w:pPr>
        <w:spacing w:after="0" w:line="240" w:lineRule="auto"/>
      </w:pPr>
      <w:r>
        <w:continuationSeparator/>
      </w:r>
    </w:p>
  </w:footnote>
  <w:footnote w:id="1">
    <w:p w:rsidR="00DE2C54" w:rsidRPr="00934886" w:rsidRDefault="00DE2C54" w:rsidP="00934886">
      <w:pPr>
        <w:pStyle w:val="Textpoznpodarou"/>
        <w:jc w:val="both"/>
        <w:rPr>
          <w:rFonts w:ascii="Times New Roman" w:hAnsi="Times New Roman" w:cs="Times New Roman"/>
        </w:rPr>
      </w:pPr>
      <w:r w:rsidRPr="00934886">
        <w:rPr>
          <w:rStyle w:val="Znakapoznpodarou"/>
          <w:rFonts w:ascii="Times New Roman" w:hAnsi="Times New Roman" w:cs="Times New Roman"/>
        </w:rPr>
        <w:footnoteRef/>
      </w:r>
      <w:r w:rsidRPr="00934886">
        <w:rPr>
          <w:rFonts w:ascii="Times New Roman" w:hAnsi="Times New Roman" w:cs="Times New Roman"/>
        </w:rPr>
        <w:t xml:space="preserve"> S výjimkou dílčích programů 1K, 1N, 1P a 2E, které byly koncipovány a vládou schváleny s jiným typem priority než jsou výsledky VaVaI.</w:t>
      </w:r>
    </w:p>
  </w:footnote>
  <w:footnote w:id="2">
    <w:p w:rsidR="00B54B02" w:rsidRDefault="00B54B02" w:rsidP="00B54B02">
      <w:pPr>
        <w:pStyle w:val="Textpoznpodarou"/>
      </w:pPr>
      <w:r>
        <w:rPr>
          <w:rStyle w:val="Znakapoznpodarou"/>
        </w:rPr>
        <w:footnoteRef/>
      </w:r>
      <w:r>
        <w:t xml:space="preserve"> </w:t>
      </w:r>
      <w:r w:rsidRPr="00B54B02">
        <w:rPr>
          <w:rFonts w:ascii="Times New Roman" w:hAnsi="Times New Roman" w:cs="Times New Roman"/>
        </w:rPr>
        <w:t xml:space="preserve">S výjimkou dílčích programů 1K, 1N, 1P a 2E, které byly koncipovány a vládou schváleny s jiným typem priority než jsou výsledky </w:t>
      </w:r>
      <w:proofErr w:type="spellStart"/>
      <w:r w:rsidRPr="00B54B02">
        <w:rPr>
          <w:rFonts w:ascii="Times New Roman" w:hAnsi="Times New Roman" w:cs="Times New Roman"/>
        </w:rPr>
        <w:t>VaVaI</w:t>
      </w:r>
      <w:proofErr w:type="spellEnd"/>
      <w:r w:rsidRPr="00B54B02">
        <w:rPr>
          <w:rFonts w:ascii="Times New Roman" w:hAnsi="Times New Roman" w:cs="Times New Roman"/>
        </w:rPr>
        <w:t>.</w:t>
      </w:r>
    </w:p>
  </w:footnote>
  <w:footnote w:id="3">
    <w:p w:rsidR="00DE2C54" w:rsidRPr="00B54B02" w:rsidRDefault="00DE2C54" w:rsidP="00DE2C54">
      <w:pPr>
        <w:pStyle w:val="Textpoznpodarou"/>
        <w:rPr>
          <w:rFonts w:ascii="Times New Roman" w:hAnsi="Times New Roman" w:cs="Times New Roman"/>
        </w:rPr>
      </w:pPr>
      <w:r w:rsidRPr="00B54B02">
        <w:rPr>
          <w:rStyle w:val="Znakapoznpodarou"/>
          <w:rFonts w:ascii="Times New Roman" w:hAnsi="Times New Roman" w:cs="Times New Roman"/>
        </w:rPr>
        <w:footnoteRef/>
      </w:r>
      <w:r w:rsidRPr="00B54B02">
        <w:rPr>
          <w:rFonts w:ascii="Times New Roman" w:hAnsi="Times New Roman" w:cs="Times New Roman"/>
        </w:rPr>
        <w:t xml:space="preserve"> S výjimkou dílčích programů 1K, 1N, 1P a 2E, které byly koncipovány a vládou schváleny s jiným typem priority než jsou výsledky </w:t>
      </w:r>
      <w:proofErr w:type="spellStart"/>
      <w:r w:rsidRPr="00B54B02">
        <w:rPr>
          <w:rFonts w:ascii="Times New Roman" w:hAnsi="Times New Roman" w:cs="Times New Roman"/>
        </w:rPr>
        <w:t>VaVaI</w:t>
      </w:r>
      <w:proofErr w:type="spellEnd"/>
      <w:r w:rsidRPr="00B54B02">
        <w:rPr>
          <w:rFonts w:ascii="Times New Roman" w:hAnsi="Times New Roman" w:cs="Times New Roman"/>
        </w:rPr>
        <w:t>.</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C54" w:rsidRPr="00092C02" w:rsidRDefault="00DE2C54">
    <w:pPr>
      <w:pStyle w:val="Zhlav"/>
      <w:rPr>
        <w:rFonts w:ascii="Times New Roman" w:hAnsi="Times New Roman" w:cs="Times New Roman"/>
        <w:i/>
      </w:rPr>
    </w:pPr>
    <w:r w:rsidRPr="00092C02">
      <w:rPr>
        <w:rFonts w:ascii="Times New Roman" w:hAnsi="Times New Roman" w:cs="Times New Roman"/>
        <w:i/>
      </w:rPr>
      <w:t>Rad</w:t>
    </w:r>
    <w:r>
      <w:rPr>
        <w:rFonts w:ascii="Times New Roman" w:hAnsi="Times New Roman" w:cs="Times New Roman"/>
        <w:i/>
      </w:rPr>
      <w:t>a</w:t>
    </w:r>
    <w:r w:rsidRPr="00092C02">
      <w:rPr>
        <w:rFonts w:ascii="Times New Roman" w:hAnsi="Times New Roman" w:cs="Times New Roman"/>
        <w:i/>
      </w:rPr>
      <w:t xml:space="preserve"> pro výzkum, vývoj a inovace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969E1"/>
    <w:multiLevelType w:val="hybridMultilevel"/>
    <w:tmpl w:val="99A0304A"/>
    <w:lvl w:ilvl="0" w:tplc="60CE3A2E">
      <w:start w:val="1"/>
      <w:numFmt w:val="bullet"/>
      <w:lvlText w:val="─"/>
      <w:lvlJc w:val="left"/>
      <w:pPr>
        <w:ind w:left="72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B671E32"/>
    <w:multiLevelType w:val="hybridMultilevel"/>
    <w:tmpl w:val="BA9A4802"/>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F27682"/>
    <w:multiLevelType w:val="multilevel"/>
    <w:tmpl w:val="10781BD2"/>
    <w:lvl w:ilvl="0">
      <w:start w:val="1"/>
      <w:numFmt w:val="decimal"/>
      <w:pStyle w:val="Nadpis1"/>
      <w:lvlText w:val="%1."/>
      <w:lvlJc w:val="left"/>
      <w:pPr>
        <w:tabs>
          <w:tab w:val="num" w:pos="570"/>
        </w:tabs>
        <w:ind w:left="570" w:hanging="570"/>
      </w:pPr>
      <w:rPr>
        <w:rFonts w:hint="default"/>
      </w:rPr>
    </w:lvl>
    <w:lvl w:ilvl="1">
      <w:start w:val="1"/>
      <w:numFmt w:val="decimal"/>
      <w:pStyle w:val="Nadpis2"/>
      <w:lvlText w:val="%1.%2."/>
      <w:lvlJc w:val="left"/>
      <w:pPr>
        <w:tabs>
          <w:tab w:val="num" w:pos="854"/>
        </w:tabs>
        <w:ind w:left="854" w:hanging="494"/>
      </w:pPr>
      <w:rPr>
        <w:rFonts w:hint="default"/>
      </w:rPr>
    </w:lvl>
    <w:lvl w:ilvl="2">
      <w:start w:val="1"/>
      <w:numFmt w:val="decimal"/>
      <w:pStyle w:val="Nadpis3"/>
      <w:lvlText w:val="%1.%2.%3."/>
      <w:lvlJc w:val="left"/>
      <w:pPr>
        <w:tabs>
          <w:tab w:val="num" w:pos="1137"/>
        </w:tabs>
        <w:ind w:left="113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CA2428E"/>
    <w:multiLevelType w:val="hybridMultilevel"/>
    <w:tmpl w:val="ACCA65DE"/>
    <w:lvl w:ilvl="0" w:tplc="67A0BC10">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0EBF55BB"/>
    <w:multiLevelType w:val="hybridMultilevel"/>
    <w:tmpl w:val="7A161032"/>
    <w:lvl w:ilvl="0" w:tplc="60CE3A2E">
      <w:start w:val="1"/>
      <w:numFmt w:val="bullet"/>
      <w:lvlText w:val="─"/>
      <w:lvlJc w:val="left"/>
      <w:pPr>
        <w:ind w:left="720" w:hanging="360"/>
      </w:pPr>
      <w:rPr>
        <w:rFonts w:ascii="Calibri" w:hAnsi="Calibri"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2D06404"/>
    <w:multiLevelType w:val="hybridMultilevel"/>
    <w:tmpl w:val="954CF716"/>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411721D"/>
    <w:multiLevelType w:val="hybridMultilevel"/>
    <w:tmpl w:val="9A983B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786C0C"/>
    <w:multiLevelType w:val="hybridMultilevel"/>
    <w:tmpl w:val="A184D9FE"/>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89B246D"/>
    <w:multiLevelType w:val="hybridMultilevel"/>
    <w:tmpl w:val="F188A398"/>
    <w:lvl w:ilvl="0" w:tplc="60CE3A2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nsid w:val="28AD2DCE"/>
    <w:multiLevelType w:val="hybridMultilevel"/>
    <w:tmpl w:val="D9004D7C"/>
    <w:lvl w:ilvl="0" w:tplc="73BC8ECA">
      <w:start w:val="2"/>
      <w:numFmt w:val="decimal"/>
      <w:lvlText w:val="%1."/>
      <w:lvlJc w:val="left"/>
      <w:pPr>
        <w:ind w:left="72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2A1933D9"/>
    <w:multiLevelType w:val="hybridMultilevel"/>
    <w:tmpl w:val="90F0C3A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A331909"/>
    <w:multiLevelType w:val="hybridMultilevel"/>
    <w:tmpl w:val="08CA8A08"/>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2B1578E4"/>
    <w:multiLevelType w:val="multilevel"/>
    <w:tmpl w:val="2962F2C8"/>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713" w:hanging="720"/>
      </w:pPr>
      <w:rPr>
        <w:rFonts w:hint="default"/>
        <w:b/>
      </w:rPr>
    </w:lvl>
    <w:lvl w:ilvl="3">
      <w:start w:val="1"/>
      <w:numFmt w:val="decimal"/>
      <w:isLgl/>
      <w:lvlText w:val="%1.%2.%3.%4"/>
      <w:lvlJc w:val="left"/>
      <w:pPr>
        <w:ind w:left="1713" w:hanging="720"/>
      </w:pPr>
      <w:rPr>
        <w:rFonts w:hint="default"/>
        <w:b/>
      </w:rPr>
    </w:lvl>
    <w:lvl w:ilvl="4">
      <w:start w:val="1"/>
      <w:numFmt w:val="decimal"/>
      <w:isLgl/>
      <w:lvlText w:val="%1.%2.%3.%4.%5"/>
      <w:lvlJc w:val="left"/>
      <w:pPr>
        <w:ind w:left="2073" w:hanging="1080"/>
      </w:pPr>
      <w:rPr>
        <w:rFonts w:hint="default"/>
        <w:b/>
      </w:rPr>
    </w:lvl>
    <w:lvl w:ilvl="5">
      <w:start w:val="1"/>
      <w:numFmt w:val="decimal"/>
      <w:isLgl/>
      <w:lvlText w:val="%1.%2.%3.%4.%5.%6"/>
      <w:lvlJc w:val="left"/>
      <w:pPr>
        <w:ind w:left="2073" w:hanging="1080"/>
      </w:pPr>
      <w:rPr>
        <w:rFonts w:hint="default"/>
        <w:b/>
      </w:rPr>
    </w:lvl>
    <w:lvl w:ilvl="6">
      <w:start w:val="1"/>
      <w:numFmt w:val="decimal"/>
      <w:isLgl/>
      <w:lvlText w:val="%1.%2.%3.%4.%5.%6.%7"/>
      <w:lvlJc w:val="left"/>
      <w:pPr>
        <w:ind w:left="2433" w:hanging="1440"/>
      </w:pPr>
      <w:rPr>
        <w:rFonts w:hint="default"/>
        <w:b/>
      </w:rPr>
    </w:lvl>
    <w:lvl w:ilvl="7">
      <w:start w:val="1"/>
      <w:numFmt w:val="decimal"/>
      <w:isLgl/>
      <w:lvlText w:val="%1.%2.%3.%4.%5.%6.%7.%8"/>
      <w:lvlJc w:val="left"/>
      <w:pPr>
        <w:ind w:left="2433" w:hanging="1440"/>
      </w:pPr>
      <w:rPr>
        <w:rFonts w:hint="default"/>
        <w:b/>
      </w:rPr>
    </w:lvl>
    <w:lvl w:ilvl="8">
      <w:start w:val="1"/>
      <w:numFmt w:val="decimal"/>
      <w:isLgl/>
      <w:lvlText w:val="%1.%2.%3.%4.%5.%6.%7.%8.%9"/>
      <w:lvlJc w:val="left"/>
      <w:pPr>
        <w:ind w:left="2793" w:hanging="1800"/>
      </w:pPr>
      <w:rPr>
        <w:rFonts w:hint="default"/>
        <w:b/>
      </w:rPr>
    </w:lvl>
  </w:abstractNum>
  <w:abstractNum w:abstractNumId="13">
    <w:nsid w:val="35F400E3"/>
    <w:multiLevelType w:val="hybridMultilevel"/>
    <w:tmpl w:val="8E9EB170"/>
    <w:lvl w:ilvl="0" w:tplc="5BF2D0B0">
      <w:start w:val="1"/>
      <w:numFmt w:val="decimal"/>
      <w:lvlText w:val="4.%1."/>
      <w:lvlJc w:val="left"/>
      <w:pPr>
        <w:ind w:left="360" w:hanging="360"/>
      </w:pPr>
      <w:rPr>
        <w:rFonts w:hint="default"/>
        <w:b/>
        <w:spacing w:val="0"/>
        <w:position w:val="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6760F1E"/>
    <w:multiLevelType w:val="hybridMultilevel"/>
    <w:tmpl w:val="5F9437FA"/>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A254BA8"/>
    <w:multiLevelType w:val="hybridMultilevel"/>
    <w:tmpl w:val="5EA0BB78"/>
    <w:lvl w:ilvl="0" w:tplc="60CE3A2E">
      <w:start w:val="1"/>
      <w:numFmt w:val="bullet"/>
      <w:lvlText w:val="─"/>
      <w:lvlJc w:val="left"/>
      <w:pPr>
        <w:ind w:left="360" w:hanging="360"/>
      </w:pPr>
      <w:rPr>
        <w:rFonts w:ascii="Calibri" w:hAnsi="Calibr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nsid w:val="3A9D5E22"/>
    <w:multiLevelType w:val="hybridMultilevel"/>
    <w:tmpl w:val="0CE4C46C"/>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193BA9"/>
    <w:multiLevelType w:val="hybridMultilevel"/>
    <w:tmpl w:val="0846E17A"/>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F60791D"/>
    <w:multiLevelType w:val="hybridMultilevel"/>
    <w:tmpl w:val="9FBEBA4C"/>
    <w:lvl w:ilvl="0" w:tplc="0405000F">
      <w:start w:val="1"/>
      <w:numFmt w:val="decimal"/>
      <w:lvlText w:val="%1."/>
      <w:lvlJc w:val="left"/>
      <w:pPr>
        <w:ind w:left="360" w:hanging="360"/>
      </w:pPr>
      <w:rPr>
        <w:rFonts w:hint="default"/>
        <w:b/>
        <w:spacing w:val="0"/>
        <w:position w:val="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2016705"/>
    <w:multiLevelType w:val="hybridMultilevel"/>
    <w:tmpl w:val="D3CE00D2"/>
    <w:lvl w:ilvl="0" w:tplc="0405000F">
      <w:start w:val="1"/>
      <w:numFmt w:val="decimal"/>
      <w:lvlText w:val="%1."/>
      <w:lvlJc w:val="left"/>
      <w:pPr>
        <w:ind w:left="1854" w:hanging="360"/>
      </w:p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0">
    <w:nsid w:val="453663C7"/>
    <w:multiLevelType w:val="hybridMultilevel"/>
    <w:tmpl w:val="09C8AD14"/>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pStyle w:val="sodrkamio"/>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9020EFE"/>
    <w:multiLevelType w:val="multilevel"/>
    <w:tmpl w:val="CD7A57E8"/>
    <w:lvl w:ilvl="0">
      <w:start w:val="1"/>
      <w:numFmt w:val="decimal"/>
      <w:lvlText w:val="%1."/>
      <w:lvlJc w:val="left"/>
      <w:pPr>
        <w:ind w:left="1068" w:hanging="360"/>
      </w:pPr>
      <w:rPr>
        <w:rFonts w:hint="default"/>
        <w:b/>
        <w:spacing w:val="0"/>
        <w:position w:val="1"/>
      </w:rPr>
    </w:lvl>
    <w:lvl w:ilvl="1">
      <w:start w:val="2"/>
      <w:numFmt w:val="decimal"/>
      <w:isLgl/>
      <w:lvlText w:val="%1.%2"/>
      <w:lvlJc w:val="left"/>
      <w:pPr>
        <w:ind w:left="1413" w:hanging="705"/>
      </w:pPr>
      <w:rPr>
        <w:rFonts w:eastAsia="Calibri" w:hint="default"/>
        <w:b/>
      </w:rPr>
    </w:lvl>
    <w:lvl w:ilvl="2">
      <w:start w:val="1"/>
      <w:numFmt w:val="decimal"/>
      <w:isLgl/>
      <w:lvlText w:val="%1.%2.%3"/>
      <w:lvlJc w:val="left"/>
      <w:pPr>
        <w:ind w:left="1428" w:hanging="720"/>
      </w:pPr>
      <w:rPr>
        <w:rFonts w:eastAsia="Calibri" w:hint="default"/>
      </w:rPr>
    </w:lvl>
    <w:lvl w:ilvl="3">
      <w:start w:val="1"/>
      <w:numFmt w:val="decimal"/>
      <w:isLgl/>
      <w:lvlText w:val="%1.%2.%3.%4"/>
      <w:lvlJc w:val="left"/>
      <w:pPr>
        <w:ind w:left="1428" w:hanging="720"/>
      </w:pPr>
      <w:rPr>
        <w:rFonts w:eastAsia="Calibri" w:hint="default"/>
      </w:rPr>
    </w:lvl>
    <w:lvl w:ilvl="4">
      <w:start w:val="1"/>
      <w:numFmt w:val="decimal"/>
      <w:isLgl/>
      <w:lvlText w:val="%1.%2.%3.%4.%5"/>
      <w:lvlJc w:val="left"/>
      <w:pPr>
        <w:ind w:left="1788" w:hanging="1080"/>
      </w:pPr>
      <w:rPr>
        <w:rFonts w:eastAsia="Calibri" w:hint="default"/>
      </w:rPr>
    </w:lvl>
    <w:lvl w:ilvl="5">
      <w:start w:val="1"/>
      <w:numFmt w:val="decimal"/>
      <w:isLgl/>
      <w:lvlText w:val="%1.%2.%3.%4.%5.%6"/>
      <w:lvlJc w:val="left"/>
      <w:pPr>
        <w:ind w:left="1788" w:hanging="1080"/>
      </w:pPr>
      <w:rPr>
        <w:rFonts w:eastAsia="Calibri" w:hint="default"/>
      </w:rPr>
    </w:lvl>
    <w:lvl w:ilvl="6">
      <w:start w:val="1"/>
      <w:numFmt w:val="decimal"/>
      <w:isLgl/>
      <w:lvlText w:val="%1.%2.%3.%4.%5.%6.%7"/>
      <w:lvlJc w:val="left"/>
      <w:pPr>
        <w:ind w:left="2148" w:hanging="1440"/>
      </w:pPr>
      <w:rPr>
        <w:rFonts w:eastAsia="Calibri" w:hint="default"/>
      </w:rPr>
    </w:lvl>
    <w:lvl w:ilvl="7">
      <w:start w:val="1"/>
      <w:numFmt w:val="decimal"/>
      <w:isLgl/>
      <w:lvlText w:val="%1.%2.%3.%4.%5.%6.%7.%8"/>
      <w:lvlJc w:val="left"/>
      <w:pPr>
        <w:ind w:left="2148" w:hanging="1440"/>
      </w:pPr>
      <w:rPr>
        <w:rFonts w:eastAsia="Calibri" w:hint="default"/>
      </w:rPr>
    </w:lvl>
    <w:lvl w:ilvl="8">
      <w:start w:val="1"/>
      <w:numFmt w:val="decimal"/>
      <w:isLgl/>
      <w:lvlText w:val="%1.%2.%3.%4.%5.%6.%7.%8.%9"/>
      <w:lvlJc w:val="left"/>
      <w:pPr>
        <w:ind w:left="2508" w:hanging="1800"/>
      </w:pPr>
      <w:rPr>
        <w:rFonts w:eastAsia="Calibri" w:hint="default"/>
      </w:rPr>
    </w:lvl>
  </w:abstractNum>
  <w:abstractNum w:abstractNumId="22">
    <w:nsid w:val="499B0FA9"/>
    <w:multiLevelType w:val="hybridMultilevel"/>
    <w:tmpl w:val="C068E14A"/>
    <w:lvl w:ilvl="0" w:tplc="CE24D92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B055510"/>
    <w:multiLevelType w:val="hybridMultilevel"/>
    <w:tmpl w:val="3BB02FB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4D6C72AF"/>
    <w:multiLevelType w:val="hybridMultilevel"/>
    <w:tmpl w:val="0D9468FE"/>
    <w:lvl w:ilvl="0" w:tplc="478EAAC6">
      <w:start w:val="1"/>
      <w:numFmt w:val="decimal"/>
      <w:lvlText w:val="5.%1."/>
      <w:lvlJc w:val="left"/>
      <w:pPr>
        <w:ind w:left="360" w:hanging="360"/>
      </w:pPr>
      <w:rPr>
        <w:rFonts w:hint="default"/>
        <w:b/>
        <w:spacing w:val="0"/>
        <w:position w:val="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51CB2A6C"/>
    <w:multiLevelType w:val="multilevel"/>
    <w:tmpl w:val="6B8E7D7C"/>
    <w:lvl w:ilvl="0">
      <w:numFmt w:val="bullet"/>
      <w:lvlText w:val="-"/>
      <w:lvlJc w:val="left"/>
      <w:pPr>
        <w:tabs>
          <w:tab w:val="num" w:pos="360"/>
        </w:tabs>
        <w:ind w:left="360" w:hanging="360"/>
      </w:pPr>
      <w:rPr>
        <w:rFonts w:ascii="Times New Roman" w:eastAsia="Times New Roman" w:hAnsi="Times New Roman" w:cs="Times New Roman" w:hint="default"/>
        <w:sz w:val="24"/>
        <w:szCs w:val="24"/>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6">
    <w:nsid w:val="5922346B"/>
    <w:multiLevelType w:val="hybridMultilevel"/>
    <w:tmpl w:val="013A865E"/>
    <w:lvl w:ilvl="0" w:tplc="A8601B6A">
      <w:start w:val="1"/>
      <w:numFmt w:val="decimal"/>
      <w:lvlText w:val="4.%1."/>
      <w:lvlJc w:val="left"/>
      <w:pPr>
        <w:ind w:left="360" w:hanging="360"/>
      </w:pPr>
      <w:rPr>
        <w:rFonts w:hint="default"/>
        <w:b/>
        <w:spacing w:val="0"/>
        <w:position w:val="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nsid w:val="5D665114"/>
    <w:multiLevelType w:val="hybridMultilevel"/>
    <w:tmpl w:val="5DE6CE04"/>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08A54FF"/>
    <w:multiLevelType w:val="hybridMultilevel"/>
    <w:tmpl w:val="A9D259F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62552D02"/>
    <w:multiLevelType w:val="hybridMultilevel"/>
    <w:tmpl w:val="ACF4B0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63F9081E"/>
    <w:multiLevelType w:val="hybridMultilevel"/>
    <w:tmpl w:val="314A5FCE"/>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72C547E"/>
    <w:multiLevelType w:val="hybridMultilevel"/>
    <w:tmpl w:val="2AD8FFB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nsid w:val="68F67C61"/>
    <w:multiLevelType w:val="hybridMultilevel"/>
    <w:tmpl w:val="8572ED54"/>
    <w:lvl w:ilvl="0" w:tplc="60CE3A2E">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6BB255A2"/>
    <w:multiLevelType w:val="hybridMultilevel"/>
    <w:tmpl w:val="86026DF6"/>
    <w:lvl w:ilvl="0" w:tplc="0405000F">
      <w:start w:val="1"/>
      <w:numFmt w:val="decimal"/>
      <w:lvlText w:val="%1."/>
      <w:lvlJc w:val="left"/>
      <w:pPr>
        <w:ind w:left="360" w:hanging="360"/>
      </w:pPr>
      <w:rPr>
        <w:rFonts w:hint="default"/>
        <w:b/>
        <w:spacing w:val="0"/>
        <w:position w:val="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nsid w:val="6C8A27E2"/>
    <w:multiLevelType w:val="hybridMultilevel"/>
    <w:tmpl w:val="9CDC2998"/>
    <w:lvl w:ilvl="0" w:tplc="E086F94C">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5">
    <w:nsid w:val="6FCE0280"/>
    <w:multiLevelType w:val="hybridMultilevel"/>
    <w:tmpl w:val="8EFA7E04"/>
    <w:lvl w:ilvl="0" w:tplc="5968851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nsid w:val="7CAF15C2"/>
    <w:multiLevelType w:val="hybridMultilevel"/>
    <w:tmpl w:val="64B03896"/>
    <w:lvl w:ilvl="0" w:tplc="73BC8ECA">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3"/>
  </w:num>
  <w:num w:numId="2">
    <w:abstractNumId w:val="31"/>
  </w:num>
  <w:num w:numId="3">
    <w:abstractNumId w:val="36"/>
  </w:num>
  <w:num w:numId="4">
    <w:abstractNumId w:val="9"/>
  </w:num>
  <w:num w:numId="5">
    <w:abstractNumId w:val="0"/>
  </w:num>
  <w:num w:numId="6">
    <w:abstractNumId w:val="11"/>
  </w:num>
  <w:num w:numId="7">
    <w:abstractNumId w:val="4"/>
  </w:num>
  <w:num w:numId="8">
    <w:abstractNumId w:val="7"/>
  </w:num>
  <w:num w:numId="9">
    <w:abstractNumId w:val="35"/>
  </w:num>
  <w:num w:numId="10">
    <w:abstractNumId w:val="22"/>
  </w:num>
  <w:num w:numId="11">
    <w:abstractNumId w:val="21"/>
  </w:num>
  <w:num w:numId="12">
    <w:abstractNumId w:val="26"/>
  </w:num>
  <w:num w:numId="13">
    <w:abstractNumId w:val="13"/>
  </w:num>
  <w:num w:numId="14">
    <w:abstractNumId w:val="18"/>
  </w:num>
  <w:num w:numId="15">
    <w:abstractNumId w:val="33"/>
  </w:num>
  <w:num w:numId="16">
    <w:abstractNumId w:val="32"/>
  </w:num>
  <w:num w:numId="17">
    <w:abstractNumId w:val="17"/>
  </w:num>
  <w:num w:numId="18">
    <w:abstractNumId w:val="16"/>
  </w:num>
  <w:num w:numId="19">
    <w:abstractNumId w:val="2"/>
  </w:num>
  <w:num w:numId="20">
    <w:abstractNumId w:val="20"/>
  </w:num>
  <w:num w:numId="21">
    <w:abstractNumId w:val="25"/>
  </w:num>
  <w:num w:numId="22">
    <w:abstractNumId w:val="24"/>
  </w:num>
  <w:num w:numId="23">
    <w:abstractNumId w:val="8"/>
  </w:num>
  <w:num w:numId="24">
    <w:abstractNumId w:val="15"/>
  </w:num>
  <w:num w:numId="25">
    <w:abstractNumId w:val="27"/>
  </w:num>
  <w:num w:numId="26">
    <w:abstractNumId w:val="30"/>
  </w:num>
  <w:num w:numId="27">
    <w:abstractNumId w:val="1"/>
  </w:num>
  <w:num w:numId="28">
    <w:abstractNumId w:val="34"/>
  </w:num>
  <w:num w:numId="29">
    <w:abstractNumId w:val="28"/>
  </w:num>
  <w:num w:numId="30">
    <w:abstractNumId w:val="6"/>
  </w:num>
  <w:num w:numId="31">
    <w:abstractNumId w:val="10"/>
  </w:num>
  <w:num w:numId="32">
    <w:abstractNumId w:val="23"/>
  </w:num>
  <w:num w:numId="33">
    <w:abstractNumId w:val="19"/>
  </w:num>
  <w:num w:numId="34">
    <w:abstractNumId w:val="12"/>
  </w:num>
  <w:num w:numId="35">
    <w:abstractNumId w:val="29"/>
  </w:num>
  <w:num w:numId="36">
    <w:abstractNumId w:val="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numRestart w:val="eachPage"/>
    <w:footnote w:id="-1"/>
    <w:footnote w:id="0"/>
  </w:footnotePr>
  <w:endnotePr>
    <w:endnote w:id="-1"/>
    <w:endnote w:id="0"/>
  </w:endnotePr>
  <w:compat>
    <w:compatSetting w:name="compatibilityMode" w:uri="http://schemas.microsoft.com/office/word" w:val="12"/>
  </w:compat>
  <w:rsids>
    <w:rsidRoot w:val="0049226C"/>
    <w:rsid w:val="0000009B"/>
    <w:rsid w:val="00000AA7"/>
    <w:rsid w:val="000037C6"/>
    <w:rsid w:val="00006169"/>
    <w:rsid w:val="000154F7"/>
    <w:rsid w:val="00017524"/>
    <w:rsid w:val="00017C41"/>
    <w:rsid w:val="0002168A"/>
    <w:rsid w:val="0002243F"/>
    <w:rsid w:val="00024DCB"/>
    <w:rsid w:val="0002778E"/>
    <w:rsid w:val="000300A1"/>
    <w:rsid w:val="00032242"/>
    <w:rsid w:val="0003247C"/>
    <w:rsid w:val="0003272F"/>
    <w:rsid w:val="00034D23"/>
    <w:rsid w:val="00045D33"/>
    <w:rsid w:val="00047C63"/>
    <w:rsid w:val="0005060D"/>
    <w:rsid w:val="00054523"/>
    <w:rsid w:val="00056371"/>
    <w:rsid w:val="00062F8C"/>
    <w:rsid w:val="000633DB"/>
    <w:rsid w:val="0006399E"/>
    <w:rsid w:val="0006557E"/>
    <w:rsid w:val="00067AD6"/>
    <w:rsid w:val="00067FC1"/>
    <w:rsid w:val="000820B4"/>
    <w:rsid w:val="000820D1"/>
    <w:rsid w:val="00083191"/>
    <w:rsid w:val="0008501D"/>
    <w:rsid w:val="0009180D"/>
    <w:rsid w:val="00092C02"/>
    <w:rsid w:val="000949AA"/>
    <w:rsid w:val="000A02CD"/>
    <w:rsid w:val="000A42AE"/>
    <w:rsid w:val="000B3EBA"/>
    <w:rsid w:val="000B6220"/>
    <w:rsid w:val="000B6E2A"/>
    <w:rsid w:val="000C4B21"/>
    <w:rsid w:val="000D673F"/>
    <w:rsid w:val="000E099B"/>
    <w:rsid w:val="000E228D"/>
    <w:rsid w:val="000E4295"/>
    <w:rsid w:val="000E6C19"/>
    <w:rsid w:val="000F198A"/>
    <w:rsid w:val="000F3F42"/>
    <w:rsid w:val="0010070E"/>
    <w:rsid w:val="001065E7"/>
    <w:rsid w:val="001076A4"/>
    <w:rsid w:val="00107BC5"/>
    <w:rsid w:val="00113B00"/>
    <w:rsid w:val="00114FB4"/>
    <w:rsid w:val="00115C3B"/>
    <w:rsid w:val="00115CBA"/>
    <w:rsid w:val="00117FA0"/>
    <w:rsid w:val="0012150E"/>
    <w:rsid w:val="00121D5D"/>
    <w:rsid w:val="00122421"/>
    <w:rsid w:val="00124891"/>
    <w:rsid w:val="001272D0"/>
    <w:rsid w:val="001274E0"/>
    <w:rsid w:val="0013234C"/>
    <w:rsid w:val="00135421"/>
    <w:rsid w:val="00137221"/>
    <w:rsid w:val="00137D79"/>
    <w:rsid w:val="001427BD"/>
    <w:rsid w:val="0014285B"/>
    <w:rsid w:val="00151972"/>
    <w:rsid w:val="00157355"/>
    <w:rsid w:val="00160913"/>
    <w:rsid w:val="00165F9F"/>
    <w:rsid w:val="001844AD"/>
    <w:rsid w:val="00184822"/>
    <w:rsid w:val="00190532"/>
    <w:rsid w:val="00191564"/>
    <w:rsid w:val="001930FC"/>
    <w:rsid w:val="001964F6"/>
    <w:rsid w:val="00196755"/>
    <w:rsid w:val="001A00BB"/>
    <w:rsid w:val="001A2B39"/>
    <w:rsid w:val="001A3741"/>
    <w:rsid w:val="001A46DD"/>
    <w:rsid w:val="001A4DA3"/>
    <w:rsid w:val="001A5FAB"/>
    <w:rsid w:val="001B09FF"/>
    <w:rsid w:val="001B0ED8"/>
    <w:rsid w:val="001B2099"/>
    <w:rsid w:val="001B2B7A"/>
    <w:rsid w:val="001B3980"/>
    <w:rsid w:val="001B3D80"/>
    <w:rsid w:val="001C55D5"/>
    <w:rsid w:val="001D0341"/>
    <w:rsid w:val="001D09DD"/>
    <w:rsid w:val="001D2F65"/>
    <w:rsid w:val="001D332F"/>
    <w:rsid w:val="001D3976"/>
    <w:rsid w:val="001E2085"/>
    <w:rsid w:val="001E47B4"/>
    <w:rsid w:val="001F1916"/>
    <w:rsid w:val="001F353E"/>
    <w:rsid w:val="001F473D"/>
    <w:rsid w:val="001F4F70"/>
    <w:rsid w:val="001F65D4"/>
    <w:rsid w:val="001F6CB0"/>
    <w:rsid w:val="00201BE0"/>
    <w:rsid w:val="002020C1"/>
    <w:rsid w:val="00202154"/>
    <w:rsid w:val="00202377"/>
    <w:rsid w:val="00203A63"/>
    <w:rsid w:val="00205224"/>
    <w:rsid w:val="00213FFC"/>
    <w:rsid w:val="00223BD9"/>
    <w:rsid w:val="002256DD"/>
    <w:rsid w:val="002314F3"/>
    <w:rsid w:val="00231F07"/>
    <w:rsid w:val="00232169"/>
    <w:rsid w:val="0023640A"/>
    <w:rsid w:val="00244AD4"/>
    <w:rsid w:val="00250B42"/>
    <w:rsid w:val="002516F0"/>
    <w:rsid w:val="002535A5"/>
    <w:rsid w:val="00255339"/>
    <w:rsid w:val="00255B42"/>
    <w:rsid w:val="00257DE9"/>
    <w:rsid w:val="00260A19"/>
    <w:rsid w:val="002663C3"/>
    <w:rsid w:val="00270FA0"/>
    <w:rsid w:val="00271CF2"/>
    <w:rsid w:val="002775E3"/>
    <w:rsid w:val="00277D31"/>
    <w:rsid w:val="00280821"/>
    <w:rsid w:val="00284399"/>
    <w:rsid w:val="002866DF"/>
    <w:rsid w:val="00287E41"/>
    <w:rsid w:val="002904B2"/>
    <w:rsid w:val="002927A4"/>
    <w:rsid w:val="00293A1F"/>
    <w:rsid w:val="002949AC"/>
    <w:rsid w:val="002963B8"/>
    <w:rsid w:val="002A42AE"/>
    <w:rsid w:val="002A74AA"/>
    <w:rsid w:val="002B0167"/>
    <w:rsid w:val="002C1C0B"/>
    <w:rsid w:val="002C35B8"/>
    <w:rsid w:val="002C419F"/>
    <w:rsid w:val="002C69DA"/>
    <w:rsid w:val="002D20F0"/>
    <w:rsid w:val="002D4318"/>
    <w:rsid w:val="002D4FB4"/>
    <w:rsid w:val="002E05E1"/>
    <w:rsid w:val="002E0AFC"/>
    <w:rsid w:val="002E2671"/>
    <w:rsid w:val="002E6EEA"/>
    <w:rsid w:val="002F0872"/>
    <w:rsid w:val="002F3456"/>
    <w:rsid w:val="002F574F"/>
    <w:rsid w:val="002F6EAC"/>
    <w:rsid w:val="002F7FED"/>
    <w:rsid w:val="00300459"/>
    <w:rsid w:val="00302B60"/>
    <w:rsid w:val="00305CB3"/>
    <w:rsid w:val="00307A86"/>
    <w:rsid w:val="00311384"/>
    <w:rsid w:val="00312FFF"/>
    <w:rsid w:val="00320C30"/>
    <w:rsid w:val="00322A00"/>
    <w:rsid w:val="003254AF"/>
    <w:rsid w:val="00327B80"/>
    <w:rsid w:val="00327BD9"/>
    <w:rsid w:val="003309AE"/>
    <w:rsid w:val="003334CC"/>
    <w:rsid w:val="003341AB"/>
    <w:rsid w:val="003349E3"/>
    <w:rsid w:val="0033696F"/>
    <w:rsid w:val="00340B28"/>
    <w:rsid w:val="00347040"/>
    <w:rsid w:val="00350D7D"/>
    <w:rsid w:val="00351180"/>
    <w:rsid w:val="00361989"/>
    <w:rsid w:val="00362DC5"/>
    <w:rsid w:val="0036441F"/>
    <w:rsid w:val="003709C0"/>
    <w:rsid w:val="0037332A"/>
    <w:rsid w:val="003736F8"/>
    <w:rsid w:val="00376151"/>
    <w:rsid w:val="003828CE"/>
    <w:rsid w:val="00382D5E"/>
    <w:rsid w:val="00386265"/>
    <w:rsid w:val="00386A62"/>
    <w:rsid w:val="00386A8D"/>
    <w:rsid w:val="00386E50"/>
    <w:rsid w:val="0039073B"/>
    <w:rsid w:val="00396AF2"/>
    <w:rsid w:val="003A064D"/>
    <w:rsid w:val="003A3BA9"/>
    <w:rsid w:val="003A5866"/>
    <w:rsid w:val="003A5EDA"/>
    <w:rsid w:val="003A6300"/>
    <w:rsid w:val="003A7354"/>
    <w:rsid w:val="003B18E6"/>
    <w:rsid w:val="003B1BA9"/>
    <w:rsid w:val="003B206D"/>
    <w:rsid w:val="003B5516"/>
    <w:rsid w:val="003B5D89"/>
    <w:rsid w:val="003B70AA"/>
    <w:rsid w:val="003C0637"/>
    <w:rsid w:val="003C25CA"/>
    <w:rsid w:val="003C3530"/>
    <w:rsid w:val="003C530A"/>
    <w:rsid w:val="003D3CFB"/>
    <w:rsid w:val="003E081D"/>
    <w:rsid w:val="003E45CA"/>
    <w:rsid w:val="003E50C0"/>
    <w:rsid w:val="003F5AB0"/>
    <w:rsid w:val="003F610F"/>
    <w:rsid w:val="0040140F"/>
    <w:rsid w:val="00402894"/>
    <w:rsid w:val="00402F55"/>
    <w:rsid w:val="0040623B"/>
    <w:rsid w:val="0041000F"/>
    <w:rsid w:val="004252D3"/>
    <w:rsid w:val="0043075E"/>
    <w:rsid w:val="004317BE"/>
    <w:rsid w:val="00431AA3"/>
    <w:rsid w:val="00431DED"/>
    <w:rsid w:val="004345AE"/>
    <w:rsid w:val="004348BC"/>
    <w:rsid w:val="00436799"/>
    <w:rsid w:val="00446422"/>
    <w:rsid w:val="00447109"/>
    <w:rsid w:val="00451335"/>
    <w:rsid w:val="004516F2"/>
    <w:rsid w:val="00452436"/>
    <w:rsid w:val="00456A63"/>
    <w:rsid w:val="0046047F"/>
    <w:rsid w:val="004617CF"/>
    <w:rsid w:val="004662DD"/>
    <w:rsid w:val="004700BA"/>
    <w:rsid w:val="0047130A"/>
    <w:rsid w:val="00473DC1"/>
    <w:rsid w:val="00474BA5"/>
    <w:rsid w:val="004765E2"/>
    <w:rsid w:val="00481E19"/>
    <w:rsid w:val="00491AB3"/>
    <w:rsid w:val="0049226C"/>
    <w:rsid w:val="00492811"/>
    <w:rsid w:val="00493084"/>
    <w:rsid w:val="00493842"/>
    <w:rsid w:val="00495517"/>
    <w:rsid w:val="00497DBE"/>
    <w:rsid w:val="004A6B53"/>
    <w:rsid w:val="004A7505"/>
    <w:rsid w:val="004B1B13"/>
    <w:rsid w:val="004B2408"/>
    <w:rsid w:val="004B3F03"/>
    <w:rsid w:val="004C208C"/>
    <w:rsid w:val="004C5641"/>
    <w:rsid w:val="004D13CA"/>
    <w:rsid w:val="004D2253"/>
    <w:rsid w:val="004D4BA6"/>
    <w:rsid w:val="004D7594"/>
    <w:rsid w:val="004E0850"/>
    <w:rsid w:val="004E1595"/>
    <w:rsid w:val="004E6929"/>
    <w:rsid w:val="004E70C2"/>
    <w:rsid w:val="004F2E4F"/>
    <w:rsid w:val="004F35F5"/>
    <w:rsid w:val="004F78E3"/>
    <w:rsid w:val="00500C7D"/>
    <w:rsid w:val="00502666"/>
    <w:rsid w:val="00503E8E"/>
    <w:rsid w:val="00511583"/>
    <w:rsid w:val="00512594"/>
    <w:rsid w:val="00513F03"/>
    <w:rsid w:val="0051480F"/>
    <w:rsid w:val="00514A69"/>
    <w:rsid w:val="00521A2A"/>
    <w:rsid w:val="00521FB9"/>
    <w:rsid w:val="00532234"/>
    <w:rsid w:val="0053366D"/>
    <w:rsid w:val="005353C5"/>
    <w:rsid w:val="00542219"/>
    <w:rsid w:val="00545207"/>
    <w:rsid w:val="00547D20"/>
    <w:rsid w:val="00551DCD"/>
    <w:rsid w:val="00553440"/>
    <w:rsid w:val="00553744"/>
    <w:rsid w:val="00557005"/>
    <w:rsid w:val="00563B8B"/>
    <w:rsid w:val="00565270"/>
    <w:rsid w:val="00566D40"/>
    <w:rsid w:val="0057011C"/>
    <w:rsid w:val="00570E5A"/>
    <w:rsid w:val="0057159D"/>
    <w:rsid w:val="00571F0F"/>
    <w:rsid w:val="00575BDA"/>
    <w:rsid w:val="005828A1"/>
    <w:rsid w:val="00586BA1"/>
    <w:rsid w:val="00591D6F"/>
    <w:rsid w:val="00595793"/>
    <w:rsid w:val="00596020"/>
    <w:rsid w:val="005A4A76"/>
    <w:rsid w:val="005B1624"/>
    <w:rsid w:val="005B17DD"/>
    <w:rsid w:val="005B5A2F"/>
    <w:rsid w:val="005C29C0"/>
    <w:rsid w:val="005C32F5"/>
    <w:rsid w:val="005C43BD"/>
    <w:rsid w:val="005C4A42"/>
    <w:rsid w:val="005C64F6"/>
    <w:rsid w:val="005D20A6"/>
    <w:rsid w:val="005D3D36"/>
    <w:rsid w:val="005D4C03"/>
    <w:rsid w:val="005D7881"/>
    <w:rsid w:val="005E4E6C"/>
    <w:rsid w:val="005E744F"/>
    <w:rsid w:val="005F1BFF"/>
    <w:rsid w:val="005F3295"/>
    <w:rsid w:val="005F38F7"/>
    <w:rsid w:val="0060160D"/>
    <w:rsid w:val="00602D75"/>
    <w:rsid w:val="00605356"/>
    <w:rsid w:val="00610DCA"/>
    <w:rsid w:val="00612AB0"/>
    <w:rsid w:val="00615385"/>
    <w:rsid w:val="00615C03"/>
    <w:rsid w:val="00624AE4"/>
    <w:rsid w:val="00632D2C"/>
    <w:rsid w:val="006404A1"/>
    <w:rsid w:val="00643211"/>
    <w:rsid w:val="00643275"/>
    <w:rsid w:val="006539C3"/>
    <w:rsid w:val="006612AE"/>
    <w:rsid w:val="0066314B"/>
    <w:rsid w:val="00663A1E"/>
    <w:rsid w:val="0067140A"/>
    <w:rsid w:val="0067174B"/>
    <w:rsid w:val="00677128"/>
    <w:rsid w:val="00680421"/>
    <w:rsid w:val="00682B68"/>
    <w:rsid w:val="00691FC8"/>
    <w:rsid w:val="006920A2"/>
    <w:rsid w:val="00693FF6"/>
    <w:rsid w:val="00694D87"/>
    <w:rsid w:val="00695980"/>
    <w:rsid w:val="006966A5"/>
    <w:rsid w:val="006A1B87"/>
    <w:rsid w:val="006A1C74"/>
    <w:rsid w:val="006A7B68"/>
    <w:rsid w:val="006B1C62"/>
    <w:rsid w:val="006B65E5"/>
    <w:rsid w:val="006C363C"/>
    <w:rsid w:val="006C72C2"/>
    <w:rsid w:val="006D1676"/>
    <w:rsid w:val="006D3864"/>
    <w:rsid w:val="006D61CA"/>
    <w:rsid w:val="006D654A"/>
    <w:rsid w:val="006D7EA5"/>
    <w:rsid w:val="006E59C2"/>
    <w:rsid w:val="006F2406"/>
    <w:rsid w:val="006F4765"/>
    <w:rsid w:val="006F77A7"/>
    <w:rsid w:val="007005AE"/>
    <w:rsid w:val="00702E01"/>
    <w:rsid w:val="00707357"/>
    <w:rsid w:val="0071155B"/>
    <w:rsid w:val="007138E4"/>
    <w:rsid w:val="00713945"/>
    <w:rsid w:val="007141EE"/>
    <w:rsid w:val="00714613"/>
    <w:rsid w:val="007170A6"/>
    <w:rsid w:val="00720946"/>
    <w:rsid w:val="00722874"/>
    <w:rsid w:val="0072481E"/>
    <w:rsid w:val="00725FFB"/>
    <w:rsid w:val="00726D58"/>
    <w:rsid w:val="007311FB"/>
    <w:rsid w:val="00731A44"/>
    <w:rsid w:val="007335AA"/>
    <w:rsid w:val="00735AE8"/>
    <w:rsid w:val="007364B0"/>
    <w:rsid w:val="00741682"/>
    <w:rsid w:val="00745F04"/>
    <w:rsid w:val="00746473"/>
    <w:rsid w:val="00747D52"/>
    <w:rsid w:val="00751BEE"/>
    <w:rsid w:val="00755134"/>
    <w:rsid w:val="0075568C"/>
    <w:rsid w:val="00757237"/>
    <w:rsid w:val="00760571"/>
    <w:rsid w:val="00760798"/>
    <w:rsid w:val="00760D0A"/>
    <w:rsid w:val="00762895"/>
    <w:rsid w:val="00771D8F"/>
    <w:rsid w:val="007735D7"/>
    <w:rsid w:val="00774AA8"/>
    <w:rsid w:val="00776953"/>
    <w:rsid w:val="007815AE"/>
    <w:rsid w:val="007853A4"/>
    <w:rsid w:val="00791F40"/>
    <w:rsid w:val="007921E6"/>
    <w:rsid w:val="00796818"/>
    <w:rsid w:val="007A0FB1"/>
    <w:rsid w:val="007A13BE"/>
    <w:rsid w:val="007A26C2"/>
    <w:rsid w:val="007A6C67"/>
    <w:rsid w:val="007C3D8A"/>
    <w:rsid w:val="007C4494"/>
    <w:rsid w:val="007C7A95"/>
    <w:rsid w:val="007D172B"/>
    <w:rsid w:val="007D1F78"/>
    <w:rsid w:val="007D2363"/>
    <w:rsid w:val="007D24CD"/>
    <w:rsid w:val="007D2D28"/>
    <w:rsid w:val="007D7091"/>
    <w:rsid w:val="007E1FBB"/>
    <w:rsid w:val="007E2DC7"/>
    <w:rsid w:val="007E3249"/>
    <w:rsid w:val="007E6194"/>
    <w:rsid w:val="007E78E2"/>
    <w:rsid w:val="007F0F2A"/>
    <w:rsid w:val="007F6398"/>
    <w:rsid w:val="00801204"/>
    <w:rsid w:val="008031FB"/>
    <w:rsid w:val="00803A99"/>
    <w:rsid w:val="00813EF5"/>
    <w:rsid w:val="008157AF"/>
    <w:rsid w:val="008165A1"/>
    <w:rsid w:val="008172E1"/>
    <w:rsid w:val="00822E41"/>
    <w:rsid w:val="00822E83"/>
    <w:rsid w:val="008264A1"/>
    <w:rsid w:val="00830558"/>
    <w:rsid w:val="00833718"/>
    <w:rsid w:val="00834F2C"/>
    <w:rsid w:val="00837F46"/>
    <w:rsid w:val="00840893"/>
    <w:rsid w:val="00842F71"/>
    <w:rsid w:val="00843FBD"/>
    <w:rsid w:val="00844188"/>
    <w:rsid w:val="008444C9"/>
    <w:rsid w:val="00846639"/>
    <w:rsid w:val="008472A7"/>
    <w:rsid w:val="00852165"/>
    <w:rsid w:val="008532AD"/>
    <w:rsid w:val="008548C9"/>
    <w:rsid w:val="00855279"/>
    <w:rsid w:val="00857B8A"/>
    <w:rsid w:val="00862B09"/>
    <w:rsid w:val="008653BC"/>
    <w:rsid w:val="00865C1E"/>
    <w:rsid w:val="00865CCC"/>
    <w:rsid w:val="00866DEE"/>
    <w:rsid w:val="00880816"/>
    <w:rsid w:val="00881120"/>
    <w:rsid w:val="0088185A"/>
    <w:rsid w:val="0088552C"/>
    <w:rsid w:val="00886B35"/>
    <w:rsid w:val="0089026E"/>
    <w:rsid w:val="00891220"/>
    <w:rsid w:val="008915D1"/>
    <w:rsid w:val="00893010"/>
    <w:rsid w:val="008934B8"/>
    <w:rsid w:val="00896394"/>
    <w:rsid w:val="008A07EE"/>
    <w:rsid w:val="008A374A"/>
    <w:rsid w:val="008A4875"/>
    <w:rsid w:val="008A5FC0"/>
    <w:rsid w:val="008A62EC"/>
    <w:rsid w:val="008B1582"/>
    <w:rsid w:val="008C24ED"/>
    <w:rsid w:val="008C413A"/>
    <w:rsid w:val="008D5AA5"/>
    <w:rsid w:val="008D5E1D"/>
    <w:rsid w:val="008D675B"/>
    <w:rsid w:val="008D6A02"/>
    <w:rsid w:val="008D7FE0"/>
    <w:rsid w:val="008E17A9"/>
    <w:rsid w:val="008E337A"/>
    <w:rsid w:val="008F62AF"/>
    <w:rsid w:val="0090093D"/>
    <w:rsid w:val="0090289A"/>
    <w:rsid w:val="009028C1"/>
    <w:rsid w:val="00905085"/>
    <w:rsid w:val="00905966"/>
    <w:rsid w:val="0090733B"/>
    <w:rsid w:val="009106DE"/>
    <w:rsid w:val="00911890"/>
    <w:rsid w:val="00913308"/>
    <w:rsid w:val="00915D02"/>
    <w:rsid w:val="00922AF5"/>
    <w:rsid w:val="009238B4"/>
    <w:rsid w:val="009257A1"/>
    <w:rsid w:val="00930CF8"/>
    <w:rsid w:val="00932477"/>
    <w:rsid w:val="00934886"/>
    <w:rsid w:val="00937CF8"/>
    <w:rsid w:val="00941C53"/>
    <w:rsid w:val="00943895"/>
    <w:rsid w:val="00946F80"/>
    <w:rsid w:val="00947C9D"/>
    <w:rsid w:val="00953EDC"/>
    <w:rsid w:val="00954F33"/>
    <w:rsid w:val="00956069"/>
    <w:rsid w:val="00966CA8"/>
    <w:rsid w:val="00974C99"/>
    <w:rsid w:val="00974FC0"/>
    <w:rsid w:val="009805C3"/>
    <w:rsid w:val="009852ED"/>
    <w:rsid w:val="00986493"/>
    <w:rsid w:val="0098717D"/>
    <w:rsid w:val="00987B42"/>
    <w:rsid w:val="00994A80"/>
    <w:rsid w:val="009A1CC9"/>
    <w:rsid w:val="009A7E7C"/>
    <w:rsid w:val="009B1FFB"/>
    <w:rsid w:val="009B2581"/>
    <w:rsid w:val="009B3195"/>
    <w:rsid w:val="009B606A"/>
    <w:rsid w:val="009C1156"/>
    <w:rsid w:val="009C2268"/>
    <w:rsid w:val="009C2384"/>
    <w:rsid w:val="009C2424"/>
    <w:rsid w:val="009C27C3"/>
    <w:rsid w:val="009E5BCA"/>
    <w:rsid w:val="009F5B8C"/>
    <w:rsid w:val="009F72E2"/>
    <w:rsid w:val="009F7498"/>
    <w:rsid w:val="00A001A9"/>
    <w:rsid w:val="00A0025A"/>
    <w:rsid w:val="00A00E89"/>
    <w:rsid w:val="00A04551"/>
    <w:rsid w:val="00A04917"/>
    <w:rsid w:val="00A05B2F"/>
    <w:rsid w:val="00A119A3"/>
    <w:rsid w:val="00A12EE9"/>
    <w:rsid w:val="00A163BF"/>
    <w:rsid w:val="00A219DB"/>
    <w:rsid w:val="00A2325A"/>
    <w:rsid w:val="00A26A96"/>
    <w:rsid w:val="00A321EB"/>
    <w:rsid w:val="00A32C92"/>
    <w:rsid w:val="00A34059"/>
    <w:rsid w:val="00A34CB4"/>
    <w:rsid w:val="00A37EE2"/>
    <w:rsid w:val="00A41271"/>
    <w:rsid w:val="00A4687A"/>
    <w:rsid w:val="00A4796B"/>
    <w:rsid w:val="00A47F95"/>
    <w:rsid w:val="00A51343"/>
    <w:rsid w:val="00A550FD"/>
    <w:rsid w:val="00A60D9B"/>
    <w:rsid w:val="00A632EE"/>
    <w:rsid w:val="00A73B3A"/>
    <w:rsid w:val="00A7412B"/>
    <w:rsid w:val="00A745BF"/>
    <w:rsid w:val="00A76A8D"/>
    <w:rsid w:val="00A77C9B"/>
    <w:rsid w:val="00A91451"/>
    <w:rsid w:val="00AA076D"/>
    <w:rsid w:val="00AA0BA6"/>
    <w:rsid w:val="00AA2D2C"/>
    <w:rsid w:val="00AA5210"/>
    <w:rsid w:val="00AC588A"/>
    <w:rsid w:val="00AD00F8"/>
    <w:rsid w:val="00AD0A66"/>
    <w:rsid w:val="00AD0D5F"/>
    <w:rsid w:val="00AD189C"/>
    <w:rsid w:val="00AD2509"/>
    <w:rsid w:val="00AD5BB6"/>
    <w:rsid w:val="00AE0005"/>
    <w:rsid w:val="00AE5BA8"/>
    <w:rsid w:val="00AE74D1"/>
    <w:rsid w:val="00AF57D3"/>
    <w:rsid w:val="00B01514"/>
    <w:rsid w:val="00B076AD"/>
    <w:rsid w:val="00B12603"/>
    <w:rsid w:val="00B13AD7"/>
    <w:rsid w:val="00B13D60"/>
    <w:rsid w:val="00B1418A"/>
    <w:rsid w:val="00B144F8"/>
    <w:rsid w:val="00B1648C"/>
    <w:rsid w:val="00B25324"/>
    <w:rsid w:val="00B27088"/>
    <w:rsid w:val="00B27B7C"/>
    <w:rsid w:val="00B31F1C"/>
    <w:rsid w:val="00B36A0E"/>
    <w:rsid w:val="00B45BB8"/>
    <w:rsid w:val="00B46690"/>
    <w:rsid w:val="00B4683A"/>
    <w:rsid w:val="00B50B84"/>
    <w:rsid w:val="00B52854"/>
    <w:rsid w:val="00B54B02"/>
    <w:rsid w:val="00B556DF"/>
    <w:rsid w:val="00B56CFC"/>
    <w:rsid w:val="00B57E1F"/>
    <w:rsid w:val="00B619D7"/>
    <w:rsid w:val="00B61D96"/>
    <w:rsid w:val="00B61ED9"/>
    <w:rsid w:val="00B66E38"/>
    <w:rsid w:val="00B67851"/>
    <w:rsid w:val="00B67DE8"/>
    <w:rsid w:val="00B71F40"/>
    <w:rsid w:val="00B744FB"/>
    <w:rsid w:val="00B7459E"/>
    <w:rsid w:val="00B80CBE"/>
    <w:rsid w:val="00B811FE"/>
    <w:rsid w:val="00B82785"/>
    <w:rsid w:val="00B8405D"/>
    <w:rsid w:val="00B85583"/>
    <w:rsid w:val="00B87131"/>
    <w:rsid w:val="00B90464"/>
    <w:rsid w:val="00B90575"/>
    <w:rsid w:val="00B91DC9"/>
    <w:rsid w:val="00B92617"/>
    <w:rsid w:val="00BA00DD"/>
    <w:rsid w:val="00BA177F"/>
    <w:rsid w:val="00BA4E40"/>
    <w:rsid w:val="00BA5AF1"/>
    <w:rsid w:val="00BA5EB9"/>
    <w:rsid w:val="00BA773C"/>
    <w:rsid w:val="00BB19F7"/>
    <w:rsid w:val="00BB633D"/>
    <w:rsid w:val="00BB7B20"/>
    <w:rsid w:val="00BB7D27"/>
    <w:rsid w:val="00BC7E78"/>
    <w:rsid w:val="00BD1C5E"/>
    <w:rsid w:val="00BD4050"/>
    <w:rsid w:val="00BD5388"/>
    <w:rsid w:val="00BD7211"/>
    <w:rsid w:val="00BE36FB"/>
    <w:rsid w:val="00BF35FC"/>
    <w:rsid w:val="00C04DF2"/>
    <w:rsid w:val="00C06B67"/>
    <w:rsid w:val="00C12AC1"/>
    <w:rsid w:val="00C13F12"/>
    <w:rsid w:val="00C15D9C"/>
    <w:rsid w:val="00C35C9E"/>
    <w:rsid w:val="00C368F9"/>
    <w:rsid w:val="00C411D3"/>
    <w:rsid w:val="00C412D3"/>
    <w:rsid w:val="00C41463"/>
    <w:rsid w:val="00C43A77"/>
    <w:rsid w:val="00C448B2"/>
    <w:rsid w:val="00C467E9"/>
    <w:rsid w:val="00C53D4B"/>
    <w:rsid w:val="00C56AC7"/>
    <w:rsid w:val="00C6299B"/>
    <w:rsid w:val="00C630E0"/>
    <w:rsid w:val="00C639CE"/>
    <w:rsid w:val="00C63A98"/>
    <w:rsid w:val="00C752AB"/>
    <w:rsid w:val="00C75B6A"/>
    <w:rsid w:val="00C85F95"/>
    <w:rsid w:val="00C9137E"/>
    <w:rsid w:val="00C92BE5"/>
    <w:rsid w:val="00C95205"/>
    <w:rsid w:val="00C95FB1"/>
    <w:rsid w:val="00CA6ADE"/>
    <w:rsid w:val="00CA7030"/>
    <w:rsid w:val="00CB2A82"/>
    <w:rsid w:val="00CB5EA5"/>
    <w:rsid w:val="00CC4D93"/>
    <w:rsid w:val="00CD2911"/>
    <w:rsid w:val="00CD31E7"/>
    <w:rsid w:val="00CD3FA2"/>
    <w:rsid w:val="00CD4AD6"/>
    <w:rsid w:val="00CD5F15"/>
    <w:rsid w:val="00CE6123"/>
    <w:rsid w:val="00CE67ED"/>
    <w:rsid w:val="00CF0A2D"/>
    <w:rsid w:val="00CF206D"/>
    <w:rsid w:val="00D01AC1"/>
    <w:rsid w:val="00D0241E"/>
    <w:rsid w:val="00D03123"/>
    <w:rsid w:val="00D06E5F"/>
    <w:rsid w:val="00D136AA"/>
    <w:rsid w:val="00D17092"/>
    <w:rsid w:val="00D17A6F"/>
    <w:rsid w:val="00D20F48"/>
    <w:rsid w:val="00D26749"/>
    <w:rsid w:val="00D34115"/>
    <w:rsid w:val="00D34DA4"/>
    <w:rsid w:val="00D377A7"/>
    <w:rsid w:val="00D37B31"/>
    <w:rsid w:val="00D37E67"/>
    <w:rsid w:val="00D37F6B"/>
    <w:rsid w:val="00D40D6E"/>
    <w:rsid w:val="00D4253E"/>
    <w:rsid w:val="00D434B5"/>
    <w:rsid w:val="00D51B9B"/>
    <w:rsid w:val="00D51BEB"/>
    <w:rsid w:val="00D524ED"/>
    <w:rsid w:val="00D5503E"/>
    <w:rsid w:val="00D553FC"/>
    <w:rsid w:val="00D574BE"/>
    <w:rsid w:val="00D57BF7"/>
    <w:rsid w:val="00D613E8"/>
    <w:rsid w:val="00D61FE4"/>
    <w:rsid w:val="00D677C5"/>
    <w:rsid w:val="00D67C7B"/>
    <w:rsid w:val="00D71077"/>
    <w:rsid w:val="00D71818"/>
    <w:rsid w:val="00D7371D"/>
    <w:rsid w:val="00D80329"/>
    <w:rsid w:val="00D81679"/>
    <w:rsid w:val="00D82597"/>
    <w:rsid w:val="00D829EF"/>
    <w:rsid w:val="00D8348D"/>
    <w:rsid w:val="00D90455"/>
    <w:rsid w:val="00D91859"/>
    <w:rsid w:val="00D92A68"/>
    <w:rsid w:val="00D944EB"/>
    <w:rsid w:val="00D952A8"/>
    <w:rsid w:val="00DA10B3"/>
    <w:rsid w:val="00DA1C6F"/>
    <w:rsid w:val="00DA46AF"/>
    <w:rsid w:val="00DA65EB"/>
    <w:rsid w:val="00DB0311"/>
    <w:rsid w:val="00DB09A6"/>
    <w:rsid w:val="00DB177B"/>
    <w:rsid w:val="00DB5E3C"/>
    <w:rsid w:val="00DC4DCC"/>
    <w:rsid w:val="00DD026D"/>
    <w:rsid w:val="00DE0755"/>
    <w:rsid w:val="00DE2C54"/>
    <w:rsid w:val="00DE3934"/>
    <w:rsid w:val="00DE4EBB"/>
    <w:rsid w:val="00DF06C5"/>
    <w:rsid w:val="00DF5BE4"/>
    <w:rsid w:val="00E026E8"/>
    <w:rsid w:val="00E03C0E"/>
    <w:rsid w:val="00E05121"/>
    <w:rsid w:val="00E072CC"/>
    <w:rsid w:val="00E1149F"/>
    <w:rsid w:val="00E12BD8"/>
    <w:rsid w:val="00E14725"/>
    <w:rsid w:val="00E16279"/>
    <w:rsid w:val="00E169A9"/>
    <w:rsid w:val="00E16A8B"/>
    <w:rsid w:val="00E16CFE"/>
    <w:rsid w:val="00E17B96"/>
    <w:rsid w:val="00E21E96"/>
    <w:rsid w:val="00E235CC"/>
    <w:rsid w:val="00E2381C"/>
    <w:rsid w:val="00E25C6C"/>
    <w:rsid w:val="00E261D2"/>
    <w:rsid w:val="00E36C93"/>
    <w:rsid w:val="00E404A7"/>
    <w:rsid w:val="00E40784"/>
    <w:rsid w:val="00E41D9A"/>
    <w:rsid w:val="00E43BF6"/>
    <w:rsid w:val="00E50F0B"/>
    <w:rsid w:val="00E52C95"/>
    <w:rsid w:val="00E630F9"/>
    <w:rsid w:val="00E64A30"/>
    <w:rsid w:val="00E65A4C"/>
    <w:rsid w:val="00E67445"/>
    <w:rsid w:val="00E73270"/>
    <w:rsid w:val="00E733CB"/>
    <w:rsid w:val="00E742F7"/>
    <w:rsid w:val="00E767CB"/>
    <w:rsid w:val="00E83598"/>
    <w:rsid w:val="00E8451C"/>
    <w:rsid w:val="00E84736"/>
    <w:rsid w:val="00E9187E"/>
    <w:rsid w:val="00E9235B"/>
    <w:rsid w:val="00E93613"/>
    <w:rsid w:val="00E94181"/>
    <w:rsid w:val="00E9571C"/>
    <w:rsid w:val="00E96EB7"/>
    <w:rsid w:val="00EA17DA"/>
    <w:rsid w:val="00EA2101"/>
    <w:rsid w:val="00EA268E"/>
    <w:rsid w:val="00EB0430"/>
    <w:rsid w:val="00EB128F"/>
    <w:rsid w:val="00EB6FC6"/>
    <w:rsid w:val="00EC06A4"/>
    <w:rsid w:val="00EC128B"/>
    <w:rsid w:val="00EC16F3"/>
    <w:rsid w:val="00EC2B09"/>
    <w:rsid w:val="00EC39EF"/>
    <w:rsid w:val="00ED01B4"/>
    <w:rsid w:val="00ED0712"/>
    <w:rsid w:val="00ED1270"/>
    <w:rsid w:val="00ED5D55"/>
    <w:rsid w:val="00EE42E9"/>
    <w:rsid w:val="00EE6444"/>
    <w:rsid w:val="00EF0527"/>
    <w:rsid w:val="00EF0837"/>
    <w:rsid w:val="00EF0E6E"/>
    <w:rsid w:val="00EF15E6"/>
    <w:rsid w:val="00F03B12"/>
    <w:rsid w:val="00F0596B"/>
    <w:rsid w:val="00F11442"/>
    <w:rsid w:val="00F12934"/>
    <w:rsid w:val="00F13CA3"/>
    <w:rsid w:val="00F163DF"/>
    <w:rsid w:val="00F2306E"/>
    <w:rsid w:val="00F24D28"/>
    <w:rsid w:val="00F24ED2"/>
    <w:rsid w:val="00F24F11"/>
    <w:rsid w:val="00F261B6"/>
    <w:rsid w:val="00F26E41"/>
    <w:rsid w:val="00F27EB7"/>
    <w:rsid w:val="00F324BC"/>
    <w:rsid w:val="00F3359D"/>
    <w:rsid w:val="00F35F97"/>
    <w:rsid w:val="00F37F44"/>
    <w:rsid w:val="00F42228"/>
    <w:rsid w:val="00F45CE5"/>
    <w:rsid w:val="00F51D10"/>
    <w:rsid w:val="00F52786"/>
    <w:rsid w:val="00F52E13"/>
    <w:rsid w:val="00F53689"/>
    <w:rsid w:val="00F55927"/>
    <w:rsid w:val="00F5615B"/>
    <w:rsid w:val="00F57015"/>
    <w:rsid w:val="00F60713"/>
    <w:rsid w:val="00F647BA"/>
    <w:rsid w:val="00F64DDF"/>
    <w:rsid w:val="00F77321"/>
    <w:rsid w:val="00F82435"/>
    <w:rsid w:val="00F84238"/>
    <w:rsid w:val="00F92B23"/>
    <w:rsid w:val="00F948C8"/>
    <w:rsid w:val="00F977FB"/>
    <w:rsid w:val="00FA1A7C"/>
    <w:rsid w:val="00FA20ED"/>
    <w:rsid w:val="00FA4B2C"/>
    <w:rsid w:val="00FA7674"/>
    <w:rsid w:val="00FB2C8E"/>
    <w:rsid w:val="00FB45CB"/>
    <w:rsid w:val="00FC0743"/>
    <w:rsid w:val="00FC1237"/>
    <w:rsid w:val="00FC1B69"/>
    <w:rsid w:val="00FC2466"/>
    <w:rsid w:val="00FC2DC3"/>
    <w:rsid w:val="00FC465F"/>
    <w:rsid w:val="00FC7CDE"/>
    <w:rsid w:val="00FD1744"/>
    <w:rsid w:val="00FD1B32"/>
    <w:rsid w:val="00FD36D0"/>
    <w:rsid w:val="00FE119E"/>
    <w:rsid w:val="00FE16C6"/>
    <w:rsid w:val="00FE2474"/>
    <w:rsid w:val="00FE5F40"/>
    <w:rsid w:val="00FF248C"/>
    <w:rsid w:val="00FF25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06DE"/>
  </w:style>
  <w:style w:type="paragraph" w:styleId="Nadpis10">
    <w:name w:val="heading 1"/>
    <w:basedOn w:val="Normln"/>
    <w:next w:val="Normln"/>
    <w:link w:val="Nadpis1Char"/>
    <w:uiPriority w:val="9"/>
    <w:qFormat/>
    <w:rsid w:val="000A42AE"/>
    <w:pPr>
      <w:keepNext/>
      <w:keepLines/>
      <w:spacing w:after="0" w:line="240" w:lineRule="auto"/>
      <w:outlineLvl w:val="0"/>
    </w:pPr>
    <w:rPr>
      <w:rFonts w:ascii="Times New Roman" w:eastAsiaTheme="majorEastAsia" w:hAnsi="Times New Roman" w:cstheme="majorBidi"/>
      <w:b/>
      <w:bCs/>
      <w:sz w:val="24"/>
      <w:szCs w:val="28"/>
    </w:rPr>
  </w:style>
  <w:style w:type="paragraph" w:styleId="Nadpis20">
    <w:name w:val="heading 2"/>
    <w:basedOn w:val="Normln"/>
    <w:next w:val="Normln"/>
    <w:link w:val="Nadpis2Char"/>
    <w:uiPriority w:val="9"/>
    <w:semiHidden/>
    <w:unhideWhenUsed/>
    <w:qFormat/>
    <w:rsid w:val="00340B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340B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22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226C"/>
  </w:style>
  <w:style w:type="paragraph" w:styleId="Zpat">
    <w:name w:val="footer"/>
    <w:basedOn w:val="Normln"/>
    <w:link w:val="ZpatChar"/>
    <w:uiPriority w:val="99"/>
    <w:unhideWhenUsed/>
    <w:rsid w:val="0049226C"/>
    <w:pPr>
      <w:tabs>
        <w:tab w:val="center" w:pos="4536"/>
        <w:tab w:val="right" w:pos="9072"/>
      </w:tabs>
      <w:spacing w:after="0" w:line="240" w:lineRule="auto"/>
    </w:pPr>
  </w:style>
  <w:style w:type="character" w:customStyle="1" w:styleId="ZpatChar">
    <w:name w:val="Zápatí Char"/>
    <w:basedOn w:val="Standardnpsmoodstavce"/>
    <w:link w:val="Zpat"/>
    <w:uiPriority w:val="99"/>
    <w:rsid w:val="0049226C"/>
  </w:style>
  <w:style w:type="paragraph" w:styleId="Odstavecseseznamem">
    <w:name w:val="List Paragraph"/>
    <w:basedOn w:val="Normln"/>
    <w:uiPriority w:val="99"/>
    <w:qFormat/>
    <w:rsid w:val="002C69DA"/>
    <w:pPr>
      <w:ind w:left="720"/>
      <w:contextualSpacing/>
    </w:pPr>
  </w:style>
  <w:style w:type="paragraph" w:customStyle="1" w:styleId="Default">
    <w:name w:val="Default"/>
    <w:rsid w:val="00551D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CharCharCharCharCharCharCharChar">
    <w:name w:val="Char Char Char Char Char Char Char Char Char Char Char Char Char Char"/>
    <w:basedOn w:val="Normln"/>
    <w:rsid w:val="00F26E41"/>
    <w:pPr>
      <w:spacing w:after="160" w:line="240" w:lineRule="exact"/>
    </w:pPr>
    <w:rPr>
      <w:rFonts w:ascii="Tahoma" w:eastAsia="Times New Roman" w:hAnsi="Tahoma" w:cs="Times New Roman"/>
      <w:sz w:val="20"/>
      <w:szCs w:val="20"/>
      <w:lang w:val="en-US"/>
    </w:rPr>
  </w:style>
  <w:style w:type="character" w:customStyle="1" w:styleId="Nadpis1Char">
    <w:name w:val="Nadpis 1 Char"/>
    <w:basedOn w:val="Standardnpsmoodstavce"/>
    <w:link w:val="Nadpis10"/>
    <w:uiPriority w:val="9"/>
    <w:rsid w:val="000A42AE"/>
    <w:rPr>
      <w:rFonts w:ascii="Times New Roman" w:eastAsiaTheme="majorEastAsia" w:hAnsi="Times New Roman" w:cstheme="majorBidi"/>
      <w:b/>
      <w:bCs/>
      <w:sz w:val="24"/>
      <w:szCs w:val="28"/>
    </w:rPr>
  </w:style>
  <w:style w:type="paragraph" w:styleId="Nadpisobsahu">
    <w:name w:val="TOC Heading"/>
    <w:basedOn w:val="Nadpis10"/>
    <w:next w:val="Normln"/>
    <w:uiPriority w:val="39"/>
    <w:semiHidden/>
    <w:unhideWhenUsed/>
    <w:qFormat/>
    <w:rsid w:val="003A6300"/>
    <w:pPr>
      <w:spacing w:before="480" w:line="276" w:lineRule="auto"/>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3A6300"/>
    <w:pPr>
      <w:spacing w:after="100"/>
    </w:pPr>
  </w:style>
  <w:style w:type="character" w:styleId="Hypertextovodkaz">
    <w:name w:val="Hyperlink"/>
    <w:basedOn w:val="Standardnpsmoodstavce"/>
    <w:uiPriority w:val="99"/>
    <w:unhideWhenUsed/>
    <w:rsid w:val="003A6300"/>
    <w:rPr>
      <w:color w:val="0000FF" w:themeColor="hyperlink"/>
      <w:u w:val="single"/>
    </w:rPr>
  </w:style>
  <w:style w:type="paragraph" w:styleId="Textbubliny">
    <w:name w:val="Balloon Text"/>
    <w:basedOn w:val="Normln"/>
    <w:link w:val="TextbublinyChar"/>
    <w:uiPriority w:val="99"/>
    <w:semiHidden/>
    <w:unhideWhenUsed/>
    <w:rsid w:val="003A6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6300"/>
    <w:rPr>
      <w:rFonts w:ascii="Tahoma" w:hAnsi="Tahoma" w:cs="Tahoma"/>
      <w:sz w:val="16"/>
      <w:szCs w:val="16"/>
    </w:rPr>
  </w:style>
  <w:style w:type="paragraph" w:styleId="Titulek">
    <w:name w:val="caption"/>
    <w:basedOn w:val="Normln"/>
    <w:next w:val="Normln"/>
    <w:uiPriority w:val="35"/>
    <w:qFormat/>
    <w:rsid w:val="00C9137E"/>
    <w:pPr>
      <w:spacing w:line="240" w:lineRule="auto"/>
      <w:ind w:firstLine="709"/>
      <w:jc w:val="both"/>
    </w:pPr>
    <w:rPr>
      <w:rFonts w:ascii="Times New Roman" w:eastAsia="Calibri" w:hAnsi="Times New Roman" w:cs="Times New Roman"/>
      <w:b/>
      <w:bCs/>
      <w:color w:val="4F81BD"/>
      <w:sz w:val="18"/>
      <w:szCs w:val="18"/>
      <w:lang w:val="en-US" w:bidi="en-US"/>
    </w:rPr>
  </w:style>
  <w:style w:type="table" w:styleId="Mkatabulky">
    <w:name w:val="Table Grid"/>
    <w:basedOn w:val="Normlntabulka"/>
    <w:uiPriority w:val="59"/>
    <w:rsid w:val="00B90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
    <w:name w:val="Nadpis2"/>
    <w:basedOn w:val="Nadpis20"/>
    <w:next w:val="Normln"/>
    <w:rsid w:val="00340B28"/>
    <w:pPr>
      <w:keepLines w:val="0"/>
      <w:numPr>
        <w:ilvl w:val="1"/>
        <w:numId w:val="19"/>
      </w:numPr>
      <w:tabs>
        <w:tab w:val="clear" w:pos="854"/>
        <w:tab w:val="num" w:pos="360"/>
      </w:tabs>
      <w:spacing w:before="480" w:after="240" w:line="240" w:lineRule="auto"/>
      <w:ind w:left="0" w:firstLine="709"/>
      <w:jc w:val="both"/>
    </w:pPr>
    <w:rPr>
      <w:rFonts w:ascii="Times New Roman" w:eastAsia="Times New Roman" w:hAnsi="Times New Roman" w:cs="Arial"/>
      <w:bCs w:val="0"/>
      <w:iCs/>
      <w:color w:val="auto"/>
      <w:kern w:val="32"/>
      <w:szCs w:val="28"/>
      <w:lang w:eastAsia="cs-CZ"/>
    </w:rPr>
  </w:style>
  <w:style w:type="paragraph" w:customStyle="1" w:styleId="Nadpis1">
    <w:name w:val="Nadpis1"/>
    <w:basedOn w:val="Normln"/>
    <w:rsid w:val="00340B28"/>
    <w:pPr>
      <w:numPr>
        <w:numId w:val="19"/>
      </w:numPr>
      <w:spacing w:before="600" w:after="120" w:line="240" w:lineRule="auto"/>
      <w:jc w:val="both"/>
    </w:pPr>
    <w:rPr>
      <w:rFonts w:ascii="Times New Roman" w:eastAsia="Calibri" w:hAnsi="Times New Roman" w:cs="Times New Roman"/>
      <w:b/>
      <w:sz w:val="28"/>
      <w:szCs w:val="24"/>
      <w:lang w:val="en-US" w:bidi="en-US"/>
    </w:rPr>
  </w:style>
  <w:style w:type="paragraph" w:customStyle="1" w:styleId="Styl1">
    <w:name w:val="Styl1"/>
    <w:basedOn w:val="Normln"/>
    <w:link w:val="Styl1Char"/>
    <w:rsid w:val="00340B28"/>
    <w:pPr>
      <w:spacing w:after="120" w:line="240" w:lineRule="auto"/>
      <w:ind w:firstLine="709"/>
      <w:jc w:val="both"/>
    </w:pPr>
    <w:rPr>
      <w:rFonts w:ascii="Times New Roman" w:eastAsia="Calibri" w:hAnsi="Times New Roman" w:cs="Times New Roman"/>
      <w:sz w:val="24"/>
      <w:szCs w:val="24"/>
      <w:lang w:val="en-US" w:bidi="en-US"/>
    </w:rPr>
  </w:style>
  <w:style w:type="paragraph" w:customStyle="1" w:styleId="Nadpis3">
    <w:name w:val="Nadpis3"/>
    <w:basedOn w:val="Nadpis30"/>
    <w:next w:val="Normln"/>
    <w:rsid w:val="00340B28"/>
    <w:pPr>
      <w:keepLines w:val="0"/>
      <w:numPr>
        <w:ilvl w:val="2"/>
        <w:numId w:val="19"/>
      </w:numPr>
      <w:tabs>
        <w:tab w:val="clear" w:pos="1137"/>
        <w:tab w:val="num" w:pos="360"/>
        <w:tab w:val="left" w:pos="1425"/>
      </w:tabs>
      <w:spacing w:before="480" w:after="240" w:line="240" w:lineRule="auto"/>
      <w:ind w:left="1486" w:hanging="743"/>
      <w:jc w:val="both"/>
    </w:pPr>
    <w:rPr>
      <w:rFonts w:ascii="Times New Roman" w:eastAsia="Times New Roman" w:hAnsi="Times New Roman" w:cs="Arial"/>
      <w:color w:val="auto"/>
      <w:sz w:val="24"/>
      <w:szCs w:val="26"/>
      <w:lang w:eastAsia="cs-CZ"/>
    </w:rPr>
  </w:style>
  <w:style w:type="character" w:customStyle="1" w:styleId="Styl1Char">
    <w:name w:val="Styl1 Char"/>
    <w:link w:val="Styl1"/>
    <w:rsid w:val="00340B28"/>
    <w:rPr>
      <w:rFonts w:ascii="Times New Roman" w:eastAsia="Calibri" w:hAnsi="Times New Roman" w:cs="Times New Roman"/>
      <w:sz w:val="24"/>
      <w:szCs w:val="24"/>
      <w:lang w:val="en-US" w:bidi="en-US"/>
    </w:rPr>
  </w:style>
  <w:style w:type="character" w:customStyle="1" w:styleId="Nadpis2Char">
    <w:name w:val="Nadpis 2 Char"/>
    <w:basedOn w:val="Standardnpsmoodstavce"/>
    <w:link w:val="Nadpis20"/>
    <w:uiPriority w:val="9"/>
    <w:semiHidden/>
    <w:rsid w:val="00340B2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0"/>
    <w:uiPriority w:val="9"/>
    <w:semiHidden/>
    <w:rsid w:val="00340B28"/>
    <w:rPr>
      <w:rFonts w:asciiTheme="majorHAnsi" w:eastAsiaTheme="majorEastAsia" w:hAnsiTheme="majorHAnsi" w:cstheme="majorBidi"/>
      <w:b/>
      <w:bCs/>
      <w:color w:val="4F81BD" w:themeColor="accent1"/>
    </w:rPr>
  </w:style>
  <w:style w:type="paragraph" w:customStyle="1" w:styleId="sodrkamio">
    <w:name w:val="s odrážkami o"/>
    <w:basedOn w:val="Odstavecseseznamem"/>
    <w:qFormat/>
    <w:rsid w:val="00351180"/>
    <w:pPr>
      <w:numPr>
        <w:ilvl w:val="1"/>
        <w:numId w:val="20"/>
      </w:numPr>
      <w:tabs>
        <w:tab w:val="clear" w:pos="1440"/>
        <w:tab w:val="num" w:pos="360"/>
        <w:tab w:val="left" w:pos="1134"/>
      </w:tabs>
      <w:spacing w:after="120" w:line="240" w:lineRule="auto"/>
      <w:ind w:left="720" w:firstLine="709"/>
      <w:contextualSpacing w:val="0"/>
      <w:jc w:val="both"/>
    </w:pPr>
    <w:rPr>
      <w:rFonts w:ascii="Times New Roman" w:eastAsia="Calibri" w:hAnsi="Times New Roman" w:cs="Times New Roman"/>
      <w:sz w:val="24"/>
      <w:szCs w:val="24"/>
      <w:lang w:bidi="en-US"/>
    </w:rPr>
  </w:style>
  <w:style w:type="character" w:styleId="Odkaznakoment">
    <w:name w:val="annotation reference"/>
    <w:basedOn w:val="Standardnpsmoodstavce"/>
    <w:uiPriority w:val="99"/>
    <w:semiHidden/>
    <w:unhideWhenUsed/>
    <w:rsid w:val="005353C5"/>
    <w:rPr>
      <w:sz w:val="16"/>
      <w:szCs w:val="16"/>
    </w:rPr>
  </w:style>
  <w:style w:type="paragraph" w:styleId="Textkomente">
    <w:name w:val="annotation text"/>
    <w:basedOn w:val="Normln"/>
    <w:link w:val="TextkomenteChar"/>
    <w:uiPriority w:val="99"/>
    <w:semiHidden/>
    <w:unhideWhenUsed/>
    <w:rsid w:val="005353C5"/>
    <w:pPr>
      <w:spacing w:line="240" w:lineRule="auto"/>
    </w:pPr>
    <w:rPr>
      <w:sz w:val="20"/>
      <w:szCs w:val="20"/>
    </w:rPr>
  </w:style>
  <w:style w:type="character" w:customStyle="1" w:styleId="TextkomenteChar">
    <w:name w:val="Text komentáře Char"/>
    <w:basedOn w:val="Standardnpsmoodstavce"/>
    <w:link w:val="Textkomente"/>
    <w:uiPriority w:val="99"/>
    <w:semiHidden/>
    <w:rsid w:val="005353C5"/>
    <w:rPr>
      <w:sz w:val="20"/>
      <w:szCs w:val="20"/>
    </w:rPr>
  </w:style>
  <w:style w:type="paragraph" w:styleId="Pedmtkomente">
    <w:name w:val="annotation subject"/>
    <w:basedOn w:val="Textkomente"/>
    <w:next w:val="Textkomente"/>
    <w:link w:val="PedmtkomenteChar"/>
    <w:uiPriority w:val="99"/>
    <w:semiHidden/>
    <w:unhideWhenUsed/>
    <w:rsid w:val="005353C5"/>
    <w:rPr>
      <w:b/>
      <w:bCs/>
    </w:rPr>
  </w:style>
  <w:style w:type="character" w:customStyle="1" w:styleId="PedmtkomenteChar">
    <w:name w:val="Předmět komentáře Char"/>
    <w:basedOn w:val="TextkomenteChar"/>
    <w:link w:val="Pedmtkomente"/>
    <w:uiPriority w:val="99"/>
    <w:semiHidden/>
    <w:rsid w:val="005353C5"/>
    <w:rPr>
      <w:b/>
      <w:bCs/>
      <w:sz w:val="20"/>
      <w:szCs w:val="20"/>
    </w:rPr>
  </w:style>
  <w:style w:type="paragraph" w:styleId="Textpoznpodarou">
    <w:name w:val="footnote text"/>
    <w:basedOn w:val="Normln"/>
    <w:link w:val="TextpoznpodarouChar"/>
    <w:uiPriority w:val="99"/>
    <w:semiHidden/>
    <w:unhideWhenUsed/>
    <w:rsid w:val="003F610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3F610F"/>
    <w:rPr>
      <w:sz w:val="20"/>
      <w:szCs w:val="20"/>
    </w:rPr>
  </w:style>
  <w:style w:type="character" w:styleId="Znakapoznpodarou">
    <w:name w:val="footnote reference"/>
    <w:basedOn w:val="Standardnpsmoodstavce"/>
    <w:uiPriority w:val="99"/>
    <w:semiHidden/>
    <w:unhideWhenUsed/>
    <w:rsid w:val="003F610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0">
    <w:name w:val="heading 1"/>
    <w:basedOn w:val="Normln"/>
    <w:next w:val="Normln"/>
    <w:link w:val="Nadpis1Char"/>
    <w:uiPriority w:val="9"/>
    <w:qFormat/>
    <w:rsid w:val="000A42AE"/>
    <w:pPr>
      <w:keepNext/>
      <w:keepLines/>
      <w:spacing w:after="0" w:line="240" w:lineRule="auto"/>
      <w:outlineLvl w:val="0"/>
    </w:pPr>
    <w:rPr>
      <w:rFonts w:ascii="Times New Roman" w:eastAsiaTheme="majorEastAsia" w:hAnsi="Times New Roman" w:cstheme="majorBidi"/>
      <w:b/>
      <w:bCs/>
      <w:sz w:val="24"/>
      <w:szCs w:val="28"/>
    </w:rPr>
  </w:style>
  <w:style w:type="paragraph" w:styleId="Nadpis20">
    <w:name w:val="heading 2"/>
    <w:basedOn w:val="Normln"/>
    <w:next w:val="Normln"/>
    <w:link w:val="Nadpis2Char"/>
    <w:uiPriority w:val="9"/>
    <w:semiHidden/>
    <w:unhideWhenUsed/>
    <w:qFormat/>
    <w:rsid w:val="00340B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0">
    <w:name w:val="heading 3"/>
    <w:basedOn w:val="Normln"/>
    <w:next w:val="Normln"/>
    <w:link w:val="Nadpis3Char"/>
    <w:uiPriority w:val="9"/>
    <w:semiHidden/>
    <w:unhideWhenUsed/>
    <w:qFormat/>
    <w:rsid w:val="00340B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49226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9226C"/>
  </w:style>
  <w:style w:type="paragraph" w:styleId="Zpat">
    <w:name w:val="footer"/>
    <w:basedOn w:val="Normln"/>
    <w:link w:val="ZpatChar"/>
    <w:uiPriority w:val="99"/>
    <w:unhideWhenUsed/>
    <w:rsid w:val="0049226C"/>
    <w:pPr>
      <w:tabs>
        <w:tab w:val="center" w:pos="4536"/>
        <w:tab w:val="right" w:pos="9072"/>
      </w:tabs>
      <w:spacing w:after="0" w:line="240" w:lineRule="auto"/>
    </w:pPr>
  </w:style>
  <w:style w:type="character" w:customStyle="1" w:styleId="ZpatChar">
    <w:name w:val="Zápatí Char"/>
    <w:basedOn w:val="Standardnpsmoodstavce"/>
    <w:link w:val="Zpat"/>
    <w:uiPriority w:val="99"/>
    <w:rsid w:val="0049226C"/>
  </w:style>
  <w:style w:type="paragraph" w:styleId="Odstavecseseznamem">
    <w:name w:val="List Paragraph"/>
    <w:basedOn w:val="Normln"/>
    <w:uiPriority w:val="34"/>
    <w:qFormat/>
    <w:rsid w:val="002C69DA"/>
    <w:pPr>
      <w:ind w:left="720"/>
      <w:contextualSpacing/>
    </w:pPr>
  </w:style>
  <w:style w:type="paragraph" w:customStyle="1" w:styleId="Default">
    <w:name w:val="Default"/>
    <w:rsid w:val="00551D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rCharCharCharCharCharCharCharCharCharCharCharCharChar">
    <w:name w:val="Char Char Char Char Char Char Char Char Char Char Char Char Char Char"/>
    <w:basedOn w:val="Normln"/>
    <w:rsid w:val="00F26E41"/>
    <w:pPr>
      <w:spacing w:after="160" w:line="240" w:lineRule="exact"/>
    </w:pPr>
    <w:rPr>
      <w:rFonts w:ascii="Tahoma" w:eastAsia="Times New Roman" w:hAnsi="Tahoma" w:cs="Times New Roman"/>
      <w:sz w:val="20"/>
      <w:szCs w:val="20"/>
      <w:lang w:val="en-US"/>
    </w:rPr>
  </w:style>
  <w:style w:type="character" w:customStyle="1" w:styleId="Nadpis1Char">
    <w:name w:val="Nadpis 1 Char"/>
    <w:basedOn w:val="Standardnpsmoodstavce"/>
    <w:link w:val="Nadpis10"/>
    <w:uiPriority w:val="9"/>
    <w:rsid w:val="000A42AE"/>
    <w:rPr>
      <w:rFonts w:ascii="Times New Roman" w:eastAsiaTheme="majorEastAsia" w:hAnsi="Times New Roman" w:cstheme="majorBidi"/>
      <w:b/>
      <w:bCs/>
      <w:sz w:val="24"/>
      <w:szCs w:val="28"/>
    </w:rPr>
  </w:style>
  <w:style w:type="paragraph" w:styleId="Nadpisobsahu">
    <w:name w:val="TOC Heading"/>
    <w:basedOn w:val="Nadpis10"/>
    <w:next w:val="Normln"/>
    <w:uiPriority w:val="39"/>
    <w:semiHidden/>
    <w:unhideWhenUsed/>
    <w:qFormat/>
    <w:rsid w:val="003A6300"/>
    <w:pPr>
      <w:spacing w:before="480" w:line="276" w:lineRule="auto"/>
      <w:outlineLvl w:val="9"/>
    </w:pPr>
    <w:rPr>
      <w:rFonts w:asciiTheme="majorHAnsi" w:hAnsiTheme="majorHAnsi"/>
      <w:color w:val="365F91" w:themeColor="accent1" w:themeShade="BF"/>
      <w:sz w:val="28"/>
      <w:lang w:eastAsia="cs-CZ"/>
    </w:rPr>
  </w:style>
  <w:style w:type="paragraph" w:styleId="Obsah1">
    <w:name w:val="toc 1"/>
    <w:basedOn w:val="Normln"/>
    <w:next w:val="Normln"/>
    <w:autoRedefine/>
    <w:uiPriority w:val="39"/>
    <w:unhideWhenUsed/>
    <w:rsid w:val="003A6300"/>
    <w:pPr>
      <w:spacing w:after="100"/>
    </w:pPr>
  </w:style>
  <w:style w:type="character" w:styleId="Hypertextovodkaz">
    <w:name w:val="Hyperlink"/>
    <w:basedOn w:val="Standardnpsmoodstavce"/>
    <w:uiPriority w:val="99"/>
    <w:unhideWhenUsed/>
    <w:rsid w:val="003A6300"/>
    <w:rPr>
      <w:color w:val="0000FF" w:themeColor="hyperlink"/>
      <w:u w:val="single"/>
    </w:rPr>
  </w:style>
  <w:style w:type="paragraph" w:styleId="Textbubliny">
    <w:name w:val="Balloon Text"/>
    <w:basedOn w:val="Normln"/>
    <w:link w:val="TextbublinyChar"/>
    <w:uiPriority w:val="99"/>
    <w:semiHidden/>
    <w:unhideWhenUsed/>
    <w:rsid w:val="003A630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A6300"/>
    <w:rPr>
      <w:rFonts w:ascii="Tahoma" w:hAnsi="Tahoma" w:cs="Tahoma"/>
      <w:sz w:val="16"/>
      <w:szCs w:val="16"/>
    </w:rPr>
  </w:style>
  <w:style w:type="paragraph" w:styleId="Titulek">
    <w:name w:val="caption"/>
    <w:basedOn w:val="Normln"/>
    <w:next w:val="Normln"/>
    <w:uiPriority w:val="35"/>
    <w:qFormat/>
    <w:rsid w:val="00C9137E"/>
    <w:pPr>
      <w:spacing w:line="240" w:lineRule="auto"/>
      <w:ind w:firstLine="709"/>
      <w:jc w:val="both"/>
    </w:pPr>
    <w:rPr>
      <w:rFonts w:ascii="Times New Roman" w:eastAsia="Calibri" w:hAnsi="Times New Roman" w:cs="Times New Roman"/>
      <w:b/>
      <w:bCs/>
      <w:color w:val="4F81BD"/>
      <w:sz w:val="18"/>
      <w:szCs w:val="18"/>
      <w:lang w:val="en-US" w:bidi="en-US"/>
    </w:rPr>
  </w:style>
  <w:style w:type="table" w:styleId="Mkatabulky">
    <w:name w:val="Table Grid"/>
    <w:basedOn w:val="Normlntabulka"/>
    <w:uiPriority w:val="59"/>
    <w:rsid w:val="00B905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dpis2">
    <w:name w:val="Nadpis2"/>
    <w:basedOn w:val="Nadpis20"/>
    <w:next w:val="Normln"/>
    <w:rsid w:val="00340B28"/>
    <w:pPr>
      <w:keepLines w:val="0"/>
      <w:numPr>
        <w:ilvl w:val="1"/>
        <w:numId w:val="19"/>
      </w:numPr>
      <w:tabs>
        <w:tab w:val="clear" w:pos="854"/>
        <w:tab w:val="num" w:pos="360"/>
      </w:tabs>
      <w:spacing w:before="480" w:after="240" w:line="240" w:lineRule="auto"/>
      <w:ind w:left="0" w:firstLine="709"/>
      <w:jc w:val="both"/>
    </w:pPr>
    <w:rPr>
      <w:rFonts w:ascii="Times New Roman" w:eastAsia="Times New Roman" w:hAnsi="Times New Roman" w:cs="Arial"/>
      <w:bCs w:val="0"/>
      <w:iCs/>
      <w:color w:val="auto"/>
      <w:kern w:val="32"/>
      <w:szCs w:val="28"/>
      <w:lang w:eastAsia="cs-CZ"/>
    </w:rPr>
  </w:style>
  <w:style w:type="paragraph" w:customStyle="1" w:styleId="Nadpis1">
    <w:name w:val="Nadpis1"/>
    <w:basedOn w:val="Normln"/>
    <w:rsid w:val="00340B28"/>
    <w:pPr>
      <w:numPr>
        <w:numId w:val="19"/>
      </w:numPr>
      <w:spacing w:before="600" w:after="120" w:line="240" w:lineRule="auto"/>
      <w:jc w:val="both"/>
    </w:pPr>
    <w:rPr>
      <w:rFonts w:ascii="Times New Roman" w:eastAsia="Calibri" w:hAnsi="Times New Roman" w:cs="Times New Roman"/>
      <w:b/>
      <w:sz w:val="28"/>
      <w:szCs w:val="24"/>
      <w:lang w:val="en-US" w:bidi="en-US"/>
    </w:rPr>
  </w:style>
  <w:style w:type="paragraph" w:customStyle="1" w:styleId="Styl1">
    <w:name w:val="Styl1"/>
    <w:basedOn w:val="Normln"/>
    <w:link w:val="Styl1Char"/>
    <w:rsid w:val="00340B28"/>
    <w:pPr>
      <w:spacing w:after="120" w:line="240" w:lineRule="auto"/>
      <w:ind w:firstLine="709"/>
      <w:jc w:val="both"/>
    </w:pPr>
    <w:rPr>
      <w:rFonts w:ascii="Times New Roman" w:eastAsia="Calibri" w:hAnsi="Times New Roman" w:cs="Times New Roman"/>
      <w:sz w:val="24"/>
      <w:szCs w:val="24"/>
      <w:lang w:val="en-US" w:bidi="en-US"/>
    </w:rPr>
  </w:style>
  <w:style w:type="paragraph" w:customStyle="1" w:styleId="Nadpis3">
    <w:name w:val="Nadpis3"/>
    <w:basedOn w:val="Nadpis30"/>
    <w:next w:val="Normln"/>
    <w:rsid w:val="00340B28"/>
    <w:pPr>
      <w:keepLines w:val="0"/>
      <w:numPr>
        <w:ilvl w:val="2"/>
        <w:numId w:val="19"/>
      </w:numPr>
      <w:tabs>
        <w:tab w:val="clear" w:pos="1137"/>
        <w:tab w:val="num" w:pos="360"/>
        <w:tab w:val="left" w:pos="1425"/>
      </w:tabs>
      <w:spacing w:before="480" w:after="240" w:line="240" w:lineRule="auto"/>
      <w:ind w:left="1486" w:hanging="743"/>
      <w:jc w:val="both"/>
    </w:pPr>
    <w:rPr>
      <w:rFonts w:ascii="Times New Roman" w:eastAsia="Times New Roman" w:hAnsi="Times New Roman" w:cs="Arial"/>
      <w:color w:val="auto"/>
      <w:sz w:val="24"/>
      <w:szCs w:val="26"/>
      <w:lang w:eastAsia="cs-CZ"/>
    </w:rPr>
  </w:style>
  <w:style w:type="character" w:customStyle="1" w:styleId="Styl1Char">
    <w:name w:val="Styl1 Char"/>
    <w:link w:val="Styl1"/>
    <w:rsid w:val="00340B28"/>
    <w:rPr>
      <w:rFonts w:ascii="Times New Roman" w:eastAsia="Calibri" w:hAnsi="Times New Roman" w:cs="Times New Roman"/>
      <w:sz w:val="24"/>
      <w:szCs w:val="24"/>
      <w:lang w:val="en-US" w:bidi="en-US"/>
    </w:rPr>
  </w:style>
  <w:style w:type="character" w:customStyle="1" w:styleId="Nadpis2Char">
    <w:name w:val="Nadpis 2 Char"/>
    <w:basedOn w:val="Standardnpsmoodstavce"/>
    <w:link w:val="Nadpis20"/>
    <w:uiPriority w:val="9"/>
    <w:semiHidden/>
    <w:rsid w:val="00340B28"/>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0"/>
    <w:uiPriority w:val="9"/>
    <w:semiHidden/>
    <w:rsid w:val="00340B28"/>
    <w:rPr>
      <w:rFonts w:asciiTheme="majorHAnsi" w:eastAsiaTheme="majorEastAsia" w:hAnsiTheme="majorHAnsi" w:cstheme="majorBidi"/>
      <w:b/>
      <w:bCs/>
      <w:color w:val="4F81BD" w:themeColor="accent1"/>
    </w:rPr>
  </w:style>
  <w:style w:type="paragraph" w:customStyle="1" w:styleId="sodrkamio">
    <w:name w:val="s odrážkami o"/>
    <w:basedOn w:val="Odstavecseseznamem"/>
    <w:qFormat/>
    <w:rsid w:val="00351180"/>
    <w:pPr>
      <w:numPr>
        <w:ilvl w:val="1"/>
        <w:numId w:val="20"/>
      </w:numPr>
      <w:tabs>
        <w:tab w:val="clear" w:pos="1440"/>
        <w:tab w:val="num" w:pos="360"/>
        <w:tab w:val="left" w:pos="1134"/>
      </w:tabs>
      <w:spacing w:after="120" w:line="240" w:lineRule="auto"/>
      <w:ind w:left="720" w:firstLine="709"/>
      <w:contextualSpacing w:val="0"/>
      <w:jc w:val="both"/>
    </w:pPr>
    <w:rPr>
      <w:rFonts w:ascii="Times New Roman" w:eastAsia="Calibri"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5645">
      <w:bodyDiv w:val="1"/>
      <w:marLeft w:val="0"/>
      <w:marRight w:val="0"/>
      <w:marTop w:val="0"/>
      <w:marBottom w:val="0"/>
      <w:divBdr>
        <w:top w:val="none" w:sz="0" w:space="0" w:color="auto"/>
        <w:left w:val="none" w:sz="0" w:space="0" w:color="auto"/>
        <w:bottom w:val="none" w:sz="0" w:space="0" w:color="auto"/>
        <w:right w:val="none" w:sz="0" w:space="0" w:color="auto"/>
      </w:divBdr>
    </w:div>
    <w:div w:id="4137771">
      <w:bodyDiv w:val="1"/>
      <w:marLeft w:val="0"/>
      <w:marRight w:val="0"/>
      <w:marTop w:val="0"/>
      <w:marBottom w:val="0"/>
      <w:divBdr>
        <w:top w:val="none" w:sz="0" w:space="0" w:color="auto"/>
        <w:left w:val="none" w:sz="0" w:space="0" w:color="auto"/>
        <w:bottom w:val="none" w:sz="0" w:space="0" w:color="auto"/>
        <w:right w:val="none" w:sz="0" w:space="0" w:color="auto"/>
      </w:divBdr>
    </w:div>
    <w:div w:id="104351796">
      <w:bodyDiv w:val="1"/>
      <w:marLeft w:val="0"/>
      <w:marRight w:val="0"/>
      <w:marTop w:val="0"/>
      <w:marBottom w:val="0"/>
      <w:divBdr>
        <w:top w:val="none" w:sz="0" w:space="0" w:color="auto"/>
        <w:left w:val="none" w:sz="0" w:space="0" w:color="auto"/>
        <w:bottom w:val="none" w:sz="0" w:space="0" w:color="auto"/>
        <w:right w:val="none" w:sz="0" w:space="0" w:color="auto"/>
      </w:divBdr>
    </w:div>
    <w:div w:id="196703244">
      <w:bodyDiv w:val="1"/>
      <w:marLeft w:val="0"/>
      <w:marRight w:val="0"/>
      <w:marTop w:val="0"/>
      <w:marBottom w:val="0"/>
      <w:divBdr>
        <w:top w:val="none" w:sz="0" w:space="0" w:color="auto"/>
        <w:left w:val="none" w:sz="0" w:space="0" w:color="auto"/>
        <w:bottom w:val="none" w:sz="0" w:space="0" w:color="auto"/>
        <w:right w:val="none" w:sz="0" w:space="0" w:color="auto"/>
      </w:divBdr>
    </w:div>
    <w:div w:id="735935457">
      <w:bodyDiv w:val="1"/>
      <w:marLeft w:val="0"/>
      <w:marRight w:val="0"/>
      <w:marTop w:val="0"/>
      <w:marBottom w:val="0"/>
      <w:divBdr>
        <w:top w:val="none" w:sz="0" w:space="0" w:color="auto"/>
        <w:left w:val="none" w:sz="0" w:space="0" w:color="auto"/>
        <w:bottom w:val="none" w:sz="0" w:space="0" w:color="auto"/>
        <w:right w:val="none" w:sz="0" w:space="0" w:color="auto"/>
      </w:divBdr>
    </w:div>
    <w:div w:id="864635795">
      <w:bodyDiv w:val="1"/>
      <w:marLeft w:val="0"/>
      <w:marRight w:val="0"/>
      <w:marTop w:val="0"/>
      <w:marBottom w:val="0"/>
      <w:divBdr>
        <w:top w:val="none" w:sz="0" w:space="0" w:color="auto"/>
        <w:left w:val="none" w:sz="0" w:space="0" w:color="auto"/>
        <w:bottom w:val="none" w:sz="0" w:space="0" w:color="auto"/>
        <w:right w:val="none" w:sz="0" w:space="0" w:color="auto"/>
      </w:divBdr>
    </w:div>
    <w:div w:id="953712015">
      <w:bodyDiv w:val="1"/>
      <w:marLeft w:val="0"/>
      <w:marRight w:val="0"/>
      <w:marTop w:val="0"/>
      <w:marBottom w:val="0"/>
      <w:divBdr>
        <w:top w:val="none" w:sz="0" w:space="0" w:color="auto"/>
        <w:left w:val="none" w:sz="0" w:space="0" w:color="auto"/>
        <w:bottom w:val="none" w:sz="0" w:space="0" w:color="auto"/>
        <w:right w:val="none" w:sz="0" w:space="0" w:color="auto"/>
      </w:divBdr>
    </w:div>
    <w:div w:id="1430736733">
      <w:bodyDiv w:val="1"/>
      <w:marLeft w:val="0"/>
      <w:marRight w:val="0"/>
      <w:marTop w:val="0"/>
      <w:marBottom w:val="0"/>
      <w:divBdr>
        <w:top w:val="none" w:sz="0" w:space="0" w:color="auto"/>
        <w:left w:val="none" w:sz="0" w:space="0" w:color="auto"/>
        <w:bottom w:val="none" w:sz="0" w:space="0" w:color="auto"/>
        <w:right w:val="none" w:sz="0" w:space="0" w:color="auto"/>
      </w:divBdr>
    </w:div>
    <w:div w:id="1495998766">
      <w:bodyDiv w:val="1"/>
      <w:marLeft w:val="0"/>
      <w:marRight w:val="0"/>
      <w:marTop w:val="0"/>
      <w:marBottom w:val="0"/>
      <w:divBdr>
        <w:top w:val="none" w:sz="0" w:space="0" w:color="auto"/>
        <w:left w:val="none" w:sz="0" w:space="0" w:color="auto"/>
        <w:bottom w:val="none" w:sz="0" w:space="0" w:color="auto"/>
        <w:right w:val="none" w:sz="0" w:space="0" w:color="auto"/>
      </w:divBdr>
    </w:div>
    <w:div w:id="1647974646">
      <w:bodyDiv w:val="1"/>
      <w:marLeft w:val="0"/>
      <w:marRight w:val="0"/>
      <w:marTop w:val="0"/>
      <w:marBottom w:val="0"/>
      <w:divBdr>
        <w:top w:val="none" w:sz="0" w:space="0" w:color="auto"/>
        <w:left w:val="none" w:sz="0" w:space="0" w:color="auto"/>
        <w:bottom w:val="none" w:sz="0" w:space="0" w:color="auto"/>
        <w:right w:val="none" w:sz="0" w:space="0" w:color="auto"/>
      </w:divBdr>
    </w:div>
    <w:div w:id="1658454055">
      <w:bodyDiv w:val="1"/>
      <w:marLeft w:val="0"/>
      <w:marRight w:val="0"/>
      <w:marTop w:val="0"/>
      <w:marBottom w:val="0"/>
      <w:divBdr>
        <w:top w:val="none" w:sz="0" w:space="0" w:color="auto"/>
        <w:left w:val="none" w:sz="0" w:space="0" w:color="auto"/>
        <w:bottom w:val="none" w:sz="0" w:space="0" w:color="auto"/>
        <w:right w:val="none" w:sz="0" w:space="0" w:color="auto"/>
      </w:divBdr>
    </w:div>
    <w:div w:id="1775855842">
      <w:bodyDiv w:val="1"/>
      <w:marLeft w:val="0"/>
      <w:marRight w:val="0"/>
      <w:marTop w:val="0"/>
      <w:marBottom w:val="0"/>
      <w:divBdr>
        <w:top w:val="none" w:sz="0" w:space="0" w:color="auto"/>
        <w:left w:val="none" w:sz="0" w:space="0" w:color="auto"/>
        <w:bottom w:val="none" w:sz="0" w:space="0" w:color="auto"/>
        <w:right w:val="none" w:sz="0" w:space="0" w:color="auto"/>
      </w:divBdr>
    </w:div>
    <w:div w:id="1825396289">
      <w:bodyDiv w:val="1"/>
      <w:marLeft w:val="0"/>
      <w:marRight w:val="0"/>
      <w:marTop w:val="0"/>
      <w:marBottom w:val="0"/>
      <w:divBdr>
        <w:top w:val="none" w:sz="0" w:space="0" w:color="auto"/>
        <w:left w:val="none" w:sz="0" w:space="0" w:color="auto"/>
        <w:bottom w:val="none" w:sz="0" w:space="0" w:color="auto"/>
        <w:right w:val="none" w:sz="0" w:space="0" w:color="auto"/>
      </w:divBdr>
    </w:div>
    <w:div w:id="1979802822">
      <w:bodyDiv w:val="1"/>
      <w:marLeft w:val="0"/>
      <w:marRight w:val="0"/>
      <w:marTop w:val="0"/>
      <w:marBottom w:val="0"/>
      <w:divBdr>
        <w:top w:val="none" w:sz="0" w:space="0" w:color="auto"/>
        <w:left w:val="none" w:sz="0" w:space="0" w:color="auto"/>
        <w:bottom w:val="none" w:sz="0" w:space="0" w:color="auto"/>
        <w:right w:val="none" w:sz="0" w:space="0" w:color="auto"/>
      </w:divBdr>
    </w:div>
    <w:div w:id="2018077131">
      <w:bodyDiv w:val="1"/>
      <w:marLeft w:val="0"/>
      <w:marRight w:val="0"/>
      <w:marTop w:val="0"/>
      <w:marBottom w:val="0"/>
      <w:divBdr>
        <w:top w:val="none" w:sz="0" w:space="0" w:color="auto"/>
        <w:left w:val="none" w:sz="0" w:space="0" w:color="auto"/>
        <w:bottom w:val="none" w:sz="0" w:space="0" w:color="auto"/>
        <w:right w:val="none" w:sz="0" w:space="0" w:color="auto"/>
      </w:divBdr>
    </w:div>
    <w:div w:id="2077438462">
      <w:bodyDiv w:val="1"/>
      <w:marLeft w:val="0"/>
      <w:marRight w:val="0"/>
      <w:marTop w:val="0"/>
      <w:marBottom w:val="0"/>
      <w:divBdr>
        <w:top w:val="none" w:sz="0" w:space="0" w:color="auto"/>
        <w:left w:val="none" w:sz="0" w:space="0" w:color="auto"/>
        <w:bottom w:val="none" w:sz="0" w:space="0" w:color="auto"/>
        <w:right w:val="none" w:sz="0" w:space="0" w:color="auto"/>
      </w:divBdr>
    </w:div>
    <w:div w:id="2108573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8E53B-E6E2-4B81-A47B-6EB52EC534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2976</TotalTime>
  <Pages>18</Pages>
  <Words>6386</Words>
  <Characters>37679</Characters>
  <Application>Microsoft Office Word</Application>
  <DocSecurity>0</DocSecurity>
  <Lines>313</Lines>
  <Paragraphs>87</Paragraphs>
  <ScaleCrop>false</ScaleCrop>
  <HeadingPairs>
    <vt:vector size="2" baseType="variant">
      <vt:variant>
        <vt:lpstr>Název</vt:lpstr>
      </vt:variant>
      <vt:variant>
        <vt:i4>1</vt:i4>
      </vt:variant>
    </vt:vector>
  </HeadingPairs>
  <TitlesOfParts>
    <vt:vector size="1" baseType="lpstr">
      <vt:lpstr/>
    </vt:vector>
  </TitlesOfParts>
  <Company>uv cr</Company>
  <LinksUpToDate>false</LinksUpToDate>
  <CharactersWithSpaces>43978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Levák Lukáš</dc:creator>
  <cp:keywords/>
  <dc:description/>
  <cp:lastModifiedBy>Novák Petr</cp:lastModifiedBy>
  <cp:revision>532</cp:revision>
  <cp:lastPrinted>2013-04-25T09:00:00Z</cp:lastPrinted>
  <dcterms:created xsi:type="dcterms:W3CDTF">2012-11-05T14:41:00Z</dcterms:created>
  <dcterms:modified xsi:type="dcterms:W3CDTF">2013-04-25T12:31:00Z</dcterms:modified>
  <cp:contentStatus/>
</cp:coreProperties>
</file>