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03B" w:rsidRPr="003A303B" w:rsidRDefault="003A303B" w:rsidP="003A303B">
      <w:pPr>
        <w:spacing w:before="120" w:after="12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A303B">
        <w:rPr>
          <w:rFonts w:ascii="Times New Roman" w:hAnsi="Times New Roman"/>
          <w:b/>
          <w:sz w:val="24"/>
          <w:szCs w:val="24"/>
        </w:rPr>
        <w:t>IV.</w:t>
      </w:r>
    </w:p>
    <w:p w:rsidR="00400962" w:rsidRDefault="007E47D3" w:rsidP="003A303B">
      <w:pPr>
        <w:spacing w:before="120"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Příloha č. 6</w:t>
      </w:r>
    </w:p>
    <w:p w:rsidR="007E47D3" w:rsidRPr="007E47D3" w:rsidRDefault="007E47D3" w:rsidP="003A303B">
      <w:pPr>
        <w:spacing w:before="120" w:after="120" w:line="240" w:lineRule="auto"/>
        <w:rPr>
          <w:rFonts w:ascii="Times New Roman" w:hAnsi="Times New Roman"/>
          <w:b/>
          <w:sz w:val="24"/>
          <w:szCs w:val="24"/>
        </w:rPr>
      </w:pPr>
    </w:p>
    <w:p w:rsidR="00400962" w:rsidRPr="00024C45" w:rsidRDefault="00400962" w:rsidP="00FE6B06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4C45">
        <w:rPr>
          <w:rFonts w:ascii="Times New Roman" w:hAnsi="Times New Roman"/>
          <w:b/>
          <w:sz w:val="24"/>
          <w:szCs w:val="24"/>
        </w:rPr>
        <w:t xml:space="preserve">Souhrnné vyhodnocení výsledků programů </w:t>
      </w:r>
      <w:proofErr w:type="spellStart"/>
      <w:r w:rsidRPr="00024C45">
        <w:rPr>
          <w:rFonts w:ascii="Times New Roman" w:hAnsi="Times New Roman"/>
          <w:b/>
          <w:sz w:val="24"/>
          <w:szCs w:val="24"/>
        </w:rPr>
        <w:t>VaVaI</w:t>
      </w:r>
      <w:proofErr w:type="spellEnd"/>
      <w:r w:rsidRPr="00024C45">
        <w:rPr>
          <w:rFonts w:ascii="Times New Roman" w:hAnsi="Times New Roman"/>
          <w:b/>
          <w:sz w:val="24"/>
          <w:szCs w:val="24"/>
        </w:rPr>
        <w:t xml:space="preserve"> ukončených v roce 2011 – návrh možných opatření</w:t>
      </w:r>
    </w:p>
    <w:p w:rsidR="00400962" w:rsidRPr="009A3997" w:rsidRDefault="00400962" w:rsidP="00752B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0962" w:rsidRPr="009A3997" w:rsidRDefault="00400962" w:rsidP="0001185F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3997">
        <w:rPr>
          <w:rFonts w:ascii="Times New Roman" w:hAnsi="Times New Roman"/>
          <w:sz w:val="24"/>
          <w:szCs w:val="24"/>
        </w:rPr>
        <w:t xml:space="preserve">Materiál k souhrnnému vyhodnocení výsledků programů výzkumu, vývoje a inovací ukončených </w:t>
      </w:r>
      <w:r w:rsidR="00741577">
        <w:rPr>
          <w:rFonts w:ascii="Times New Roman" w:hAnsi="Times New Roman"/>
          <w:sz w:val="24"/>
          <w:szCs w:val="24"/>
        </w:rPr>
        <w:t>v roce</w:t>
      </w:r>
      <w:r w:rsidR="00741577" w:rsidRPr="009A3997">
        <w:rPr>
          <w:rFonts w:ascii="Times New Roman" w:hAnsi="Times New Roman"/>
          <w:sz w:val="24"/>
          <w:szCs w:val="24"/>
        </w:rPr>
        <w:t xml:space="preserve"> </w:t>
      </w:r>
      <w:r w:rsidRPr="009A3997">
        <w:rPr>
          <w:rFonts w:ascii="Times New Roman" w:hAnsi="Times New Roman"/>
          <w:sz w:val="24"/>
          <w:szCs w:val="24"/>
        </w:rPr>
        <w:t xml:space="preserve">2011 se projednával již na 279. zasedání Rady </w:t>
      </w:r>
      <w:r w:rsidR="00024C45">
        <w:rPr>
          <w:rFonts w:ascii="Times New Roman" w:hAnsi="Times New Roman"/>
          <w:sz w:val="24"/>
          <w:szCs w:val="24"/>
        </w:rPr>
        <w:t>pro výzkum, vývoj a </w:t>
      </w:r>
      <w:r w:rsidRPr="009A3997">
        <w:rPr>
          <w:rFonts w:ascii="Times New Roman" w:hAnsi="Times New Roman"/>
          <w:sz w:val="24"/>
          <w:szCs w:val="24"/>
        </w:rPr>
        <w:t>inovace (dále jen „Rada“) dne 25. ledna 2013. Dle druhého bodu usnesení</w:t>
      </w:r>
      <w:r w:rsidRPr="009A3997">
        <w:rPr>
          <w:rFonts w:ascii="Times New Roman" w:hAnsi="Times New Roman"/>
          <w:vertAlign w:val="superscript"/>
        </w:rPr>
        <w:footnoteReference w:id="1"/>
      </w:r>
      <w:r w:rsidRPr="009A3997">
        <w:rPr>
          <w:rFonts w:ascii="Times New Roman" w:hAnsi="Times New Roman"/>
          <w:sz w:val="24"/>
          <w:szCs w:val="24"/>
        </w:rPr>
        <w:t xml:space="preserve"> vypracoval sekretariát podklad, který se zabývá rozborem ukončených projektů bez </w:t>
      </w:r>
      <w:r w:rsidR="007E47D3">
        <w:rPr>
          <w:rFonts w:ascii="Times New Roman" w:hAnsi="Times New Roman"/>
          <w:sz w:val="24"/>
          <w:szCs w:val="24"/>
        </w:rPr>
        <w:t>uplatněného</w:t>
      </w:r>
      <w:r w:rsidRPr="009A3997">
        <w:rPr>
          <w:rFonts w:ascii="Times New Roman" w:hAnsi="Times New Roman"/>
          <w:sz w:val="24"/>
          <w:szCs w:val="24"/>
        </w:rPr>
        <w:t xml:space="preserve"> výsledku a možných sankcí. </w:t>
      </w:r>
    </w:p>
    <w:p w:rsidR="00400962" w:rsidRPr="009A3997" w:rsidRDefault="00400962" w:rsidP="0001185F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3997">
        <w:rPr>
          <w:rFonts w:ascii="Times New Roman" w:hAnsi="Times New Roman"/>
          <w:sz w:val="24"/>
          <w:szCs w:val="24"/>
        </w:rPr>
        <w:t>Materiál „Návrh opatření pro vyhodnocení výsl</w:t>
      </w:r>
      <w:r w:rsidR="0001185F">
        <w:rPr>
          <w:rFonts w:ascii="Times New Roman" w:hAnsi="Times New Roman"/>
          <w:sz w:val="24"/>
          <w:szCs w:val="24"/>
        </w:rPr>
        <w:t>edků programů výzkumu, vývoje a </w:t>
      </w:r>
      <w:r w:rsidRPr="009A3997">
        <w:rPr>
          <w:rFonts w:ascii="Times New Roman" w:hAnsi="Times New Roman"/>
          <w:sz w:val="24"/>
          <w:szCs w:val="24"/>
        </w:rPr>
        <w:t xml:space="preserve">inovací“ byl předložen na 280. zasedání Rady dne 22. února 2013. Sekretariát provedl verifikaci výsledků v podkladu dle požadavku Rady. Rada vzala „Souhrnné vyhodnocení výsledků programů </w:t>
      </w:r>
      <w:proofErr w:type="spellStart"/>
      <w:r w:rsidRPr="009A3997">
        <w:rPr>
          <w:rFonts w:ascii="Times New Roman" w:hAnsi="Times New Roman"/>
          <w:sz w:val="24"/>
          <w:szCs w:val="24"/>
        </w:rPr>
        <w:t>VaVaI</w:t>
      </w:r>
      <w:proofErr w:type="spellEnd"/>
      <w:r w:rsidRPr="009A3997">
        <w:rPr>
          <w:rFonts w:ascii="Times New Roman" w:hAnsi="Times New Roman"/>
          <w:sz w:val="24"/>
          <w:szCs w:val="24"/>
        </w:rPr>
        <w:t xml:space="preserve"> ukončených v roce 2011 – návrh možných opatření“ na vědomí.</w:t>
      </w:r>
    </w:p>
    <w:p w:rsidR="00400962" w:rsidRPr="009A3997" w:rsidRDefault="00400962" w:rsidP="0001185F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3997">
        <w:rPr>
          <w:rFonts w:ascii="Times New Roman" w:hAnsi="Times New Roman"/>
          <w:sz w:val="24"/>
          <w:szCs w:val="24"/>
        </w:rPr>
        <w:t xml:space="preserve">Z celkového počtu 15 hodnocených programů účelové podpory ukončených </w:t>
      </w:r>
      <w:r w:rsidR="000A53CE">
        <w:rPr>
          <w:rFonts w:ascii="Times New Roman" w:hAnsi="Times New Roman"/>
          <w:sz w:val="24"/>
          <w:szCs w:val="24"/>
        </w:rPr>
        <w:t>v roce</w:t>
      </w:r>
      <w:r w:rsidRPr="009A3997">
        <w:rPr>
          <w:rFonts w:ascii="Times New Roman" w:hAnsi="Times New Roman"/>
          <w:sz w:val="24"/>
          <w:szCs w:val="24"/>
        </w:rPr>
        <w:t xml:space="preserve"> 2011 bylo 13 hodnoceno Radou a 2 programy hodnoceny MŠMT</w:t>
      </w:r>
      <w:r w:rsidR="00DC1C6E" w:rsidRPr="009A3997">
        <w:rPr>
          <w:rFonts w:ascii="Times New Roman" w:hAnsi="Times New Roman"/>
          <w:sz w:val="24"/>
          <w:szCs w:val="24"/>
        </w:rPr>
        <w:t>, které byly řešeny v působnosti různých poskytovatelů</w:t>
      </w:r>
      <w:r w:rsidRPr="009A3997">
        <w:rPr>
          <w:rFonts w:ascii="Times New Roman" w:hAnsi="Times New Roman"/>
          <w:sz w:val="24"/>
          <w:szCs w:val="24"/>
        </w:rPr>
        <w:t xml:space="preserve">. </w:t>
      </w:r>
      <w:r w:rsidR="004E2AFF" w:rsidRPr="009A3997">
        <w:rPr>
          <w:rFonts w:ascii="Times New Roman" w:hAnsi="Times New Roman"/>
          <w:sz w:val="24"/>
          <w:szCs w:val="24"/>
        </w:rPr>
        <w:t>U program</w:t>
      </w:r>
      <w:r w:rsidR="00D603EC" w:rsidRPr="009A3997">
        <w:rPr>
          <w:rFonts w:ascii="Times New Roman" w:hAnsi="Times New Roman"/>
          <w:sz w:val="24"/>
          <w:szCs w:val="24"/>
        </w:rPr>
        <w:t>u</w:t>
      </w:r>
      <w:r w:rsidR="004E2AFF" w:rsidRPr="009A3997">
        <w:rPr>
          <w:rFonts w:ascii="Times New Roman" w:hAnsi="Times New Roman"/>
          <w:sz w:val="24"/>
          <w:szCs w:val="24"/>
        </w:rPr>
        <w:t xml:space="preserve"> 1N (15 projektů; viz tabulka</w:t>
      </w:r>
      <w:r w:rsidR="007E47D3">
        <w:rPr>
          <w:rFonts w:ascii="Times New Roman" w:hAnsi="Times New Roman"/>
          <w:sz w:val="24"/>
          <w:szCs w:val="24"/>
        </w:rPr>
        <w:t xml:space="preserve"> č.</w:t>
      </w:r>
      <w:r w:rsidR="004E2AFF" w:rsidRPr="009A3997">
        <w:rPr>
          <w:rFonts w:ascii="Times New Roman" w:hAnsi="Times New Roman"/>
          <w:sz w:val="24"/>
          <w:szCs w:val="24"/>
        </w:rPr>
        <w:t xml:space="preserve"> 2), patřící</w:t>
      </w:r>
      <w:r w:rsidR="00D603EC" w:rsidRPr="009A3997">
        <w:rPr>
          <w:rFonts w:ascii="Times New Roman" w:hAnsi="Times New Roman"/>
          <w:sz w:val="24"/>
          <w:szCs w:val="24"/>
        </w:rPr>
        <w:t>ho</w:t>
      </w:r>
      <w:r w:rsidR="004E2AFF" w:rsidRPr="009A3997">
        <w:rPr>
          <w:rFonts w:ascii="Times New Roman" w:hAnsi="Times New Roman"/>
          <w:sz w:val="24"/>
          <w:szCs w:val="24"/>
        </w:rPr>
        <w:t xml:space="preserve"> do Národního programu výzkumu, se nepředpokládaly bodované výsledky, neboť t</w:t>
      </w:r>
      <w:r w:rsidR="00D603EC" w:rsidRPr="009A3997">
        <w:rPr>
          <w:rFonts w:ascii="Times New Roman" w:hAnsi="Times New Roman"/>
          <w:sz w:val="24"/>
          <w:szCs w:val="24"/>
        </w:rPr>
        <w:t>en</w:t>
      </w:r>
      <w:r w:rsidR="004E2AFF" w:rsidRPr="009A3997">
        <w:rPr>
          <w:rFonts w:ascii="Times New Roman" w:hAnsi="Times New Roman"/>
          <w:sz w:val="24"/>
          <w:szCs w:val="24"/>
        </w:rPr>
        <w:t xml:space="preserve">to program byl koncipován jako program infrastrukturní povahy. </w:t>
      </w:r>
      <w:r w:rsidR="0001185F">
        <w:rPr>
          <w:rFonts w:ascii="Times New Roman" w:hAnsi="Times New Roman"/>
          <w:sz w:val="24"/>
          <w:szCs w:val="24"/>
        </w:rPr>
        <w:t>Projekty administrované v </w:t>
      </w:r>
      <w:r w:rsidR="00E54D6D">
        <w:rPr>
          <w:rFonts w:ascii="Times New Roman" w:hAnsi="Times New Roman"/>
          <w:sz w:val="24"/>
          <w:szCs w:val="24"/>
        </w:rPr>
        <w:t xml:space="preserve"> </w:t>
      </w:r>
      <w:r w:rsidRPr="009A3997">
        <w:rPr>
          <w:rFonts w:ascii="Times New Roman" w:hAnsi="Times New Roman"/>
          <w:sz w:val="24"/>
          <w:szCs w:val="24"/>
        </w:rPr>
        <w:t>rámci 11 programů byly zadávány prostřednictvím veřejných soutěží ve výzkumu, vývoji a inovacích a projekty v rámci 4 programů se realizovaly na základě veřejných zakázek ve výzkumu, vývoji a inovacích.</w:t>
      </w:r>
    </w:p>
    <w:p w:rsidR="00400962" w:rsidRPr="009A3997" w:rsidRDefault="00400962" w:rsidP="0001185F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3997">
        <w:rPr>
          <w:rFonts w:ascii="Times New Roman" w:hAnsi="Times New Roman"/>
          <w:sz w:val="24"/>
          <w:szCs w:val="24"/>
        </w:rPr>
        <w:t>Ze 13 programů hodnocených Radou bylo identifiko</w:t>
      </w:r>
      <w:r w:rsidR="0001185F">
        <w:rPr>
          <w:rFonts w:ascii="Times New Roman" w:hAnsi="Times New Roman"/>
          <w:sz w:val="24"/>
          <w:szCs w:val="24"/>
        </w:rPr>
        <w:t xml:space="preserve">váno 82 projektů bez </w:t>
      </w:r>
      <w:r w:rsidR="007E47D3">
        <w:rPr>
          <w:rFonts w:ascii="Times New Roman" w:hAnsi="Times New Roman"/>
          <w:sz w:val="24"/>
          <w:szCs w:val="24"/>
        </w:rPr>
        <w:t>jakéhokoliv</w:t>
      </w:r>
      <w:r w:rsidR="0001185F">
        <w:rPr>
          <w:rFonts w:ascii="Times New Roman" w:hAnsi="Times New Roman"/>
          <w:sz w:val="24"/>
          <w:szCs w:val="24"/>
        </w:rPr>
        <w:t xml:space="preserve"> </w:t>
      </w:r>
      <w:r w:rsidR="007E47D3">
        <w:rPr>
          <w:rFonts w:ascii="Times New Roman" w:hAnsi="Times New Roman"/>
          <w:sz w:val="24"/>
          <w:szCs w:val="24"/>
        </w:rPr>
        <w:t>uplatněného</w:t>
      </w:r>
      <w:r w:rsidRPr="009A3997">
        <w:rPr>
          <w:rFonts w:ascii="Times New Roman" w:hAnsi="Times New Roman"/>
          <w:sz w:val="24"/>
          <w:szCs w:val="24"/>
        </w:rPr>
        <w:t xml:space="preserve"> výsledku (viz </w:t>
      </w:r>
      <w:r w:rsidR="007E47D3">
        <w:rPr>
          <w:rFonts w:ascii="Times New Roman" w:hAnsi="Times New Roman"/>
          <w:sz w:val="24"/>
          <w:szCs w:val="24"/>
        </w:rPr>
        <w:t>tabulka</w:t>
      </w:r>
      <w:r w:rsidRPr="009A3997">
        <w:rPr>
          <w:rFonts w:ascii="Times New Roman" w:hAnsi="Times New Roman"/>
          <w:sz w:val="24"/>
          <w:szCs w:val="24"/>
        </w:rPr>
        <w:t xml:space="preserve"> č. 1). </w:t>
      </w:r>
    </w:p>
    <w:p w:rsidR="00400962" w:rsidRPr="009A3997" w:rsidRDefault="00400962" w:rsidP="0001185F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3997">
        <w:rPr>
          <w:rFonts w:ascii="Times New Roman" w:hAnsi="Times New Roman"/>
          <w:sz w:val="24"/>
          <w:szCs w:val="24"/>
        </w:rPr>
        <w:t xml:space="preserve">V gesci MŠMT byly hodnoceny Národní program výzkumu a Národní program výzkumu II. Z informačního systému výzkumu, vývoje a inovací (dále jen „IS </w:t>
      </w:r>
      <w:proofErr w:type="spellStart"/>
      <w:r w:rsidRPr="009A3997">
        <w:rPr>
          <w:rFonts w:ascii="Times New Roman" w:hAnsi="Times New Roman"/>
          <w:sz w:val="24"/>
          <w:szCs w:val="24"/>
        </w:rPr>
        <w:t>VaVaI</w:t>
      </w:r>
      <w:proofErr w:type="spellEnd"/>
      <w:r w:rsidRPr="009A3997">
        <w:rPr>
          <w:rFonts w:ascii="Times New Roman" w:hAnsi="Times New Roman"/>
          <w:sz w:val="24"/>
          <w:szCs w:val="24"/>
        </w:rPr>
        <w:t xml:space="preserve">“) bylo zjištěno, že bez </w:t>
      </w:r>
      <w:r w:rsidR="00E86278">
        <w:rPr>
          <w:rFonts w:ascii="Times New Roman" w:hAnsi="Times New Roman"/>
          <w:sz w:val="24"/>
          <w:szCs w:val="24"/>
        </w:rPr>
        <w:t>jakéhokoliv uplatněného</w:t>
      </w:r>
      <w:r w:rsidRPr="009A3997">
        <w:rPr>
          <w:rFonts w:ascii="Times New Roman" w:hAnsi="Times New Roman"/>
          <w:sz w:val="24"/>
          <w:szCs w:val="24"/>
        </w:rPr>
        <w:t xml:space="preserve"> výsledku skončilo 93 projektů (viz </w:t>
      </w:r>
      <w:r w:rsidR="00E86278">
        <w:rPr>
          <w:rFonts w:ascii="Times New Roman" w:hAnsi="Times New Roman"/>
          <w:sz w:val="24"/>
          <w:szCs w:val="24"/>
        </w:rPr>
        <w:t>tabulka</w:t>
      </w:r>
      <w:r w:rsidRPr="009A3997">
        <w:rPr>
          <w:rFonts w:ascii="Times New Roman" w:hAnsi="Times New Roman"/>
          <w:sz w:val="24"/>
          <w:szCs w:val="24"/>
        </w:rPr>
        <w:t xml:space="preserve"> č. 2).</w:t>
      </w:r>
    </w:p>
    <w:p w:rsidR="00400962" w:rsidRPr="009A3997" w:rsidRDefault="00400962" w:rsidP="0001185F">
      <w:pPr>
        <w:pStyle w:val="Nadpis1"/>
        <w:spacing w:after="120"/>
      </w:pPr>
      <w:r w:rsidRPr="009A3997">
        <w:t>Možnosti nápravy neuspokojivé situace</w:t>
      </w:r>
    </w:p>
    <w:p w:rsidR="00400962" w:rsidRPr="009A3997" w:rsidRDefault="00400962" w:rsidP="0001185F">
      <w:pPr>
        <w:pStyle w:val="Odstavecseseznamem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A3997">
        <w:rPr>
          <w:rFonts w:ascii="Times New Roman" w:hAnsi="Times New Roman"/>
          <w:sz w:val="24"/>
          <w:szCs w:val="24"/>
        </w:rPr>
        <w:t>Využití legislativních opatření</w:t>
      </w:r>
    </w:p>
    <w:p w:rsidR="00400962" w:rsidRPr="009A3997" w:rsidRDefault="00400962" w:rsidP="0001185F">
      <w:pPr>
        <w:pStyle w:val="Odstavecseseznamem"/>
        <w:numPr>
          <w:ilvl w:val="1"/>
          <w:numId w:val="10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A3997">
        <w:rPr>
          <w:rFonts w:ascii="Times New Roman" w:hAnsi="Times New Roman"/>
          <w:sz w:val="24"/>
          <w:szCs w:val="24"/>
        </w:rPr>
        <w:t>Poskytovatel může využít ustanovení § 14 odst. 4 zákona o podpoře výzkumu, experimentálního vývoje a inovací, podle kterého „(4) při nedodržení povinností stanovených tímto zákonem nebo při nedodržení podmínek rozhodnutí o poskytnutí podpory … nebo při porušení závazku ze smlouvy o poskytnutí podpory nebo smlouvy o využití výsledků ze strany příjemce poskytovatel může vyloučit návrh projektu příjemce z veřejné soutěže ve výzkumu vývoji a inovacích po dobu až 3 let ode dne, kdy bylo toto porušení prokázáno nebo kdy ho písemně uznal.“.</w:t>
      </w:r>
    </w:p>
    <w:p w:rsidR="00400962" w:rsidRPr="009A3997" w:rsidRDefault="00400962" w:rsidP="0001185F">
      <w:pPr>
        <w:spacing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A3997">
        <w:rPr>
          <w:rFonts w:ascii="Times New Roman" w:hAnsi="Times New Roman"/>
          <w:sz w:val="24"/>
          <w:szCs w:val="24"/>
        </w:rPr>
        <w:t>Z uvedeného textu tedy vyplývá, že poskytovatel má zákonné prostředky, jak zjednat nápravu a v případě jasných porušení zákona, např. neoprávněné využití dotace, nedodržení projektu (který je součástí smlouvy/rozhodnutí o poskytnutí podpory).</w:t>
      </w:r>
    </w:p>
    <w:p w:rsidR="00400962" w:rsidRPr="009A3997" w:rsidRDefault="00400962" w:rsidP="0001185F">
      <w:pPr>
        <w:spacing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A3997">
        <w:rPr>
          <w:rFonts w:ascii="Times New Roman" w:hAnsi="Times New Roman"/>
          <w:sz w:val="24"/>
          <w:szCs w:val="24"/>
        </w:rPr>
        <w:t xml:space="preserve">Vytvoření seznamu „hříšníků“ je velmi účinným nástrojem pro budoucnost. Lze jej však použít pouze v případě, že příslušný příjemce využívá účelové podpory </w:t>
      </w:r>
      <w:r w:rsidRPr="009A3997">
        <w:rPr>
          <w:rFonts w:ascii="Times New Roman" w:hAnsi="Times New Roman"/>
          <w:sz w:val="24"/>
          <w:szCs w:val="24"/>
        </w:rPr>
        <w:lastRenderedPageBreak/>
        <w:t>opakovaně. Takový seznam však nemůže být využíván jinými poskytovateli účelové podpory, neboť ze znění § 14 odst. 4 zákona o podpoře výzkumu, experimentálního vývoje a inovací vyplývá, že takto postupuje pouze poskytovatel, v jehož působnosti k pochybení došlo.</w:t>
      </w:r>
    </w:p>
    <w:p w:rsidR="00400962" w:rsidRPr="009A3997" w:rsidRDefault="00400962" w:rsidP="0001185F">
      <w:pPr>
        <w:pStyle w:val="Odstavecseseznamem"/>
        <w:numPr>
          <w:ilvl w:val="1"/>
          <w:numId w:val="10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A3997">
        <w:rPr>
          <w:rFonts w:ascii="Times New Roman" w:hAnsi="Times New Roman"/>
          <w:sz w:val="24"/>
          <w:szCs w:val="24"/>
        </w:rPr>
        <w:t>Poskytovatel může samozřejmě využít i dalších možností. Např. v případě, že vyhodnotí situaci jako „neoprávněné použití dotace“ podle rozpočtových pravidel, může zahájit řízení o odnětí dotace a věc předat finančnímu úřadu v místě sídla příjemce.</w:t>
      </w:r>
    </w:p>
    <w:p w:rsidR="00400962" w:rsidRPr="009A3997" w:rsidRDefault="00400962" w:rsidP="0001185F">
      <w:pPr>
        <w:pStyle w:val="Odstavecseseznamem"/>
        <w:numPr>
          <w:ilvl w:val="1"/>
          <w:numId w:val="10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A3997">
        <w:rPr>
          <w:rFonts w:ascii="Times New Roman" w:hAnsi="Times New Roman"/>
          <w:sz w:val="24"/>
          <w:szCs w:val="24"/>
        </w:rPr>
        <w:t>Rada může využít ustanovení § 14 odst. 5 zákona o podpoře výzkumu, experimentálního vývoje a inovací, podle kterého „(5) v případě, že jsou do informačního systému výzkumu, vývoje a inovací předány údaje, které neodpovídají definici datových prvků a které ovlivní výši poskytnuté podpory, provozovatel je ze systému odstraní a na tuto skutečnost upozorní Radu pro výzkum, vývoj a inovace, která v návrhu výdajů na výzkum, vývoj a inovace na následující pětileté období pro příslušného poskytovatele výši výdajů sníží, a to každoročně až o 100 % objemu podpory, která měla být podle těchto nesprávných údajů na daný rok poskytnuta. …“.</w:t>
      </w:r>
    </w:p>
    <w:p w:rsidR="00400962" w:rsidRPr="009A3997" w:rsidRDefault="00400962" w:rsidP="0001185F">
      <w:pPr>
        <w:spacing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A3997">
        <w:rPr>
          <w:rFonts w:ascii="Times New Roman" w:hAnsi="Times New Roman"/>
          <w:sz w:val="24"/>
          <w:szCs w:val="24"/>
        </w:rPr>
        <w:t xml:space="preserve">Rada tedy má nástroj na řešení situace, kdy dojde ke zjevnému porušení zákonných povinností. </w:t>
      </w:r>
    </w:p>
    <w:p w:rsidR="00400962" w:rsidRPr="009A3997" w:rsidRDefault="00400962" w:rsidP="0001185F">
      <w:pPr>
        <w:pStyle w:val="Odstavecseseznamem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A3997">
        <w:rPr>
          <w:rFonts w:ascii="Times New Roman" w:hAnsi="Times New Roman"/>
          <w:sz w:val="24"/>
          <w:szCs w:val="24"/>
        </w:rPr>
        <w:t>Nelegislativní nástroje</w:t>
      </w:r>
    </w:p>
    <w:p w:rsidR="00400962" w:rsidRPr="009A3997" w:rsidRDefault="00400962" w:rsidP="0001185F">
      <w:pPr>
        <w:pStyle w:val="Odstavecseseznamem"/>
        <w:numPr>
          <w:ilvl w:val="1"/>
          <w:numId w:val="10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A3997">
        <w:rPr>
          <w:rFonts w:ascii="Times New Roman" w:hAnsi="Times New Roman"/>
          <w:sz w:val="24"/>
          <w:szCs w:val="24"/>
        </w:rPr>
        <w:t>Zveřejnění</w:t>
      </w:r>
    </w:p>
    <w:p w:rsidR="00400962" w:rsidRPr="009A3997" w:rsidRDefault="00400962" w:rsidP="0001185F">
      <w:pPr>
        <w:spacing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A3997">
        <w:rPr>
          <w:rFonts w:ascii="Times New Roman" w:hAnsi="Times New Roman"/>
          <w:sz w:val="24"/>
          <w:szCs w:val="24"/>
        </w:rPr>
        <w:t xml:space="preserve">Poskytovatelé i příjemci, kteří předali do </w:t>
      </w:r>
      <w:proofErr w:type="gramStart"/>
      <w:r w:rsidRPr="009A3997">
        <w:rPr>
          <w:rFonts w:ascii="Times New Roman" w:hAnsi="Times New Roman"/>
          <w:sz w:val="24"/>
          <w:szCs w:val="24"/>
        </w:rPr>
        <w:t>CEP</w:t>
      </w:r>
      <w:proofErr w:type="gramEnd"/>
      <w:r w:rsidRPr="009A3997">
        <w:rPr>
          <w:rFonts w:ascii="Times New Roman" w:hAnsi="Times New Roman"/>
          <w:sz w:val="24"/>
          <w:szCs w:val="24"/>
        </w:rPr>
        <w:t xml:space="preserve"> hodnocení „uspěl“ u projektů bez vykázaného výsledku, budou jmenovitě uvedeni v materiálu Souhrnné vyhodnocení výsledků programů pro výzkum, vývoj a inovace ukončených v daném roce. </w:t>
      </w:r>
    </w:p>
    <w:p w:rsidR="00400962" w:rsidRPr="009A3997" w:rsidRDefault="00400962" w:rsidP="0001185F">
      <w:pPr>
        <w:pStyle w:val="Odstavecseseznamem"/>
        <w:numPr>
          <w:ilvl w:val="1"/>
          <w:numId w:val="10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A3997">
        <w:rPr>
          <w:rFonts w:ascii="Times New Roman" w:hAnsi="Times New Roman"/>
          <w:sz w:val="24"/>
          <w:szCs w:val="24"/>
        </w:rPr>
        <w:t>Úprava výdajů rozpočtových kapitol poskytovatelů</w:t>
      </w:r>
    </w:p>
    <w:p w:rsidR="00400962" w:rsidRPr="009A3997" w:rsidRDefault="00400962" w:rsidP="0001185F">
      <w:pPr>
        <w:spacing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A3997">
        <w:rPr>
          <w:rFonts w:ascii="Times New Roman" w:hAnsi="Times New Roman"/>
          <w:sz w:val="24"/>
          <w:szCs w:val="24"/>
        </w:rPr>
        <w:t xml:space="preserve">Rada může rovněž zohlednit porušení povinnosti předávat správné údaje do IS </w:t>
      </w:r>
      <w:proofErr w:type="spellStart"/>
      <w:r w:rsidRPr="009A3997">
        <w:rPr>
          <w:rFonts w:ascii="Times New Roman" w:hAnsi="Times New Roman"/>
          <w:sz w:val="24"/>
          <w:szCs w:val="24"/>
        </w:rPr>
        <w:t>VaVaI</w:t>
      </w:r>
      <w:proofErr w:type="spellEnd"/>
      <w:r w:rsidRPr="009A3997">
        <w:rPr>
          <w:rFonts w:ascii="Times New Roman" w:hAnsi="Times New Roman"/>
          <w:sz w:val="24"/>
          <w:szCs w:val="24"/>
        </w:rPr>
        <w:t xml:space="preserve"> při přípravě návrhu výdajů státního rozpočtu a poskytovatelům, u kterých dochází ve větším počtu případů porušení povinnosti předávat pravdivé údaje od IS </w:t>
      </w:r>
      <w:proofErr w:type="spellStart"/>
      <w:r w:rsidRPr="009A3997">
        <w:rPr>
          <w:rFonts w:ascii="Times New Roman" w:hAnsi="Times New Roman"/>
          <w:sz w:val="24"/>
          <w:szCs w:val="24"/>
        </w:rPr>
        <w:t>VaVaI</w:t>
      </w:r>
      <w:proofErr w:type="spellEnd"/>
      <w:r w:rsidRPr="009A3997">
        <w:rPr>
          <w:rFonts w:ascii="Times New Roman" w:hAnsi="Times New Roman"/>
          <w:sz w:val="24"/>
          <w:szCs w:val="24"/>
        </w:rPr>
        <w:t>, a upravit celkovou výši účelových výdajů příslušného poskytovatele.</w:t>
      </w:r>
    </w:p>
    <w:p w:rsidR="00400962" w:rsidRPr="009A3997" w:rsidRDefault="00400962" w:rsidP="0001185F">
      <w:pPr>
        <w:spacing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A3997">
        <w:rPr>
          <w:rFonts w:ascii="Times New Roman" w:hAnsi="Times New Roman"/>
          <w:sz w:val="24"/>
          <w:szCs w:val="24"/>
        </w:rPr>
        <w:t>U poskytovatelů, kteří již nemohou poskytovat účelovou podporu, nelze již prakticky žádná opatření přijmout.</w:t>
      </w:r>
    </w:p>
    <w:p w:rsidR="00400962" w:rsidRPr="009A3997" w:rsidRDefault="00400962" w:rsidP="0001185F">
      <w:pPr>
        <w:pStyle w:val="Odstavecseseznamem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A3997">
        <w:rPr>
          <w:rFonts w:ascii="Times New Roman" w:hAnsi="Times New Roman"/>
          <w:sz w:val="24"/>
          <w:szCs w:val="24"/>
        </w:rPr>
        <w:t xml:space="preserve">Úprava automatických kontrol IS </w:t>
      </w:r>
      <w:proofErr w:type="spellStart"/>
      <w:r w:rsidRPr="009A3997">
        <w:rPr>
          <w:rFonts w:ascii="Times New Roman" w:hAnsi="Times New Roman"/>
          <w:sz w:val="24"/>
          <w:szCs w:val="24"/>
        </w:rPr>
        <w:t>VaVaI</w:t>
      </w:r>
      <w:proofErr w:type="spellEnd"/>
    </w:p>
    <w:p w:rsidR="00400962" w:rsidRPr="009A3997" w:rsidRDefault="00400962" w:rsidP="0001185F">
      <w:pPr>
        <w:spacing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A3997">
        <w:rPr>
          <w:rFonts w:ascii="Times New Roman" w:hAnsi="Times New Roman"/>
          <w:sz w:val="24"/>
          <w:szCs w:val="24"/>
        </w:rPr>
        <w:t xml:space="preserve">Rada může zvážit zavedení preventivních opatření, která buď nedovolí poskytovatelům předat do IS </w:t>
      </w:r>
      <w:proofErr w:type="spellStart"/>
      <w:r w:rsidRPr="009A3997">
        <w:rPr>
          <w:rFonts w:ascii="Times New Roman" w:hAnsi="Times New Roman"/>
          <w:sz w:val="24"/>
          <w:szCs w:val="24"/>
        </w:rPr>
        <w:t>VaVaI</w:t>
      </w:r>
      <w:proofErr w:type="spellEnd"/>
      <w:r w:rsidRPr="009A3997">
        <w:rPr>
          <w:rFonts w:ascii="Times New Roman" w:hAnsi="Times New Roman"/>
          <w:sz w:val="24"/>
          <w:szCs w:val="24"/>
        </w:rPr>
        <w:t xml:space="preserve"> nesprávné nebo neúplné údaje nebo je na nebezpečí předání nesprávných nebo neúplných údajů upozorní. Pravděpodobnost předání nesprávných nebo neúplných údajů o výsledcích ve vztahu k projektům bude avizována např. v průvodce k předávaným údajům. Bude zavedena kontrola, která upozorní poskytovatele po předání výsledků do </w:t>
      </w:r>
      <w:proofErr w:type="gramStart"/>
      <w:r w:rsidRPr="009A3997">
        <w:rPr>
          <w:rFonts w:ascii="Times New Roman" w:hAnsi="Times New Roman"/>
          <w:sz w:val="24"/>
          <w:szCs w:val="24"/>
        </w:rPr>
        <w:t>CEP</w:t>
      </w:r>
      <w:proofErr w:type="gramEnd"/>
      <w:r w:rsidRPr="009A3997">
        <w:rPr>
          <w:rFonts w:ascii="Times New Roman" w:hAnsi="Times New Roman"/>
          <w:sz w:val="24"/>
          <w:szCs w:val="24"/>
        </w:rPr>
        <w:t xml:space="preserve"> na nezbytnost odevzdání výsledků do evidence RIV. </w:t>
      </w:r>
    </w:p>
    <w:p w:rsidR="00400962" w:rsidRPr="009A3997" w:rsidRDefault="00400962" w:rsidP="0001185F">
      <w:pPr>
        <w:pStyle w:val="Odstavecseseznamem"/>
        <w:keepNext/>
        <w:numPr>
          <w:ilvl w:val="0"/>
          <w:numId w:val="10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A3997">
        <w:rPr>
          <w:rFonts w:ascii="Times New Roman" w:hAnsi="Times New Roman"/>
          <w:sz w:val="24"/>
          <w:szCs w:val="24"/>
        </w:rPr>
        <w:t>Úprava smluv/rozhodnutí o poskytnutí podpory</w:t>
      </w:r>
    </w:p>
    <w:p w:rsidR="00BA4551" w:rsidRDefault="00400962" w:rsidP="0001185F">
      <w:pPr>
        <w:spacing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A3997">
        <w:rPr>
          <w:rFonts w:ascii="Times New Roman" w:hAnsi="Times New Roman"/>
          <w:sz w:val="24"/>
          <w:szCs w:val="24"/>
        </w:rPr>
        <w:t>Rada doporučuje, aby poskytovatelé při formulování smluv/rozhodnutí při poskytnutí podpory zohlednili zakotvení sankcí při nedodržení stanovených povinností, Tímto postupem si poskytovatel zajistí dostatečné právní nástroje na vymáhání informací o výsledcích od příjemců.</w:t>
      </w:r>
      <w:r w:rsidR="007C31AC" w:rsidRPr="009A3997">
        <w:rPr>
          <w:rFonts w:ascii="Times New Roman" w:hAnsi="Times New Roman"/>
          <w:sz w:val="24"/>
          <w:szCs w:val="24"/>
        </w:rPr>
        <w:t xml:space="preserve"> Poskytovatelé by rovněž měli zvážit možnost, že budou v návrzích projektů vyžadovat specifikaci typů očekávaných výsledků.</w:t>
      </w:r>
    </w:p>
    <w:p w:rsidR="008917AC" w:rsidRDefault="008917AC" w:rsidP="0001185F">
      <w:pPr>
        <w:spacing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  <w:sectPr w:rsidR="008917AC" w:rsidSect="004D0BAB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A4551" w:rsidRPr="00D70213" w:rsidRDefault="007E47D3" w:rsidP="00BA455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Tabulka</w:t>
      </w:r>
      <w:r w:rsidRPr="001548C8">
        <w:rPr>
          <w:rFonts w:ascii="Times New Roman" w:hAnsi="Times New Roman"/>
          <w:b/>
          <w:sz w:val="24"/>
          <w:szCs w:val="24"/>
        </w:rPr>
        <w:t xml:space="preserve"> č. </w:t>
      </w:r>
      <w:r>
        <w:rPr>
          <w:rFonts w:ascii="Times New Roman" w:hAnsi="Times New Roman"/>
          <w:b/>
          <w:sz w:val="24"/>
          <w:szCs w:val="24"/>
        </w:rPr>
        <w:t>1</w:t>
      </w:r>
      <w:r w:rsidRPr="001548C8">
        <w:rPr>
          <w:rFonts w:ascii="Times New Roman" w:hAnsi="Times New Roman"/>
          <w:b/>
          <w:sz w:val="24"/>
          <w:szCs w:val="24"/>
        </w:rPr>
        <w:t xml:space="preserve">: </w:t>
      </w:r>
      <w:r w:rsidR="00BA4551" w:rsidRPr="00D70213">
        <w:rPr>
          <w:rFonts w:ascii="Times New Roman" w:hAnsi="Times New Roman"/>
          <w:b/>
          <w:sz w:val="24"/>
          <w:szCs w:val="24"/>
        </w:rPr>
        <w:t xml:space="preserve">Seznam institucí, které ukončily projekt bez uplatněného výsledku v IS </w:t>
      </w:r>
      <w:proofErr w:type="spellStart"/>
      <w:r w:rsidR="00BA4551" w:rsidRPr="00D70213">
        <w:rPr>
          <w:rFonts w:ascii="Times New Roman" w:hAnsi="Times New Roman"/>
          <w:b/>
          <w:sz w:val="24"/>
          <w:szCs w:val="24"/>
        </w:rPr>
        <w:t>VaVaI</w:t>
      </w:r>
      <w:proofErr w:type="spellEnd"/>
      <w:r w:rsidR="00E86278">
        <w:rPr>
          <w:rFonts w:ascii="Times New Roman" w:hAnsi="Times New Roman"/>
          <w:b/>
          <w:sz w:val="24"/>
          <w:szCs w:val="24"/>
        </w:rPr>
        <w:t xml:space="preserve"> - RIV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332"/>
        <w:gridCol w:w="987"/>
        <w:gridCol w:w="4071"/>
        <w:gridCol w:w="1123"/>
        <w:gridCol w:w="982"/>
        <w:gridCol w:w="984"/>
        <w:gridCol w:w="982"/>
        <w:gridCol w:w="3683"/>
      </w:tblGrid>
      <w:tr w:rsidR="00BA4551" w:rsidRPr="00D70213" w:rsidTr="007E47D3">
        <w:trPr>
          <w:trHeight w:val="1890"/>
          <w:tblHeader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154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  <w:t>Poskytovatel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154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  <w:t>Program výzkumu a vývoje</w:t>
            </w:r>
          </w:p>
        </w:tc>
        <w:tc>
          <w:tcPr>
            <w:tcW w:w="1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154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  <w:t>Název projektu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154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  <w:t>Podpora ze státního rozpočtu čerpaná na projekt za celou bodu řešení v tis. Kč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154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  <w:t>Rok zahájení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154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  <w:t>Rok ukončení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154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  <w:t>Zhodnocení výsledku řešení projektu</w:t>
            </w:r>
          </w:p>
        </w:tc>
        <w:tc>
          <w:tcPr>
            <w:tcW w:w="1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154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  <w:t>Řešitel (řešitelé)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MD0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CG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Vodorovné dopravní značení pro bezpečný provoz na pozemních komunikacích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2 804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Silniční vývoj - ZDZ spol. s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r.</w:t>
            </w:r>
            <w:proofErr w:type="gram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o.,Vysoké</w:t>
            </w:r>
            <w:proofErr w:type="spellEnd"/>
            <w:proofErr w:type="gram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učení technické v Brně,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MD0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CG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Využití indikátorů pro hodnocení regionálního rozvoje udržitelné dopravy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1 784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Cen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trum dopravního výzkumu, </w:t>
            </w:r>
            <w:proofErr w:type="spellStart"/>
            <w:proofErr w:type="gramStart"/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v.v.</w:t>
            </w:r>
            <w:proofErr w:type="gramEnd"/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i</w:t>
            </w:r>
            <w:proofErr w:type="spellEnd"/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EVERNIA s. r. o.,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4 588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MMR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WD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Klíčové faktory úspěchu a efektivity intervencí místních akčních skupin jako nástroje pro obnovu a rozvoj venkova v ČR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2 160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Centrum pro komunitní práci západní Čechy,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2 160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MO0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OS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ANALTOX - Výzkum metod pro analýzu toxinů v podmínkách mobilních i stacionárních laboratoří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6 146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VOP CZ, </w:t>
            </w:r>
            <w:proofErr w:type="spellStart"/>
            <w:proofErr w:type="gram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s.p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.</w:t>
            </w:r>
            <w:proofErr w:type="gram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6 146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MPS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Právní aspekty zřízení samostatného úřadu k posuzování zdravotního stavu v resortu práce a sociálních věcí, popř. převedení těchto kompetencí zcela nebo zčásti na externí dodavatele mimo strukturu orgánů veřejné správy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500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Deloitte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Advisory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s.r.</w:t>
            </w:r>
            <w:proofErr w:type="gram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o.,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prof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.</w:t>
            </w:r>
            <w:proofErr w:type="gram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JUDr. Igor Tomeš, CSc.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MPS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Nové kompetence učitelů základních a středních škol na podporu začleňování tématiky BOZP do výchovných a vzdělávacích programů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1 221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Fond dalšího vzdělávání,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MPS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Vývoj a výhled závislosti a potřeby dlouhodobé sociálně zdravotní péče a sociálních služeb v období 2012-2020 u populace nad 65 let věku z hlediska zdravotního stavu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474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Vysoká škola finanční a sprá</w:t>
            </w:r>
            <w:r w:rsid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vní, o.p.s.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Výzkumný ústav 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práce a sociálních věcí, </w:t>
            </w:r>
            <w:proofErr w:type="spellStart"/>
            <w:proofErr w:type="gramStart"/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v.v.</w:t>
            </w:r>
            <w:proofErr w:type="gramEnd"/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i</w:t>
            </w:r>
            <w:proofErr w:type="spellEnd"/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lastRenderedPageBreak/>
              <w:t>MPS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Zjištění stresové zátěže a faktorů ovlivňujících odolnost vůči stresu posudkových lékařů v probíhající reorganizaci lékařské posudkové služby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299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Všeobecná fakultní nemocnice v Praze,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MPS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Optimalizace práce poradců pro zprostředkování zaměstnání na úřadech práce v ČR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1 552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Výzkumný ústav práce a sociálních věcí, </w:t>
            </w:r>
            <w:proofErr w:type="spellStart"/>
            <w:proofErr w:type="gram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v.v.</w:t>
            </w:r>
            <w:proofErr w:type="gram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i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.,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MPS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Analýza činnosti informačních a poradenských středisek úřadů práce v procesu přechodu mladých lidí na trh práce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1 783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Národní vzdělávací fond, o.p.s.,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MPS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Zařízení pro děti vyžadující okamžitou pomoc, umísťování dětí, podmínky péče o děti, financování provozu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412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Výzkumný ústav práce a sociálních věcí, </w:t>
            </w:r>
            <w:proofErr w:type="spellStart"/>
            <w:proofErr w:type="gram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v.v.</w:t>
            </w:r>
            <w:proofErr w:type="gram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i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.,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MPS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Úplné náklady práce ve veřejné správě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1 035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Výzkumný ústav práce a sociálních věcí, </w:t>
            </w:r>
            <w:proofErr w:type="spellStart"/>
            <w:proofErr w:type="gram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v.v.</w:t>
            </w:r>
            <w:proofErr w:type="gram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i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.,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MPS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Zavedení dvoustupňového řízení při rozhodování o dávkách důchodového pojištění v ČR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999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Výzkumný ústav práce a sociálních věcí, </w:t>
            </w:r>
            <w:proofErr w:type="spellStart"/>
            <w:proofErr w:type="gram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v.v.</w:t>
            </w:r>
            <w:proofErr w:type="gram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i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.,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MPS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Řešení ztráty příjmu z důvodu dočasné pracovní neschopnosti, těhotenství a mateřství ve státech EU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775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Vysoká škola finanční a správní,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o.p.</w:t>
            </w:r>
            <w:proofErr w:type="gram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s.,Výzkumný</w:t>
            </w:r>
            <w:proofErr w:type="spellEnd"/>
            <w:proofErr w:type="gram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ústav práce a sociálních věcí,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v.v.i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.,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MPS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Analýza výkonu profese sociální práce v systémech sociální ochrany ČR podle formálního ukotvení a podle reálných potřeb v jednotlivých systémech sociální ochrany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1 327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Výzkumný ústav práce a sociálních věcí, </w:t>
            </w:r>
            <w:proofErr w:type="spellStart"/>
            <w:proofErr w:type="gram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v.v.</w:t>
            </w:r>
            <w:proofErr w:type="gram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i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.,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MPS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Zmapování ekonomické situace pěstounských rodin a zařízení pro výkon pěstounské péče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682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Výzkumný ústav práce a sociálních věcí, </w:t>
            </w:r>
            <w:proofErr w:type="spellStart"/>
            <w:proofErr w:type="gram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v.v.</w:t>
            </w:r>
            <w:proofErr w:type="gram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i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.,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MPS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Zhodnocení systému odměňování zaměstnanců, jejichž prostředky na platy jsou zcela nebo převážně hrazeny z veřejných zdrojů, komparace českého plat. </w:t>
            </w:r>
            <w:proofErr w:type="gram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systému</w:t>
            </w:r>
            <w:proofErr w:type="gram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se systémy odměňování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lastRenderedPageBreak/>
              <w:t xml:space="preserve">obdobných okruhů zaměstnanců a zaměstnavatelů ve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vybr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. člen. státech EU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lastRenderedPageBreak/>
              <w:t>1 969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Vysoká škola finanční a správní,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o.p.</w:t>
            </w:r>
            <w:proofErr w:type="gram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s.,Výzkumný</w:t>
            </w:r>
            <w:proofErr w:type="spellEnd"/>
            <w:proofErr w:type="gram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ústav práce a sociálních věcí,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v.v.i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.,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lastRenderedPageBreak/>
              <w:t>MPS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Zhodnocení ohrožení na trhu práce a efektivních opatření v měnících se podmínkách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1 445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Výzkumný ústav práce a sociálních věcí, </w:t>
            </w:r>
            <w:proofErr w:type="spellStart"/>
            <w:proofErr w:type="gram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v.v.</w:t>
            </w:r>
            <w:proofErr w:type="gram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i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.,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MPS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Odstraňování bariér a zvyšování úrovně BOZP u zahraničních pracovníků.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1 985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Výzkumný ústav bezpečnosti práce, </w:t>
            </w:r>
            <w:proofErr w:type="spellStart"/>
            <w:proofErr w:type="gram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v.v.</w:t>
            </w:r>
            <w:proofErr w:type="gram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i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.,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MPS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Analýza kontaminace pracovního ovzduší nanočásticemi a stanovení účinnosti osobních ochranných pracovních prostředků pro ochranu dýchadel před účinky nanočástic na pracovištích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1 940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Výzkumný ústav bezpečnosti práce, </w:t>
            </w:r>
            <w:proofErr w:type="spellStart"/>
            <w:proofErr w:type="gram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v.v.</w:t>
            </w:r>
            <w:proofErr w:type="gram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i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.,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MPS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Výzkum a vývoj metod a postupů BOZP při těžbě dřeva (včetně kalamitní) s cílem zvýšit prevenci rizik zaměstnanců, OSVČ a agenturních zaměstnanců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1 392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Výzkumný ústav bezpečnosti práce, </w:t>
            </w:r>
            <w:proofErr w:type="spellStart"/>
            <w:proofErr w:type="gram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v.v.</w:t>
            </w:r>
            <w:proofErr w:type="gram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i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.,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19 790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Právní a etické aspekty poskytování zdravotní péče v krajních životních situacích pro pacienta v kontextu české a evropské legislativy a judikatury-metodika pro české zdravotnictví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3 441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Roman Žďárek JUDr.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MUDr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Ph.D., MBA,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Spo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l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ečnost medicínského práva,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Genetické aspekty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ototoxicity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indukované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cisplatinou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- prospektivní asociační studie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2 470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u sv.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Anny v Brně,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Masarykova univerzita,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Masarykův onkologický ústav,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Měření funkcí autonomního systému u pacientů na umělé plicní ventilaci.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2 039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u sv.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Anny v Brně,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Ústav přístrojové techniky AV ČR, v. v. i.,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Prasečí model ruptury aneurysmatu abdominální aorty. Vliv časování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hyperoxie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na parametry inflamace a ischemicko-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reperfuzního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traumatu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5 981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u sv.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Anny v Brně,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Veterinární a farmaceutická univerzita Brno,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Asociace polymorfismů v genech pro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metaloproteinázy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, jejich inhibitory, ACE a ACE2 s centrálním pulsním tlakem u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lastRenderedPageBreak/>
              <w:t>kardiovaskulárních pacientů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lastRenderedPageBreak/>
              <w:t>7 767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Brno,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Masarykova univerzita,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lastRenderedPageBreak/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Neurální diferenciace u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microRNA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indukovaných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pluripotentních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kmenových buněk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3 094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Masarykova univerzita,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Snaha o farmakologické ovlivnění růstu experimentálně vzniklého aneuryzmatu abdominální aorty u zvířete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1 746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Univerzita Karlova v Praze,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Identifikace mechanizmů vzniku chromozomálních aberací při dlouhodobé kultivaci lidských embryonálních buněk in vitro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2 366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Masarykova univerzita,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Laparoskopie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transgastricky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metodou Natural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orifice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transluminal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endoscopic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surgery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- NOTES v porovnání s klasickou laparoskopií - experiment na prasečím modelu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3 906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Univerzita Karlova v Praze,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Neuromodulace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v řešení poruch kontinence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6 147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Masarykova univerzita,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Stanovení promotorů angiogeneze v nitrooční tekutině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multiplexovou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analýzou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1 912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Plzeň,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Mechanismy epigenetické kontroly exprese a funkce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androgenového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receptoru (AR) u karcinomu prostaty: Možné terapeutické implikace blokády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koaktivátorů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AR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2 222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Olomouc,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Univerzita Palackého v Olomouci,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Biochemie a buněčná biologie lidské </w:t>
            </w:r>
            <w:proofErr w:type="gram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acetyl-koenzym A :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glukosaminid</w:t>
            </w:r>
            <w:proofErr w:type="spellEnd"/>
            <w:proofErr w:type="gram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N-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acetyltransferasy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jako podklad pro budoucí terapeutické aplikace u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mukopolysacharidosy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typu IIIC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6 730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Univerzita Karlova v Praze,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Význam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mikroRNA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v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chemoprotektivním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účinku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fytochemikálií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zeleniny rodu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Brassica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a vliv polymorfizmů jejich vazebných míst na riziko nádorového onemocnění tlustého střeva a konečníku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4 392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Masarykův onkologický ústav,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lastRenderedPageBreak/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Vliv techniky reimplantace ureteru při rekonstrukci močových cest na funkce a morbiditu ledvin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1 725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Masarykův onkologický ústav,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Pilotní studie neinvazivního monitorování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hepatotoxicity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v průběhu dlouhodobé farmakokineticky řízené léčby psoriázy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metotrexátem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a kyselinou listovou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4 364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Hradec Králové,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Univerzita Karlova v Praze,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Neoadjuvantní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léčba karcinomu prsu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7 746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Hradec Králové,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Univerzita Karlova v Praze,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Sexuální rozdíly v účincích </w:t>
            </w:r>
            <w:proofErr w:type="gram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3,4-methylendioxymetamfetaminu</w:t>
            </w:r>
            <w:proofErr w:type="gram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(MDMA) na kognitivní funkce,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neurogenzi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a farmakokinetické parametry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4 575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Psychiatrické centrum Praha,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Změny exprese </w:t>
            </w:r>
            <w:proofErr w:type="spellStart"/>
            <w:proofErr w:type="gram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PAR?s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cytokinů</w:t>
            </w:r>
            <w:proofErr w:type="spellEnd"/>
            <w:proofErr w:type="gram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a jejich receptorů u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fibrotizujících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plicních procesů a procesů plic spojených s redukcí počtu alveolů bez jizvení (Idiopatická plicní fibróza vs. CHOPN)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4 180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v Motole,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Thomayerova nemocnice,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Komplexní řešení poranění hlezenního kloubu rostoucího skeletu-aplikace vlastního výzkumu, diagnostika, funkční terapie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1 684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Thomayerova nemocnice,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Vliv hemodialýzy a transplantace ledviny na reprodukční schopnost u mužů s chronickou renální insuficiencí.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2 507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Institut klinické a experimentální medicíny,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Thomayerova nemocnice,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Chirurgická léčba inkontinence moči u dlouhodobě hospitalizovaných geriatrických pacientů; srovnávací multicentrická randomizovaná studie výsledků různých metod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6 343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v Motole,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Nemocnice Na Bulovce,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PSYCHIATRICKÁ LÉČEBNA Bohnice,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Vliv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statinů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na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repolarizační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fázi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kardiomyocytů</w:t>
            </w:r>
            <w:proofErr w:type="spellEnd"/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1 568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Brno,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lastRenderedPageBreak/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Permanentní stimulace sakrálního nervu v léčení anální inkontinence a zlepšení kvality života pacientů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6 938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Nemocnice Na Bulovce,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Vliv antibiotické profylaxe na výskyt pooperačních infekčních komplikací u vybraných akutních abdominálních chirurgických výkonů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3 722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Institut postgraduálního vzdělávání ve zdravotnictví,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Nemocnice Na Bulovce,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Optimalizace léčby těžké peritonitidy, prospektivní porovnání primárního uzávěru dutiny břišní a metody VAC (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Vacuum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Assisted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Closure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3 787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Institut postgraduálního vzdělávání ve zdravotnictví,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Nemocnice Na Bulovce,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Expresní vzorec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isoforem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a mutační stav genu WT1 jako nový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pathogenetický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a diagnostický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marker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u dětských hematologických malignit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5 271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v Motole,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Univerzita Karlova v Praze,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Ústav hematologie a krevní transfúze,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Dlouhodobý vývoj morfologie a metabolizmu mozku po transplantaci jater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1 823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Institut klinické a experimentální medicíny,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Vliv imunosuprese na imunopatologické alterace u zvířecího modelu sepse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5 148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Institut klinické a experimentální medicíny,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Aplikace trojrozměrných zobrazovacích a morfometrických metod ve výzkumu postoperačního vývoje zubního oblouku a patra u pacientů s rozštěpy.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950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Všeobecná fakultní nemocnice v Praze,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Farmakogenomická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predikce účinnosti tamoxifenu v léčbě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hormonálnědependentních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postmenopausálních žen s karcinomem prsu na základě korelace aktivity CYP2D6 určené z hodnocení polymorfismu jeho genu a rozboru genotypu MDR-1 genu pro P-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glykoproteín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4 546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Všeobecná fakultní nemocnice v Praze,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Vliv zkrácení předoperační přípravy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warfarinizovaných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pacientů se zlomeninou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lastRenderedPageBreak/>
              <w:t>proximálního konce kosti stehenní podáním koncentrátu plazmatických faktorů II, VII a IX, X na morbiditu a mortalitu.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lastRenderedPageBreak/>
              <w:t>3 469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Univerzita Karlova v Praze,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Všeobecná fakultní nemocnice v Praze,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lastRenderedPageBreak/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Role proteinu vázajícího mastné kyseliny (FABP4) v patogenezi revmatoidní artritidy a osteoartrózy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4 143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Revmatologický ústav,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Porovnání klasické a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miniinvazivních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náhrad aortální chlopně u pacientů ve vysokém věku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19 163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Centrum kardiovaskulární a transplantační chirurgie,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Brno,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Možnosti modulace neuroendokrinní diferenciace a progrese nádorů prostaty.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3 692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Biofyzikální ústav AV ČR, v. v. i.,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Význam biologického chování nitrolebních meningiomů pro jejich dlouhodobý management.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1 393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Ústřední vojenská nemocnice Praha,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Analýza intracelulárních Ca2+ signálů v patologii nádorových buněk leukemií a lymfomů, v regulaci nádorového růstu a indukci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apoptózy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v odpovědi na terapii monoklonálními protilátkami, detekovaných pomocí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fotoproteinů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a fluorescenčních indikátorů.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2 350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Brno,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Masarykova univerzita,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Předoperační regionální chemoterapie v léčbě karcinomu tlustého střeva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3 136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Hradec Králové,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Olomouc,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Univerzita Palackého v Olomouci,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Morfologické změny plicního řečiště po plicní embolii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4 507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Hradec Králové,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Posouzení možnosti ochrany hilových struktur před tepelným působením sondy při radiofrekvenční ablaci tumorů plic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2 652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Univerzita Karlova v Praze,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Dokončení vývoje a výroba univerzální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aparatůry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pro měření minutového </w:t>
            </w:r>
            <w:proofErr w:type="gram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srdečních</w:t>
            </w:r>
            <w:proofErr w:type="gram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výdeje, zkratů a regurgitací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1 095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Hradec Králové,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Univerzita Karlova v Praze,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lastRenderedPageBreak/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Vývoj nové tularemické vakcíny na základě objasnění molekulární podstaty patogeneze tularemie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3 981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Ministerstvo obrany,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Porovnání mortality a nákladů na léčbu nemocných s krvácením do trávicího traktu ve dvou zdravotnických zařízeních stejného typu, ale s odlišnou organizací péče o tyto nemocné a posouzení vlivu centralizace péče na sledované parametry.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1 094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Olomouc,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Ostrava,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Intracelulární účinky uridinu v léčbě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palmární-plantární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erythrodyesthesie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po kontinuální terapii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fluoropyrimidiny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- studie in vitro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2 184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Všeobecná fakultní nemocnice v Praze,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Význam interakce nádorového supresoru p53 a interleukinu-1alfa při nádorové transformaci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4 576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Univerzita Karlova v Praze,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Liposukce u chronického lymfedému horní končetiny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1 160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v Motole,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Prevalence a biologické souvislosti chromozomální integrace šestého lidského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herpesviru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(HHV6) u dospělých a dětských pacientů léčených pro maligní onemocnění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3 146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v Motole,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Ústav hematologie a krevní transfúze,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Vytvoření systematického přehledu na téma Diuretika a nefrotický syndrom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727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Univerzita Palackého v Olomouci,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Molekulární podstata odpovědi na glukokortikoidy u akutní lymfatické leukémie dětí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5 684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Olomouc,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Univerzita Palackého v Olomouci,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Význam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hepcidinu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pro diagnostiku a léčbu anémií v dětském věku.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6 251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Hradec Králové,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Olomouc,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Univerzita Palackého v Olomouci,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Urologické a endokrinologické faktory hormonální substituční terapie u pacientů s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lastRenderedPageBreak/>
              <w:t>Kallmannovým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syndromem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lastRenderedPageBreak/>
              <w:t>1 649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Fakultní nemocnice Královské Vinohrady, Univerzita Karlova v Praze,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197 142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MZP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SP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Alternativní a matematické metody a postupy v testování dráždivých a senzibilizujících účinků chemický látek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8 715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Výzkumný ústav organických syntéz a.s.,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MZP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SP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Stanovení akustického klimatu na území ČR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4 846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EKOLA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group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, spol. s r.o.,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MZP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SP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Vliv způsobu lesnického hospodaření na biodiverzitu lesních ekosystémů v kontextu globální klimatické změny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15 098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Ekologické služby, s.r.o.,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MZP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SP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Monitoring výskytu a cílené využívání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entomopatogenních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hub přirozeně asociovaných s populacemi lýkožrouta smrkového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Ips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typographus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L. (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Coleoptera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Scolytidae</w:t>
            </w:r>
            <w:proofErr w:type="spellEnd"/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) ve smrčinách NP a CHKO Šumava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6 156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Jihočeská univerzita v Českých Budějovicích,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MZP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SP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Posouzení efektivnosti vyšších úrovní třídění odpadu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2 198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ECO trend s.r.o.,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MZP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SP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Zlepšení využívání směsných komunálních odpadů s cílem snižování množství biologicky rozložitelných komunálních odpadů ukládaných na skládky a vytvoření kapacit pro zpracování biologicky rozložitelných odpadů, včetně odpadů z kuchyní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6 076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S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DEKONT ENV.T., s.r.o.,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MZP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SP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Návrh integrovaného systému nakládání s bioodpady v Moravskoslezském kraji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1 382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sz w:val="20"/>
                <w:szCs w:val="20"/>
              </w:rPr>
              <w:t>2008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IREAS, Institut pro strukturální politiku, o.p.s.,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Vysoká škola báňská - Technická univerzita Ostrava,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MZP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SP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Zhodnocení a návrh optimalizace pstruhového hospodaření v ČR ve vztahu k ochraně zvláště chráněných druhů a biodiverzity ve zvláště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lastRenderedPageBreak/>
              <w:t>chráněných územích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lastRenderedPageBreak/>
              <w:t>4 296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DAPHNE ČR - Institut aplikované ekologie,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lastRenderedPageBreak/>
              <w:t>MZP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SP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Porovnání environmentálních dopadů nápojových obalů v ČR metodou LCA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3 320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Ing. Bohumil Černík,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Ing. Marie Tichá - MT Konzult,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MZP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SP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Občan jako základní prvek systému zpětného odběru EEZ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1 830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0213"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ECO trend s.r.o.,</w:t>
            </w:r>
          </w:p>
        </w:tc>
      </w:tr>
      <w:tr w:rsidR="00BA4551" w:rsidRPr="00D70213" w:rsidTr="007E47D3">
        <w:trPr>
          <w:trHeight w:val="315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53 917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51" w:rsidRPr="00D70213" w:rsidRDefault="00BA4551" w:rsidP="00BA45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551" w:rsidRPr="00D70213" w:rsidRDefault="00BA4551" w:rsidP="00BA45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7E47D3" w:rsidRPr="00D70213" w:rsidTr="007E47D3">
        <w:trPr>
          <w:trHeight w:val="375"/>
        </w:trPr>
        <w:tc>
          <w:tcPr>
            <w:tcW w:w="225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47D3" w:rsidRPr="00D70213" w:rsidRDefault="007E47D3" w:rsidP="00BA455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C E L K E M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47D3" w:rsidRPr="00D70213" w:rsidRDefault="007E47D3" w:rsidP="00BA45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702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283 743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7D3" w:rsidRPr="00D70213" w:rsidRDefault="007E47D3" w:rsidP="00BA4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D3" w:rsidRPr="00D70213" w:rsidRDefault="007E47D3" w:rsidP="00BA4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47D3" w:rsidRPr="00D70213" w:rsidRDefault="007E47D3" w:rsidP="001548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47D3" w:rsidRPr="00D70213" w:rsidRDefault="007E47D3" w:rsidP="00BA455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3978E2" w:rsidRPr="001548C8" w:rsidRDefault="003978E2" w:rsidP="003978E2">
      <w:pPr>
        <w:spacing w:before="120" w:after="120"/>
        <w:rPr>
          <w:rFonts w:ascii="Times New Roman" w:hAnsi="Times New Roman"/>
          <w:sz w:val="20"/>
          <w:szCs w:val="20"/>
        </w:rPr>
      </w:pPr>
      <w:r w:rsidRPr="001548C8">
        <w:rPr>
          <w:rFonts w:ascii="Times New Roman" w:hAnsi="Times New Roman"/>
          <w:sz w:val="20"/>
          <w:szCs w:val="20"/>
        </w:rPr>
        <w:t>Vysvětlivky:</w:t>
      </w:r>
    </w:p>
    <w:p w:rsidR="003978E2" w:rsidRPr="001548C8" w:rsidRDefault="003978E2" w:rsidP="003978E2">
      <w:pPr>
        <w:spacing w:after="120"/>
        <w:rPr>
          <w:rFonts w:ascii="Times New Roman" w:hAnsi="Times New Roman"/>
          <w:sz w:val="20"/>
          <w:szCs w:val="20"/>
        </w:rPr>
      </w:pPr>
      <w:r w:rsidRPr="001548C8">
        <w:rPr>
          <w:rFonts w:ascii="Times New Roman" w:hAnsi="Times New Roman"/>
          <w:sz w:val="20"/>
          <w:szCs w:val="20"/>
        </w:rPr>
        <w:t>O – Nesplněno zadání, smlouva však byla dodržena</w:t>
      </w:r>
    </w:p>
    <w:p w:rsidR="003978E2" w:rsidRPr="001548C8" w:rsidRDefault="003978E2" w:rsidP="003978E2">
      <w:pPr>
        <w:spacing w:after="120"/>
        <w:rPr>
          <w:rFonts w:ascii="Times New Roman" w:hAnsi="Times New Roman"/>
          <w:sz w:val="20"/>
          <w:szCs w:val="20"/>
        </w:rPr>
      </w:pPr>
      <w:r w:rsidRPr="001548C8">
        <w:rPr>
          <w:rFonts w:ascii="Times New Roman" w:hAnsi="Times New Roman"/>
          <w:sz w:val="20"/>
          <w:szCs w:val="20"/>
        </w:rPr>
        <w:t>U – Uspěl podle zadání, tj. byly splněny cíle a jeho předpokládané výsledky uvedené ve smlouvě / rozhodnutí o poskytnutí podpory</w:t>
      </w:r>
    </w:p>
    <w:p w:rsidR="003978E2" w:rsidRPr="001548C8" w:rsidRDefault="003978E2" w:rsidP="003978E2">
      <w:pPr>
        <w:spacing w:after="120"/>
        <w:rPr>
          <w:rFonts w:ascii="Times New Roman" w:hAnsi="Times New Roman"/>
          <w:sz w:val="20"/>
          <w:szCs w:val="20"/>
        </w:rPr>
      </w:pPr>
      <w:r w:rsidRPr="001548C8">
        <w:rPr>
          <w:rFonts w:ascii="Times New Roman" w:hAnsi="Times New Roman"/>
          <w:sz w:val="20"/>
          <w:szCs w:val="20"/>
        </w:rPr>
        <w:t>V – Vynikající výsledky (s mezinárodním významem apod.). Zároveň byly splněny cíle a předpokládané výsledky uvedené ve smlouvě / rozhodnutí o poskytnutí podpory.</w:t>
      </w:r>
    </w:p>
    <w:p w:rsidR="003978E2" w:rsidRPr="001548C8" w:rsidRDefault="003978E2" w:rsidP="003978E2">
      <w:pPr>
        <w:rPr>
          <w:rFonts w:ascii="Times New Roman" w:hAnsi="Times New Roman"/>
          <w:sz w:val="20"/>
          <w:szCs w:val="20"/>
        </w:rPr>
      </w:pPr>
      <w:r w:rsidRPr="001548C8">
        <w:rPr>
          <w:rFonts w:ascii="Times New Roman" w:hAnsi="Times New Roman"/>
          <w:sz w:val="20"/>
          <w:szCs w:val="20"/>
        </w:rPr>
        <w:t>S – Nesplněno zadání, bylo přistoupeno k sankčním ustanovením smlouvy</w:t>
      </w:r>
    </w:p>
    <w:p w:rsidR="009A3997" w:rsidRPr="009A3997" w:rsidRDefault="009A3997">
      <w:pPr>
        <w:spacing w:after="0" w:line="240" w:lineRule="auto"/>
        <w:rPr>
          <w:rFonts w:ascii="Times New Roman" w:hAnsi="Times New Roman"/>
        </w:rPr>
      </w:pPr>
      <w:r w:rsidRPr="009A3997">
        <w:rPr>
          <w:rFonts w:ascii="Times New Roman" w:hAnsi="Times New Roman"/>
        </w:rPr>
        <w:br w:type="page"/>
      </w:r>
    </w:p>
    <w:p w:rsidR="00E72776" w:rsidRPr="001548C8" w:rsidRDefault="007E47D3" w:rsidP="00E7277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Tabulka</w:t>
      </w:r>
      <w:r w:rsidR="00E72776" w:rsidRPr="001548C8">
        <w:rPr>
          <w:rFonts w:ascii="Times New Roman" w:hAnsi="Times New Roman"/>
          <w:b/>
          <w:sz w:val="24"/>
          <w:szCs w:val="24"/>
        </w:rPr>
        <w:t xml:space="preserve"> č. 2: Seznam institucí, které ukončily projekt bez uplatněného výsledku v IS </w:t>
      </w:r>
      <w:proofErr w:type="spellStart"/>
      <w:r w:rsidR="00E72776" w:rsidRPr="001548C8">
        <w:rPr>
          <w:rFonts w:ascii="Times New Roman" w:hAnsi="Times New Roman"/>
          <w:b/>
          <w:sz w:val="24"/>
          <w:szCs w:val="24"/>
        </w:rPr>
        <w:t>VaVaI</w:t>
      </w:r>
      <w:proofErr w:type="spellEnd"/>
      <w:r w:rsidR="00E72776" w:rsidRPr="001548C8">
        <w:rPr>
          <w:rFonts w:ascii="Times New Roman" w:hAnsi="Times New Roman"/>
          <w:b/>
          <w:sz w:val="24"/>
          <w:szCs w:val="24"/>
        </w:rPr>
        <w:t xml:space="preserve"> - RIV - Projekty Národního programu výzkumu a Národního programu výzkumu II.</w:t>
      </w:r>
    </w:p>
    <w:tbl>
      <w:tblPr>
        <w:tblW w:w="5122" w:type="pct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345"/>
        <w:gridCol w:w="985"/>
        <w:gridCol w:w="4077"/>
        <w:gridCol w:w="1266"/>
        <w:gridCol w:w="901"/>
        <w:gridCol w:w="1081"/>
        <w:gridCol w:w="1168"/>
        <w:gridCol w:w="3666"/>
      </w:tblGrid>
      <w:tr w:rsidR="00E72776" w:rsidRPr="001548C8" w:rsidTr="001548C8">
        <w:trPr>
          <w:trHeight w:val="1457"/>
          <w:tblHeader/>
        </w:trPr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  <w:t>Poskytovatel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  <w:t>Program výzkumu a vývoje</w:t>
            </w:r>
          </w:p>
        </w:tc>
        <w:tc>
          <w:tcPr>
            <w:tcW w:w="1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  <w:t xml:space="preserve">Název projektu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  <w:t>Podpora ze státního rozpočtu čerpaná na projekt za celou bodu řešení v tis. Kč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  <w:t>Rok zahájení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  <w:t>Rok ukončení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  <w:t>Zhodnocení výsledku řešení projektu</w:t>
            </w:r>
          </w:p>
        </w:tc>
        <w:tc>
          <w:tcPr>
            <w:tcW w:w="1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1548C8" w:rsidP="00E727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  <w:t>Ř</w:t>
            </w:r>
            <w:r w:rsidR="00E72776" w:rsidRPr="001548C8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cs-CZ"/>
              </w:rPr>
              <w:t>ešitel (řešitelé)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sz w:val="20"/>
                <w:szCs w:val="20"/>
              </w:rPr>
              <w:t>MD0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F"/>
              </w:smartTagPr>
              <w:r w:rsidRPr="001548C8">
                <w:rPr>
                  <w:rFonts w:ascii="Times New Roman" w:hAnsi="Times New Roman"/>
                  <w:sz w:val="20"/>
                  <w:szCs w:val="20"/>
                </w:rPr>
                <w:t>1F</w:t>
              </w:r>
            </w:smartTag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sz w:val="20"/>
                <w:szCs w:val="20"/>
              </w:rPr>
              <w:t>Konkretizace záměrů dopravní politiky v oblasti dopravní obsluhy území s důrazem na integrované dopravní systémy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3 732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Centrum dopravního výzkumu, </w:t>
            </w:r>
            <w:proofErr w:type="spellStart"/>
            <w:proofErr w:type="gram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v.v.</w:t>
            </w:r>
            <w:proofErr w:type="gram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sz w:val="20"/>
                <w:szCs w:val="20"/>
              </w:rPr>
              <w:t>MD0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F"/>
              </w:smartTagPr>
              <w:r w:rsidRPr="001548C8">
                <w:rPr>
                  <w:rFonts w:ascii="Times New Roman" w:hAnsi="Times New Roman"/>
                  <w:sz w:val="20"/>
                  <w:szCs w:val="20"/>
                </w:rPr>
                <w:t>1F</w:t>
              </w:r>
            </w:smartTag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sz w:val="20"/>
                <w:szCs w:val="20"/>
              </w:rPr>
              <w:t>Ověření "Systému hospodaření s pozemními komunikacemi" - pilotní projekt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1 200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Centrum dopravního výzkumu, </w:t>
            </w:r>
            <w:proofErr w:type="spellStart"/>
            <w:proofErr w:type="gram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v.v.</w:t>
            </w:r>
            <w:proofErr w:type="gram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sz w:val="20"/>
                <w:szCs w:val="20"/>
              </w:rPr>
              <w:t>MD0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F"/>
              </w:smartTagPr>
              <w:r w:rsidRPr="001548C8">
                <w:rPr>
                  <w:rFonts w:ascii="Times New Roman" w:hAnsi="Times New Roman"/>
                  <w:sz w:val="20"/>
                  <w:szCs w:val="20"/>
                </w:rPr>
                <w:t>1F</w:t>
              </w:r>
            </w:smartTag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548C8">
              <w:rPr>
                <w:rFonts w:ascii="Times New Roman" w:hAnsi="Times New Roman"/>
                <w:sz w:val="20"/>
                <w:szCs w:val="20"/>
              </w:rPr>
              <w:t>Řídící</w:t>
            </w:r>
            <w:proofErr w:type="gramEnd"/>
            <w:r w:rsidRPr="001548C8">
              <w:rPr>
                <w:rFonts w:ascii="Times New Roman" w:hAnsi="Times New Roman"/>
                <w:sz w:val="20"/>
                <w:szCs w:val="20"/>
              </w:rPr>
              <w:t xml:space="preserve"> systém pro dopravní společnosti k dosažení vyšší ekonomické efektivnosti provozu dopravních společností.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4 261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MobilAudit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s.r.o.,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sz w:val="20"/>
                <w:szCs w:val="20"/>
              </w:rPr>
              <w:t>MD0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F"/>
              </w:smartTagPr>
              <w:r w:rsidRPr="001548C8">
                <w:rPr>
                  <w:rFonts w:ascii="Times New Roman" w:hAnsi="Times New Roman"/>
                  <w:sz w:val="20"/>
                  <w:szCs w:val="20"/>
                </w:rPr>
                <w:t>1F</w:t>
              </w:r>
            </w:smartTag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sz w:val="20"/>
                <w:szCs w:val="20"/>
              </w:rPr>
              <w:t>Studie zvyšování bezpečnosti cestujících v autobusech s hlavním zaměřením na simulování převrácení vozidla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5 940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TÜV SÜD Auto CZ s.r.o.,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sz w:val="20"/>
                <w:szCs w:val="20"/>
              </w:rPr>
              <w:t>MD0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F"/>
              </w:smartTagPr>
              <w:r w:rsidRPr="001548C8">
                <w:rPr>
                  <w:rFonts w:ascii="Times New Roman" w:hAnsi="Times New Roman"/>
                  <w:sz w:val="20"/>
                  <w:szCs w:val="20"/>
                </w:rPr>
                <w:t>1F</w:t>
              </w:r>
            </w:smartTag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sz w:val="20"/>
                <w:szCs w:val="20"/>
              </w:rPr>
              <w:t xml:space="preserve">Racionalizace dopravního provozu a rozsahu dopravní infrastruktury na </w:t>
            </w:r>
            <w:proofErr w:type="spellStart"/>
            <w:r w:rsidRPr="001548C8">
              <w:rPr>
                <w:rFonts w:ascii="Times New Roman" w:hAnsi="Times New Roman"/>
                <w:sz w:val="20"/>
                <w:szCs w:val="20"/>
              </w:rPr>
              <w:t>mimokoridorových</w:t>
            </w:r>
            <w:proofErr w:type="spellEnd"/>
            <w:r w:rsidRPr="001548C8">
              <w:rPr>
                <w:rFonts w:ascii="Times New Roman" w:hAnsi="Times New Roman"/>
                <w:sz w:val="20"/>
                <w:szCs w:val="20"/>
              </w:rPr>
              <w:t xml:space="preserve"> tratích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1 660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Institut Jana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Pernera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, o.p.s.,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sz w:val="20"/>
                <w:szCs w:val="20"/>
              </w:rPr>
              <w:t>MD0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F"/>
              </w:smartTagPr>
              <w:r w:rsidRPr="001548C8">
                <w:rPr>
                  <w:rFonts w:ascii="Times New Roman" w:hAnsi="Times New Roman"/>
                  <w:sz w:val="20"/>
                  <w:szCs w:val="20"/>
                </w:rPr>
                <w:t>1F</w:t>
              </w:r>
            </w:smartTag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sz w:val="20"/>
                <w:szCs w:val="20"/>
              </w:rPr>
              <w:t>Prognóza zatížitelnosti a životnost zděných klenbových mostů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1 970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České vysoké učení technické v Praze,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sz w:val="20"/>
                <w:szCs w:val="20"/>
              </w:rPr>
              <w:t>MD0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F"/>
              </w:smartTagPr>
              <w:r w:rsidRPr="001548C8">
                <w:rPr>
                  <w:rFonts w:ascii="Times New Roman" w:hAnsi="Times New Roman"/>
                  <w:sz w:val="20"/>
                  <w:szCs w:val="20"/>
                </w:rPr>
                <w:t>1F</w:t>
              </w:r>
            </w:smartTag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sz w:val="20"/>
                <w:szCs w:val="20"/>
              </w:rPr>
              <w:t xml:space="preserve">Optimalizace nákladů na ochranu životního prostředí při výstavbě a rekonstrukcích silniční a </w:t>
            </w:r>
            <w:r w:rsidRPr="001548C8">
              <w:rPr>
                <w:rFonts w:ascii="Times New Roman" w:hAnsi="Times New Roman"/>
                <w:sz w:val="20"/>
                <w:szCs w:val="20"/>
              </w:rPr>
              <w:lastRenderedPageBreak/>
              <w:t>železniční sítě v ČR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1 897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Centrum dopravního výzkumu, </w:t>
            </w:r>
            <w:proofErr w:type="spellStart"/>
            <w:proofErr w:type="gram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v.v.</w:t>
            </w:r>
            <w:proofErr w:type="gram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.,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EVERNIA s. r. o.,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sz w:val="20"/>
                <w:szCs w:val="20"/>
              </w:rPr>
              <w:lastRenderedPageBreak/>
              <w:t>MD0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F"/>
              </w:smartTagPr>
              <w:r w:rsidRPr="001548C8">
                <w:rPr>
                  <w:rFonts w:ascii="Times New Roman" w:hAnsi="Times New Roman"/>
                  <w:sz w:val="20"/>
                  <w:szCs w:val="20"/>
                </w:rPr>
                <w:t>1F</w:t>
              </w:r>
            </w:smartTag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sz w:val="20"/>
                <w:szCs w:val="20"/>
              </w:rPr>
              <w:t>Zpoplatnění železniční infrastruktury z hlediska její konkurenceschopnosti v mezinárodní dopravě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2 830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SBP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Consult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, s.r.o.,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23 490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MPO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1H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*Nové technické polymery pro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síťovatelné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kompozity.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13 000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SYNPO, akciová společnost,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MPO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1H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Výzkum a vývoj technologie výroby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targetů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pro CD a DVD optimalizující jejich výtěžnost.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4 100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VPCH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Trade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, s.r.o.,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MPO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2A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Výzkum a vývoj technologického zařízení pro zvýšení výtěžnosti ropných vrtů, které je současně možno použít k čištění a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znovuzprovoznění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vrtů, nebo k těžbě, kde již nelze použít jiných technologií.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27 463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S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Solution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for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Technologies a.s.,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MPO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2A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*Nátěrové hmoty s nízkým obsahem těkavých organických látek.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3 118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Akzo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Nobel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Coatings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CZ, a.s.,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MPO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2A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*Vývoj a příprava katalyzátoru pro proces Fischer-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Tropsh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11 035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Euro Support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Manufacturing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Czechia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, s.r.o.,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MPO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2A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Výzkum ochlazovacích charakteristik vodních trysek sekundárního chlazení zařízení plynulého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odlévání a vlivu na tepelně technické vlastnosti odlévaného materiálu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O</w:t>
            </w:r>
          </w:p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TŘINECKÉ ŽELEZÁRNY, a. s.,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Vysoká škola báňská - Technická univerzita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Ostrava,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59 216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1K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Metody molekulární biologie aplikované v experimentální farmakologii respiračního systému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Univerzita Karlova v Praze,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1K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Studium fotoindukovaných změn v amorfních chalkogenidech.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Univerzita Pardubice,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1K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Optimalizace metod produkce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oocytů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 kryokonzervace embryí skotu a prasat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Výzkumný ústav pro chov skotu, s.r.o.,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1N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Informační zdroje pro ekonomický výzkum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26 239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Vysoká škola ekonomická v Praze,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1N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Virtuální informační servis TEXTIL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4 997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VÚB a.s.,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1N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Informační zdroje na podporu výzkumu v Informatice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37 845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Masarykova univerzita,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1N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Internetová databáze expertů na portálu veda.cz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6 960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MathAn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Praha, s.r.o.,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1N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Centrální zabezpečené úložiště dat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8 784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České vysoké učení technické v Praze,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1N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MedGate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informační brána pro výzkum a vývoj v medicíně - nástroj integrace a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efektivního využívání informačních zdrojů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4 589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N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Fakultní nemocnice Hradec Králové,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Institut klinické a experimentální medicíny,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Institut postgraduálního vzdělávání ve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zdravotnictví,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Národní lékařská knihovna,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Univerzita Karlova v Praze,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Univerzita Palackého v Olomouci,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Ústav hematologie a U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krevní transfúze,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1N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Zajištění a efektivní využití informačních zdrojů pro letecký a kosmický výzkum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8 991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Výzkumný a zkušební letecký ústav, a.s.,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1N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Vybudování informační infrastruktury Technologického inkubátoru VUT a MU Brno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7 807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JIC, zájmové sdružení právnických osob,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1N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*Integrovaný informační a knihovnický systém pro rozvoj hutního průmyslu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7 794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ArcelorMittal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Ostrava a.s.,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INFORMETAL, zájmové sdružení,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VÚHŽ a.s.,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1N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Informační zdroje pro zemědělský a potravinářský výzkum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13 204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Ústav zemědělských a potravinářských informací,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1N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Konzorciální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nákup biologických databází II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19 628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Univerzita Palackého v Olomouci,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1N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Digitalizace knižního katalogu Ústavu pro českou literaturu a zpřístupnění databáze osobností české literatury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5 406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Ústav pro českou literaturu AV ČR, v. v. i.,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1N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Česká elektronická knihovna - Poezie básníků debutujících v rozmezí let 1900-1918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3 457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Ústav pro českou literaturu AV ČR, v. v. i.,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1N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Informační pokrytí výzkumu a vývoje v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medicíně v České republice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61 564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Univerzita Karlova v Praze,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1N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Informační zdroje pro výzkum a vývoj ve sklářském a keramickém průmyslu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4 635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Sklářský ústav Hradec Králové s.r.o.,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Podpora zastoupení CDV v mezinárodní organizaci IENE (Evropská ekologická dopravní síť)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Centrum dopravního výzkumu, </w:t>
            </w:r>
            <w:proofErr w:type="spellStart"/>
            <w:proofErr w:type="gram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v.v.</w:t>
            </w:r>
            <w:proofErr w:type="gram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Finanční zajištění reprezentace České společnosti pro biochemii a molekulární biologii ve FEBS, IUBMB EMBC a ESF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1 800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ČESKÁ SPOLEČNOST PRO BIOCHEMII A MOLEKULÁRNÍ BIOLOGII,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Zapojení Inženýrské akademie ČR do činnosti mezinárodních </w:t>
            </w:r>
            <w:proofErr w:type="gram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sdruženích</w:t>
            </w:r>
            <w:proofErr w:type="gram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akademií inženýrských a aplikovaných věd CAETS a Euro-CASE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2 670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Inženýrská akademie České republiky, </w:t>
            </w:r>
            <w:proofErr w:type="spellStart"/>
            <w:proofErr w:type="gram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o.s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interakce antiproton-proton při 2TeV, Experiment DO-Run 2,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Tevatron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FNAL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České vysoké učení technické v Praze,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IFAC-práce v Technickém výboru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Transportation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Systém and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Vehicles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České vysoké učení technické v Praze,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Posouzení ekologické únosnosti území ve vztahu k dopravě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1 097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Centrum dopravního výzkumu, </w:t>
            </w:r>
            <w:proofErr w:type="spellStart"/>
            <w:proofErr w:type="gram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v.v.</w:t>
            </w:r>
            <w:proofErr w:type="gram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Optimální využití odpadních vod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Vysoká škola chemicko-technologická v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Praze,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Hyperbarická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oxygenoterapie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v diagnostice a léčbě diabetické nohy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Univerzita Karlova v Praze,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Sledování morfologických a metabolických změn po těžkých traumatech mozku pomocí MR spektroskopie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2 800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Masarykova univerzita,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Pokroková zavěšení železničních vozidel s vlákny vyztužených polymerních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kompozitů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4 375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SVÚM a.s.,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Výzkumný a zkušební ústav Plzeň s.r.o.,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Formulace a syntéza nových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ergopeptidů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 profylaktickými účinky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4 800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Alfarma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s.r.o.,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Zpracování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clickstreamových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dat se zákaznicky přizpůsobitelnými webovými reporty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4 700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Ostravská univerzita - Servis, spol. s r. o.,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TCT moravskoslezská, s.r.o.,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Elektronická železniční mapa Evropy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6 400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JERID, spol. s r.o.,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Podpora a rozvoj národní a mezinárodní infrastruktury programů EU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6 608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BIC Brno spol. s r.o.,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Podpora zastoupení CDV v pracovní skupině SEI "Životní prostředí a doprava"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592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Centrum dopravního výzkumu, </w:t>
            </w:r>
            <w:proofErr w:type="spellStart"/>
            <w:proofErr w:type="gram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v.v.</w:t>
            </w:r>
            <w:proofErr w:type="gram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Konference FEZA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Ústav fyzikální chemie J. Heyrovského AV ČR, </w:t>
            </w:r>
            <w:proofErr w:type="spellStart"/>
            <w:proofErr w:type="gram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v.v.</w:t>
            </w:r>
            <w:proofErr w:type="gram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Členství Akademie věd ČR a Grantové agentury ČR v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European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Science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Foundation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(ESF)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24 800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Grantová agentura České republiky,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Česko-čínská spolupráce při sběrech, hodnocení a využívání genetických zdrojů zemědělských plodin a příbuzných planých druhů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Výzkumný ústav rostlinné výroby, </w:t>
            </w:r>
            <w:proofErr w:type="spellStart"/>
            <w:proofErr w:type="gram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v.v.</w:t>
            </w:r>
            <w:proofErr w:type="gram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Příprava a vývoj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nanokompozitu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na bázi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dendrimer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-koloid stříbra pro optické aplikace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Univerzita Tomáše Bati ve Zlíně,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Vyspělé měřicí technologie pro vlhkostní charakterizaci stavebních materiálů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České vysoké učení technické v Praze,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Teoretická a experimentální analýza přenosu solí ve stavebních materiálech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České vysoké učení technické v Praze,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Vlastnosti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samozhutňujícího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betonu a posouzení jeho kvality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České vysoké učení technické v Praze,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Účast na jednáních bioetických komisí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Ústav molekulární genetiky AV ČR, v. v. i.,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Nanočástice oxidů železa s novými magnetickými vlastnostmi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Univerzita Palackého v Olomouci,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Podpora účasti ČR v programech mezinárodní spolupráce ve výzkumu a vývoji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16 300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Dům zahraničních služeb,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Studium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histore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 kultury obouvání v Číně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Univerzita Tomáše Bati ve Zlíně,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Nové - počítačem podporované vyhodnocení chemických dat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Masarykova univerzita,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Příprava odborníků pro oblast inovačního podnikání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1 668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Vysoká škola manažerské informatiky a ekonomiky, a.s.,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Úloha proto-onkogenů v procesu stárnutí kvasinek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Mikrobiologický ústav AV ČR, v. v. i.,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Plazmové polymery připravené vf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naprašováním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polymerů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Univerzita Karlova v Praze,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Diagnostika procesů při plazmatické polymeraci pomocí infračervené spektroskopie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Univerzita Karlova v Praze,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Stejnosměrný válcový magnetron a vysokofrekvenční plazmová tryska-experiment a model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Univerzita Karlova v Praze,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Korozní odolnost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specielních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povlaků v podmínkách koroze pod úsadami s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HCl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 SO2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722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SVÚM a.s.,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Korozní chování vybraných ocelí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722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SVÚM a.s.,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Studium vlivu typu výboje na vlastnosti deponovaných vrstev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Technická univerzita v Liberci,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Realizace modulární aparatury pro plazmově polymerizační procesy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VAKUUM PRAHA, spol. s r.o.,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Vývoj feriticko-martenzitických chromových ocelí pro provozní teplotu do 650 stupňů Celsia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722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Výzkumný a zkušební ústav Plzeň s.r.o.,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Interakce hormonálních a non-hormonálních faktorů v řízení regeneračních a vývojových procesů v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explantátových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kulturách bramboru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Univerzita Karlova v Praze,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Srovnávací strukturální analýza a analýza obsahu sacharidů u somatické a zygotické embryogeneze u jehličnanů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Univerzita Karlova v Praze,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Úloha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apoptózy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v ontogenezi a stresových reakcích buněk a orgánů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Univerzita Karlova v Praze,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Testování nových přístrojových metod pro měření kořenových systémů celých stromů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Mendelova unive</w:t>
            </w:r>
            <w:bookmarkStart w:id="0" w:name="_GoBack"/>
            <w:bookmarkEnd w:id="0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rzita v Brně,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Rentgenová a neutronová optika na bázi monokrystalického křemíku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ČKD POWER ELECTRONICS, a.s.,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Fotokatalytické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nano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-povrchy se samočistícími vlastnostmi pro ochranu památkových objektů FONAPOS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A T G s.r.o.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(ADVANCED TECHNOLOGY GROUP,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spol.s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r.</w:t>
            </w:r>
            <w:proofErr w:type="gram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o.),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Výroba tkaných a pletených textilií s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optimálními vlastnostmi při vystavení povětrnostním podmínkám a URV složce slunečního záření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2 548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SPOLSIN, spol. s r.o.,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Vývoj 3D simulačního softwaru pro tvarování obalového skla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GLASS SERVICE, a.s.,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Organizační zajištění konferenčních služeb v době předsednictví ČR v programu EUREKA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21 000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Dům zahraničních služeb,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Organizační zajištění konferenčních služeb v době předsednictví ČR v programu EUREKA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Vysoká škola chemicko-technologická v Praze,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Medicinské informační centrum pro evropské projekty (MICEP)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9 040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Univerzita Karlova v Praze,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Regionální kontaktní organizace pro střední Moravu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4 800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Slezská univerzita v Opavě,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Univerzita Palackého v Olomouci,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1P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Centrum pro mobilitu v ČR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1 620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Středisko společných činností AV ČR, v. v. i.,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2B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Vývoj a optimalizace metodiky pro stanovení obsahu organického uhlíku (TOC) a rozpuštěného organického uhlíku (DOC) ve složkách životního prostředí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2 450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Analytické laboratoře Plzeň, a.s.,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2B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Zdroje a interakce metanu a oxidu uhličitého v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horninovém prostředí a jejich emise do atmosféry.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5 533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Česká geologická služba,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2C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Výzkum přínosu zavedení radiofrekvenční identifikace (RFID) do procesu přípravy a aplikace léčiv a RFID jako základní prvek v systému podpory přípravy léčiv.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15 538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Masarykův onkologický ústav,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STAPRO  s. r. o.,</w:t>
            </w:r>
          </w:p>
        </w:tc>
      </w:tr>
      <w:tr w:rsidR="00E72776" w:rsidRPr="001548C8" w:rsidTr="001548C8">
        <w:trPr>
          <w:trHeight w:val="783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2E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Popularizace molekulární biologie a biochemie pro pedagogy a studenty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6 406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ČESKÁ SPOLEČNOST PRO BIOCHEMII A MOLEKULÁRNÍ BIOLOGII,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KRD-obchodní společnost s.r.o.,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MSM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2E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Sexuální obtěžování ve vysokoškolském prostředí: výskyt a vnímání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1 069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Univerzita Karlova v Praze,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391 005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MZ0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1A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Akutní infarkt myokardu u mladých pacientů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818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Fakultní nemocnice Brno,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MZ0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1A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Teofylín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v prevenci kontrastem indukované nefropatie, randomizovaná studie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819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Krajská nemocnice Pardubice,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Pardubická krajská nemocnice, a.s.,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MZ0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1A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Nové možnosti TDM cyklosporinu A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jeho metabolitů po transplantaci ledvin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8 562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Fakultní nemocnice Ostrava,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10 199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MZP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1C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Aplikace environmentálního účetnictví na mikroekonomické a makroekonomické úrovni v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podmínkách ČR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1 898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CENIA, česká informační agentura životního prostředí,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ČESKÉ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EKOLOGICKÉ MANAŽERSKÉ CENTRUM,</w:t>
            </w:r>
          </w:p>
        </w:tc>
      </w:tr>
      <w:tr w:rsidR="00E72776" w:rsidRPr="001548C8" w:rsidTr="001548C8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MZP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1C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Prvky a vztahy v systému odpadového hospodářství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1 775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Centrum inovací a rozvoje,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Ing. Bohumil Navrátil, CSc.,</w:t>
            </w:r>
            <w:r w:rsidR="00BA30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Ing. Ivan ZÍKA ECONSULT,ISES ,s.r.o.,</w:t>
            </w:r>
          </w:p>
        </w:tc>
      </w:tr>
      <w:tr w:rsidR="00E72776" w:rsidRPr="001548C8" w:rsidTr="001548C8">
        <w:trPr>
          <w:trHeight w:val="1108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MZP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1D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Výzkum a vývoj metod na odstraňování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organochlorových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pesticidů a polychlorovaných </w:t>
            </w:r>
            <w:proofErr w:type="spellStart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dibenzodioxinů</w:t>
            </w:r>
            <w:proofErr w:type="spellEnd"/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 furanů z podzemních a odpadních vod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1 894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color w:val="000000"/>
                <w:sz w:val="20"/>
                <w:szCs w:val="20"/>
              </w:rPr>
              <w:t>Monitoring, s.r.o.,</w:t>
            </w:r>
          </w:p>
        </w:tc>
      </w:tr>
      <w:tr w:rsidR="00E72776" w:rsidRPr="001548C8" w:rsidTr="001548C8">
        <w:trPr>
          <w:trHeight w:val="354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48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5 567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2776" w:rsidRPr="001548C8" w:rsidRDefault="00E72776" w:rsidP="00E727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E72776" w:rsidRPr="001548C8" w:rsidTr="001548C8">
        <w:trPr>
          <w:trHeight w:val="37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C E L K E M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776" w:rsidRPr="001548C8" w:rsidRDefault="00E72776" w:rsidP="00E7277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489 477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76" w:rsidRPr="001548C8" w:rsidRDefault="00E72776" w:rsidP="00E727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2776" w:rsidRPr="001548C8" w:rsidRDefault="00E72776" w:rsidP="001548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2776" w:rsidRPr="001548C8" w:rsidRDefault="00E72776" w:rsidP="00E727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48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E72776" w:rsidRPr="001548C8" w:rsidRDefault="00E72776" w:rsidP="000050B3">
      <w:pPr>
        <w:spacing w:before="120" w:after="120"/>
        <w:rPr>
          <w:rFonts w:ascii="Times New Roman" w:hAnsi="Times New Roman"/>
          <w:sz w:val="20"/>
          <w:szCs w:val="20"/>
        </w:rPr>
      </w:pPr>
      <w:r w:rsidRPr="001548C8">
        <w:rPr>
          <w:rFonts w:ascii="Times New Roman" w:hAnsi="Times New Roman"/>
          <w:sz w:val="20"/>
          <w:szCs w:val="20"/>
        </w:rPr>
        <w:t>Vysvětlivky:</w:t>
      </w:r>
    </w:p>
    <w:p w:rsidR="00E72776" w:rsidRPr="001548C8" w:rsidRDefault="00E72776" w:rsidP="000050B3">
      <w:pPr>
        <w:spacing w:after="120"/>
        <w:rPr>
          <w:rFonts w:ascii="Times New Roman" w:hAnsi="Times New Roman"/>
          <w:sz w:val="20"/>
          <w:szCs w:val="20"/>
        </w:rPr>
      </w:pPr>
      <w:r w:rsidRPr="001548C8">
        <w:rPr>
          <w:rFonts w:ascii="Times New Roman" w:hAnsi="Times New Roman"/>
          <w:sz w:val="20"/>
          <w:szCs w:val="20"/>
        </w:rPr>
        <w:t>O – Nesplněno zadání, smlouva však byla dodržena</w:t>
      </w:r>
    </w:p>
    <w:p w:rsidR="00E72776" w:rsidRPr="001548C8" w:rsidRDefault="00E72776" w:rsidP="000050B3">
      <w:pPr>
        <w:spacing w:after="120"/>
        <w:rPr>
          <w:rFonts w:ascii="Times New Roman" w:hAnsi="Times New Roman"/>
          <w:sz w:val="20"/>
          <w:szCs w:val="20"/>
        </w:rPr>
      </w:pPr>
      <w:r w:rsidRPr="001548C8">
        <w:rPr>
          <w:rFonts w:ascii="Times New Roman" w:hAnsi="Times New Roman"/>
          <w:sz w:val="20"/>
          <w:szCs w:val="20"/>
        </w:rPr>
        <w:t>U – Uspěl podle zadání, tj. byly splněny cíle a jeho předpokládané výsledky uvedené ve smlouvě / rozhodnutí o poskytnutí podpory</w:t>
      </w:r>
    </w:p>
    <w:p w:rsidR="00E72776" w:rsidRPr="001548C8" w:rsidRDefault="00E72776" w:rsidP="000050B3">
      <w:pPr>
        <w:spacing w:after="120"/>
        <w:rPr>
          <w:rFonts w:ascii="Times New Roman" w:hAnsi="Times New Roman"/>
          <w:sz w:val="20"/>
          <w:szCs w:val="20"/>
        </w:rPr>
      </w:pPr>
      <w:r w:rsidRPr="001548C8">
        <w:rPr>
          <w:rFonts w:ascii="Times New Roman" w:hAnsi="Times New Roman"/>
          <w:sz w:val="20"/>
          <w:szCs w:val="20"/>
        </w:rPr>
        <w:t>V – Vynikající výsledky (s mezinárodním významem apod.). Zároveň byly splněny cíle a předpokládané výsledky uvedené ve smlouvě / rozhodnutí o poskytnutí podpory.</w:t>
      </w:r>
    </w:p>
    <w:p w:rsidR="00E72776" w:rsidRPr="001548C8" w:rsidRDefault="00E72776" w:rsidP="000050B3">
      <w:pPr>
        <w:spacing w:after="120"/>
        <w:rPr>
          <w:rFonts w:ascii="Times New Roman" w:hAnsi="Times New Roman"/>
          <w:sz w:val="20"/>
          <w:szCs w:val="20"/>
        </w:rPr>
      </w:pPr>
      <w:r w:rsidRPr="001548C8">
        <w:rPr>
          <w:rFonts w:ascii="Times New Roman" w:hAnsi="Times New Roman"/>
          <w:sz w:val="20"/>
          <w:szCs w:val="20"/>
        </w:rPr>
        <w:t>S – Nesplněno zadání, bylo přistoupeno k sankčním ustanovením smlouvy</w:t>
      </w:r>
    </w:p>
    <w:sectPr w:rsidR="00E72776" w:rsidRPr="001548C8" w:rsidSect="000A53C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278" w:rsidRDefault="00E86278" w:rsidP="00752B17">
      <w:pPr>
        <w:spacing w:after="0" w:line="240" w:lineRule="auto"/>
      </w:pPr>
      <w:r>
        <w:separator/>
      </w:r>
    </w:p>
  </w:endnote>
  <w:endnote w:type="continuationSeparator" w:id="0">
    <w:p w:rsidR="00E86278" w:rsidRDefault="00E86278" w:rsidP="00752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8858618"/>
      <w:docPartObj>
        <w:docPartGallery w:val="Page Numbers (Bottom of Page)"/>
        <w:docPartUnique/>
      </w:docPartObj>
    </w:sdtPr>
    <w:sdtEndPr/>
    <w:sdtContent>
      <w:p w:rsidR="00E86278" w:rsidRDefault="00E8627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7AC">
          <w:rPr>
            <w:noProof/>
          </w:rPr>
          <w:t>24</w:t>
        </w:r>
        <w:r>
          <w:fldChar w:fldCharType="end"/>
        </w:r>
      </w:p>
    </w:sdtContent>
  </w:sdt>
  <w:p w:rsidR="00E86278" w:rsidRPr="005408AA" w:rsidRDefault="00E86278">
    <w:pPr>
      <w:pStyle w:val="Zpa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278" w:rsidRDefault="00E86278" w:rsidP="00752B17">
      <w:pPr>
        <w:spacing w:after="0" w:line="240" w:lineRule="auto"/>
      </w:pPr>
      <w:r>
        <w:separator/>
      </w:r>
    </w:p>
  </w:footnote>
  <w:footnote w:type="continuationSeparator" w:id="0">
    <w:p w:rsidR="00E86278" w:rsidRDefault="00E86278" w:rsidP="00752B17">
      <w:pPr>
        <w:spacing w:after="0" w:line="240" w:lineRule="auto"/>
      </w:pPr>
      <w:r>
        <w:continuationSeparator/>
      </w:r>
    </w:p>
  </w:footnote>
  <w:footnote w:id="1">
    <w:p w:rsidR="00E86278" w:rsidRDefault="00E86278">
      <w:pPr>
        <w:pStyle w:val="Textpoznpodarou"/>
      </w:pPr>
      <w:r w:rsidRPr="00882F5F">
        <w:rPr>
          <w:rStyle w:val="Znakapoznpodarou"/>
          <w:rFonts w:ascii="Times New Roman" w:hAnsi="Times New Roman"/>
        </w:rPr>
        <w:footnoteRef/>
      </w:r>
      <w:r w:rsidRPr="00882F5F">
        <w:rPr>
          <w:rFonts w:ascii="Times New Roman" w:hAnsi="Times New Roman"/>
        </w:rPr>
        <w:t xml:space="preserve"> Rada ukládá zpravodaji a sekretariátu Rady, aby zajistili důkladné ověření výsledků a navrhli Radě do příštího 280. zasedání Rady dne 22. února 2013 příslušná opatření.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F309E"/>
    <w:multiLevelType w:val="hybridMultilevel"/>
    <w:tmpl w:val="D18C623E"/>
    <w:lvl w:ilvl="0" w:tplc="1D9C5BAC">
      <w:start w:val="1"/>
      <w:numFmt w:val="decimal"/>
      <w:lvlText w:val="A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  <w:sz w:val="24"/>
        <w:szCs w:val="24"/>
      </w:rPr>
    </w:lvl>
    <w:lvl w:ilvl="1" w:tplc="F5124444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B334BC2"/>
    <w:multiLevelType w:val="hybridMultilevel"/>
    <w:tmpl w:val="5310DE86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DC5D2E"/>
    <w:multiLevelType w:val="hybridMultilevel"/>
    <w:tmpl w:val="D79E4C1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F9293E"/>
    <w:multiLevelType w:val="hybridMultilevel"/>
    <w:tmpl w:val="D23837E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BCF5194"/>
    <w:multiLevelType w:val="hybridMultilevel"/>
    <w:tmpl w:val="03CE41A2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D0B4742"/>
    <w:multiLevelType w:val="hybridMultilevel"/>
    <w:tmpl w:val="1364681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C193AC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>
    <w:nsid w:val="49020EFE"/>
    <w:multiLevelType w:val="hybridMultilevel"/>
    <w:tmpl w:val="2E0AC04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5DBF308E"/>
    <w:multiLevelType w:val="hybridMultilevel"/>
    <w:tmpl w:val="8A36D6C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112367D"/>
    <w:multiLevelType w:val="hybridMultilevel"/>
    <w:tmpl w:val="3560F216"/>
    <w:lvl w:ilvl="0" w:tplc="5F54AA58">
      <w:start w:val="1"/>
      <w:numFmt w:val="decimal"/>
      <w:lvlText w:val="A%1)"/>
      <w:lvlJc w:val="left"/>
      <w:pPr>
        <w:tabs>
          <w:tab w:val="num" w:pos="568"/>
        </w:tabs>
        <w:ind w:left="568" w:hanging="360"/>
      </w:pPr>
      <w:rPr>
        <w:rFonts w:cs="Times New Roman" w:hint="default"/>
        <w:b/>
        <w:i w:val="0"/>
        <w:sz w:val="24"/>
        <w:szCs w:val="24"/>
      </w:rPr>
    </w:lvl>
    <w:lvl w:ilvl="1" w:tplc="C9DEBF8E">
      <w:start w:val="1"/>
      <w:numFmt w:val="lowerLetter"/>
      <w:lvlText w:val="%2)"/>
      <w:lvlJc w:val="left"/>
      <w:pPr>
        <w:tabs>
          <w:tab w:val="num" w:pos="1088"/>
        </w:tabs>
        <w:ind w:left="1088" w:hanging="360"/>
      </w:pPr>
      <w:rPr>
        <w:rFonts w:cs="Times New Roman" w:hint="default"/>
        <w:b/>
        <w:i w:val="0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4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B17"/>
    <w:rsid w:val="000050B3"/>
    <w:rsid w:val="0001185F"/>
    <w:rsid w:val="00024C45"/>
    <w:rsid w:val="00037083"/>
    <w:rsid w:val="0005171C"/>
    <w:rsid w:val="000A53CE"/>
    <w:rsid w:val="000D2791"/>
    <w:rsid w:val="000F45DC"/>
    <w:rsid w:val="00154798"/>
    <w:rsid w:val="001548C8"/>
    <w:rsid w:val="00172E01"/>
    <w:rsid w:val="001C5F86"/>
    <w:rsid w:val="001D67B8"/>
    <w:rsid w:val="001E37C0"/>
    <w:rsid w:val="00245CBF"/>
    <w:rsid w:val="002B6098"/>
    <w:rsid w:val="002C15BF"/>
    <w:rsid w:val="002E6923"/>
    <w:rsid w:val="00327B80"/>
    <w:rsid w:val="00387A4A"/>
    <w:rsid w:val="00395358"/>
    <w:rsid w:val="003978E2"/>
    <w:rsid w:val="003A289F"/>
    <w:rsid w:val="003A303B"/>
    <w:rsid w:val="003E2113"/>
    <w:rsid w:val="00400962"/>
    <w:rsid w:val="00442944"/>
    <w:rsid w:val="004D0BAB"/>
    <w:rsid w:val="004E2AFF"/>
    <w:rsid w:val="004E72E0"/>
    <w:rsid w:val="0050718F"/>
    <w:rsid w:val="0051622E"/>
    <w:rsid w:val="00527592"/>
    <w:rsid w:val="005408AA"/>
    <w:rsid w:val="00665A40"/>
    <w:rsid w:val="006717C3"/>
    <w:rsid w:val="00671C21"/>
    <w:rsid w:val="00681C99"/>
    <w:rsid w:val="00697C04"/>
    <w:rsid w:val="006B1592"/>
    <w:rsid w:val="006B7A75"/>
    <w:rsid w:val="00724616"/>
    <w:rsid w:val="00741577"/>
    <w:rsid w:val="00752B17"/>
    <w:rsid w:val="007C0648"/>
    <w:rsid w:val="007C31AC"/>
    <w:rsid w:val="007E47D3"/>
    <w:rsid w:val="007F4D07"/>
    <w:rsid w:val="00842ED6"/>
    <w:rsid w:val="00860175"/>
    <w:rsid w:val="00882F5F"/>
    <w:rsid w:val="008917AC"/>
    <w:rsid w:val="008C4C34"/>
    <w:rsid w:val="00902A66"/>
    <w:rsid w:val="0095629F"/>
    <w:rsid w:val="009A3997"/>
    <w:rsid w:val="009A58F5"/>
    <w:rsid w:val="00A30CFB"/>
    <w:rsid w:val="00A516BD"/>
    <w:rsid w:val="00A91743"/>
    <w:rsid w:val="00AE2CDD"/>
    <w:rsid w:val="00B166EA"/>
    <w:rsid w:val="00B405BA"/>
    <w:rsid w:val="00B44953"/>
    <w:rsid w:val="00B51C15"/>
    <w:rsid w:val="00BA2935"/>
    <w:rsid w:val="00BA300F"/>
    <w:rsid w:val="00BA4551"/>
    <w:rsid w:val="00BA45B6"/>
    <w:rsid w:val="00C87960"/>
    <w:rsid w:val="00CA6655"/>
    <w:rsid w:val="00D603EC"/>
    <w:rsid w:val="00D70213"/>
    <w:rsid w:val="00D7109F"/>
    <w:rsid w:val="00D8266A"/>
    <w:rsid w:val="00DA4E08"/>
    <w:rsid w:val="00DB5916"/>
    <w:rsid w:val="00DC1C6E"/>
    <w:rsid w:val="00E054D1"/>
    <w:rsid w:val="00E54D6D"/>
    <w:rsid w:val="00E603C3"/>
    <w:rsid w:val="00E7194A"/>
    <w:rsid w:val="00E72776"/>
    <w:rsid w:val="00E86278"/>
    <w:rsid w:val="00EC437A"/>
    <w:rsid w:val="00F4023A"/>
    <w:rsid w:val="00F6166B"/>
    <w:rsid w:val="00F8500C"/>
    <w:rsid w:val="00F90C61"/>
    <w:rsid w:val="00FD6D64"/>
    <w:rsid w:val="00FD77B4"/>
    <w:rsid w:val="00FE6B06"/>
    <w:rsid w:val="00FF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2B17"/>
    <w:pPr>
      <w:spacing w:after="200" w:line="276" w:lineRule="auto"/>
    </w:pPr>
    <w:rPr>
      <w:rFonts w:eastAsia="Times New Roman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752B17"/>
    <w:pPr>
      <w:keepNext/>
      <w:keepLines/>
      <w:spacing w:after="0" w:line="240" w:lineRule="auto"/>
      <w:outlineLvl w:val="0"/>
    </w:pPr>
    <w:rPr>
      <w:rFonts w:ascii="Times New Roman" w:hAnsi="Times New Roman"/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52B17"/>
    <w:rPr>
      <w:rFonts w:ascii="Times New Roman" w:hAnsi="Times New Roman" w:cs="Times New Roman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rsid w:val="00752B1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752B17"/>
    <w:rPr>
      <w:rFonts w:ascii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752B17"/>
    <w:rPr>
      <w:rFonts w:cs="Times New Roman"/>
      <w:vertAlign w:val="superscript"/>
    </w:rPr>
  </w:style>
  <w:style w:type="paragraph" w:customStyle="1" w:styleId="Styl1">
    <w:name w:val="Styl1"/>
    <w:basedOn w:val="Normln"/>
    <w:link w:val="Styl1Char"/>
    <w:uiPriority w:val="99"/>
    <w:rsid w:val="00245CBF"/>
    <w:pPr>
      <w:spacing w:after="120" w:line="240" w:lineRule="auto"/>
      <w:ind w:firstLine="709"/>
      <w:jc w:val="both"/>
    </w:pPr>
    <w:rPr>
      <w:rFonts w:ascii="Times New Roman" w:eastAsia="Calibri" w:hAnsi="Times New Roman"/>
      <w:sz w:val="24"/>
      <w:szCs w:val="24"/>
      <w:lang w:val="en-US" w:eastAsia="cs-CZ"/>
    </w:rPr>
  </w:style>
  <w:style w:type="character" w:customStyle="1" w:styleId="Styl1Char">
    <w:name w:val="Styl1 Char"/>
    <w:link w:val="Styl1"/>
    <w:uiPriority w:val="99"/>
    <w:locked/>
    <w:rsid w:val="00245CBF"/>
    <w:rPr>
      <w:rFonts w:ascii="Times New Roman" w:eastAsia="Times New Roman" w:hAnsi="Times New Roman"/>
      <w:sz w:val="24"/>
      <w:lang w:val="en-US"/>
    </w:rPr>
  </w:style>
  <w:style w:type="paragraph" w:styleId="Odstavecseseznamem">
    <w:name w:val="List Paragraph"/>
    <w:basedOn w:val="Normln"/>
    <w:uiPriority w:val="99"/>
    <w:qFormat/>
    <w:rsid w:val="00B51C15"/>
    <w:pPr>
      <w:ind w:left="720"/>
      <w:contextualSpacing/>
    </w:pPr>
    <w:rPr>
      <w:rFonts w:eastAsia="Calibri"/>
    </w:rPr>
  </w:style>
  <w:style w:type="table" w:styleId="Mkatabulky">
    <w:name w:val="Table Grid"/>
    <w:basedOn w:val="Normlntabulka"/>
    <w:uiPriority w:val="99"/>
    <w:rsid w:val="007C064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1CharCharCharCharCharCharChar">
    <w:name w:val="Char Char Char Char Char Char Char Char1 Char Char Char Char Char Char Char"/>
    <w:basedOn w:val="Normln"/>
    <w:uiPriority w:val="99"/>
    <w:rsid w:val="007C0648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rsid w:val="00507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0718F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882F5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82F5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882F5F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82F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882F5F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56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5629F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rsid w:val="00956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95629F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2B17"/>
    <w:pPr>
      <w:spacing w:after="200" w:line="276" w:lineRule="auto"/>
    </w:pPr>
    <w:rPr>
      <w:rFonts w:eastAsia="Times New Roman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752B17"/>
    <w:pPr>
      <w:keepNext/>
      <w:keepLines/>
      <w:spacing w:after="0" w:line="240" w:lineRule="auto"/>
      <w:outlineLvl w:val="0"/>
    </w:pPr>
    <w:rPr>
      <w:rFonts w:ascii="Times New Roman" w:hAnsi="Times New Roman"/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52B17"/>
    <w:rPr>
      <w:rFonts w:ascii="Times New Roman" w:hAnsi="Times New Roman" w:cs="Times New Roman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rsid w:val="00752B1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752B17"/>
    <w:rPr>
      <w:rFonts w:ascii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752B17"/>
    <w:rPr>
      <w:rFonts w:cs="Times New Roman"/>
      <w:vertAlign w:val="superscript"/>
    </w:rPr>
  </w:style>
  <w:style w:type="paragraph" w:customStyle="1" w:styleId="Styl1">
    <w:name w:val="Styl1"/>
    <w:basedOn w:val="Normln"/>
    <w:link w:val="Styl1Char"/>
    <w:uiPriority w:val="99"/>
    <w:rsid w:val="00245CBF"/>
    <w:pPr>
      <w:spacing w:after="120" w:line="240" w:lineRule="auto"/>
      <w:ind w:firstLine="709"/>
      <w:jc w:val="both"/>
    </w:pPr>
    <w:rPr>
      <w:rFonts w:ascii="Times New Roman" w:eastAsia="Calibri" w:hAnsi="Times New Roman"/>
      <w:sz w:val="24"/>
      <w:szCs w:val="24"/>
      <w:lang w:val="en-US" w:eastAsia="cs-CZ"/>
    </w:rPr>
  </w:style>
  <w:style w:type="character" w:customStyle="1" w:styleId="Styl1Char">
    <w:name w:val="Styl1 Char"/>
    <w:link w:val="Styl1"/>
    <w:uiPriority w:val="99"/>
    <w:locked/>
    <w:rsid w:val="00245CBF"/>
    <w:rPr>
      <w:rFonts w:ascii="Times New Roman" w:eastAsia="Times New Roman" w:hAnsi="Times New Roman"/>
      <w:sz w:val="24"/>
      <w:lang w:val="en-US"/>
    </w:rPr>
  </w:style>
  <w:style w:type="paragraph" w:styleId="Odstavecseseznamem">
    <w:name w:val="List Paragraph"/>
    <w:basedOn w:val="Normln"/>
    <w:uiPriority w:val="99"/>
    <w:qFormat/>
    <w:rsid w:val="00B51C15"/>
    <w:pPr>
      <w:ind w:left="720"/>
      <w:contextualSpacing/>
    </w:pPr>
    <w:rPr>
      <w:rFonts w:eastAsia="Calibri"/>
    </w:rPr>
  </w:style>
  <w:style w:type="table" w:styleId="Mkatabulky">
    <w:name w:val="Table Grid"/>
    <w:basedOn w:val="Normlntabulka"/>
    <w:uiPriority w:val="99"/>
    <w:rsid w:val="007C064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1CharCharCharCharCharCharChar">
    <w:name w:val="Char Char Char Char Char Char Char Char1 Char Char Char Char Char Char Char"/>
    <w:basedOn w:val="Normln"/>
    <w:uiPriority w:val="99"/>
    <w:rsid w:val="007C0648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rsid w:val="00507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0718F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882F5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82F5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882F5F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82F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882F5F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56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5629F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rsid w:val="00956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95629F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6D9FF-19BC-401F-98D4-98499C505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24</Pages>
  <Words>5384</Words>
  <Characters>30980</Characters>
  <Application>Microsoft Office Word</Application>
  <DocSecurity>0</DocSecurity>
  <Lines>258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Kateřina</dc:creator>
  <cp:lastModifiedBy>Vítek Tomáš</cp:lastModifiedBy>
  <cp:revision>20</cp:revision>
  <cp:lastPrinted>2013-03-12T14:45:00Z</cp:lastPrinted>
  <dcterms:created xsi:type="dcterms:W3CDTF">2013-03-21T13:18:00Z</dcterms:created>
  <dcterms:modified xsi:type="dcterms:W3CDTF">2013-04-26T07:26:00Z</dcterms:modified>
</cp:coreProperties>
</file>