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5E2" w:rsidRPr="00884FF7" w:rsidRDefault="00A135E2" w:rsidP="00EF7BF0">
      <w:pPr>
        <w:pStyle w:val="BodyText"/>
        <w:outlineLvl w:val="0"/>
        <w:rPr>
          <w:rFonts w:ascii="Times New Roman" w:hAnsi="Times New Roman" w:cs="Times New Roman"/>
          <w:b/>
          <w:bCs/>
        </w:rPr>
      </w:pPr>
      <w:r>
        <w:rPr>
          <w:noProof/>
        </w:rPr>
        <w:pict>
          <v:shapetype id="_x0000_t202" coordsize="21600,21600" o:spt="202" path="m,l,21600r21600,l21600,xe">
            <v:stroke joinstyle="miter"/>
            <v:path gradientshapeok="t" o:connecttype="rect"/>
          </v:shapetype>
          <v:shape id="_x0000_s1026" type="#_x0000_t202" style="position:absolute;left:0;text-align:left;margin-left:630pt;margin-top:-45pt;width:1in;height:27pt;z-index:251658240" fillcolor="silver">
            <v:textbox>
              <w:txbxContent>
                <w:p w:rsidR="00A135E2" w:rsidRPr="00132E46" w:rsidRDefault="00A135E2" w:rsidP="00132E46">
                  <w:pPr>
                    <w:jc w:val="center"/>
                    <w:rPr>
                      <w:rFonts w:ascii="Times New Roman" w:hAnsi="Times New Roman" w:cs="Times New Roman"/>
                      <w:b/>
                      <w:sz w:val="32"/>
                      <w:szCs w:val="32"/>
                    </w:rPr>
                  </w:pPr>
                  <w:r w:rsidRPr="00132E46">
                    <w:rPr>
                      <w:rFonts w:ascii="Times New Roman" w:hAnsi="Times New Roman" w:cs="Times New Roman"/>
                      <w:b/>
                      <w:sz w:val="32"/>
                      <w:szCs w:val="32"/>
                    </w:rPr>
                    <w:t>290/C3</w:t>
                  </w:r>
                </w:p>
              </w:txbxContent>
            </v:textbox>
          </v:shape>
        </w:pict>
      </w:r>
      <w:r w:rsidRPr="00884FF7">
        <w:rPr>
          <w:rFonts w:ascii="Times New Roman" w:hAnsi="Times New Roman" w:cs="Times New Roman"/>
          <w:b/>
          <w:caps/>
        </w:rPr>
        <w:t>Vypořádání připomínek k materiálu s názvem:</w:t>
      </w:r>
    </w:p>
    <w:p w:rsidR="00A135E2" w:rsidRPr="00884FF7" w:rsidRDefault="00A135E2" w:rsidP="00EF7BF0">
      <w:pPr>
        <w:pStyle w:val="BodyText"/>
        <w:jc w:val="right"/>
        <w:outlineLvl w:val="0"/>
        <w:rPr>
          <w:rFonts w:ascii="Times New Roman" w:hAnsi="Times New Roman" w:cs="Times New Roman"/>
          <w:b/>
        </w:rPr>
      </w:pPr>
      <w:r w:rsidRPr="00884FF7">
        <w:rPr>
          <w:rFonts w:ascii="Times New Roman" w:hAnsi="Times New Roman" w:cs="Times New Roman"/>
          <w:b/>
          <w:bCs/>
        </w:rPr>
        <w:t>Č</w:t>
      </w:r>
      <w:r w:rsidRPr="00884FF7">
        <w:rPr>
          <w:rFonts w:ascii="Times New Roman" w:hAnsi="Times New Roman" w:cs="Times New Roman"/>
          <w:b/>
        </w:rPr>
        <w:t>ást materiálu: IV.</w:t>
      </w:r>
    </w:p>
    <w:p w:rsidR="00A135E2" w:rsidRPr="00884FF7" w:rsidRDefault="00A135E2" w:rsidP="00EF7BF0">
      <w:pPr>
        <w:pStyle w:val="BodyText"/>
        <w:jc w:val="right"/>
        <w:rPr>
          <w:rFonts w:ascii="Times New Roman" w:hAnsi="Times New Roman" w:cs="Times New Roman"/>
          <w:b/>
        </w:rPr>
      </w:pPr>
    </w:p>
    <w:p w:rsidR="00A135E2" w:rsidRPr="00132E46" w:rsidRDefault="00A135E2" w:rsidP="00EF7BF0">
      <w:pPr>
        <w:outlineLvl w:val="0"/>
        <w:rPr>
          <w:rFonts w:ascii="Times New Roman" w:hAnsi="Times New Roman" w:cs="Times New Roman"/>
          <w:b/>
          <w:sz w:val="28"/>
          <w:szCs w:val="28"/>
        </w:rPr>
      </w:pPr>
      <w:r w:rsidRPr="00132E46">
        <w:rPr>
          <w:rFonts w:ascii="Times New Roman" w:hAnsi="Times New Roman" w:cs="Times New Roman"/>
          <w:b/>
          <w:sz w:val="28"/>
          <w:szCs w:val="28"/>
        </w:rPr>
        <w:t>Analýza stavu výzkumu, vývoje a inovací v České republice a jejich srovnání se zahraničím v roce 2013</w:t>
      </w:r>
    </w:p>
    <w:p w:rsidR="00A135E2" w:rsidRPr="00884FF7" w:rsidRDefault="00A135E2" w:rsidP="00EF7BF0">
      <w:pPr>
        <w:rPr>
          <w:rFonts w:ascii="Times New Roman" w:hAnsi="Times New Roman" w:cs="Times New Roman"/>
        </w:rPr>
      </w:pPr>
    </w:p>
    <w:p w:rsidR="00A135E2" w:rsidRPr="00884FF7" w:rsidRDefault="00A135E2" w:rsidP="00EF7BF0">
      <w:pPr>
        <w:jc w:val="both"/>
        <w:rPr>
          <w:rFonts w:ascii="Times New Roman" w:hAnsi="Times New Roman" w:cs="Times New Roman"/>
        </w:rPr>
      </w:pPr>
      <w:r w:rsidRPr="00884FF7">
        <w:rPr>
          <w:rFonts w:ascii="Times New Roman" w:hAnsi="Times New Roman" w:cs="Times New Roman"/>
        </w:rPr>
        <w:t xml:space="preserve">Dle Jednacího řádu vlády byl materiál rozeslán do meziresortního připomínkového řízení dopisem 1. místopředsedkyně Rady pro výzkum, vývoj a inovace, PhDr. M. Kopicové prostřednictvím elektronické knihovny Úřadu vlády ČR (eKLEP). Připomínkové řízení bylo zahájeno dne 18. prosince </w:t>
      </w:r>
      <w:smartTag w:uri="urn:schemas-microsoft-com:office:smarttags" w:element="metricconverter">
        <w:smartTagPr>
          <w:attr w:name="ProductID" w:val="2013 a"/>
        </w:smartTagPr>
        <w:r w:rsidRPr="00884FF7">
          <w:rPr>
            <w:rFonts w:ascii="Times New Roman" w:hAnsi="Times New Roman" w:cs="Times New Roman"/>
          </w:rPr>
          <w:t>2013 a</w:t>
        </w:r>
      </w:smartTag>
      <w:r w:rsidRPr="00884FF7">
        <w:rPr>
          <w:rFonts w:ascii="Times New Roman" w:hAnsi="Times New Roman" w:cs="Times New Roman"/>
        </w:rPr>
        <w:t xml:space="preserve"> probíhalo do 10. ledna 2014. </w:t>
      </w:r>
      <w:r>
        <w:rPr>
          <w:rFonts w:ascii="Times New Roman" w:hAnsi="Times New Roman" w:cs="Times New Roman"/>
        </w:rPr>
        <w:t xml:space="preserve">Celkem bylo uplatněno 29 připomínek, z toho 6 zásadních (TA ČR – 1x, MF – 2x a AV ČR – 3x). Všechny zásadní připomínky byly řádně vypořádány. </w:t>
      </w:r>
      <w:r w:rsidRPr="00884FF7">
        <w:rPr>
          <w:rFonts w:ascii="Times New Roman" w:hAnsi="Times New Roman" w:cs="Times New Roman"/>
        </w:rPr>
        <w:t>Vyhodnocení tohoto řízení je uvedeno v následující tabulce:</w:t>
      </w:r>
    </w:p>
    <w:p w:rsidR="00A135E2" w:rsidRPr="00884FF7" w:rsidRDefault="00A135E2" w:rsidP="00EF7BF0">
      <w:pPr>
        <w:rPr>
          <w:rFonts w:ascii="Times New Roman" w:hAnsi="Times New Roman" w:cs="Times New Roman"/>
        </w:rPr>
      </w:pPr>
    </w:p>
    <w:tbl>
      <w:tblPr>
        <w:tblW w:w="14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5955"/>
        <w:gridCol w:w="6642"/>
      </w:tblGrid>
      <w:tr w:rsidR="00A135E2" w:rsidRPr="00884FF7" w:rsidTr="006E3906">
        <w:tc>
          <w:tcPr>
            <w:tcW w:w="1732" w:type="dxa"/>
          </w:tcPr>
          <w:p w:rsidR="00A135E2" w:rsidRPr="00884FF7" w:rsidRDefault="00A135E2" w:rsidP="006327E7">
            <w:pPr>
              <w:rPr>
                <w:rFonts w:ascii="Times New Roman" w:hAnsi="Times New Roman" w:cs="Times New Roman"/>
              </w:rPr>
            </w:pPr>
            <w:r w:rsidRPr="00884FF7">
              <w:rPr>
                <w:rFonts w:ascii="Times New Roman" w:hAnsi="Times New Roman" w:cs="Times New Roman"/>
                <w:b/>
                <w:bCs/>
              </w:rPr>
              <w:t>Resort</w:t>
            </w:r>
          </w:p>
        </w:tc>
        <w:tc>
          <w:tcPr>
            <w:tcW w:w="5955" w:type="dxa"/>
          </w:tcPr>
          <w:p w:rsidR="00A135E2" w:rsidRPr="00884FF7" w:rsidRDefault="00A135E2" w:rsidP="006327E7">
            <w:pPr>
              <w:rPr>
                <w:rFonts w:ascii="Times New Roman" w:hAnsi="Times New Roman" w:cs="Times New Roman"/>
              </w:rPr>
            </w:pPr>
            <w:r w:rsidRPr="00884FF7">
              <w:rPr>
                <w:rFonts w:ascii="Times New Roman" w:hAnsi="Times New Roman" w:cs="Times New Roman"/>
                <w:b/>
                <w:bCs/>
              </w:rPr>
              <w:t>Připomínky</w:t>
            </w:r>
          </w:p>
        </w:tc>
        <w:tc>
          <w:tcPr>
            <w:tcW w:w="6642" w:type="dxa"/>
          </w:tcPr>
          <w:p w:rsidR="00A135E2" w:rsidRPr="00884FF7" w:rsidRDefault="00A135E2" w:rsidP="006327E7">
            <w:pPr>
              <w:rPr>
                <w:rFonts w:ascii="Times New Roman" w:hAnsi="Times New Roman" w:cs="Times New Roman"/>
              </w:rPr>
            </w:pPr>
            <w:r w:rsidRPr="00884FF7">
              <w:rPr>
                <w:rFonts w:ascii="Times New Roman" w:hAnsi="Times New Roman" w:cs="Times New Roman"/>
                <w:b/>
                <w:bCs/>
              </w:rPr>
              <w:t>Vypořádání</w:t>
            </w:r>
          </w:p>
        </w:tc>
      </w:tr>
      <w:tr w:rsidR="00A135E2" w:rsidRPr="00884FF7" w:rsidTr="006E3906">
        <w:trPr>
          <w:trHeight w:val="661"/>
        </w:trPr>
        <w:tc>
          <w:tcPr>
            <w:tcW w:w="1732" w:type="dxa"/>
          </w:tcPr>
          <w:p w:rsidR="00A135E2" w:rsidRPr="00884FF7" w:rsidRDefault="00A135E2" w:rsidP="00186008">
            <w:pPr>
              <w:spacing w:before="120"/>
              <w:rPr>
                <w:rFonts w:ascii="Times New Roman" w:hAnsi="Times New Roman" w:cs="Times New Roman"/>
              </w:rPr>
            </w:pPr>
            <w:r w:rsidRPr="00884FF7">
              <w:rPr>
                <w:rFonts w:ascii="Times New Roman" w:hAnsi="Times New Roman" w:cs="Times New Roman"/>
              </w:rPr>
              <w:t>MSP</w:t>
            </w:r>
          </w:p>
        </w:tc>
        <w:tc>
          <w:tcPr>
            <w:tcW w:w="5955" w:type="dxa"/>
          </w:tcPr>
          <w:p w:rsidR="00A135E2" w:rsidRPr="00884FF7" w:rsidRDefault="00A135E2" w:rsidP="00D12E34">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Bez připomínek</w:t>
            </w:r>
          </w:p>
        </w:tc>
        <w:tc>
          <w:tcPr>
            <w:tcW w:w="6642" w:type="dxa"/>
          </w:tcPr>
          <w:p w:rsidR="00A135E2" w:rsidRPr="00884FF7" w:rsidRDefault="00A135E2" w:rsidP="00D12E34">
            <w:pPr>
              <w:spacing w:before="120"/>
              <w:rPr>
                <w:rFonts w:ascii="Times New Roman" w:hAnsi="Times New Roman" w:cs="Times New Roman"/>
              </w:rPr>
            </w:pPr>
          </w:p>
        </w:tc>
      </w:tr>
      <w:tr w:rsidR="00A135E2" w:rsidRPr="00884FF7" w:rsidTr="006E3906">
        <w:trPr>
          <w:trHeight w:val="661"/>
        </w:trPr>
        <w:tc>
          <w:tcPr>
            <w:tcW w:w="1732" w:type="dxa"/>
          </w:tcPr>
          <w:p w:rsidR="00A135E2" w:rsidRPr="00884FF7" w:rsidRDefault="00A135E2" w:rsidP="00186008">
            <w:pPr>
              <w:spacing w:before="120"/>
              <w:rPr>
                <w:rFonts w:ascii="Times New Roman" w:hAnsi="Times New Roman" w:cs="Times New Roman"/>
              </w:rPr>
            </w:pPr>
            <w:r w:rsidRPr="00884FF7">
              <w:rPr>
                <w:rFonts w:ascii="Times New Roman" w:hAnsi="Times New Roman" w:cs="Times New Roman"/>
              </w:rPr>
              <w:t>MD</w:t>
            </w:r>
          </w:p>
        </w:tc>
        <w:tc>
          <w:tcPr>
            <w:tcW w:w="5955" w:type="dxa"/>
          </w:tcPr>
          <w:p w:rsidR="00A135E2" w:rsidRPr="00884FF7" w:rsidRDefault="00A135E2" w:rsidP="00D12E34">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Bez připomínek</w:t>
            </w:r>
          </w:p>
        </w:tc>
        <w:tc>
          <w:tcPr>
            <w:tcW w:w="6642" w:type="dxa"/>
          </w:tcPr>
          <w:p w:rsidR="00A135E2" w:rsidRPr="00884FF7" w:rsidRDefault="00A135E2" w:rsidP="00D12E34">
            <w:pPr>
              <w:spacing w:before="120"/>
              <w:rPr>
                <w:rFonts w:ascii="Times New Roman" w:hAnsi="Times New Roman" w:cs="Times New Roman"/>
              </w:rPr>
            </w:pPr>
          </w:p>
        </w:tc>
      </w:tr>
      <w:tr w:rsidR="00A135E2" w:rsidRPr="00884FF7" w:rsidTr="006E3906">
        <w:trPr>
          <w:trHeight w:val="661"/>
        </w:trPr>
        <w:tc>
          <w:tcPr>
            <w:tcW w:w="1732" w:type="dxa"/>
          </w:tcPr>
          <w:p w:rsidR="00A135E2" w:rsidRPr="00884FF7" w:rsidRDefault="00A135E2" w:rsidP="00186008">
            <w:pPr>
              <w:spacing w:before="120"/>
              <w:rPr>
                <w:rFonts w:ascii="Times New Roman" w:hAnsi="Times New Roman" w:cs="Times New Roman"/>
              </w:rPr>
            </w:pPr>
            <w:r w:rsidRPr="00884FF7">
              <w:rPr>
                <w:rFonts w:ascii="Times New Roman" w:hAnsi="Times New Roman" w:cs="Times New Roman"/>
              </w:rPr>
              <w:t>MPSV</w:t>
            </w:r>
          </w:p>
        </w:tc>
        <w:tc>
          <w:tcPr>
            <w:tcW w:w="5955" w:type="dxa"/>
          </w:tcPr>
          <w:p w:rsidR="00A135E2" w:rsidRPr="00884FF7" w:rsidRDefault="00A135E2" w:rsidP="00D12E34">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Bez připomínek</w:t>
            </w:r>
          </w:p>
        </w:tc>
        <w:tc>
          <w:tcPr>
            <w:tcW w:w="6642" w:type="dxa"/>
          </w:tcPr>
          <w:p w:rsidR="00A135E2" w:rsidRPr="00884FF7" w:rsidRDefault="00A135E2" w:rsidP="00D12E34">
            <w:pPr>
              <w:spacing w:before="120"/>
              <w:rPr>
                <w:rFonts w:ascii="Times New Roman" w:hAnsi="Times New Roman" w:cs="Times New Roman"/>
              </w:rPr>
            </w:pPr>
          </w:p>
        </w:tc>
      </w:tr>
      <w:tr w:rsidR="00A135E2" w:rsidRPr="00884FF7" w:rsidTr="006E3906">
        <w:trPr>
          <w:trHeight w:val="661"/>
        </w:trPr>
        <w:tc>
          <w:tcPr>
            <w:tcW w:w="1732" w:type="dxa"/>
          </w:tcPr>
          <w:p w:rsidR="00A135E2" w:rsidRPr="00884FF7" w:rsidRDefault="00A135E2" w:rsidP="00186008">
            <w:pPr>
              <w:spacing w:before="120"/>
              <w:rPr>
                <w:rFonts w:ascii="Times New Roman" w:hAnsi="Times New Roman" w:cs="Times New Roman"/>
              </w:rPr>
            </w:pPr>
            <w:r w:rsidRPr="00884FF7">
              <w:rPr>
                <w:rFonts w:ascii="Times New Roman" w:hAnsi="Times New Roman" w:cs="Times New Roman"/>
              </w:rPr>
              <w:t>MK</w:t>
            </w:r>
          </w:p>
        </w:tc>
        <w:tc>
          <w:tcPr>
            <w:tcW w:w="5955" w:type="dxa"/>
          </w:tcPr>
          <w:p w:rsidR="00A135E2" w:rsidRPr="00884FF7" w:rsidRDefault="00A135E2" w:rsidP="00D12E34">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Bez připomínek</w:t>
            </w:r>
          </w:p>
        </w:tc>
        <w:tc>
          <w:tcPr>
            <w:tcW w:w="6642" w:type="dxa"/>
          </w:tcPr>
          <w:p w:rsidR="00A135E2" w:rsidRPr="00884FF7" w:rsidRDefault="00A135E2" w:rsidP="00D12E34">
            <w:pPr>
              <w:spacing w:before="120"/>
              <w:rPr>
                <w:rFonts w:ascii="Times New Roman" w:hAnsi="Times New Roman" w:cs="Times New Roman"/>
              </w:rPr>
            </w:pPr>
          </w:p>
        </w:tc>
      </w:tr>
      <w:tr w:rsidR="00A135E2" w:rsidRPr="00884FF7" w:rsidTr="006E3906">
        <w:trPr>
          <w:trHeight w:val="661"/>
        </w:trPr>
        <w:tc>
          <w:tcPr>
            <w:tcW w:w="1732" w:type="dxa"/>
          </w:tcPr>
          <w:p w:rsidR="00A135E2" w:rsidRPr="00884FF7" w:rsidRDefault="00A135E2" w:rsidP="00186008">
            <w:pPr>
              <w:spacing w:before="120"/>
              <w:rPr>
                <w:rFonts w:ascii="Times New Roman" w:hAnsi="Times New Roman" w:cs="Times New Roman"/>
              </w:rPr>
            </w:pPr>
            <w:r w:rsidRPr="00884FF7">
              <w:rPr>
                <w:rFonts w:ascii="Times New Roman" w:hAnsi="Times New Roman" w:cs="Times New Roman"/>
              </w:rPr>
              <w:t>MPO</w:t>
            </w:r>
          </w:p>
        </w:tc>
        <w:tc>
          <w:tcPr>
            <w:tcW w:w="5955" w:type="dxa"/>
          </w:tcPr>
          <w:p w:rsidR="00A135E2" w:rsidRPr="00884FF7" w:rsidRDefault="00A135E2" w:rsidP="00D12E34">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Připomínka č. 1:</w:t>
            </w:r>
          </w:p>
          <w:p w:rsidR="00A135E2" w:rsidRPr="00884FF7" w:rsidRDefault="00A135E2" w:rsidP="00186008">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Vzhledem k tomu, že cílem analýzy je provést mezinárodní srovnání a podat vysvětlující stanovisko, bylo by vhodné této části věnovat více pozornosti. Řada kapitol obsahuje spíše jen popis získaných statistických dat a konstatování zřejmých skutečností (typu „nejvyšší podíl high-tech firem mají obvykle země s vysokou inovační výkonností“), avšak bez patřičného rozboru či předložení nějakých závěrů. V této souvislosti také doporučujeme zaměřit se při mezinárodním porovnání na sledování trendů v relevantních zemích.</w:t>
            </w:r>
          </w:p>
        </w:tc>
        <w:tc>
          <w:tcPr>
            <w:tcW w:w="6642" w:type="dxa"/>
          </w:tcPr>
          <w:p w:rsidR="00A135E2" w:rsidRPr="00884FF7" w:rsidRDefault="00A135E2" w:rsidP="008B4E47">
            <w:pPr>
              <w:spacing w:before="120"/>
              <w:rPr>
                <w:rFonts w:ascii="Times New Roman" w:hAnsi="Times New Roman" w:cs="Times New Roman"/>
              </w:rPr>
            </w:pPr>
            <w:r w:rsidRPr="00884FF7">
              <w:rPr>
                <w:rFonts w:ascii="Times New Roman" w:hAnsi="Times New Roman" w:cs="Times New Roman"/>
              </w:rPr>
              <w:t>Vysvětleno:</w:t>
            </w:r>
          </w:p>
          <w:p w:rsidR="00A135E2" w:rsidRPr="00884FF7" w:rsidRDefault="00A135E2" w:rsidP="008B4E47">
            <w:pPr>
              <w:spacing w:before="120"/>
              <w:jc w:val="both"/>
              <w:rPr>
                <w:rFonts w:ascii="Times New Roman" w:hAnsi="Times New Roman" w:cs="Times New Roman"/>
              </w:rPr>
            </w:pPr>
            <w:r w:rsidRPr="00884FF7">
              <w:rPr>
                <w:rFonts w:ascii="Times New Roman" w:hAnsi="Times New Roman" w:cs="Times New Roman"/>
              </w:rPr>
              <w:t>Analýza prezentuje v souladu se zadáním především popisné údaje. Souhlasíme, že analytická hloubka textu by mohla být v příštích letech zvýšena, ovšem současně se zúžením spektra prezentovaných charakteristik a koncentrací pouze na vybraná (hlavní či aktuální) témata. Normativní vyznění (zaujímání stanovisek) textu, tak jak byl koncipován, podle názoru zpracovatele nepřísluší.</w:t>
            </w:r>
          </w:p>
        </w:tc>
      </w:tr>
      <w:tr w:rsidR="00A135E2" w:rsidRPr="00884FF7" w:rsidTr="006E3906">
        <w:trPr>
          <w:trHeight w:val="661"/>
        </w:trPr>
        <w:tc>
          <w:tcPr>
            <w:tcW w:w="1732" w:type="dxa"/>
            <w:vMerge w:val="restart"/>
          </w:tcPr>
          <w:p w:rsidR="00A135E2" w:rsidRPr="00884FF7" w:rsidRDefault="00A135E2" w:rsidP="00186008">
            <w:pPr>
              <w:spacing w:before="120"/>
              <w:rPr>
                <w:rFonts w:ascii="Times New Roman" w:hAnsi="Times New Roman" w:cs="Times New Roman"/>
              </w:rPr>
            </w:pPr>
          </w:p>
        </w:tc>
        <w:tc>
          <w:tcPr>
            <w:tcW w:w="5955" w:type="dxa"/>
          </w:tcPr>
          <w:p w:rsidR="00A135E2" w:rsidRPr="00884FF7" w:rsidRDefault="00A135E2" w:rsidP="00D12E34">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Připomínka č. 2:</w:t>
            </w:r>
          </w:p>
          <w:p w:rsidR="00A135E2" w:rsidRPr="00884FF7" w:rsidRDefault="00A135E2" w:rsidP="00D12E34">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Doporučujeme upravit shrnující část „Hlavní trendy“, a to zejména v kapitole E Mezinárodní spolupráce ve výzkumu a vývoji. Zde uváděné informace z větší části nejsou žádnými „trendy“, ale pouze konkrétními statistickými daty, navíc ne vždy zcela srozumitelnými. Hned první odrážka se zřejmě týká jen 7. RP (a ne mezinárodní spolupráce jako takové), ale není to uvedeno; v poslední odrážce zase u údaje o rozpočtu chybí „mil.“.</w:t>
            </w:r>
          </w:p>
        </w:tc>
        <w:tc>
          <w:tcPr>
            <w:tcW w:w="6642" w:type="dxa"/>
          </w:tcPr>
          <w:p w:rsidR="00A135E2" w:rsidRPr="00884FF7" w:rsidRDefault="00A135E2" w:rsidP="008B4E47">
            <w:pPr>
              <w:spacing w:before="120"/>
              <w:rPr>
                <w:rFonts w:ascii="Times New Roman" w:hAnsi="Times New Roman" w:cs="Times New Roman"/>
              </w:rPr>
            </w:pPr>
            <w:r w:rsidRPr="00884FF7">
              <w:rPr>
                <w:rFonts w:ascii="Times New Roman" w:hAnsi="Times New Roman" w:cs="Times New Roman"/>
              </w:rPr>
              <w:t>Vysvětleno a částečně akceptováno:</w:t>
            </w:r>
          </w:p>
          <w:p w:rsidR="00A135E2" w:rsidRPr="00884FF7" w:rsidRDefault="00A135E2" w:rsidP="008B4E47">
            <w:pPr>
              <w:spacing w:before="120"/>
              <w:rPr>
                <w:rFonts w:ascii="Times New Roman" w:hAnsi="Times New Roman" w:cs="Times New Roman"/>
              </w:rPr>
            </w:pPr>
            <w:r w:rsidRPr="00884FF7">
              <w:rPr>
                <w:rFonts w:ascii="Times New Roman" w:hAnsi="Times New Roman" w:cs="Times New Roman"/>
              </w:rPr>
              <w:t>Název rámečku Hlavní trendy je jednotný pro všechny kapitoly. V případě Mezinárodní spolupráce ve VaV, konkrétně 7.RP, jsou uváděna převážně kumulovaná data, proto je meziroční srovnání a identifikace trendů obtížnější.</w:t>
            </w:r>
          </w:p>
          <w:p w:rsidR="00A135E2" w:rsidRPr="00884FF7" w:rsidRDefault="00A135E2" w:rsidP="00254D73">
            <w:pPr>
              <w:spacing w:before="120"/>
              <w:rPr>
                <w:rFonts w:ascii="Times New Roman" w:hAnsi="Times New Roman" w:cs="Times New Roman"/>
              </w:rPr>
            </w:pPr>
            <w:r w:rsidRPr="00884FF7">
              <w:rPr>
                <w:rFonts w:ascii="Times New Roman" w:hAnsi="Times New Roman" w:cs="Times New Roman"/>
              </w:rPr>
              <w:t>Nejasné formulace byly doplněny</w:t>
            </w:r>
            <w:r>
              <w:rPr>
                <w:rFonts w:ascii="Times New Roman" w:hAnsi="Times New Roman" w:cs="Times New Roman"/>
              </w:rPr>
              <w:t>.</w:t>
            </w:r>
          </w:p>
        </w:tc>
      </w:tr>
      <w:tr w:rsidR="00A135E2" w:rsidRPr="00884FF7" w:rsidTr="006E3906">
        <w:trPr>
          <w:trHeight w:val="661"/>
        </w:trPr>
        <w:tc>
          <w:tcPr>
            <w:tcW w:w="1732" w:type="dxa"/>
            <w:vMerge/>
          </w:tcPr>
          <w:p w:rsidR="00A135E2" w:rsidRPr="00884FF7" w:rsidRDefault="00A135E2" w:rsidP="00186008">
            <w:pPr>
              <w:spacing w:before="120"/>
              <w:rPr>
                <w:rFonts w:ascii="Times New Roman" w:hAnsi="Times New Roman" w:cs="Times New Roman"/>
              </w:rPr>
            </w:pPr>
          </w:p>
        </w:tc>
        <w:tc>
          <w:tcPr>
            <w:tcW w:w="5955" w:type="dxa"/>
          </w:tcPr>
          <w:p w:rsidR="00A135E2" w:rsidRPr="00884FF7" w:rsidRDefault="00A135E2" w:rsidP="00D12E34">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Připomínka č. 3:</w:t>
            </w:r>
          </w:p>
          <w:p w:rsidR="00A135E2" w:rsidRPr="00884FF7" w:rsidRDefault="00A135E2" w:rsidP="00D12E34">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Doporučujeme provést důkladnější formální a jazykovou korekturu (např. na str. 121 několik chybějících interpunkčních znamének, „inovačních aktivity podniků“ či „česku“ na str. 122, zavedení již dříve používané zkratky „VaV“ na str. 123 atd.).</w:t>
            </w:r>
          </w:p>
        </w:tc>
        <w:tc>
          <w:tcPr>
            <w:tcW w:w="6642" w:type="dxa"/>
          </w:tcPr>
          <w:p w:rsidR="00A135E2" w:rsidRPr="00884FF7" w:rsidRDefault="00A135E2" w:rsidP="00D12E34">
            <w:pPr>
              <w:spacing w:before="120"/>
              <w:rPr>
                <w:rFonts w:ascii="Times New Roman" w:hAnsi="Times New Roman" w:cs="Times New Roman"/>
              </w:rPr>
            </w:pPr>
            <w:r w:rsidRPr="00884FF7">
              <w:rPr>
                <w:rFonts w:ascii="Times New Roman" w:hAnsi="Times New Roman" w:cs="Times New Roman"/>
              </w:rPr>
              <w:t>Akceptováno</w:t>
            </w:r>
          </w:p>
          <w:p w:rsidR="00A135E2" w:rsidRPr="00884FF7" w:rsidRDefault="00A135E2" w:rsidP="00254D73">
            <w:pPr>
              <w:spacing w:before="120"/>
              <w:rPr>
                <w:rFonts w:ascii="Times New Roman" w:hAnsi="Times New Roman" w:cs="Times New Roman"/>
              </w:rPr>
            </w:pPr>
            <w:r w:rsidRPr="00884FF7">
              <w:rPr>
                <w:rFonts w:ascii="Times New Roman" w:hAnsi="Times New Roman" w:cs="Times New Roman"/>
              </w:rPr>
              <w:t>Identifikované nedostatky byly opraveny.</w:t>
            </w:r>
          </w:p>
        </w:tc>
      </w:tr>
      <w:tr w:rsidR="00A135E2" w:rsidRPr="00884FF7" w:rsidTr="006E3906">
        <w:trPr>
          <w:trHeight w:val="661"/>
        </w:trPr>
        <w:tc>
          <w:tcPr>
            <w:tcW w:w="1732" w:type="dxa"/>
            <w:vMerge/>
          </w:tcPr>
          <w:p w:rsidR="00A135E2" w:rsidRPr="00884FF7" w:rsidRDefault="00A135E2" w:rsidP="00186008">
            <w:pPr>
              <w:spacing w:before="120"/>
              <w:rPr>
                <w:rFonts w:ascii="Times New Roman" w:hAnsi="Times New Roman" w:cs="Times New Roman"/>
              </w:rPr>
            </w:pPr>
          </w:p>
        </w:tc>
        <w:tc>
          <w:tcPr>
            <w:tcW w:w="5955" w:type="dxa"/>
          </w:tcPr>
          <w:p w:rsidR="00A135E2" w:rsidRPr="00884FF7" w:rsidRDefault="00A135E2" w:rsidP="00DC27EE">
            <w:pPr>
              <w:widowControl w:val="0"/>
              <w:autoSpaceDE w:val="0"/>
              <w:autoSpaceDN w:val="0"/>
              <w:adjustRightInd w:val="0"/>
              <w:spacing w:before="120"/>
              <w:jc w:val="both"/>
              <w:rPr>
                <w:rFonts w:ascii="Times New Roman" w:hAnsi="Times New Roman" w:cs="Times New Roman"/>
                <w:b/>
              </w:rPr>
            </w:pPr>
            <w:r w:rsidRPr="00884FF7">
              <w:rPr>
                <w:rFonts w:ascii="Times New Roman" w:hAnsi="Times New Roman" w:cs="Times New Roman"/>
                <w:b/>
              </w:rPr>
              <w:t>Závěr</w:t>
            </w:r>
          </w:p>
          <w:p w:rsidR="00A135E2" w:rsidRPr="00884FF7" w:rsidRDefault="00A135E2" w:rsidP="00DC27EE">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Žádáme o zapracování výše uvedených připomínek.</w:t>
            </w:r>
          </w:p>
        </w:tc>
        <w:tc>
          <w:tcPr>
            <w:tcW w:w="6642" w:type="dxa"/>
          </w:tcPr>
          <w:p w:rsidR="00A135E2" w:rsidRPr="00884FF7" w:rsidRDefault="00A135E2" w:rsidP="00D12E34">
            <w:pPr>
              <w:spacing w:before="120"/>
              <w:rPr>
                <w:rFonts w:ascii="Times New Roman" w:hAnsi="Times New Roman" w:cs="Times New Roman"/>
              </w:rPr>
            </w:pPr>
          </w:p>
        </w:tc>
      </w:tr>
      <w:tr w:rsidR="00A135E2" w:rsidRPr="00884FF7" w:rsidTr="006E3906">
        <w:trPr>
          <w:trHeight w:val="661"/>
        </w:trPr>
        <w:tc>
          <w:tcPr>
            <w:tcW w:w="1732" w:type="dxa"/>
          </w:tcPr>
          <w:p w:rsidR="00A135E2" w:rsidRPr="00884FF7" w:rsidRDefault="00A135E2" w:rsidP="00186008">
            <w:pPr>
              <w:spacing w:before="120"/>
              <w:rPr>
                <w:rFonts w:ascii="Times New Roman" w:hAnsi="Times New Roman" w:cs="Times New Roman"/>
              </w:rPr>
            </w:pPr>
            <w:r w:rsidRPr="00884FF7">
              <w:rPr>
                <w:rFonts w:ascii="Times New Roman" w:hAnsi="Times New Roman" w:cs="Times New Roman"/>
              </w:rPr>
              <w:t>ÚVČR - VÚV</w:t>
            </w:r>
          </w:p>
        </w:tc>
        <w:tc>
          <w:tcPr>
            <w:tcW w:w="5955" w:type="dxa"/>
          </w:tcPr>
          <w:p w:rsidR="00A135E2" w:rsidRPr="00884FF7" w:rsidRDefault="00A135E2" w:rsidP="00D12E34">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Bez připomínek</w:t>
            </w:r>
          </w:p>
        </w:tc>
        <w:tc>
          <w:tcPr>
            <w:tcW w:w="6642" w:type="dxa"/>
          </w:tcPr>
          <w:p w:rsidR="00A135E2" w:rsidRPr="00884FF7" w:rsidRDefault="00A135E2" w:rsidP="00D12E34">
            <w:pPr>
              <w:spacing w:before="120"/>
              <w:rPr>
                <w:rFonts w:ascii="Times New Roman" w:hAnsi="Times New Roman" w:cs="Times New Roman"/>
              </w:rPr>
            </w:pPr>
          </w:p>
        </w:tc>
      </w:tr>
      <w:tr w:rsidR="00A135E2" w:rsidRPr="00884FF7" w:rsidTr="006E3906">
        <w:trPr>
          <w:trHeight w:val="661"/>
        </w:trPr>
        <w:tc>
          <w:tcPr>
            <w:tcW w:w="1732" w:type="dxa"/>
          </w:tcPr>
          <w:p w:rsidR="00A135E2" w:rsidRPr="00884FF7" w:rsidRDefault="00A135E2" w:rsidP="00186008">
            <w:pPr>
              <w:spacing w:before="120"/>
              <w:rPr>
                <w:rFonts w:ascii="Times New Roman" w:hAnsi="Times New Roman" w:cs="Times New Roman"/>
              </w:rPr>
            </w:pPr>
            <w:r w:rsidRPr="00884FF7">
              <w:rPr>
                <w:rFonts w:ascii="Times New Roman" w:hAnsi="Times New Roman" w:cs="Times New Roman"/>
              </w:rPr>
              <w:t>ČNB</w:t>
            </w:r>
          </w:p>
        </w:tc>
        <w:tc>
          <w:tcPr>
            <w:tcW w:w="5955" w:type="dxa"/>
          </w:tcPr>
          <w:p w:rsidR="00A135E2" w:rsidRPr="00884FF7" w:rsidRDefault="00A135E2" w:rsidP="00D12E34">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Bez připomínek</w:t>
            </w:r>
          </w:p>
        </w:tc>
        <w:tc>
          <w:tcPr>
            <w:tcW w:w="6642" w:type="dxa"/>
          </w:tcPr>
          <w:p w:rsidR="00A135E2" w:rsidRPr="00884FF7" w:rsidRDefault="00A135E2" w:rsidP="00D12E34">
            <w:pPr>
              <w:spacing w:before="120"/>
              <w:rPr>
                <w:rFonts w:ascii="Times New Roman" w:hAnsi="Times New Roman" w:cs="Times New Roman"/>
              </w:rPr>
            </w:pPr>
          </w:p>
        </w:tc>
      </w:tr>
      <w:tr w:rsidR="00A135E2" w:rsidRPr="00884FF7" w:rsidTr="006E3906">
        <w:trPr>
          <w:trHeight w:val="661"/>
        </w:trPr>
        <w:tc>
          <w:tcPr>
            <w:tcW w:w="1732" w:type="dxa"/>
          </w:tcPr>
          <w:p w:rsidR="00A135E2" w:rsidRPr="00884FF7" w:rsidRDefault="00A135E2" w:rsidP="00186008">
            <w:pPr>
              <w:spacing w:before="120"/>
              <w:rPr>
                <w:rFonts w:ascii="Times New Roman" w:hAnsi="Times New Roman" w:cs="Times New Roman"/>
              </w:rPr>
            </w:pPr>
            <w:r w:rsidRPr="00884FF7">
              <w:rPr>
                <w:rFonts w:ascii="Times New Roman" w:hAnsi="Times New Roman" w:cs="Times New Roman"/>
              </w:rPr>
              <w:t>MMR</w:t>
            </w:r>
          </w:p>
        </w:tc>
        <w:tc>
          <w:tcPr>
            <w:tcW w:w="5955" w:type="dxa"/>
          </w:tcPr>
          <w:p w:rsidR="00A135E2" w:rsidRPr="00884FF7" w:rsidRDefault="00A135E2" w:rsidP="00D12E34">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Bez připomínek</w:t>
            </w:r>
          </w:p>
        </w:tc>
        <w:tc>
          <w:tcPr>
            <w:tcW w:w="6642" w:type="dxa"/>
          </w:tcPr>
          <w:p w:rsidR="00A135E2" w:rsidRPr="00884FF7" w:rsidRDefault="00A135E2" w:rsidP="00D12E34">
            <w:pPr>
              <w:spacing w:before="120"/>
              <w:rPr>
                <w:rFonts w:ascii="Times New Roman" w:hAnsi="Times New Roman" w:cs="Times New Roman"/>
              </w:rPr>
            </w:pPr>
          </w:p>
        </w:tc>
      </w:tr>
      <w:tr w:rsidR="00A135E2" w:rsidRPr="00884FF7" w:rsidTr="006E3906">
        <w:trPr>
          <w:trHeight w:val="661"/>
        </w:trPr>
        <w:tc>
          <w:tcPr>
            <w:tcW w:w="1732" w:type="dxa"/>
          </w:tcPr>
          <w:p w:rsidR="00A135E2" w:rsidRPr="00884FF7" w:rsidRDefault="00A135E2" w:rsidP="00186008">
            <w:pPr>
              <w:spacing w:before="120"/>
              <w:rPr>
                <w:rFonts w:ascii="Times New Roman" w:hAnsi="Times New Roman" w:cs="Times New Roman"/>
              </w:rPr>
            </w:pPr>
            <w:r w:rsidRPr="00884FF7">
              <w:rPr>
                <w:rFonts w:ascii="Times New Roman" w:hAnsi="Times New Roman" w:cs="Times New Roman"/>
              </w:rPr>
              <w:t>MZdr</w:t>
            </w:r>
          </w:p>
        </w:tc>
        <w:tc>
          <w:tcPr>
            <w:tcW w:w="5955" w:type="dxa"/>
          </w:tcPr>
          <w:p w:rsidR="00A135E2" w:rsidRPr="00884FF7" w:rsidRDefault="00A135E2" w:rsidP="00D12E34">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Bez připomínek</w:t>
            </w:r>
          </w:p>
        </w:tc>
        <w:tc>
          <w:tcPr>
            <w:tcW w:w="6642" w:type="dxa"/>
          </w:tcPr>
          <w:p w:rsidR="00A135E2" w:rsidRPr="00884FF7" w:rsidRDefault="00A135E2" w:rsidP="00D12E34">
            <w:pPr>
              <w:spacing w:before="120"/>
              <w:rPr>
                <w:rFonts w:ascii="Times New Roman" w:hAnsi="Times New Roman" w:cs="Times New Roman"/>
              </w:rPr>
            </w:pPr>
          </w:p>
        </w:tc>
      </w:tr>
      <w:tr w:rsidR="00A135E2" w:rsidRPr="00884FF7" w:rsidTr="006E3906">
        <w:trPr>
          <w:trHeight w:val="661"/>
        </w:trPr>
        <w:tc>
          <w:tcPr>
            <w:tcW w:w="1732" w:type="dxa"/>
          </w:tcPr>
          <w:p w:rsidR="00A135E2" w:rsidRPr="00884FF7" w:rsidRDefault="00A135E2" w:rsidP="00186008">
            <w:pPr>
              <w:spacing w:before="120"/>
              <w:rPr>
                <w:rFonts w:ascii="Times New Roman" w:hAnsi="Times New Roman" w:cs="Times New Roman"/>
              </w:rPr>
            </w:pPr>
            <w:r w:rsidRPr="00884FF7">
              <w:rPr>
                <w:rFonts w:ascii="Times New Roman" w:hAnsi="Times New Roman" w:cs="Times New Roman"/>
              </w:rPr>
              <w:t>MZe</w:t>
            </w:r>
          </w:p>
        </w:tc>
        <w:tc>
          <w:tcPr>
            <w:tcW w:w="5955" w:type="dxa"/>
          </w:tcPr>
          <w:p w:rsidR="00A135E2" w:rsidRPr="00884FF7" w:rsidRDefault="00A135E2" w:rsidP="00D12E34">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Bez připomínek</w:t>
            </w:r>
          </w:p>
        </w:tc>
        <w:tc>
          <w:tcPr>
            <w:tcW w:w="6642" w:type="dxa"/>
          </w:tcPr>
          <w:p w:rsidR="00A135E2" w:rsidRPr="00884FF7" w:rsidRDefault="00A135E2" w:rsidP="00D12E34">
            <w:pPr>
              <w:spacing w:before="120"/>
              <w:rPr>
                <w:rFonts w:ascii="Times New Roman" w:hAnsi="Times New Roman" w:cs="Times New Roman"/>
              </w:rPr>
            </w:pPr>
          </w:p>
        </w:tc>
      </w:tr>
      <w:tr w:rsidR="00A135E2" w:rsidRPr="00884FF7" w:rsidTr="006E3906">
        <w:trPr>
          <w:trHeight w:val="661"/>
        </w:trPr>
        <w:tc>
          <w:tcPr>
            <w:tcW w:w="1732" w:type="dxa"/>
            <w:vMerge w:val="restart"/>
          </w:tcPr>
          <w:p w:rsidR="00A135E2" w:rsidRPr="00884FF7" w:rsidRDefault="00A135E2" w:rsidP="00186008">
            <w:pPr>
              <w:spacing w:before="120"/>
              <w:rPr>
                <w:rFonts w:ascii="Times New Roman" w:hAnsi="Times New Roman" w:cs="Times New Roman"/>
              </w:rPr>
            </w:pPr>
            <w:r w:rsidRPr="00884FF7">
              <w:rPr>
                <w:rFonts w:ascii="Times New Roman" w:hAnsi="Times New Roman" w:cs="Times New Roman"/>
              </w:rPr>
              <w:t>MZV</w:t>
            </w:r>
          </w:p>
        </w:tc>
        <w:tc>
          <w:tcPr>
            <w:tcW w:w="5955" w:type="dxa"/>
          </w:tcPr>
          <w:p w:rsidR="00A135E2" w:rsidRPr="00884FF7" w:rsidRDefault="00A135E2" w:rsidP="000A5427">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Připomínka č. 4:</w:t>
            </w:r>
          </w:p>
          <w:p w:rsidR="00A135E2" w:rsidRPr="00884FF7" w:rsidRDefault="00A135E2" w:rsidP="000A5427">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u w:val="single"/>
              </w:rPr>
              <w:t>MZV doporučuje</w:t>
            </w:r>
            <w:r w:rsidRPr="00884FF7">
              <w:rPr>
                <w:rFonts w:ascii="Times New Roman" w:hAnsi="Times New Roman" w:cs="Times New Roman"/>
              </w:rPr>
              <w:t>, aby fakta a poznatky shromážděné v analýze byly zformulovány do několika jasných závěrů (doporučení, příp. i do návrhů opatření): jakým směrem by se měla vládní politika v oblasti VaVaI v nejbližších letech ubírat a na jaká témata by se měla nejvíce zaměřit (např. jak dosáhnout zlepšení spolupráce privátního sektoru a veřejného výzkumu).</w:t>
            </w:r>
          </w:p>
        </w:tc>
        <w:tc>
          <w:tcPr>
            <w:tcW w:w="6642" w:type="dxa"/>
          </w:tcPr>
          <w:p w:rsidR="00A135E2" w:rsidRPr="00884FF7" w:rsidRDefault="00A135E2" w:rsidP="00D12E34">
            <w:pPr>
              <w:spacing w:before="120"/>
              <w:rPr>
                <w:rFonts w:ascii="Times New Roman" w:hAnsi="Times New Roman" w:cs="Times New Roman"/>
              </w:rPr>
            </w:pPr>
            <w:r w:rsidRPr="00884FF7">
              <w:rPr>
                <w:rFonts w:ascii="Times New Roman" w:hAnsi="Times New Roman" w:cs="Times New Roman"/>
              </w:rPr>
              <w:t>Vysvětleno</w:t>
            </w:r>
          </w:p>
          <w:p w:rsidR="00A135E2" w:rsidRPr="00884FF7" w:rsidRDefault="00A135E2" w:rsidP="005E40E5">
            <w:pPr>
              <w:spacing w:before="120"/>
              <w:jc w:val="both"/>
              <w:rPr>
                <w:rFonts w:ascii="Times New Roman" w:hAnsi="Times New Roman" w:cs="Times New Roman"/>
              </w:rPr>
            </w:pPr>
            <w:r w:rsidRPr="00884FF7">
              <w:rPr>
                <w:rFonts w:ascii="Times New Roman" w:hAnsi="Times New Roman" w:cs="Times New Roman"/>
              </w:rPr>
              <w:t>Dokument má analyticko-popisný charakter. Pro formulaci doporučení či opatření je třeba zvážit celou řadu dalších vstupů mimo popis současného stavu (zahraniční praxe, omezující faktory, strategické směry vyplývají z přijatých politik aj.).</w:t>
            </w:r>
          </w:p>
          <w:p w:rsidR="00A135E2" w:rsidRPr="00884FF7" w:rsidRDefault="00A135E2" w:rsidP="005E40E5">
            <w:pPr>
              <w:spacing w:before="120"/>
              <w:rPr>
                <w:rFonts w:ascii="Times New Roman" w:hAnsi="Times New Roman" w:cs="Times New Roman"/>
              </w:rPr>
            </w:pPr>
            <w:r w:rsidRPr="00884FF7">
              <w:rPr>
                <w:rFonts w:ascii="Times New Roman" w:hAnsi="Times New Roman" w:cs="Times New Roman"/>
              </w:rPr>
              <w:t>Na úrovni kapitol nahrazuje závěr úvodní rámeček Hlavní trendy. Pro celý dokument plní funkci závěru kapitola Shrnutí v úvodu.</w:t>
            </w:r>
          </w:p>
        </w:tc>
      </w:tr>
      <w:tr w:rsidR="00A135E2" w:rsidRPr="00884FF7" w:rsidTr="006E3906">
        <w:trPr>
          <w:trHeight w:val="661"/>
        </w:trPr>
        <w:tc>
          <w:tcPr>
            <w:tcW w:w="1732" w:type="dxa"/>
            <w:vMerge/>
          </w:tcPr>
          <w:p w:rsidR="00A135E2" w:rsidRPr="00884FF7" w:rsidRDefault="00A135E2" w:rsidP="00186008">
            <w:pPr>
              <w:spacing w:before="120"/>
              <w:rPr>
                <w:rFonts w:ascii="Times New Roman" w:hAnsi="Times New Roman" w:cs="Times New Roman"/>
              </w:rPr>
            </w:pPr>
          </w:p>
        </w:tc>
        <w:tc>
          <w:tcPr>
            <w:tcW w:w="5955" w:type="dxa"/>
          </w:tcPr>
          <w:p w:rsidR="00A135E2" w:rsidRPr="00884FF7" w:rsidRDefault="00A135E2" w:rsidP="000A5427">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u w:val="single"/>
              </w:rPr>
              <w:t>MZV nabízí</w:t>
            </w:r>
            <w:r w:rsidRPr="00884FF7">
              <w:rPr>
                <w:rFonts w:ascii="Times New Roman" w:hAnsi="Times New Roman" w:cs="Times New Roman"/>
              </w:rPr>
              <w:t xml:space="preserve"> využití kapacit zastupitelských úřadů pro shromažďování a přenos informací a zkušeností jiných zemí z oblasti VaVaI (za předpokladu jasného zadání ze strany RVVI).</w:t>
            </w:r>
          </w:p>
        </w:tc>
        <w:tc>
          <w:tcPr>
            <w:tcW w:w="6642" w:type="dxa"/>
          </w:tcPr>
          <w:p w:rsidR="00A135E2" w:rsidRPr="000923CD" w:rsidRDefault="00A135E2" w:rsidP="006B7376">
            <w:pPr>
              <w:widowControl w:val="0"/>
              <w:autoSpaceDE w:val="0"/>
              <w:autoSpaceDN w:val="0"/>
              <w:adjustRightInd w:val="0"/>
              <w:spacing w:before="120"/>
              <w:jc w:val="both"/>
              <w:rPr>
                <w:rFonts w:ascii="Times New Roman" w:hAnsi="Times New Roman" w:cs="Times New Roman"/>
              </w:rPr>
            </w:pPr>
            <w:r w:rsidRPr="000923CD">
              <w:rPr>
                <w:rFonts w:ascii="Times New Roman" w:hAnsi="Times New Roman" w:cs="Times New Roman"/>
              </w:rPr>
              <w:t>Akceptováno:</w:t>
            </w:r>
          </w:p>
          <w:p w:rsidR="00A135E2" w:rsidRPr="00884FF7" w:rsidRDefault="00A135E2" w:rsidP="000923CD">
            <w:pPr>
              <w:widowControl w:val="0"/>
              <w:autoSpaceDE w:val="0"/>
              <w:autoSpaceDN w:val="0"/>
              <w:adjustRightInd w:val="0"/>
              <w:spacing w:before="120"/>
              <w:jc w:val="both"/>
              <w:rPr>
                <w:rFonts w:ascii="Times New Roman" w:hAnsi="Times New Roman" w:cs="Times New Roman"/>
              </w:rPr>
            </w:pPr>
            <w:r>
              <w:rPr>
                <w:rFonts w:ascii="Times New Roman" w:hAnsi="Times New Roman" w:cs="Times New Roman"/>
              </w:rPr>
              <w:t>V</w:t>
            </w:r>
            <w:r w:rsidRPr="000923CD">
              <w:rPr>
                <w:rFonts w:ascii="Times New Roman" w:hAnsi="Times New Roman" w:cs="Times New Roman"/>
              </w:rPr>
              <w:t xml:space="preserve"> případě vhodnosti tohoto postup budou kontaktováni příslušní zástupci MZV a dojednány konkrétní kroky.</w:t>
            </w:r>
          </w:p>
        </w:tc>
      </w:tr>
      <w:tr w:rsidR="00A135E2" w:rsidRPr="00884FF7" w:rsidTr="006E3906">
        <w:trPr>
          <w:trHeight w:val="661"/>
        </w:trPr>
        <w:tc>
          <w:tcPr>
            <w:tcW w:w="1732" w:type="dxa"/>
            <w:vMerge w:val="restart"/>
          </w:tcPr>
          <w:p w:rsidR="00A135E2" w:rsidRPr="00884FF7" w:rsidRDefault="00A135E2" w:rsidP="00186008">
            <w:pPr>
              <w:spacing w:before="120"/>
              <w:rPr>
                <w:rFonts w:ascii="Times New Roman" w:hAnsi="Times New Roman" w:cs="Times New Roman"/>
              </w:rPr>
            </w:pPr>
            <w:r w:rsidRPr="00884FF7">
              <w:rPr>
                <w:rFonts w:ascii="Times New Roman" w:hAnsi="Times New Roman" w:cs="Times New Roman"/>
              </w:rPr>
              <w:t>TAČR</w:t>
            </w:r>
          </w:p>
        </w:tc>
        <w:tc>
          <w:tcPr>
            <w:tcW w:w="5955" w:type="dxa"/>
          </w:tcPr>
          <w:p w:rsidR="00A135E2" w:rsidRPr="00884FF7" w:rsidRDefault="00A135E2" w:rsidP="00243C9C">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Připomínka č. 5:</w:t>
            </w:r>
          </w:p>
          <w:p w:rsidR="00A135E2" w:rsidRPr="00884FF7" w:rsidRDefault="00A135E2" w:rsidP="00243C9C">
            <w:pPr>
              <w:widowControl w:val="0"/>
              <w:autoSpaceDE w:val="0"/>
              <w:autoSpaceDN w:val="0"/>
              <w:adjustRightInd w:val="0"/>
              <w:spacing w:before="120"/>
              <w:jc w:val="both"/>
              <w:rPr>
                <w:rFonts w:ascii="Times New Roman" w:hAnsi="Times New Roman" w:cs="Times New Roman"/>
                <w:u w:val="single"/>
              </w:rPr>
            </w:pPr>
            <w:r w:rsidRPr="00884FF7">
              <w:rPr>
                <w:rFonts w:ascii="Times New Roman" w:hAnsi="Times New Roman" w:cs="Times New Roman"/>
              </w:rPr>
              <w:t>V textu analýzy postrádáme v řadě případů přesnější zdůvodnění vývoje daného jevu včetně uvedení kauzalit mezi popisovanými skutečnostmi. Dále doporučujeme do analýzy doplnit kapitolu Závěr, která by vyhodnocovala celkový vývoj v oblasti VaVaI včetně vyhodnocení dopadů na vývoj ekonomiky, příp. i konkurenceschopnost ČR, tato kapitola by pak měla zahrnovat i možné výhledy do dalšího období.</w:t>
            </w:r>
          </w:p>
        </w:tc>
        <w:tc>
          <w:tcPr>
            <w:tcW w:w="6642" w:type="dxa"/>
          </w:tcPr>
          <w:p w:rsidR="00A135E2" w:rsidRPr="00884FF7" w:rsidRDefault="00A135E2" w:rsidP="00D12E34">
            <w:pPr>
              <w:spacing w:before="120"/>
              <w:rPr>
                <w:rFonts w:ascii="Times New Roman" w:hAnsi="Times New Roman" w:cs="Times New Roman"/>
              </w:rPr>
            </w:pPr>
            <w:r w:rsidRPr="00884FF7">
              <w:rPr>
                <w:rFonts w:ascii="Times New Roman" w:hAnsi="Times New Roman" w:cs="Times New Roman"/>
              </w:rPr>
              <w:t>Vysvětleno:</w:t>
            </w:r>
          </w:p>
          <w:p w:rsidR="00A135E2" w:rsidRPr="00884FF7" w:rsidRDefault="00A135E2" w:rsidP="005E40E5">
            <w:pPr>
              <w:spacing w:before="120"/>
              <w:jc w:val="both"/>
              <w:rPr>
                <w:rFonts w:ascii="Times New Roman" w:hAnsi="Times New Roman" w:cs="Times New Roman"/>
              </w:rPr>
            </w:pPr>
            <w:r w:rsidRPr="00884FF7">
              <w:rPr>
                <w:rFonts w:ascii="Times New Roman" w:hAnsi="Times New Roman" w:cs="Times New Roman"/>
              </w:rPr>
              <w:t>Viz připomínka č. 1 (MPO) - analytická hloubka je omezená rozsahem a zadáním, které požaduje pokrýt široké spektrum indikátorů/aspektů prostředí VaVaI.</w:t>
            </w:r>
          </w:p>
          <w:p w:rsidR="00A135E2" w:rsidRPr="00884FF7" w:rsidRDefault="00A135E2" w:rsidP="005E40E5">
            <w:pPr>
              <w:spacing w:before="120"/>
              <w:rPr>
                <w:rFonts w:ascii="Times New Roman" w:hAnsi="Times New Roman" w:cs="Times New Roman"/>
              </w:rPr>
            </w:pPr>
            <w:r w:rsidRPr="00884FF7">
              <w:rPr>
                <w:rFonts w:ascii="Times New Roman" w:hAnsi="Times New Roman" w:cs="Times New Roman"/>
              </w:rPr>
              <w:t>Funkci závěru plní kapitola Shrnutí v úvodu dokumentu.</w:t>
            </w:r>
          </w:p>
          <w:p w:rsidR="00A135E2" w:rsidRPr="00884FF7" w:rsidRDefault="00A135E2" w:rsidP="005E40E5">
            <w:pPr>
              <w:spacing w:before="120"/>
              <w:jc w:val="both"/>
              <w:rPr>
                <w:rFonts w:ascii="Times New Roman" w:hAnsi="Times New Roman" w:cs="Times New Roman"/>
              </w:rPr>
            </w:pPr>
            <w:r w:rsidRPr="00884FF7">
              <w:rPr>
                <w:rFonts w:ascii="Times New Roman" w:hAnsi="Times New Roman" w:cs="Times New Roman"/>
              </w:rPr>
              <w:t>Vyhodnocení dopadů vývoje VaVaI na ekonomiku / konkurenceschopnost představuje obtížnou úlohu s nutností uvážit vliv řady dalších faktorů (mimo vstupů do VaV - finanční a lidské zdroje, primárních výstupů - publikace, patenty apod.). Určitou indikaci představují inovace a podíl high-tech sektoru, ani tyto indikátory však nelze přímo spojit s vývojem konkurenceschopnosti.</w:t>
            </w:r>
          </w:p>
        </w:tc>
      </w:tr>
      <w:tr w:rsidR="00A135E2" w:rsidRPr="00884FF7" w:rsidTr="006E3906">
        <w:trPr>
          <w:trHeight w:val="661"/>
        </w:trPr>
        <w:tc>
          <w:tcPr>
            <w:tcW w:w="1732" w:type="dxa"/>
            <w:vMerge/>
          </w:tcPr>
          <w:p w:rsidR="00A135E2" w:rsidRPr="00884FF7" w:rsidRDefault="00A135E2" w:rsidP="00186008">
            <w:pPr>
              <w:spacing w:before="120"/>
              <w:rPr>
                <w:rFonts w:ascii="Times New Roman" w:hAnsi="Times New Roman" w:cs="Times New Roman"/>
              </w:rPr>
            </w:pPr>
          </w:p>
        </w:tc>
        <w:tc>
          <w:tcPr>
            <w:tcW w:w="5955" w:type="dxa"/>
          </w:tcPr>
          <w:p w:rsidR="00A135E2" w:rsidRPr="00884FF7" w:rsidRDefault="00A135E2" w:rsidP="00243C9C">
            <w:pPr>
              <w:widowControl w:val="0"/>
              <w:autoSpaceDE w:val="0"/>
              <w:autoSpaceDN w:val="0"/>
              <w:adjustRightInd w:val="0"/>
              <w:spacing w:before="120"/>
              <w:jc w:val="both"/>
              <w:rPr>
                <w:rFonts w:ascii="Times New Roman" w:hAnsi="Times New Roman" w:cs="Times New Roman"/>
                <w:b/>
              </w:rPr>
            </w:pPr>
            <w:r w:rsidRPr="00884FF7">
              <w:rPr>
                <w:rFonts w:ascii="Times New Roman" w:hAnsi="Times New Roman" w:cs="Times New Roman"/>
              </w:rPr>
              <w:t>Připomínka č. 6 -</w:t>
            </w:r>
            <w:r w:rsidRPr="00884FF7">
              <w:rPr>
                <w:rFonts w:ascii="Times New Roman" w:hAnsi="Times New Roman" w:cs="Times New Roman"/>
                <w:b/>
              </w:rPr>
              <w:t>zásadní připomínka:</w:t>
            </w:r>
          </w:p>
          <w:p w:rsidR="00A135E2" w:rsidRPr="00884FF7" w:rsidRDefault="00A135E2" w:rsidP="00243C9C">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Str. 138 – požadujeme doplnit tabulku s výstupy programu EUPRO, zejm. počet podpořených institucí v rámci tohoto programu.</w:t>
            </w:r>
          </w:p>
        </w:tc>
        <w:tc>
          <w:tcPr>
            <w:tcW w:w="6642" w:type="dxa"/>
          </w:tcPr>
          <w:p w:rsidR="00A135E2" w:rsidRPr="00884FF7" w:rsidRDefault="00A135E2" w:rsidP="00D12E34">
            <w:pPr>
              <w:spacing w:before="120"/>
              <w:rPr>
                <w:rFonts w:ascii="Times New Roman" w:hAnsi="Times New Roman" w:cs="Times New Roman"/>
              </w:rPr>
            </w:pPr>
            <w:r w:rsidRPr="00884FF7">
              <w:rPr>
                <w:rFonts w:ascii="Times New Roman" w:hAnsi="Times New Roman" w:cs="Times New Roman"/>
              </w:rPr>
              <w:t>Akceptováno a vysvětleno:</w:t>
            </w:r>
          </w:p>
          <w:p w:rsidR="00A135E2" w:rsidRPr="00884FF7" w:rsidRDefault="00A135E2" w:rsidP="005E40E5">
            <w:pPr>
              <w:spacing w:before="120"/>
              <w:jc w:val="both"/>
              <w:rPr>
                <w:rFonts w:ascii="Times New Roman" w:hAnsi="Times New Roman" w:cs="Times New Roman"/>
              </w:rPr>
            </w:pPr>
            <w:r w:rsidRPr="00884FF7">
              <w:rPr>
                <w:rFonts w:ascii="Times New Roman" w:hAnsi="Times New Roman" w:cs="Times New Roman"/>
              </w:rPr>
              <w:t>Tabulka k programu EUPRO byla doplněna po vzoru ostatních programů mezinárodní spolupráce - v době přípravy Analýzy nebyla ještě podkladová studie pro EUPRO k dispozici.</w:t>
            </w:r>
          </w:p>
        </w:tc>
      </w:tr>
      <w:tr w:rsidR="00A135E2" w:rsidRPr="00884FF7" w:rsidTr="006E3906">
        <w:trPr>
          <w:trHeight w:val="661"/>
        </w:trPr>
        <w:tc>
          <w:tcPr>
            <w:tcW w:w="1732" w:type="dxa"/>
            <w:vMerge/>
          </w:tcPr>
          <w:p w:rsidR="00A135E2" w:rsidRPr="00884FF7" w:rsidRDefault="00A135E2" w:rsidP="00186008">
            <w:pPr>
              <w:spacing w:before="120"/>
              <w:rPr>
                <w:rFonts w:ascii="Times New Roman" w:hAnsi="Times New Roman" w:cs="Times New Roman"/>
              </w:rPr>
            </w:pPr>
          </w:p>
        </w:tc>
        <w:tc>
          <w:tcPr>
            <w:tcW w:w="5955" w:type="dxa"/>
          </w:tcPr>
          <w:p w:rsidR="00A135E2" w:rsidRPr="00884FF7" w:rsidRDefault="00A135E2" w:rsidP="00243C9C">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Připomínka č. 7:</w:t>
            </w:r>
          </w:p>
          <w:p w:rsidR="00A135E2" w:rsidRPr="00884FF7" w:rsidRDefault="00A135E2" w:rsidP="00243C9C">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Str. 61 - ve větě "Z hlediska velikosti podniků dominovaly podniky s více než 250 zaměstnanci, ve kterých bylo v roce 2011 na VaV z nepřímé podpory spotřebováno 73 %. Na podniky střední velikosti pak připadalo 19 % nepřímé podpory VaV (</w:t>
            </w:r>
            <w:smartTag w:uri="urn:schemas-microsoft-com:office:smarttags" w:element="metricconverter">
              <w:smartTagPr>
                <w:attr w:name="ProductID" w:val="356 mil"/>
              </w:smartTagPr>
              <w:r w:rsidRPr="00884FF7">
                <w:rPr>
                  <w:rFonts w:ascii="Times New Roman" w:hAnsi="Times New Roman" w:cs="Times New Roman"/>
                </w:rPr>
                <w:t>356 mil</w:t>
              </w:r>
            </w:smartTag>
            <w:r w:rsidRPr="00884FF7">
              <w:rPr>
                <w:rFonts w:ascii="Times New Roman" w:hAnsi="Times New Roman" w:cs="Times New Roman"/>
              </w:rPr>
              <w:t>. Kč) a na malé podniky 7 % (</w:t>
            </w:r>
            <w:smartTag w:uri="urn:schemas-microsoft-com:office:smarttags" w:element="metricconverter">
              <w:smartTagPr>
                <w:attr w:name="ProductID" w:val="135 mil"/>
              </w:smartTagPr>
              <w:r w:rsidRPr="00884FF7">
                <w:rPr>
                  <w:rFonts w:ascii="Times New Roman" w:hAnsi="Times New Roman" w:cs="Times New Roman"/>
                </w:rPr>
                <w:t>135 mil</w:t>
              </w:r>
            </w:smartTag>
            <w:r w:rsidRPr="00884FF7">
              <w:rPr>
                <w:rFonts w:ascii="Times New Roman" w:hAnsi="Times New Roman" w:cs="Times New Roman"/>
              </w:rPr>
              <w:t>. Kč)“ nečiní součet hodnot 100 %, doporučujeme úpravu.</w:t>
            </w:r>
          </w:p>
        </w:tc>
        <w:tc>
          <w:tcPr>
            <w:tcW w:w="6642" w:type="dxa"/>
          </w:tcPr>
          <w:p w:rsidR="00A135E2" w:rsidRPr="00884FF7" w:rsidRDefault="00A135E2" w:rsidP="00D12E34">
            <w:pPr>
              <w:spacing w:before="120"/>
              <w:rPr>
                <w:rFonts w:ascii="Times New Roman" w:hAnsi="Times New Roman" w:cs="Times New Roman"/>
              </w:rPr>
            </w:pPr>
            <w:r w:rsidRPr="00884FF7">
              <w:rPr>
                <w:rFonts w:ascii="Times New Roman" w:hAnsi="Times New Roman" w:cs="Times New Roman"/>
              </w:rPr>
              <w:t>Vysvětleno:</w:t>
            </w:r>
          </w:p>
          <w:p w:rsidR="00A135E2" w:rsidRPr="00884FF7" w:rsidRDefault="00A135E2" w:rsidP="006B7376">
            <w:pPr>
              <w:spacing w:before="120"/>
              <w:jc w:val="both"/>
              <w:rPr>
                <w:rFonts w:ascii="Times New Roman" w:hAnsi="Times New Roman" w:cs="Times New Roman"/>
              </w:rPr>
            </w:pPr>
            <w:r w:rsidRPr="00884FF7">
              <w:rPr>
                <w:rFonts w:ascii="Times New Roman" w:hAnsi="Times New Roman" w:cs="Times New Roman"/>
              </w:rPr>
              <w:t>Součty celočíselných hodnot nerovnající se 100 % vznikají zaokrouhlením (vyskytují se i v jiných částech dokumentu). Při zachování přehlednosti a současně poměru kategorií je to nezbytný kompromis (v tomto případě se dosáhne bezezbytkové hodnoty poměru na úrovni sedmi desetinných míst). Podkladová data jsou k dispozici v tabulkových přílohách, zde A.34.</w:t>
            </w:r>
          </w:p>
        </w:tc>
      </w:tr>
      <w:tr w:rsidR="00A135E2" w:rsidRPr="00884FF7" w:rsidTr="006E3906">
        <w:trPr>
          <w:trHeight w:val="661"/>
        </w:trPr>
        <w:tc>
          <w:tcPr>
            <w:tcW w:w="1732" w:type="dxa"/>
            <w:vMerge w:val="restart"/>
          </w:tcPr>
          <w:p w:rsidR="00A135E2" w:rsidRPr="00884FF7" w:rsidRDefault="00A135E2" w:rsidP="00186008">
            <w:pPr>
              <w:spacing w:before="120"/>
              <w:rPr>
                <w:rFonts w:ascii="Times New Roman" w:hAnsi="Times New Roman" w:cs="Times New Roman"/>
              </w:rPr>
            </w:pPr>
          </w:p>
        </w:tc>
        <w:tc>
          <w:tcPr>
            <w:tcW w:w="5955" w:type="dxa"/>
          </w:tcPr>
          <w:p w:rsidR="00A135E2" w:rsidRPr="00884FF7" w:rsidRDefault="00A135E2" w:rsidP="00243C9C">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Připomínka č. 8:</w:t>
            </w:r>
          </w:p>
          <w:p w:rsidR="00A135E2" w:rsidRPr="00884FF7" w:rsidRDefault="00A135E2" w:rsidP="00243C9C">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Str. 138 – do výčtu organizací zabývajících se podporou mezinárodní spolupráce doporučujeme zařadit i TA ČR, neboť v roce 2013 byl vládou schválen program DELTA zabývající se podporou mezinárodní spolupráce ve VaVaI.</w:t>
            </w:r>
          </w:p>
        </w:tc>
        <w:tc>
          <w:tcPr>
            <w:tcW w:w="6642" w:type="dxa"/>
          </w:tcPr>
          <w:p w:rsidR="00A135E2" w:rsidRPr="00884FF7" w:rsidRDefault="00A135E2" w:rsidP="00D12E34">
            <w:pPr>
              <w:spacing w:before="120"/>
              <w:rPr>
                <w:rFonts w:ascii="Times New Roman" w:hAnsi="Times New Roman" w:cs="Times New Roman"/>
              </w:rPr>
            </w:pPr>
            <w:r w:rsidRPr="00884FF7">
              <w:rPr>
                <w:rFonts w:ascii="Times New Roman" w:hAnsi="Times New Roman" w:cs="Times New Roman"/>
              </w:rPr>
              <w:t>Akceptováno a vysvětleno:</w:t>
            </w:r>
          </w:p>
          <w:p w:rsidR="00A135E2" w:rsidRPr="00884FF7" w:rsidRDefault="00A135E2" w:rsidP="006B7376">
            <w:pPr>
              <w:spacing w:before="120"/>
              <w:rPr>
                <w:rFonts w:ascii="Times New Roman" w:hAnsi="Times New Roman" w:cs="Times New Roman"/>
              </w:rPr>
            </w:pPr>
            <w:r w:rsidRPr="00884FF7">
              <w:rPr>
                <w:rFonts w:ascii="Times New Roman" w:hAnsi="Times New Roman" w:cs="Times New Roman"/>
              </w:rPr>
              <w:t>Informace doplněna. Program Delta byl schválen 28. srpna 2013, tedy v době, kdy již byl finalizován obsah příslušné kapitoly.</w:t>
            </w:r>
          </w:p>
        </w:tc>
      </w:tr>
      <w:tr w:rsidR="00A135E2" w:rsidRPr="00884FF7" w:rsidTr="006E3906">
        <w:trPr>
          <w:trHeight w:val="661"/>
        </w:trPr>
        <w:tc>
          <w:tcPr>
            <w:tcW w:w="1732" w:type="dxa"/>
            <w:vMerge/>
          </w:tcPr>
          <w:p w:rsidR="00A135E2" w:rsidRPr="00884FF7" w:rsidRDefault="00A135E2" w:rsidP="00186008">
            <w:pPr>
              <w:spacing w:before="120"/>
              <w:rPr>
                <w:rFonts w:ascii="Times New Roman" w:hAnsi="Times New Roman" w:cs="Times New Roman"/>
              </w:rPr>
            </w:pPr>
          </w:p>
        </w:tc>
        <w:tc>
          <w:tcPr>
            <w:tcW w:w="5955" w:type="dxa"/>
          </w:tcPr>
          <w:p w:rsidR="00A135E2" w:rsidRPr="00884FF7" w:rsidRDefault="00A135E2" w:rsidP="00243C9C">
            <w:pPr>
              <w:widowControl w:val="0"/>
              <w:autoSpaceDE w:val="0"/>
              <w:autoSpaceDN w:val="0"/>
              <w:adjustRightInd w:val="0"/>
              <w:spacing w:before="120"/>
              <w:jc w:val="both"/>
              <w:rPr>
                <w:rFonts w:ascii="Times New Roman" w:hAnsi="Times New Roman" w:cs="Times New Roman"/>
                <w:b/>
              </w:rPr>
            </w:pPr>
            <w:r w:rsidRPr="00884FF7">
              <w:rPr>
                <w:rFonts w:ascii="Times New Roman" w:hAnsi="Times New Roman" w:cs="Times New Roman"/>
                <w:b/>
              </w:rPr>
              <w:t>Závěr</w:t>
            </w:r>
          </w:p>
          <w:p w:rsidR="00A135E2" w:rsidRPr="00884FF7" w:rsidRDefault="00A135E2" w:rsidP="00243C9C">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Po zapracování připomínek doporučujeme materiál předložit vládě ke schválení.</w:t>
            </w:r>
          </w:p>
        </w:tc>
        <w:tc>
          <w:tcPr>
            <w:tcW w:w="6642" w:type="dxa"/>
          </w:tcPr>
          <w:p w:rsidR="00A135E2" w:rsidRPr="00884FF7" w:rsidRDefault="00A135E2" w:rsidP="00D12E34">
            <w:pPr>
              <w:spacing w:before="120"/>
              <w:rPr>
                <w:rFonts w:ascii="Times New Roman" w:hAnsi="Times New Roman" w:cs="Times New Roman"/>
              </w:rPr>
            </w:pPr>
          </w:p>
        </w:tc>
      </w:tr>
      <w:tr w:rsidR="00A135E2" w:rsidRPr="00884FF7" w:rsidTr="006E3906">
        <w:trPr>
          <w:trHeight w:val="661"/>
        </w:trPr>
        <w:tc>
          <w:tcPr>
            <w:tcW w:w="1732" w:type="dxa"/>
          </w:tcPr>
          <w:p w:rsidR="00A135E2" w:rsidRPr="00884FF7" w:rsidRDefault="00A135E2" w:rsidP="00606AA9">
            <w:pPr>
              <w:spacing w:before="120"/>
              <w:rPr>
                <w:rFonts w:ascii="Times New Roman" w:hAnsi="Times New Roman" w:cs="Times New Roman"/>
              </w:rPr>
            </w:pPr>
            <w:r w:rsidRPr="00884FF7">
              <w:rPr>
                <w:rFonts w:ascii="Times New Roman" w:hAnsi="Times New Roman" w:cs="Times New Roman"/>
              </w:rPr>
              <w:t>ÚVČR - OKK</w:t>
            </w:r>
          </w:p>
        </w:tc>
        <w:tc>
          <w:tcPr>
            <w:tcW w:w="5955" w:type="dxa"/>
          </w:tcPr>
          <w:p w:rsidR="00A135E2" w:rsidRPr="00884FF7" w:rsidRDefault="00A135E2" w:rsidP="00A94015">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Bez připomínek</w:t>
            </w:r>
          </w:p>
        </w:tc>
        <w:tc>
          <w:tcPr>
            <w:tcW w:w="6642" w:type="dxa"/>
          </w:tcPr>
          <w:p w:rsidR="00A135E2" w:rsidRPr="00884FF7" w:rsidRDefault="00A135E2" w:rsidP="00D12E34">
            <w:pPr>
              <w:spacing w:before="120"/>
              <w:rPr>
                <w:rFonts w:ascii="Times New Roman" w:hAnsi="Times New Roman" w:cs="Times New Roman"/>
              </w:rPr>
            </w:pPr>
          </w:p>
        </w:tc>
      </w:tr>
      <w:tr w:rsidR="00A135E2" w:rsidRPr="00884FF7" w:rsidTr="006E3906">
        <w:trPr>
          <w:trHeight w:val="661"/>
        </w:trPr>
        <w:tc>
          <w:tcPr>
            <w:tcW w:w="1732" w:type="dxa"/>
          </w:tcPr>
          <w:p w:rsidR="00A135E2" w:rsidRPr="00884FF7" w:rsidRDefault="00A135E2" w:rsidP="00A94015">
            <w:pPr>
              <w:spacing w:before="120"/>
              <w:rPr>
                <w:rFonts w:ascii="Times New Roman" w:hAnsi="Times New Roman" w:cs="Times New Roman"/>
              </w:rPr>
            </w:pPr>
            <w:r w:rsidRPr="00884FF7">
              <w:rPr>
                <w:rFonts w:ascii="Times New Roman" w:hAnsi="Times New Roman" w:cs="Times New Roman"/>
              </w:rPr>
              <w:t>MŽP</w:t>
            </w:r>
          </w:p>
        </w:tc>
        <w:tc>
          <w:tcPr>
            <w:tcW w:w="5955" w:type="dxa"/>
          </w:tcPr>
          <w:p w:rsidR="00A135E2" w:rsidRPr="00884FF7" w:rsidRDefault="00A135E2" w:rsidP="00A94015">
            <w:pPr>
              <w:widowControl w:val="0"/>
              <w:autoSpaceDE w:val="0"/>
              <w:autoSpaceDN w:val="0"/>
              <w:adjustRightInd w:val="0"/>
              <w:spacing w:before="120"/>
              <w:jc w:val="both"/>
              <w:rPr>
                <w:rFonts w:ascii="Times New Roman" w:hAnsi="Times New Roman" w:cs="Times New Roman"/>
              </w:rPr>
            </w:pPr>
            <w:r w:rsidRPr="00884FF7">
              <w:rPr>
                <w:rFonts w:ascii="Times New Roman" w:hAnsi="Times New Roman" w:cs="Times New Roman"/>
              </w:rPr>
              <w:t>Bez připomínek</w:t>
            </w:r>
          </w:p>
        </w:tc>
        <w:tc>
          <w:tcPr>
            <w:tcW w:w="6642" w:type="dxa"/>
          </w:tcPr>
          <w:p w:rsidR="00A135E2" w:rsidRPr="00884FF7" w:rsidRDefault="00A135E2" w:rsidP="00D12E34">
            <w:pPr>
              <w:spacing w:before="120"/>
              <w:rPr>
                <w:rFonts w:ascii="Times New Roman" w:hAnsi="Times New Roman" w:cs="Times New Roman"/>
              </w:rPr>
            </w:pPr>
          </w:p>
        </w:tc>
      </w:tr>
      <w:tr w:rsidR="00A135E2" w:rsidRPr="00884FF7" w:rsidTr="006E3906">
        <w:trPr>
          <w:trHeight w:val="661"/>
        </w:trPr>
        <w:tc>
          <w:tcPr>
            <w:tcW w:w="1732" w:type="dxa"/>
          </w:tcPr>
          <w:p w:rsidR="00A135E2" w:rsidRPr="00884FF7" w:rsidRDefault="00A135E2" w:rsidP="00A94015">
            <w:pPr>
              <w:spacing w:before="120"/>
              <w:rPr>
                <w:rFonts w:ascii="Times New Roman" w:hAnsi="Times New Roman" w:cs="Times New Roman"/>
              </w:rPr>
            </w:pPr>
            <w:r w:rsidRPr="00884FF7">
              <w:rPr>
                <w:rFonts w:ascii="Times New Roman" w:hAnsi="Times New Roman" w:cs="Times New Roman"/>
              </w:rPr>
              <w:t>MO</w:t>
            </w:r>
          </w:p>
        </w:tc>
        <w:tc>
          <w:tcPr>
            <w:tcW w:w="5955" w:type="dxa"/>
          </w:tcPr>
          <w:p w:rsidR="00A135E2" w:rsidRPr="00884FF7" w:rsidRDefault="00A135E2" w:rsidP="004255E7">
            <w:pPr>
              <w:spacing w:before="120"/>
              <w:rPr>
                <w:rFonts w:ascii="Times New Roman" w:hAnsi="Times New Roman" w:cs="Times New Roman"/>
              </w:rPr>
            </w:pPr>
            <w:r w:rsidRPr="00884FF7">
              <w:rPr>
                <w:rFonts w:ascii="Times New Roman" w:hAnsi="Times New Roman" w:cs="Times New Roman"/>
              </w:rPr>
              <w:t>Bez připomínek</w:t>
            </w:r>
          </w:p>
        </w:tc>
        <w:tc>
          <w:tcPr>
            <w:tcW w:w="6642" w:type="dxa"/>
          </w:tcPr>
          <w:p w:rsidR="00A135E2" w:rsidRPr="00884FF7" w:rsidRDefault="00A135E2" w:rsidP="00D12E34">
            <w:pPr>
              <w:spacing w:before="120"/>
              <w:rPr>
                <w:rFonts w:ascii="Times New Roman" w:hAnsi="Times New Roman" w:cs="Times New Roman"/>
              </w:rPr>
            </w:pPr>
          </w:p>
        </w:tc>
      </w:tr>
      <w:tr w:rsidR="00A135E2" w:rsidRPr="00884FF7" w:rsidTr="006E3906">
        <w:trPr>
          <w:trHeight w:val="661"/>
        </w:trPr>
        <w:tc>
          <w:tcPr>
            <w:tcW w:w="1732" w:type="dxa"/>
          </w:tcPr>
          <w:p w:rsidR="00A135E2" w:rsidRPr="00884FF7" w:rsidRDefault="00A135E2" w:rsidP="00A94015">
            <w:pPr>
              <w:spacing w:before="120"/>
              <w:rPr>
                <w:rFonts w:ascii="Times New Roman" w:hAnsi="Times New Roman" w:cs="Times New Roman"/>
              </w:rPr>
            </w:pPr>
            <w:r w:rsidRPr="00884FF7">
              <w:rPr>
                <w:rFonts w:ascii="Times New Roman" w:hAnsi="Times New Roman" w:cs="Times New Roman"/>
              </w:rPr>
              <w:t>MŠMT</w:t>
            </w:r>
          </w:p>
        </w:tc>
        <w:tc>
          <w:tcPr>
            <w:tcW w:w="5955" w:type="dxa"/>
          </w:tcPr>
          <w:p w:rsidR="00A135E2" w:rsidRPr="00884FF7" w:rsidRDefault="00A135E2" w:rsidP="004255E7">
            <w:pPr>
              <w:spacing w:before="120"/>
              <w:rPr>
                <w:rFonts w:ascii="Times New Roman" w:hAnsi="Times New Roman" w:cs="Times New Roman"/>
              </w:rPr>
            </w:pPr>
            <w:r w:rsidRPr="00884FF7">
              <w:rPr>
                <w:rFonts w:ascii="Times New Roman" w:hAnsi="Times New Roman" w:cs="Times New Roman"/>
              </w:rPr>
              <w:t>Bez připomínek</w:t>
            </w:r>
          </w:p>
        </w:tc>
        <w:tc>
          <w:tcPr>
            <w:tcW w:w="6642" w:type="dxa"/>
          </w:tcPr>
          <w:p w:rsidR="00A135E2" w:rsidRPr="00884FF7" w:rsidRDefault="00A135E2" w:rsidP="00D12E34">
            <w:pPr>
              <w:spacing w:before="120"/>
              <w:rPr>
                <w:rFonts w:ascii="Times New Roman" w:hAnsi="Times New Roman" w:cs="Times New Roman"/>
              </w:rPr>
            </w:pPr>
          </w:p>
        </w:tc>
      </w:tr>
      <w:tr w:rsidR="00A135E2" w:rsidRPr="00884FF7" w:rsidTr="006E3906">
        <w:trPr>
          <w:trHeight w:val="661"/>
        </w:trPr>
        <w:tc>
          <w:tcPr>
            <w:tcW w:w="1732" w:type="dxa"/>
          </w:tcPr>
          <w:p w:rsidR="00A135E2" w:rsidRPr="00884FF7" w:rsidRDefault="00A135E2" w:rsidP="00A94015">
            <w:pPr>
              <w:spacing w:before="120"/>
              <w:rPr>
                <w:rFonts w:ascii="Times New Roman" w:hAnsi="Times New Roman" w:cs="Times New Roman"/>
              </w:rPr>
            </w:pPr>
            <w:r w:rsidRPr="00884FF7">
              <w:rPr>
                <w:rFonts w:ascii="Times New Roman" w:hAnsi="Times New Roman" w:cs="Times New Roman"/>
              </w:rPr>
              <w:t>MF</w:t>
            </w:r>
          </w:p>
        </w:tc>
        <w:tc>
          <w:tcPr>
            <w:tcW w:w="5955" w:type="dxa"/>
          </w:tcPr>
          <w:p w:rsidR="00A135E2" w:rsidRPr="00884FF7" w:rsidRDefault="00A135E2" w:rsidP="0035006F">
            <w:pPr>
              <w:spacing w:before="120"/>
              <w:rPr>
                <w:rFonts w:ascii="Times New Roman" w:hAnsi="Times New Roman" w:cs="Times New Roman"/>
                <w:b/>
              </w:rPr>
            </w:pPr>
            <w:r w:rsidRPr="00884FF7">
              <w:rPr>
                <w:rFonts w:ascii="Times New Roman" w:hAnsi="Times New Roman" w:cs="Times New Roman"/>
              </w:rPr>
              <w:t>Připomínka č. 9 –</w:t>
            </w:r>
            <w:r w:rsidRPr="00884FF7">
              <w:rPr>
                <w:rFonts w:ascii="Times New Roman" w:hAnsi="Times New Roman" w:cs="Times New Roman"/>
                <w:b/>
              </w:rPr>
              <w:t xml:space="preserve"> zásadní připomínka:</w:t>
            </w:r>
          </w:p>
          <w:p w:rsidR="00A135E2" w:rsidRPr="00884FF7" w:rsidRDefault="00A135E2" w:rsidP="0035006F">
            <w:pPr>
              <w:spacing w:before="120"/>
              <w:rPr>
                <w:rFonts w:ascii="Times New Roman" w:hAnsi="Times New Roman" w:cs="Times New Roman"/>
                <w:b/>
              </w:rPr>
            </w:pPr>
            <w:r w:rsidRPr="00884FF7">
              <w:rPr>
                <w:rFonts w:ascii="Times New Roman" w:hAnsi="Times New Roman" w:cs="Times New Roman"/>
                <w:b/>
              </w:rPr>
              <w:t>K předkládací zprávě:</w:t>
            </w:r>
          </w:p>
          <w:p w:rsidR="00A135E2" w:rsidRPr="00884FF7" w:rsidRDefault="00A135E2" w:rsidP="0035006F">
            <w:pPr>
              <w:spacing w:before="120"/>
              <w:rPr>
                <w:rFonts w:ascii="Times New Roman" w:hAnsi="Times New Roman" w:cs="Times New Roman"/>
              </w:rPr>
            </w:pPr>
            <w:r w:rsidRPr="00884FF7">
              <w:rPr>
                <w:rFonts w:ascii="Times New Roman" w:hAnsi="Times New Roman" w:cs="Times New Roman"/>
              </w:rPr>
              <w:t>Dovolujeme si uplatnit připomínku z předchozího roku. Opětovně předkládací zpráva neobsahuje žádné závěry. Podle našeho názoru je třeba vyhodnotit alespoň stručně dále uvedená obsáhlá data, jak bylo provedeno v předchozí Analýze.</w:t>
            </w:r>
          </w:p>
        </w:tc>
        <w:tc>
          <w:tcPr>
            <w:tcW w:w="6642" w:type="dxa"/>
          </w:tcPr>
          <w:p w:rsidR="00A135E2" w:rsidRPr="00884FF7" w:rsidRDefault="00A135E2" w:rsidP="006B7376">
            <w:pPr>
              <w:spacing w:before="120"/>
              <w:jc w:val="both"/>
              <w:rPr>
                <w:rFonts w:ascii="Times New Roman" w:hAnsi="Times New Roman" w:cs="Times New Roman"/>
              </w:rPr>
            </w:pPr>
            <w:r w:rsidRPr="00884FF7">
              <w:rPr>
                <w:rFonts w:ascii="Times New Roman" w:hAnsi="Times New Roman" w:cs="Times New Roman"/>
                <w:b/>
              </w:rPr>
              <w:t>AKCEPTOVÁNO</w:t>
            </w:r>
          </w:p>
          <w:p w:rsidR="00A135E2" w:rsidRPr="00884FF7" w:rsidRDefault="00A135E2" w:rsidP="006B7376">
            <w:pPr>
              <w:spacing w:before="120"/>
              <w:jc w:val="both"/>
              <w:rPr>
                <w:rFonts w:ascii="Times New Roman" w:hAnsi="Times New Roman" w:cs="Times New Roman"/>
              </w:rPr>
            </w:pPr>
            <w:r w:rsidRPr="00884FF7">
              <w:rPr>
                <w:rFonts w:ascii="Times New Roman" w:hAnsi="Times New Roman" w:cs="Times New Roman"/>
              </w:rPr>
              <w:t xml:space="preserve">Text předkládací zprávy doplněn o text na str. 1 až 2: </w:t>
            </w:r>
          </w:p>
          <w:p w:rsidR="00A135E2" w:rsidRDefault="00A135E2" w:rsidP="000923CD">
            <w:pPr>
              <w:spacing w:before="120"/>
              <w:jc w:val="both"/>
              <w:rPr>
                <w:rFonts w:ascii="Times New Roman" w:hAnsi="Times New Roman" w:cs="Times New Roman"/>
              </w:rPr>
            </w:pPr>
            <w:r w:rsidRPr="00884FF7">
              <w:rPr>
                <w:rFonts w:ascii="Times New Roman" w:hAnsi="Times New Roman" w:cs="Times New Roman"/>
              </w:rPr>
              <w:t>„</w:t>
            </w:r>
            <w:r>
              <w:rPr>
                <w:rFonts w:ascii="Times New Roman" w:hAnsi="Times New Roman" w:cs="Times New Roman"/>
              </w:rPr>
              <w:t>Na základě Analýzy 2013 lze konstatovat, že v kontextu naplňování hlavního kvantifikovaného cíle Strategie Evropa 2020 v oblasti vědy a výzkumu zaznamenala Česká republika v posledních letech příznivý vývoj.</w:t>
            </w:r>
            <w:r w:rsidRPr="004A75AF">
              <w:rPr>
                <w:rFonts w:ascii="Tahoma" w:hAnsi="Tahoma" w:cs="MetaPro-Normal"/>
                <w:sz w:val="20"/>
                <w:szCs w:val="20"/>
                <w:lang w:eastAsia="en-US"/>
              </w:rPr>
              <w:t xml:space="preserve"> </w:t>
            </w:r>
            <w:r w:rsidRPr="004A75AF">
              <w:rPr>
                <w:rFonts w:ascii="Times New Roman" w:hAnsi="Times New Roman" w:cs="Times New Roman"/>
              </w:rPr>
              <w:t xml:space="preserve">Celková výše veřejných výdajů na podporu VaV, včetně prostředků krytých příjmy z EU a Finančního mechanismu EHP/Norska, dosáhla 39,1 mld. Kč. Podíl skutečných celkových </w:t>
            </w:r>
            <w:r>
              <w:rPr>
                <w:rFonts w:ascii="Times New Roman" w:hAnsi="Times New Roman" w:cs="Times New Roman"/>
              </w:rPr>
              <w:t xml:space="preserve">veřejných </w:t>
            </w:r>
            <w:r w:rsidRPr="004A75AF">
              <w:rPr>
                <w:rFonts w:ascii="Times New Roman" w:hAnsi="Times New Roman" w:cs="Times New Roman"/>
              </w:rPr>
              <w:t>výdajů tak představoval 1,02 % HDP.</w:t>
            </w:r>
          </w:p>
          <w:p w:rsidR="00A135E2" w:rsidRPr="000923CD" w:rsidRDefault="00A135E2" w:rsidP="000923CD">
            <w:pPr>
              <w:spacing w:before="120"/>
              <w:jc w:val="both"/>
              <w:rPr>
                <w:rFonts w:ascii="Times New Roman" w:hAnsi="Times New Roman" w:cs="Times New Roman"/>
              </w:rPr>
            </w:pPr>
            <w:r w:rsidRPr="000923CD">
              <w:rPr>
                <w:rFonts w:ascii="Times New Roman" w:hAnsi="Times New Roman" w:cs="Times New Roman"/>
              </w:rPr>
              <w:t>Rok 2012 byl obdobně jako předchozí rok 2011 významný z hlediska enormního nárůstu celkových výdajů na VaV. Za tyto dva roky vzrostly celkové výdaje na VaV absolutně o 19,4 mld. Kč a v roce 2012 dosahovaly 72,4 mld. Kč. V relativním vyjádření tak podíl výdajů na VaV na hrubém domácím produktu vzrostl na téměř 1,9 % a ČR se v tomto klíčovém ukazateli výrazně přiblížila evropskému průměru. Výzkum a vývoj je v ČR realizován z více než poloviny v podnikatelském sektoru. Podíl podnikového sektoru na celkových výdajích na VaV však dlouhodobě klesá (zejména na úkor rychle rostoucího podílu zahraničních veřejných zdrojů, který souvisí primárně s čerpáním prostředků ze strukturálních fondů EU). Významné postavení v podnikovém výzkumu mají podniky pod zahraniční kontrolou, kde je realizováno více než 52 % celkových podnikových výdajů na VaV a kde pracuje 48 % všech zaměstnanců ve výzkumu a vývoji v podnikatelském sektoru.</w:t>
            </w:r>
          </w:p>
          <w:p w:rsidR="00A135E2" w:rsidRPr="000923CD" w:rsidRDefault="00A135E2" w:rsidP="000923CD">
            <w:pPr>
              <w:spacing w:before="120"/>
              <w:jc w:val="both"/>
              <w:rPr>
                <w:rFonts w:ascii="Times New Roman" w:hAnsi="Times New Roman" w:cs="Times New Roman"/>
              </w:rPr>
            </w:pPr>
            <w:r w:rsidRPr="000923CD">
              <w:rPr>
                <w:rFonts w:ascii="Times New Roman" w:hAnsi="Times New Roman" w:cs="Times New Roman"/>
              </w:rPr>
              <w:t>V posledních letech se výrazně mění způsob financování veřejného výzkumu ze státního rozpočtu, kdy roste podíl účelové podpory na úkor financování institucionálního. Zatímco v roce 2005 tvořila institucionální podpora 68 % prostředků ze státního rozpočtu alokovaných do veřejného výzkumu, v roce 2012 bylo ve veřejném výzkumu rozděleno formou institucionální podpory 60 % prostředků ze státního rozpočtu na VaV.</w:t>
            </w:r>
          </w:p>
          <w:p w:rsidR="00A135E2" w:rsidRPr="000923CD" w:rsidRDefault="00A135E2" w:rsidP="000923CD">
            <w:pPr>
              <w:spacing w:before="120"/>
              <w:jc w:val="both"/>
              <w:rPr>
                <w:rFonts w:ascii="Times New Roman" w:hAnsi="Times New Roman" w:cs="Times New Roman"/>
              </w:rPr>
            </w:pPr>
            <w:r w:rsidRPr="000923CD">
              <w:rPr>
                <w:rFonts w:ascii="Times New Roman" w:hAnsi="Times New Roman" w:cs="Times New Roman"/>
              </w:rPr>
              <w:t>V počtu publikací na jednoho pracovníka ve výzkumu a vývoji ve veřejném sektoru, Česká republika v roce 2012 dosahuje 114% průměru EU 27. Méně příznivá je situace v případě citovanosti publikací, protože publikace českých autorů jsou v průměru na jednoho pracovníka ve veřejném výzkumu a vývoji citovány méně, než je průměr EU 27. Také výstupy veřejného výzkumu v podobě udělených patentů zaznamenaly v posledních letech poměrně rychlý nárůst. Enormně rychle rostly patenty udělené pro ČR vysokým školám, konkrétně z 19 v roce 2008 na 142 v roce 2012. Patentová aktivita českých subjektů (výzkumných organizací i podniků) v zahraničí však i přes trvalý nárůst výrazně zaostává za vyspělými zeměmi EU.</w:t>
            </w:r>
          </w:p>
          <w:p w:rsidR="00A135E2" w:rsidRPr="00884FF7" w:rsidRDefault="00A135E2" w:rsidP="000923CD">
            <w:pPr>
              <w:spacing w:before="120"/>
              <w:jc w:val="both"/>
              <w:rPr>
                <w:rFonts w:ascii="Times New Roman" w:hAnsi="Times New Roman" w:cs="Times New Roman"/>
              </w:rPr>
            </w:pPr>
            <w:r w:rsidRPr="000923CD">
              <w:rPr>
                <w:rFonts w:ascii="Times New Roman" w:hAnsi="Times New Roman" w:cs="Times New Roman"/>
              </w:rPr>
              <w:t>Předmětná analýza bude využita při přípravě státního rozpočtu, k upřesnění dokumentů navazujících na Národní priority orientovaného výzkumu, experimentálního vývoje a inovací schválené vládou usnesením ze dne 19. července 2012 č. 552 a dále k přípravě koncepčních a analytických dokumentů pro oblast VaVaI.</w:t>
            </w:r>
          </w:p>
        </w:tc>
      </w:tr>
      <w:tr w:rsidR="00A135E2" w:rsidRPr="00884FF7" w:rsidTr="006E3906">
        <w:trPr>
          <w:trHeight w:val="661"/>
        </w:trPr>
        <w:tc>
          <w:tcPr>
            <w:tcW w:w="1732" w:type="dxa"/>
            <w:vMerge w:val="restart"/>
          </w:tcPr>
          <w:p w:rsidR="00A135E2" w:rsidRPr="00884FF7" w:rsidRDefault="00A135E2" w:rsidP="00A94015">
            <w:pPr>
              <w:spacing w:before="120"/>
              <w:rPr>
                <w:rFonts w:ascii="Times New Roman" w:hAnsi="Times New Roman" w:cs="Times New Roman"/>
              </w:rPr>
            </w:pPr>
          </w:p>
        </w:tc>
        <w:tc>
          <w:tcPr>
            <w:tcW w:w="5955" w:type="dxa"/>
          </w:tcPr>
          <w:p w:rsidR="00A135E2" w:rsidRPr="00884FF7" w:rsidRDefault="00A135E2" w:rsidP="00BD179E">
            <w:pPr>
              <w:spacing w:before="120"/>
              <w:rPr>
                <w:rFonts w:ascii="Times New Roman" w:hAnsi="Times New Roman" w:cs="Times New Roman"/>
              </w:rPr>
            </w:pPr>
            <w:r w:rsidRPr="00884FF7">
              <w:rPr>
                <w:rFonts w:ascii="Times New Roman" w:hAnsi="Times New Roman" w:cs="Times New Roman"/>
              </w:rPr>
              <w:t>Připomínka č. 10:</w:t>
            </w:r>
          </w:p>
          <w:p w:rsidR="00A135E2" w:rsidRPr="00884FF7" w:rsidRDefault="00A135E2" w:rsidP="00BD179E">
            <w:pPr>
              <w:spacing w:before="120"/>
              <w:jc w:val="both"/>
              <w:rPr>
                <w:rFonts w:ascii="Times New Roman" w:hAnsi="Times New Roman" w:cs="Times New Roman"/>
              </w:rPr>
            </w:pPr>
            <w:r w:rsidRPr="00884FF7">
              <w:rPr>
                <w:rFonts w:ascii="Times New Roman" w:hAnsi="Times New Roman" w:cs="Times New Roman"/>
              </w:rPr>
              <w:t>Dalším nedostatkem zprávy je, že neobsahuje vyhodnocení (ani orientačně se o ně nepokouší) finančního přínosu u výsledků s aplikačním potenciálem. Zpráva bez těchto přínosů ztrácí na významu, a tím nepřímo snižuje efektivnost vynakládaných finančních (účelových) prostředků z veřejných zdrojů.</w:t>
            </w:r>
          </w:p>
        </w:tc>
        <w:tc>
          <w:tcPr>
            <w:tcW w:w="6642" w:type="dxa"/>
          </w:tcPr>
          <w:p w:rsidR="00A135E2" w:rsidRPr="000923CD" w:rsidRDefault="00A135E2" w:rsidP="000923CD">
            <w:pPr>
              <w:spacing w:before="120"/>
              <w:jc w:val="both"/>
              <w:rPr>
                <w:rFonts w:ascii="Times New Roman" w:hAnsi="Times New Roman" w:cs="Times New Roman"/>
              </w:rPr>
            </w:pPr>
            <w:r w:rsidRPr="000923CD">
              <w:rPr>
                <w:rFonts w:ascii="Times New Roman" w:hAnsi="Times New Roman" w:cs="Times New Roman"/>
              </w:rPr>
              <w:t>Vysvětleno:</w:t>
            </w:r>
          </w:p>
          <w:p w:rsidR="00A135E2" w:rsidRPr="00884FF7" w:rsidRDefault="00A135E2" w:rsidP="000923CD">
            <w:pPr>
              <w:spacing w:before="120"/>
              <w:jc w:val="both"/>
              <w:rPr>
                <w:rFonts w:ascii="Times New Roman" w:hAnsi="Times New Roman" w:cs="Times New Roman"/>
                <w:b/>
              </w:rPr>
            </w:pPr>
            <w:r>
              <w:rPr>
                <w:rFonts w:ascii="Times New Roman" w:hAnsi="Times New Roman" w:cs="Times New Roman"/>
              </w:rPr>
              <w:t>F</w:t>
            </w:r>
            <w:r w:rsidRPr="000923CD">
              <w:rPr>
                <w:rFonts w:ascii="Times New Roman" w:hAnsi="Times New Roman" w:cs="Times New Roman"/>
              </w:rPr>
              <w:t>inanční přínos výsledků s aplikačním potenciálem je velmi obtížné zhodnotit. Přímým finančním zhodnocením jsou např. příjmy z licenčních poplatků na patenty a užitné vzory (oddíl C.3), ty však říkají jen velmi málo o celkovém vlivu výsledků na ekonomiku.</w:t>
            </w:r>
          </w:p>
        </w:tc>
      </w:tr>
      <w:tr w:rsidR="00A135E2" w:rsidRPr="00884FF7" w:rsidTr="006E3906">
        <w:trPr>
          <w:trHeight w:val="661"/>
        </w:trPr>
        <w:tc>
          <w:tcPr>
            <w:tcW w:w="1732" w:type="dxa"/>
            <w:vMerge/>
          </w:tcPr>
          <w:p w:rsidR="00A135E2" w:rsidRPr="00884FF7" w:rsidRDefault="00A135E2" w:rsidP="00A94015">
            <w:pPr>
              <w:spacing w:before="120"/>
              <w:rPr>
                <w:rFonts w:ascii="Times New Roman" w:hAnsi="Times New Roman" w:cs="Times New Roman"/>
              </w:rPr>
            </w:pPr>
          </w:p>
        </w:tc>
        <w:tc>
          <w:tcPr>
            <w:tcW w:w="5955" w:type="dxa"/>
          </w:tcPr>
          <w:p w:rsidR="00A135E2" w:rsidRPr="00884FF7" w:rsidRDefault="00A135E2" w:rsidP="0035006F">
            <w:pPr>
              <w:spacing w:before="120"/>
              <w:rPr>
                <w:rFonts w:ascii="Times New Roman" w:hAnsi="Times New Roman" w:cs="Times New Roman"/>
              </w:rPr>
            </w:pPr>
            <w:r w:rsidRPr="00884FF7">
              <w:rPr>
                <w:rFonts w:ascii="Times New Roman" w:hAnsi="Times New Roman" w:cs="Times New Roman"/>
              </w:rPr>
              <w:t>Připomínka č. 11:</w:t>
            </w:r>
          </w:p>
          <w:p w:rsidR="00A135E2" w:rsidRPr="00884FF7" w:rsidRDefault="00A135E2" w:rsidP="0035006F">
            <w:pPr>
              <w:spacing w:before="120"/>
              <w:jc w:val="both"/>
              <w:rPr>
                <w:rFonts w:ascii="Times New Roman" w:hAnsi="Times New Roman" w:cs="Times New Roman"/>
              </w:rPr>
            </w:pPr>
            <w:r w:rsidRPr="00884FF7">
              <w:rPr>
                <w:rFonts w:ascii="Times New Roman" w:hAnsi="Times New Roman" w:cs="Times New Roman"/>
              </w:rPr>
              <w:t>Opětovně upozorňujeme na ne zcela přehledné označení Analýzy z hlediska pořízených dat. Analýza bude z roku 2014, za rok 2013, přičemž poslední úplná data jsou za roky 2012 případně pouze 2011. Časová dostupnost dat byla vloni na základě naší připomínky vysvětlena v rámci připomínkového řízení. Podle našeho názoru by obdobné vysvětlení mělo být uvedeno v rámci předkládací zprávy, neb s posunutím Analýzy 2013 do roku 2014 je zavádějící už název materiálu.</w:t>
            </w:r>
          </w:p>
        </w:tc>
        <w:tc>
          <w:tcPr>
            <w:tcW w:w="6642" w:type="dxa"/>
          </w:tcPr>
          <w:p w:rsidR="00A135E2" w:rsidRPr="00C96C3B" w:rsidRDefault="00A135E2" w:rsidP="006B7376">
            <w:pPr>
              <w:spacing w:before="120"/>
              <w:rPr>
                <w:rFonts w:ascii="Times New Roman" w:hAnsi="Times New Roman" w:cs="Times New Roman"/>
              </w:rPr>
            </w:pPr>
            <w:r w:rsidRPr="00C96C3B">
              <w:rPr>
                <w:rFonts w:ascii="Times New Roman" w:hAnsi="Times New Roman" w:cs="Times New Roman"/>
              </w:rPr>
              <w:t>Akceptováno:</w:t>
            </w:r>
          </w:p>
          <w:p w:rsidR="00A135E2" w:rsidRPr="00C96C3B" w:rsidRDefault="00A135E2" w:rsidP="00C96C3B">
            <w:pPr>
              <w:spacing w:before="120"/>
              <w:rPr>
                <w:rFonts w:ascii="Times New Roman" w:hAnsi="Times New Roman" w:cs="Times New Roman"/>
              </w:rPr>
            </w:pPr>
            <w:r w:rsidRPr="00C96C3B">
              <w:rPr>
                <w:rFonts w:ascii="Times New Roman" w:hAnsi="Times New Roman" w:cs="Times New Roman"/>
              </w:rPr>
              <w:t>Text na str. 1 předkládací zprávy doplněn:</w:t>
            </w:r>
          </w:p>
          <w:p w:rsidR="00A135E2" w:rsidRPr="00C96C3B" w:rsidRDefault="00A135E2" w:rsidP="00C96C3B">
            <w:pPr>
              <w:spacing w:before="120"/>
              <w:jc w:val="both"/>
              <w:rPr>
                <w:rFonts w:ascii="Times New Roman" w:hAnsi="Times New Roman" w:cs="Times New Roman"/>
              </w:rPr>
            </w:pPr>
            <w:r w:rsidRPr="00C96C3B">
              <w:rPr>
                <w:rFonts w:ascii="Times New Roman" w:hAnsi="Times New Roman" w:cs="Times New Roman"/>
              </w:rPr>
              <w:t>„Některé ekonomické ukazatele čerpají z podobných statistických šetření, které sice poskytují detailnější okruhy definovaných dat, jejich nevýhodou však je, že jsou k dispozici s větším časovým zpožděním. Z tohoto důvodu Analýza 2013 pracuje s rokem 2012, případně pouze s rokem 2011.</w:t>
            </w:r>
            <w:r>
              <w:rPr>
                <w:rFonts w:ascii="Times New Roman" w:hAnsi="Times New Roman" w:cs="Times New Roman"/>
              </w:rPr>
              <w:t>“</w:t>
            </w:r>
            <w:bookmarkStart w:id="0" w:name="_GoBack"/>
            <w:bookmarkEnd w:id="0"/>
          </w:p>
          <w:p w:rsidR="00A135E2" w:rsidRPr="00884FF7" w:rsidRDefault="00A135E2" w:rsidP="006B7376">
            <w:pPr>
              <w:spacing w:before="120"/>
              <w:rPr>
                <w:rFonts w:ascii="Times New Roman" w:hAnsi="Times New Roman" w:cs="Times New Roman"/>
                <w:b/>
              </w:rPr>
            </w:pPr>
          </w:p>
        </w:tc>
      </w:tr>
      <w:tr w:rsidR="00A135E2" w:rsidRPr="00884FF7" w:rsidTr="006E3906">
        <w:trPr>
          <w:trHeight w:val="661"/>
        </w:trPr>
        <w:tc>
          <w:tcPr>
            <w:tcW w:w="1732" w:type="dxa"/>
            <w:vMerge w:val="restart"/>
          </w:tcPr>
          <w:p w:rsidR="00A135E2" w:rsidRPr="00884FF7" w:rsidRDefault="00A135E2" w:rsidP="00A94015">
            <w:pPr>
              <w:spacing w:before="120"/>
              <w:rPr>
                <w:rFonts w:ascii="Times New Roman" w:hAnsi="Times New Roman" w:cs="Times New Roman"/>
              </w:rPr>
            </w:pPr>
          </w:p>
        </w:tc>
        <w:tc>
          <w:tcPr>
            <w:tcW w:w="5955" w:type="dxa"/>
          </w:tcPr>
          <w:p w:rsidR="00A135E2" w:rsidRPr="00884FF7" w:rsidRDefault="00A135E2" w:rsidP="0035006F">
            <w:pPr>
              <w:spacing w:before="120"/>
              <w:jc w:val="both"/>
              <w:rPr>
                <w:rFonts w:ascii="Times New Roman" w:hAnsi="Times New Roman" w:cs="Times New Roman"/>
              </w:rPr>
            </w:pPr>
            <w:r w:rsidRPr="00884FF7">
              <w:rPr>
                <w:rFonts w:ascii="Times New Roman" w:hAnsi="Times New Roman" w:cs="Times New Roman"/>
              </w:rPr>
              <w:t>Připomínka č. 12:</w:t>
            </w:r>
          </w:p>
          <w:p w:rsidR="00A135E2" w:rsidRPr="00884FF7" w:rsidRDefault="00A135E2" w:rsidP="0035006F">
            <w:pPr>
              <w:spacing w:before="120"/>
              <w:jc w:val="both"/>
              <w:rPr>
                <w:rFonts w:ascii="Times New Roman" w:hAnsi="Times New Roman" w:cs="Times New Roman"/>
                <w:b/>
              </w:rPr>
            </w:pPr>
            <w:r w:rsidRPr="00884FF7">
              <w:rPr>
                <w:rFonts w:ascii="Times New Roman" w:hAnsi="Times New Roman" w:cs="Times New Roman"/>
                <w:b/>
              </w:rPr>
              <w:t xml:space="preserve">K makroekonomickému rámci analýzy VaV – tabulka 3: </w:t>
            </w:r>
          </w:p>
          <w:p w:rsidR="00A135E2" w:rsidRPr="00884FF7" w:rsidRDefault="00A135E2" w:rsidP="0035006F">
            <w:pPr>
              <w:spacing w:before="120"/>
              <w:jc w:val="both"/>
              <w:rPr>
                <w:rFonts w:ascii="Times New Roman" w:hAnsi="Times New Roman" w:cs="Times New Roman"/>
                <w:b/>
              </w:rPr>
            </w:pPr>
            <w:r w:rsidRPr="00884FF7">
              <w:rPr>
                <w:rFonts w:ascii="Times New Roman" w:hAnsi="Times New Roman" w:cs="Times New Roman"/>
                <w:b/>
              </w:rPr>
              <w:t>„Základní ukazatele…“</w:t>
            </w:r>
          </w:p>
          <w:p w:rsidR="00A135E2" w:rsidRPr="00884FF7" w:rsidRDefault="00A135E2" w:rsidP="0035006F">
            <w:pPr>
              <w:spacing w:before="120"/>
              <w:jc w:val="both"/>
              <w:rPr>
                <w:rFonts w:ascii="Times New Roman" w:hAnsi="Times New Roman" w:cs="Times New Roman"/>
              </w:rPr>
            </w:pPr>
            <w:r w:rsidRPr="00884FF7">
              <w:rPr>
                <w:rFonts w:ascii="Times New Roman" w:hAnsi="Times New Roman" w:cs="Times New Roman"/>
              </w:rPr>
              <w:t>Není zde vyjádřena energetická náročnost hospodářství za rok 2012. Z tohoto pohledu konstatace v textu (vzhledem k tomu, že v čase má křivka energetické náročnosti v ČR trvale klesající trend) bez údaje roku 2012 není zcela objektivní</w:t>
            </w:r>
          </w:p>
        </w:tc>
        <w:tc>
          <w:tcPr>
            <w:tcW w:w="6642" w:type="dxa"/>
          </w:tcPr>
          <w:p w:rsidR="00A135E2" w:rsidRPr="00C96C3B" w:rsidRDefault="00A135E2" w:rsidP="00C96C3B">
            <w:pPr>
              <w:spacing w:before="120"/>
              <w:jc w:val="both"/>
              <w:rPr>
                <w:rFonts w:ascii="Times New Roman" w:hAnsi="Times New Roman" w:cs="Times New Roman"/>
              </w:rPr>
            </w:pPr>
            <w:r>
              <w:rPr>
                <w:rFonts w:ascii="Times New Roman" w:hAnsi="Times New Roman" w:cs="Times New Roman"/>
              </w:rPr>
              <w:t>Vysvětleno</w:t>
            </w:r>
            <w:r w:rsidRPr="00C96C3B">
              <w:rPr>
                <w:rFonts w:ascii="Times New Roman" w:hAnsi="Times New Roman" w:cs="Times New Roman"/>
              </w:rPr>
              <w:t>:</w:t>
            </w:r>
          </w:p>
          <w:p w:rsidR="00A135E2" w:rsidRPr="00884FF7" w:rsidRDefault="00A135E2" w:rsidP="00C96C3B">
            <w:pPr>
              <w:spacing w:before="120"/>
              <w:jc w:val="both"/>
              <w:rPr>
                <w:rFonts w:ascii="Times New Roman" w:hAnsi="Times New Roman" w:cs="Times New Roman"/>
                <w:b/>
              </w:rPr>
            </w:pPr>
            <w:r w:rsidRPr="00C96C3B">
              <w:rPr>
                <w:rFonts w:ascii="Times New Roman" w:hAnsi="Times New Roman" w:cs="Times New Roman"/>
              </w:rPr>
              <w:t>Tvrzení vychází z trendu. Data za rok 2012 nebyla v době zpracování Analýzy k dispozici. Ze stejného důvodu je nelze doplnit ani nyní (</w:t>
            </w:r>
            <w:hyperlink r:id="rId7" w:history="1">
              <w:r w:rsidRPr="00C96C3B">
                <w:rPr>
                  <w:rStyle w:val="Hyperlink"/>
                  <w:rFonts w:ascii="Times New Roman" w:hAnsi="Times New Roman"/>
                  <w:color w:val="auto"/>
                </w:rPr>
                <w:t>odkaz pro ověření</w:t>
              </w:r>
            </w:hyperlink>
            <w:r w:rsidRPr="00C96C3B">
              <w:rPr>
                <w:rFonts w:ascii="Times New Roman" w:hAnsi="Times New Roman" w:cs="Times New Roman"/>
              </w:rPr>
              <w:t>).</w:t>
            </w:r>
          </w:p>
        </w:tc>
      </w:tr>
      <w:tr w:rsidR="00A135E2" w:rsidRPr="00884FF7" w:rsidTr="006E3906">
        <w:trPr>
          <w:trHeight w:val="661"/>
        </w:trPr>
        <w:tc>
          <w:tcPr>
            <w:tcW w:w="1732" w:type="dxa"/>
            <w:vMerge/>
          </w:tcPr>
          <w:p w:rsidR="00A135E2" w:rsidRPr="00884FF7" w:rsidRDefault="00A135E2" w:rsidP="00A94015">
            <w:pPr>
              <w:spacing w:before="120"/>
              <w:rPr>
                <w:rFonts w:ascii="Times New Roman" w:hAnsi="Times New Roman" w:cs="Times New Roman"/>
              </w:rPr>
            </w:pPr>
          </w:p>
        </w:tc>
        <w:tc>
          <w:tcPr>
            <w:tcW w:w="5955" w:type="dxa"/>
          </w:tcPr>
          <w:p w:rsidR="00A135E2" w:rsidRPr="00884FF7" w:rsidRDefault="00A135E2" w:rsidP="00BD179E">
            <w:pPr>
              <w:spacing w:before="120"/>
              <w:rPr>
                <w:rFonts w:ascii="Times New Roman" w:hAnsi="Times New Roman" w:cs="Times New Roman"/>
              </w:rPr>
            </w:pPr>
            <w:r w:rsidRPr="00884FF7">
              <w:rPr>
                <w:rFonts w:ascii="Times New Roman" w:hAnsi="Times New Roman" w:cs="Times New Roman"/>
              </w:rPr>
              <w:t>Připomínka č. 13:</w:t>
            </w:r>
          </w:p>
          <w:p w:rsidR="00A135E2" w:rsidRPr="00884FF7" w:rsidRDefault="00A135E2" w:rsidP="00BD179E">
            <w:pPr>
              <w:spacing w:before="120"/>
              <w:rPr>
                <w:rFonts w:ascii="Times New Roman" w:hAnsi="Times New Roman" w:cs="Times New Roman"/>
              </w:rPr>
            </w:pPr>
            <w:r w:rsidRPr="00884FF7">
              <w:rPr>
                <w:rFonts w:ascii="Times New Roman" w:hAnsi="Times New Roman" w:cs="Times New Roman"/>
                <w:b/>
              </w:rPr>
              <w:t>K Tabulce č. 1: Klíčové ukazatele</w:t>
            </w:r>
            <w:r w:rsidRPr="00884FF7">
              <w:rPr>
                <w:rFonts w:ascii="Times New Roman" w:hAnsi="Times New Roman" w:cs="Times New Roman"/>
              </w:rPr>
              <w:t xml:space="preserve"> </w:t>
            </w:r>
          </w:p>
          <w:p w:rsidR="00A135E2" w:rsidRPr="00884FF7" w:rsidRDefault="00A135E2" w:rsidP="00BD179E">
            <w:pPr>
              <w:spacing w:before="120"/>
              <w:jc w:val="both"/>
              <w:rPr>
                <w:rFonts w:ascii="Times New Roman" w:hAnsi="Times New Roman" w:cs="Times New Roman"/>
              </w:rPr>
            </w:pPr>
            <w:r w:rsidRPr="00884FF7">
              <w:rPr>
                <w:rFonts w:ascii="Times New Roman" w:hAnsi="Times New Roman" w:cs="Times New Roman"/>
              </w:rPr>
              <w:t>V tabulce chybí údaje (celkem 7) za rok 2012. Není uveden důvod, proč po uplynutí 1 roku nebyly získány tyto údaje tak, aby tabulky 3 a 1 byly kompletní.</w:t>
            </w:r>
          </w:p>
        </w:tc>
        <w:tc>
          <w:tcPr>
            <w:tcW w:w="6642" w:type="dxa"/>
          </w:tcPr>
          <w:p w:rsidR="00A135E2" w:rsidRPr="00C96C3B" w:rsidRDefault="00A135E2" w:rsidP="00C96C3B">
            <w:pPr>
              <w:spacing w:before="120"/>
              <w:jc w:val="both"/>
              <w:rPr>
                <w:rFonts w:ascii="Times New Roman" w:hAnsi="Times New Roman" w:cs="Times New Roman"/>
              </w:rPr>
            </w:pPr>
            <w:r>
              <w:rPr>
                <w:rFonts w:ascii="Times New Roman" w:hAnsi="Times New Roman" w:cs="Times New Roman"/>
              </w:rPr>
              <w:t>Vysvětleno, částečně akceptováno</w:t>
            </w:r>
            <w:r w:rsidRPr="00C96C3B">
              <w:rPr>
                <w:rFonts w:ascii="Times New Roman" w:hAnsi="Times New Roman" w:cs="Times New Roman"/>
              </w:rPr>
              <w:t>:</w:t>
            </w:r>
          </w:p>
          <w:p w:rsidR="00A135E2" w:rsidRPr="00884FF7" w:rsidRDefault="00A135E2" w:rsidP="00C96C3B">
            <w:pPr>
              <w:spacing w:before="120"/>
              <w:jc w:val="both"/>
              <w:rPr>
                <w:rFonts w:ascii="Times New Roman" w:hAnsi="Times New Roman" w:cs="Times New Roman"/>
                <w:b/>
              </w:rPr>
            </w:pPr>
            <w:r w:rsidRPr="00C96C3B">
              <w:rPr>
                <w:rFonts w:ascii="Times New Roman" w:hAnsi="Times New Roman" w:cs="Times New Roman"/>
              </w:rPr>
              <w:t>Chybějící údaje nebyly v době zpracování Analýzy k dispozici (poznámka byla doplněna pod tabulku 1). Některá šetření (např. o</w:t>
            </w:r>
            <w:r>
              <w:rPr>
                <w:rFonts w:ascii="Times New Roman" w:hAnsi="Times New Roman" w:cs="Times New Roman"/>
              </w:rPr>
              <w:t> </w:t>
            </w:r>
            <w:r w:rsidRPr="00C96C3B">
              <w:rPr>
                <w:rFonts w:ascii="Times New Roman" w:hAnsi="Times New Roman" w:cs="Times New Roman"/>
              </w:rPr>
              <w:t>inovacích) mají navíc periodicitu delší než jeden rok, proto obsahuje tabulka buňky s chybějícími údaji</w:t>
            </w:r>
            <w:r w:rsidRPr="00884FF7">
              <w:rPr>
                <w:rFonts w:ascii="Times New Roman" w:hAnsi="Times New Roman" w:cs="Times New Roman"/>
                <w:color w:val="00B0F0"/>
              </w:rPr>
              <w:t>.</w:t>
            </w:r>
          </w:p>
        </w:tc>
      </w:tr>
      <w:tr w:rsidR="00A135E2" w:rsidRPr="00884FF7" w:rsidTr="006E3906">
        <w:trPr>
          <w:trHeight w:val="661"/>
        </w:trPr>
        <w:tc>
          <w:tcPr>
            <w:tcW w:w="1732" w:type="dxa"/>
            <w:vMerge/>
          </w:tcPr>
          <w:p w:rsidR="00A135E2" w:rsidRPr="00884FF7" w:rsidRDefault="00A135E2" w:rsidP="00A94015">
            <w:pPr>
              <w:spacing w:before="120"/>
              <w:rPr>
                <w:rFonts w:ascii="Times New Roman" w:hAnsi="Times New Roman" w:cs="Times New Roman"/>
              </w:rPr>
            </w:pPr>
          </w:p>
        </w:tc>
        <w:tc>
          <w:tcPr>
            <w:tcW w:w="5955" w:type="dxa"/>
          </w:tcPr>
          <w:p w:rsidR="00A135E2" w:rsidRPr="00E63DC1" w:rsidRDefault="00A135E2" w:rsidP="00BD179E">
            <w:pPr>
              <w:spacing w:before="120"/>
              <w:rPr>
                <w:rFonts w:ascii="Times New Roman" w:hAnsi="Times New Roman" w:cs="Times New Roman"/>
              </w:rPr>
            </w:pPr>
            <w:r w:rsidRPr="00E63DC1">
              <w:rPr>
                <w:rFonts w:ascii="Times New Roman" w:hAnsi="Times New Roman" w:cs="Times New Roman"/>
              </w:rPr>
              <w:t xml:space="preserve">Připomínka č. 14 – </w:t>
            </w:r>
            <w:r w:rsidRPr="00E63DC1">
              <w:rPr>
                <w:rFonts w:ascii="Times New Roman" w:hAnsi="Times New Roman" w:cs="Times New Roman"/>
                <w:b/>
              </w:rPr>
              <w:t>zásadní připomínka</w:t>
            </w:r>
            <w:r w:rsidRPr="00E63DC1">
              <w:rPr>
                <w:rFonts w:ascii="Times New Roman" w:hAnsi="Times New Roman" w:cs="Times New Roman"/>
              </w:rPr>
              <w:t>:</w:t>
            </w:r>
          </w:p>
          <w:p w:rsidR="00A135E2" w:rsidRPr="00E63DC1" w:rsidRDefault="00A135E2" w:rsidP="00BD179E">
            <w:pPr>
              <w:spacing w:before="120"/>
              <w:rPr>
                <w:rFonts w:ascii="Times New Roman" w:hAnsi="Times New Roman" w:cs="Times New Roman"/>
                <w:b/>
              </w:rPr>
            </w:pPr>
            <w:r w:rsidRPr="00E63DC1">
              <w:rPr>
                <w:rFonts w:ascii="Times New Roman" w:hAnsi="Times New Roman" w:cs="Times New Roman"/>
                <w:b/>
              </w:rPr>
              <w:t>K části A Investice do výzkumu a vývoje</w:t>
            </w:r>
          </w:p>
          <w:p w:rsidR="00A135E2" w:rsidRPr="00E63DC1" w:rsidRDefault="00A135E2" w:rsidP="00BD179E">
            <w:pPr>
              <w:spacing w:before="120"/>
              <w:jc w:val="both"/>
              <w:rPr>
                <w:rFonts w:ascii="Times New Roman" w:hAnsi="Times New Roman" w:cs="Times New Roman"/>
              </w:rPr>
            </w:pPr>
            <w:r w:rsidRPr="00E63DC1">
              <w:rPr>
                <w:rFonts w:ascii="Times New Roman" w:hAnsi="Times New Roman" w:cs="Times New Roman"/>
              </w:rPr>
              <w:t xml:space="preserve">V této části i v úvodním shrnutí postrádáme zásadní informaci o skutečnosti, že v roce 2012 dosáhla ČR ve skutečných výdajích </w:t>
            </w:r>
            <w:r w:rsidRPr="00E63DC1">
              <w:rPr>
                <w:rFonts w:ascii="Times New Roman" w:hAnsi="Times New Roman" w:cs="Times New Roman"/>
                <w:b/>
              </w:rPr>
              <w:t>z veřejných zdrojů</w:t>
            </w:r>
            <w:r w:rsidRPr="00E63DC1">
              <w:rPr>
                <w:rFonts w:ascii="Times New Roman" w:hAnsi="Times New Roman" w:cs="Times New Roman"/>
              </w:rPr>
              <w:t xml:space="preserve"> (státní rozpočet, včetně zahraničních programů) </w:t>
            </w:r>
            <w:r w:rsidRPr="00E63DC1">
              <w:rPr>
                <w:rFonts w:ascii="Times New Roman" w:hAnsi="Times New Roman" w:cs="Times New Roman"/>
                <w:b/>
              </w:rPr>
              <w:t xml:space="preserve">na VaV podílu 1,02% HDP. </w:t>
            </w:r>
            <w:r w:rsidRPr="00E63DC1">
              <w:rPr>
                <w:rFonts w:ascii="Times New Roman" w:hAnsi="Times New Roman" w:cs="Times New Roman"/>
              </w:rPr>
              <w:t>Ve „shrnutí“ je dokonce uvedeno, že ČR podílu 1% nedosáhla, přičemž informace je vztažena pouze k podílu výdajů samotného státního rozpočtu (národní zdroje) ve výši 0,68 %, což je zavádějící. Požadujeme materiál v tomto smyslu upravit s tím, že takto zásadní informace by mohla být uvedena i ve vyhodnocení v předkládací zprávě.</w:t>
            </w:r>
          </w:p>
        </w:tc>
        <w:tc>
          <w:tcPr>
            <w:tcW w:w="6642" w:type="dxa"/>
          </w:tcPr>
          <w:p w:rsidR="00A135E2" w:rsidRPr="00E63DC1" w:rsidRDefault="00A135E2" w:rsidP="007C47F1">
            <w:pPr>
              <w:spacing w:before="120"/>
              <w:rPr>
                <w:rFonts w:ascii="Times New Roman" w:hAnsi="Times New Roman" w:cs="Times New Roman"/>
                <w:iCs/>
              </w:rPr>
            </w:pPr>
            <w:r w:rsidRPr="00E63DC1">
              <w:rPr>
                <w:rFonts w:ascii="Times New Roman" w:hAnsi="Times New Roman" w:cs="Times New Roman"/>
                <w:iCs/>
              </w:rPr>
              <w:t>Vysvětleno částečně akceptováno:</w:t>
            </w:r>
          </w:p>
          <w:p w:rsidR="00A135E2" w:rsidRPr="00E63DC1" w:rsidRDefault="00A135E2" w:rsidP="007C47F1">
            <w:pPr>
              <w:spacing w:before="120"/>
              <w:jc w:val="both"/>
              <w:rPr>
                <w:rFonts w:ascii="Times New Roman" w:hAnsi="Times New Roman" w:cs="Times New Roman"/>
              </w:rPr>
            </w:pPr>
            <w:r w:rsidRPr="00E63DC1">
              <w:rPr>
                <w:rFonts w:ascii="Times New Roman" w:hAnsi="Times New Roman" w:cs="Times New Roman"/>
                <w:iCs/>
              </w:rPr>
              <w:t xml:space="preserve">To je ovlivněno především stagnací podílu veřejných výdajů na vzdělávání, naopak </w:t>
            </w:r>
            <w:r w:rsidRPr="00E63DC1">
              <w:rPr>
                <w:rFonts w:ascii="Times New Roman" w:hAnsi="Times New Roman" w:cs="Times New Roman"/>
                <w:b/>
                <w:bCs/>
                <w:iCs/>
              </w:rPr>
              <w:t>podíl výdajů na výzkum a vývoj ve veřejných rozpočtech mírně roste</w:t>
            </w:r>
            <w:r w:rsidRPr="00E63DC1">
              <w:rPr>
                <w:rFonts w:ascii="Times New Roman" w:hAnsi="Times New Roman" w:cs="Times New Roman"/>
                <w:iCs/>
              </w:rPr>
              <w:t>, v souladu se závazkem ČR pro naplňování Strategie Evropa 2020. Podíl výdajů státního rozpočtu ČR na VaV v roce 2012 dosahoval 0,68 % HDP (po meziročním růstu 1,5 %).</w:t>
            </w:r>
          </w:p>
          <w:p w:rsidR="00A135E2" w:rsidRPr="00E63DC1" w:rsidRDefault="00A135E2" w:rsidP="007C47F1">
            <w:pPr>
              <w:spacing w:before="120"/>
              <w:jc w:val="both"/>
              <w:rPr>
                <w:rFonts w:ascii="Times New Roman" w:hAnsi="Times New Roman" w:cs="Times New Roman"/>
              </w:rPr>
            </w:pPr>
            <w:r w:rsidRPr="00E63DC1">
              <w:rPr>
                <w:rFonts w:ascii="Times New Roman" w:hAnsi="Times New Roman" w:cs="Times New Roman"/>
              </w:rPr>
              <w:t>Zároveň je doplněna poznámka pod čarou, která odkazuje na formulaci užitou v Národním programu reforem: „Celková výše veřejných výdajů na podporu VaV, včetně prostředků krytých příjmy z EU a Finančního mechanismu EHP/Norska, dosáhla 39,1 mld. Kč. Podíl skutečných celkových</w:t>
            </w:r>
            <w:r>
              <w:rPr>
                <w:rFonts w:ascii="Times New Roman" w:hAnsi="Times New Roman" w:cs="Times New Roman"/>
              </w:rPr>
              <w:t xml:space="preserve"> veřejných</w:t>
            </w:r>
            <w:r w:rsidRPr="00E63DC1">
              <w:rPr>
                <w:rFonts w:ascii="Times New Roman" w:hAnsi="Times New Roman" w:cs="Times New Roman"/>
              </w:rPr>
              <w:t xml:space="preserve"> výdajů tak představoval 1,02 % HDP.“</w:t>
            </w:r>
            <w:r>
              <w:rPr>
                <w:rFonts w:ascii="Times New Roman" w:hAnsi="Times New Roman" w:cs="Times New Roman"/>
              </w:rPr>
              <w:t xml:space="preserve"> Obdobná informace je rovněž součástí předkládací zprávy.</w:t>
            </w:r>
          </w:p>
          <w:p w:rsidR="00A135E2" w:rsidRPr="00E63DC1" w:rsidRDefault="00A135E2" w:rsidP="007C47F1">
            <w:pPr>
              <w:spacing w:before="120"/>
              <w:jc w:val="both"/>
              <w:rPr>
                <w:rFonts w:ascii="Times New Roman" w:hAnsi="Times New Roman" w:cs="Times New Roman"/>
              </w:rPr>
            </w:pPr>
            <w:r w:rsidRPr="00E63DC1">
              <w:rPr>
                <w:rFonts w:ascii="Times New Roman" w:hAnsi="Times New Roman" w:cs="Times New Roman"/>
              </w:rPr>
              <w:t>Dále v textu se podíl 0,68 % HDP objevuje pouze v kontextu výdajů státního rozpočtu ČR (bez dalších vazeb na NPR), nemělo by proto dojít k nepřesné interpretaci.</w:t>
            </w:r>
          </w:p>
          <w:p w:rsidR="00A135E2" w:rsidRPr="00E63DC1" w:rsidRDefault="00A135E2" w:rsidP="006B7376">
            <w:pPr>
              <w:spacing w:before="120"/>
              <w:rPr>
                <w:rFonts w:ascii="Times New Roman" w:hAnsi="Times New Roman" w:cs="Times New Roman"/>
                <w:b/>
              </w:rPr>
            </w:pPr>
          </w:p>
        </w:tc>
      </w:tr>
      <w:tr w:rsidR="00A135E2" w:rsidRPr="00884FF7" w:rsidTr="006E3906">
        <w:trPr>
          <w:trHeight w:val="661"/>
        </w:trPr>
        <w:tc>
          <w:tcPr>
            <w:tcW w:w="1732" w:type="dxa"/>
            <w:vMerge w:val="restart"/>
          </w:tcPr>
          <w:p w:rsidR="00A135E2" w:rsidRPr="00884FF7" w:rsidRDefault="00A135E2" w:rsidP="00A94015">
            <w:pPr>
              <w:spacing w:before="120"/>
              <w:rPr>
                <w:rFonts w:ascii="Times New Roman" w:hAnsi="Times New Roman" w:cs="Times New Roman"/>
              </w:rPr>
            </w:pPr>
          </w:p>
        </w:tc>
        <w:tc>
          <w:tcPr>
            <w:tcW w:w="5955" w:type="dxa"/>
          </w:tcPr>
          <w:p w:rsidR="00A135E2" w:rsidRPr="00884FF7" w:rsidRDefault="00A135E2" w:rsidP="00BD179E">
            <w:pPr>
              <w:spacing w:before="120"/>
              <w:rPr>
                <w:rFonts w:ascii="Times New Roman" w:hAnsi="Times New Roman" w:cs="Times New Roman"/>
              </w:rPr>
            </w:pPr>
            <w:r w:rsidRPr="00884FF7">
              <w:rPr>
                <w:rFonts w:ascii="Times New Roman" w:hAnsi="Times New Roman" w:cs="Times New Roman"/>
              </w:rPr>
              <w:t>Připomínka č. 15:</w:t>
            </w:r>
          </w:p>
          <w:p w:rsidR="00A135E2" w:rsidRPr="00884FF7" w:rsidRDefault="00A135E2" w:rsidP="00BD179E">
            <w:pPr>
              <w:spacing w:before="120"/>
              <w:jc w:val="both"/>
              <w:rPr>
                <w:rFonts w:ascii="Times New Roman" w:hAnsi="Times New Roman" w:cs="Times New Roman"/>
              </w:rPr>
            </w:pPr>
            <w:r w:rsidRPr="00884FF7">
              <w:rPr>
                <w:rFonts w:ascii="Times New Roman" w:hAnsi="Times New Roman" w:cs="Times New Roman"/>
              </w:rPr>
              <w:t>Do hodnocení výdajů by mohly být napříště zařazeny i údaje za účelovou podporu (na projekty realizované VŠ ve spolupráci s podnikovou sférou) a jejich další rozčlenění separátně na podnikatelské subjekty domácí (ČR) a zvlášť spravované zahraničním vlastníkem, pokud k takové cílené spolupráci v hodnoceném roce došlo.</w:t>
            </w:r>
          </w:p>
        </w:tc>
        <w:tc>
          <w:tcPr>
            <w:tcW w:w="6642" w:type="dxa"/>
          </w:tcPr>
          <w:p w:rsidR="00A135E2" w:rsidRPr="007C47F1" w:rsidRDefault="00A135E2" w:rsidP="007C47F1">
            <w:pPr>
              <w:spacing w:before="120"/>
              <w:jc w:val="both"/>
              <w:rPr>
                <w:rFonts w:ascii="Times New Roman" w:hAnsi="Times New Roman" w:cs="Times New Roman"/>
              </w:rPr>
            </w:pPr>
            <w:r>
              <w:rPr>
                <w:rFonts w:ascii="Times New Roman" w:hAnsi="Times New Roman" w:cs="Times New Roman"/>
              </w:rPr>
              <w:t>Vysvětleno</w:t>
            </w:r>
            <w:r w:rsidRPr="007C47F1">
              <w:rPr>
                <w:rFonts w:ascii="Times New Roman" w:hAnsi="Times New Roman" w:cs="Times New Roman"/>
              </w:rPr>
              <w:t>:</w:t>
            </w:r>
          </w:p>
          <w:p w:rsidR="00A135E2" w:rsidRPr="00884FF7" w:rsidRDefault="00A135E2" w:rsidP="007C47F1">
            <w:pPr>
              <w:spacing w:before="120"/>
              <w:jc w:val="both"/>
              <w:rPr>
                <w:rFonts w:ascii="Times New Roman" w:hAnsi="Times New Roman" w:cs="Times New Roman"/>
                <w:b/>
              </w:rPr>
            </w:pPr>
            <w:r>
              <w:rPr>
                <w:rFonts w:ascii="Times New Roman" w:hAnsi="Times New Roman" w:cs="Times New Roman"/>
              </w:rPr>
              <w:t>U</w:t>
            </w:r>
            <w:r w:rsidRPr="007C47F1">
              <w:rPr>
                <w:rFonts w:ascii="Times New Roman" w:hAnsi="Times New Roman" w:cs="Times New Roman"/>
              </w:rPr>
              <w:t xml:space="preserve">vedené aspekty </w:t>
            </w:r>
            <w:r>
              <w:rPr>
                <w:rFonts w:ascii="Times New Roman" w:hAnsi="Times New Roman" w:cs="Times New Roman"/>
              </w:rPr>
              <w:t xml:space="preserve">je možné zohlednit </w:t>
            </w:r>
            <w:r w:rsidRPr="007C47F1">
              <w:rPr>
                <w:rFonts w:ascii="Times New Roman" w:hAnsi="Times New Roman" w:cs="Times New Roman"/>
              </w:rPr>
              <w:t>v zadání Analýzy pro následující roky</w:t>
            </w:r>
            <w:r>
              <w:rPr>
                <w:rFonts w:ascii="Times New Roman" w:hAnsi="Times New Roman" w:cs="Times New Roman"/>
              </w:rPr>
              <w:t>. Z</w:t>
            </w:r>
            <w:r w:rsidRPr="007C47F1">
              <w:rPr>
                <w:rFonts w:ascii="Times New Roman" w:hAnsi="Times New Roman" w:cs="Times New Roman"/>
              </w:rPr>
              <w:t xml:space="preserve">ároveň však </w:t>
            </w:r>
            <w:r>
              <w:rPr>
                <w:rFonts w:ascii="Times New Roman" w:hAnsi="Times New Roman" w:cs="Times New Roman"/>
              </w:rPr>
              <w:t xml:space="preserve">je nutné </w:t>
            </w:r>
            <w:r w:rsidRPr="007C47F1">
              <w:rPr>
                <w:rFonts w:ascii="Times New Roman" w:hAnsi="Times New Roman" w:cs="Times New Roman"/>
              </w:rPr>
              <w:t>uvážit přidanou hodnotu případného rozšíření počtu indikátorů (ČSÚ se v</w:t>
            </w:r>
            <w:r>
              <w:rPr>
                <w:rFonts w:ascii="Times New Roman" w:hAnsi="Times New Roman" w:cs="Times New Roman"/>
              </w:rPr>
              <w:t> </w:t>
            </w:r>
            <w:r w:rsidRPr="007C47F1">
              <w:rPr>
                <w:rFonts w:ascii="Times New Roman" w:hAnsi="Times New Roman" w:cs="Times New Roman"/>
              </w:rPr>
              <w:t>šetření pro rok 2013 zaměří výrazněji na příjmy vysokých škol z</w:t>
            </w:r>
            <w:r>
              <w:rPr>
                <w:rFonts w:ascii="Times New Roman" w:hAnsi="Times New Roman" w:cs="Times New Roman"/>
              </w:rPr>
              <w:t> </w:t>
            </w:r>
            <w:r w:rsidRPr="007C47F1">
              <w:rPr>
                <w:rFonts w:ascii="Times New Roman" w:hAnsi="Times New Roman" w:cs="Times New Roman"/>
              </w:rPr>
              <w:t>podnikatelských zdrojů realizované prostřednictvím smluvního výzkumu).</w:t>
            </w:r>
          </w:p>
        </w:tc>
      </w:tr>
      <w:tr w:rsidR="00A135E2" w:rsidRPr="00884FF7" w:rsidTr="006E3906">
        <w:trPr>
          <w:trHeight w:val="661"/>
        </w:trPr>
        <w:tc>
          <w:tcPr>
            <w:tcW w:w="1732" w:type="dxa"/>
            <w:vMerge/>
          </w:tcPr>
          <w:p w:rsidR="00A135E2" w:rsidRPr="00884FF7" w:rsidRDefault="00A135E2" w:rsidP="00A94015">
            <w:pPr>
              <w:spacing w:before="120"/>
              <w:rPr>
                <w:rFonts w:ascii="Times New Roman" w:hAnsi="Times New Roman" w:cs="Times New Roman"/>
              </w:rPr>
            </w:pPr>
          </w:p>
        </w:tc>
        <w:tc>
          <w:tcPr>
            <w:tcW w:w="5955" w:type="dxa"/>
          </w:tcPr>
          <w:p w:rsidR="00A135E2" w:rsidRPr="00884FF7" w:rsidRDefault="00A135E2" w:rsidP="00BD179E">
            <w:pPr>
              <w:spacing w:before="120"/>
              <w:rPr>
                <w:rFonts w:ascii="Times New Roman" w:hAnsi="Times New Roman" w:cs="Times New Roman"/>
              </w:rPr>
            </w:pPr>
            <w:r w:rsidRPr="00884FF7">
              <w:rPr>
                <w:rFonts w:ascii="Times New Roman" w:hAnsi="Times New Roman" w:cs="Times New Roman"/>
              </w:rPr>
              <w:t>Připomínka č. 16:</w:t>
            </w:r>
          </w:p>
          <w:p w:rsidR="00A135E2" w:rsidRPr="00884FF7" w:rsidRDefault="00A135E2" w:rsidP="00BD179E">
            <w:pPr>
              <w:spacing w:before="120"/>
              <w:rPr>
                <w:rFonts w:ascii="Times New Roman" w:hAnsi="Times New Roman" w:cs="Times New Roman"/>
                <w:b/>
              </w:rPr>
            </w:pPr>
            <w:r w:rsidRPr="00884FF7">
              <w:rPr>
                <w:rFonts w:ascii="Times New Roman" w:hAnsi="Times New Roman" w:cs="Times New Roman"/>
                <w:b/>
              </w:rPr>
              <w:t xml:space="preserve">K části C Výsledky výzkumu a vývoje </w:t>
            </w:r>
          </w:p>
          <w:p w:rsidR="00A135E2" w:rsidRPr="00884FF7" w:rsidRDefault="00A135E2" w:rsidP="007C47F1">
            <w:pPr>
              <w:spacing w:before="120"/>
              <w:jc w:val="both"/>
              <w:rPr>
                <w:rFonts w:ascii="Times New Roman" w:hAnsi="Times New Roman" w:cs="Times New Roman"/>
              </w:rPr>
            </w:pPr>
            <w:r w:rsidRPr="00884FF7">
              <w:rPr>
                <w:rFonts w:ascii="Times New Roman" w:hAnsi="Times New Roman" w:cs="Times New Roman"/>
              </w:rPr>
              <w:t>V hodnocení oblasti „patentové licence“ (str. 117 pod grafem C.24) se v posledním odstavci mj. uvádí, že: “…v roce 2012 jen pětina subjektů za své licence obdržela více jak jeden milion korun a naopak téměř 40 % poskytovalo právo využívat svůj chráněný vynález nebo technické řešení bez jakýchkoliv licenčních příjmů v sledovaném roce“. Tato skutečnost se jeví nestandardně a stálo by za to, aby bylo pro příště blíže zjištěno, proč tak vysoké procento subjektů poskytovalo svůj chráněný vynález, resp. technické řešení „zdarma“, a proto nevykázalo licenční příjmy ve sledovaném roce.</w:t>
            </w:r>
          </w:p>
        </w:tc>
        <w:tc>
          <w:tcPr>
            <w:tcW w:w="6642" w:type="dxa"/>
          </w:tcPr>
          <w:p w:rsidR="00A135E2" w:rsidRPr="007C47F1" w:rsidRDefault="00A135E2" w:rsidP="009F4D1F">
            <w:pPr>
              <w:spacing w:before="120"/>
              <w:rPr>
                <w:rFonts w:ascii="Times New Roman" w:hAnsi="Times New Roman" w:cs="Times New Roman"/>
              </w:rPr>
            </w:pPr>
            <w:r w:rsidRPr="007C47F1">
              <w:rPr>
                <w:rFonts w:ascii="Times New Roman" w:hAnsi="Times New Roman" w:cs="Times New Roman"/>
              </w:rPr>
              <w:t>Vysvětleno:</w:t>
            </w:r>
          </w:p>
          <w:p w:rsidR="00A135E2" w:rsidRPr="007C47F1" w:rsidRDefault="00A135E2" w:rsidP="007C47F1">
            <w:pPr>
              <w:spacing w:before="120"/>
              <w:jc w:val="both"/>
              <w:rPr>
                <w:rFonts w:ascii="Times New Roman" w:hAnsi="Times New Roman" w:cs="Times New Roman"/>
              </w:rPr>
            </w:pPr>
            <w:r>
              <w:rPr>
                <w:rFonts w:ascii="Times New Roman" w:hAnsi="Times New Roman" w:cs="Times New Roman"/>
              </w:rPr>
              <w:t xml:space="preserve">Poskytovatel podkladů - </w:t>
            </w:r>
            <w:r w:rsidRPr="007C47F1">
              <w:rPr>
                <w:rFonts w:ascii="Times New Roman" w:hAnsi="Times New Roman" w:cs="Times New Roman"/>
              </w:rPr>
              <w:t>ČSÚ oficiálně nesleduje důvody, proč v</w:t>
            </w:r>
            <w:r>
              <w:rPr>
                <w:rFonts w:ascii="Times New Roman" w:hAnsi="Times New Roman" w:cs="Times New Roman"/>
              </w:rPr>
              <w:t> </w:t>
            </w:r>
            <w:r w:rsidRPr="007C47F1">
              <w:rPr>
                <w:rFonts w:ascii="Times New Roman" w:hAnsi="Times New Roman" w:cs="Times New Roman"/>
              </w:rPr>
              <w:t>daném roce neobdržel sledovaný subjekt za konkrétní platnou licenční smlouvu žádný příjem (licenční poplatek). Mezi možné důvody patří:</w:t>
            </w:r>
          </w:p>
          <w:p w:rsidR="00A135E2" w:rsidRPr="007C47F1" w:rsidRDefault="00A135E2" w:rsidP="007C47F1">
            <w:pPr>
              <w:spacing w:before="120"/>
              <w:jc w:val="both"/>
              <w:rPr>
                <w:rFonts w:ascii="Times New Roman" w:hAnsi="Times New Roman" w:cs="Times New Roman"/>
              </w:rPr>
            </w:pPr>
            <w:r w:rsidRPr="007C47F1">
              <w:rPr>
                <w:rFonts w:ascii="Times New Roman" w:hAnsi="Times New Roman" w:cs="Times New Roman"/>
              </w:rPr>
              <w:t>1. Licenční poplatky byly zaplaceny při podpisu licenční smlouvy, v dalších letech již placeny nejsou. Ve výkaze jsou tak zachyceny jako licenční smlouvy bez zaplacených poplatků.</w:t>
            </w:r>
          </w:p>
          <w:p w:rsidR="00A135E2" w:rsidRPr="007C47F1" w:rsidRDefault="00A135E2" w:rsidP="007C47F1">
            <w:pPr>
              <w:spacing w:before="120"/>
              <w:jc w:val="both"/>
              <w:rPr>
                <w:rFonts w:ascii="Times New Roman" w:hAnsi="Times New Roman" w:cs="Times New Roman"/>
              </w:rPr>
            </w:pPr>
            <w:r w:rsidRPr="007C47F1">
              <w:rPr>
                <w:rFonts w:ascii="Times New Roman" w:hAnsi="Times New Roman" w:cs="Times New Roman"/>
              </w:rPr>
              <w:t>2. VŠ nebo VVI poskytují bezplatné licence, pokud byl např. výzkum financován firmou, která poté licenci nabyla.</w:t>
            </w:r>
          </w:p>
          <w:p w:rsidR="00A135E2" w:rsidRPr="007C47F1" w:rsidRDefault="00A135E2" w:rsidP="007C47F1">
            <w:pPr>
              <w:spacing w:before="120"/>
              <w:jc w:val="both"/>
              <w:rPr>
                <w:rFonts w:ascii="Times New Roman" w:hAnsi="Times New Roman" w:cs="Times New Roman"/>
              </w:rPr>
            </w:pPr>
            <w:r w:rsidRPr="007C47F1">
              <w:rPr>
                <w:rFonts w:ascii="Times New Roman" w:hAnsi="Times New Roman" w:cs="Times New Roman"/>
              </w:rPr>
              <w:t>3. Firma poskytne licenci, pokud partner použije k realizaci materiál, který daná firma vyrábí.</w:t>
            </w:r>
          </w:p>
          <w:p w:rsidR="00A135E2" w:rsidRDefault="00A135E2" w:rsidP="007C47F1">
            <w:pPr>
              <w:spacing w:before="120"/>
              <w:jc w:val="both"/>
              <w:rPr>
                <w:rFonts w:ascii="Times New Roman" w:hAnsi="Times New Roman" w:cs="Times New Roman"/>
              </w:rPr>
            </w:pPr>
            <w:r w:rsidRPr="007C47F1">
              <w:rPr>
                <w:rFonts w:ascii="Times New Roman" w:hAnsi="Times New Roman" w:cs="Times New Roman"/>
              </w:rPr>
              <w:t>4. Poplatky za licence jsou vázány (určitým %) na tržby za výrobky, které jsou na základě této licence vyrobené. Pokud nedošlo k výrobě (ještě ne, nebo už ne) poplatky zaplaceny nebyly.</w:t>
            </w:r>
          </w:p>
          <w:p w:rsidR="00A135E2" w:rsidRPr="00884FF7" w:rsidRDefault="00A135E2" w:rsidP="007C47F1">
            <w:pPr>
              <w:spacing w:before="120"/>
              <w:jc w:val="both"/>
              <w:rPr>
                <w:rFonts w:ascii="Times New Roman" w:hAnsi="Times New Roman" w:cs="Times New Roman"/>
                <w:b/>
              </w:rPr>
            </w:pPr>
            <w:r>
              <w:rPr>
                <w:rFonts w:ascii="Times New Roman" w:hAnsi="Times New Roman" w:cs="Times New Roman"/>
              </w:rPr>
              <w:t>Požadavek bude zahrnut do zadání pro příští analýzu.</w:t>
            </w:r>
          </w:p>
        </w:tc>
      </w:tr>
      <w:tr w:rsidR="00A135E2" w:rsidRPr="00884FF7" w:rsidTr="006E3906">
        <w:trPr>
          <w:trHeight w:val="661"/>
        </w:trPr>
        <w:tc>
          <w:tcPr>
            <w:tcW w:w="1732" w:type="dxa"/>
          </w:tcPr>
          <w:p w:rsidR="00A135E2" w:rsidRPr="00884FF7" w:rsidRDefault="00A135E2" w:rsidP="00A94015">
            <w:pPr>
              <w:spacing w:before="120"/>
              <w:rPr>
                <w:rFonts w:ascii="Times New Roman" w:hAnsi="Times New Roman" w:cs="Times New Roman"/>
              </w:rPr>
            </w:pPr>
            <w:r w:rsidRPr="00884FF7">
              <w:rPr>
                <w:rFonts w:ascii="Times New Roman" w:hAnsi="Times New Roman" w:cs="Times New Roman"/>
              </w:rPr>
              <w:t>MV</w:t>
            </w:r>
          </w:p>
        </w:tc>
        <w:tc>
          <w:tcPr>
            <w:tcW w:w="5955" w:type="dxa"/>
          </w:tcPr>
          <w:p w:rsidR="00A135E2" w:rsidRPr="00884FF7" w:rsidRDefault="00A135E2" w:rsidP="00BD179E">
            <w:pPr>
              <w:spacing w:before="120"/>
              <w:rPr>
                <w:rFonts w:ascii="Times New Roman" w:hAnsi="Times New Roman" w:cs="Times New Roman"/>
              </w:rPr>
            </w:pPr>
            <w:r w:rsidRPr="00884FF7">
              <w:rPr>
                <w:rFonts w:ascii="Times New Roman" w:hAnsi="Times New Roman" w:cs="Times New Roman"/>
              </w:rPr>
              <w:t>Bez připomínek</w:t>
            </w:r>
          </w:p>
        </w:tc>
        <w:tc>
          <w:tcPr>
            <w:tcW w:w="6642" w:type="dxa"/>
          </w:tcPr>
          <w:p w:rsidR="00A135E2" w:rsidRPr="00884FF7" w:rsidRDefault="00A135E2" w:rsidP="0035006F">
            <w:pPr>
              <w:spacing w:before="120"/>
              <w:rPr>
                <w:rFonts w:ascii="Times New Roman" w:hAnsi="Times New Roman" w:cs="Times New Roman"/>
                <w:b/>
              </w:rPr>
            </w:pPr>
          </w:p>
        </w:tc>
      </w:tr>
      <w:tr w:rsidR="00A135E2" w:rsidRPr="00884FF7" w:rsidTr="006E3906">
        <w:trPr>
          <w:trHeight w:val="661"/>
        </w:trPr>
        <w:tc>
          <w:tcPr>
            <w:tcW w:w="1732" w:type="dxa"/>
          </w:tcPr>
          <w:p w:rsidR="00A135E2" w:rsidRPr="00884FF7" w:rsidRDefault="00A135E2" w:rsidP="00A94015">
            <w:pPr>
              <w:spacing w:before="120"/>
              <w:rPr>
                <w:rFonts w:ascii="Times New Roman" w:hAnsi="Times New Roman" w:cs="Times New Roman"/>
              </w:rPr>
            </w:pPr>
            <w:r w:rsidRPr="00884FF7">
              <w:rPr>
                <w:rFonts w:ascii="Times New Roman" w:hAnsi="Times New Roman" w:cs="Times New Roman"/>
              </w:rPr>
              <w:t>AV ČR</w:t>
            </w:r>
          </w:p>
        </w:tc>
        <w:tc>
          <w:tcPr>
            <w:tcW w:w="5955" w:type="dxa"/>
          </w:tcPr>
          <w:p w:rsidR="00A135E2" w:rsidRPr="00884FF7" w:rsidRDefault="00A135E2" w:rsidP="00BD179E">
            <w:pPr>
              <w:spacing w:before="120"/>
              <w:rPr>
                <w:rFonts w:ascii="Times New Roman" w:hAnsi="Times New Roman" w:cs="Times New Roman"/>
              </w:rPr>
            </w:pPr>
            <w:r w:rsidRPr="00884FF7">
              <w:rPr>
                <w:rFonts w:ascii="Times New Roman" w:hAnsi="Times New Roman" w:cs="Times New Roman"/>
              </w:rPr>
              <w:t xml:space="preserve">Připomínka č. 17 – </w:t>
            </w:r>
            <w:r w:rsidRPr="00884FF7">
              <w:rPr>
                <w:rFonts w:ascii="Times New Roman" w:hAnsi="Times New Roman" w:cs="Times New Roman"/>
                <w:b/>
              </w:rPr>
              <w:t>zásadní připomínka</w:t>
            </w:r>
            <w:r w:rsidRPr="00884FF7">
              <w:rPr>
                <w:rFonts w:ascii="Times New Roman" w:hAnsi="Times New Roman" w:cs="Times New Roman"/>
              </w:rPr>
              <w:t>:</w:t>
            </w:r>
          </w:p>
          <w:p w:rsidR="00A135E2" w:rsidRPr="00884FF7" w:rsidRDefault="00A135E2" w:rsidP="00E91090">
            <w:pPr>
              <w:numPr>
                <w:ilvl w:val="0"/>
                <w:numId w:val="6"/>
              </w:numPr>
              <w:spacing w:before="120"/>
              <w:rPr>
                <w:rFonts w:ascii="Times New Roman" w:hAnsi="Times New Roman" w:cs="Times New Roman"/>
              </w:rPr>
            </w:pPr>
            <w:r w:rsidRPr="00884FF7">
              <w:rPr>
                <w:rFonts w:ascii="Times New Roman" w:hAnsi="Times New Roman" w:cs="Times New Roman"/>
                <w:b/>
                <w:i/>
              </w:rPr>
              <w:t>ke str. 37, 5. odst., 3. řádku:</w:t>
            </w:r>
          </w:p>
          <w:p w:rsidR="00A135E2" w:rsidRPr="00884FF7" w:rsidRDefault="00A135E2" w:rsidP="00E91090">
            <w:pPr>
              <w:spacing w:before="120"/>
              <w:rPr>
                <w:rFonts w:ascii="Times New Roman" w:hAnsi="Times New Roman" w:cs="Times New Roman"/>
              </w:rPr>
            </w:pPr>
            <w:r w:rsidRPr="00884FF7">
              <w:rPr>
                <w:rFonts w:ascii="Times New Roman" w:hAnsi="Times New Roman" w:cs="Times New Roman"/>
              </w:rPr>
              <w:t xml:space="preserve">Žádáme opravit počet pracovišť Akademie věd ČR, tj. v závorce </w:t>
            </w:r>
            <w:r w:rsidRPr="00884FF7">
              <w:rPr>
                <w:rFonts w:ascii="Times New Roman" w:hAnsi="Times New Roman" w:cs="Times New Roman"/>
                <w:i/>
              </w:rPr>
              <w:t>„(60 pracovišť)“</w:t>
            </w:r>
            <w:r w:rsidRPr="00884FF7">
              <w:rPr>
                <w:rFonts w:ascii="Times New Roman" w:hAnsi="Times New Roman" w:cs="Times New Roman"/>
              </w:rPr>
              <w:t xml:space="preserve"> nahradit číslici „</w:t>
            </w:r>
            <w:r w:rsidRPr="00884FF7">
              <w:rPr>
                <w:rFonts w:ascii="Times New Roman" w:hAnsi="Times New Roman" w:cs="Times New Roman"/>
                <w:i/>
              </w:rPr>
              <w:t>60</w:t>
            </w:r>
            <w:r w:rsidRPr="00884FF7">
              <w:rPr>
                <w:rFonts w:ascii="Times New Roman" w:hAnsi="Times New Roman" w:cs="Times New Roman"/>
              </w:rPr>
              <w:t>“ číslicí „</w:t>
            </w:r>
            <w:r w:rsidRPr="00884FF7">
              <w:rPr>
                <w:rFonts w:ascii="Times New Roman" w:hAnsi="Times New Roman" w:cs="Times New Roman"/>
                <w:i/>
              </w:rPr>
              <w:t>54</w:t>
            </w:r>
            <w:r w:rsidRPr="00884FF7">
              <w:rPr>
                <w:rFonts w:ascii="Times New Roman" w:hAnsi="Times New Roman" w:cs="Times New Roman"/>
              </w:rPr>
              <w:t>“.</w:t>
            </w:r>
          </w:p>
          <w:p w:rsidR="00A135E2" w:rsidRPr="00884FF7" w:rsidRDefault="00A135E2" w:rsidP="00E91090">
            <w:pPr>
              <w:spacing w:before="120"/>
              <w:rPr>
                <w:rFonts w:ascii="Times New Roman" w:hAnsi="Times New Roman" w:cs="Times New Roman"/>
                <w:u w:val="single"/>
              </w:rPr>
            </w:pPr>
            <w:r w:rsidRPr="00884FF7">
              <w:rPr>
                <w:rFonts w:ascii="Times New Roman" w:hAnsi="Times New Roman" w:cs="Times New Roman"/>
                <w:u w:val="single"/>
              </w:rPr>
              <w:t xml:space="preserve">Zdůvodnění: </w:t>
            </w:r>
          </w:p>
          <w:p w:rsidR="00A135E2" w:rsidRPr="00884FF7" w:rsidRDefault="00A135E2" w:rsidP="00E91090">
            <w:pPr>
              <w:spacing w:before="120"/>
              <w:rPr>
                <w:rFonts w:ascii="Times New Roman" w:hAnsi="Times New Roman" w:cs="Times New Roman"/>
              </w:rPr>
            </w:pPr>
            <w:r w:rsidRPr="00884FF7">
              <w:rPr>
                <w:rFonts w:ascii="Times New Roman" w:hAnsi="Times New Roman" w:cs="Times New Roman"/>
              </w:rPr>
              <w:t>Počet pracovišť Akademie věd ČR je uveden chybně.</w:t>
            </w:r>
          </w:p>
        </w:tc>
        <w:tc>
          <w:tcPr>
            <w:tcW w:w="6642" w:type="dxa"/>
          </w:tcPr>
          <w:p w:rsidR="00A135E2" w:rsidRDefault="00A135E2" w:rsidP="007154CF">
            <w:pPr>
              <w:spacing w:before="120"/>
              <w:jc w:val="both"/>
              <w:rPr>
                <w:rFonts w:ascii="Times New Roman" w:hAnsi="Times New Roman" w:cs="Times New Roman"/>
              </w:rPr>
            </w:pPr>
            <w:r w:rsidRPr="007154CF">
              <w:rPr>
                <w:rFonts w:ascii="Times New Roman" w:hAnsi="Times New Roman" w:cs="Times New Roman"/>
              </w:rPr>
              <w:t>Vysvětleno:</w:t>
            </w:r>
          </w:p>
          <w:p w:rsidR="00A135E2" w:rsidRDefault="00A135E2" w:rsidP="007154CF">
            <w:pPr>
              <w:spacing w:before="120"/>
              <w:jc w:val="both"/>
              <w:rPr>
                <w:rFonts w:ascii="Times New Roman" w:hAnsi="Times New Roman" w:cs="Times New Roman"/>
              </w:rPr>
            </w:pPr>
            <w:r>
              <w:rPr>
                <w:rFonts w:ascii="Times New Roman" w:hAnsi="Times New Roman" w:cs="Times New Roman"/>
              </w:rPr>
              <w:t xml:space="preserve">Zpracovatel si je vědom rozporu mezi termínem pracoviště v pojetí </w:t>
            </w:r>
            <w:r w:rsidRPr="0093418C">
              <w:rPr>
                <w:rFonts w:ascii="Times New Roman" w:hAnsi="Times New Roman" w:cs="Times New Roman"/>
              </w:rPr>
              <w:t>zákona č. 283/1992 Sb., o Akademii věd České republiky</w:t>
            </w:r>
            <w:r>
              <w:rPr>
                <w:rFonts w:ascii="Times New Roman" w:hAnsi="Times New Roman" w:cs="Times New Roman"/>
              </w:rPr>
              <w:t xml:space="preserve"> (AV ČR je </w:t>
            </w:r>
            <w:r w:rsidRPr="0093418C">
              <w:rPr>
                <w:rFonts w:ascii="Times New Roman" w:hAnsi="Times New Roman" w:cs="Times New Roman"/>
              </w:rPr>
              <w:t>zřizovatelem 54 pracovišť</w:t>
            </w:r>
            <w:r>
              <w:rPr>
                <w:rFonts w:ascii="Times New Roman" w:hAnsi="Times New Roman" w:cs="Times New Roman"/>
              </w:rPr>
              <w:t xml:space="preserve">) a v pojetí metodiky ČSÚ využívané pro </w:t>
            </w:r>
            <w:r w:rsidRPr="00A802A4">
              <w:rPr>
                <w:rFonts w:ascii="Times New Roman" w:hAnsi="Times New Roman" w:cs="Times New Roman"/>
              </w:rPr>
              <w:t>Roční výkaz o výzkumu a vývoji (VTR 5-01)</w:t>
            </w:r>
            <w:r>
              <w:rPr>
                <w:rFonts w:ascii="Times New Roman" w:hAnsi="Times New Roman" w:cs="Times New Roman"/>
              </w:rPr>
              <w:t>.</w:t>
            </w:r>
          </w:p>
          <w:p w:rsidR="00A135E2" w:rsidRDefault="00A135E2" w:rsidP="007154CF">
            <w:pPr>
              <w:spacing w:before="120"/>
              <w:jc w:val="both"/>
              <w:rPr>
                <w:rFonts w:ascii="Times New Roman" w:hAnsi="Times New Roman" w:cs="Times New Roman"/>
              </w:rPr>
            </w:pPr>
            <w:r>
              <w:rPr>
                <w:rFonts w:ascii="Times New Roman" w:hAnsi="Times New Roman" w:cs="Times New Roman"/>
              </w:rPr>
              <w:t>V druhém případě ČSÚ ve snaze o lepší zachycení regionálního členění a členění dle skupin vědních oblastí využívá jako zpravodajské jednotky jednotlivá pracoviště, na kterých se provádí VaV (tj. i detašované jednotky subjektu vedené pod jediným IČO).</w:t>
            </w:r>
          </w:p>
          <w:p w:rsidR="00A135E2" w:rsidRPr="007154CF" w:rsidRDefault="00A135E2" w:rsidP="007154CF">
            <w:pPr>
              <w:spacing w:before="120"/>
              <w:jc w:val="both"/>
              <w:rPr>
                <w:rFonts w:ascii="Times New Roman" w:hAnsi="Times New Roman" w:cs="Times New Roman"/>
              </w:rPr>
            </w:pPr>
            <w:r>
              <w:rPr>
                <w:rFonts w:ascii="Times New Roman" w:hAnsi="Times New Roman" w:cs="Times New Roman"/>
              </w:rPr>
              <w:t xml:space="preserve">Pro zachování konzistence s daty publikovanými ČSÚ mimo Analýzu 2013 i s dřívějšími vydáními tohoto dokumentu navrhujeme, aby pojem pracoviště byl používán ve výkladu ČSÚ s tím, že v kontextu s AV ČR bude k počtu pracovišť doplněna vysvětlující poznámka, která upozorní na výše popsaný rozpor a uvede rovněž počet pracovišť v pojetí </w:t>
            </w:r>
            <w:r w:rsidRPr="0093418C">
              <w:rPr>
                <w:rFonts w:ascii="Times New Roman" w:hAnsi="Times New Roman" w:cs="Times New Roman"/>
              </w:rPr>
              <w:t>zákona č. 283/1992 Sb.</w:t>
            </w:r>
            <w:r>
              <w:rPr>
                <w:rFonts w:ascii="Times New Roman" w:hAnsi="Times New Roman" w:cs="Times New Roman"/>
              </w:rPr>
              <w:t xml:space="preserve"> Stejná poznámka byla doplněna i do metodické přílohy.</w:t>
            </w:r>
          </w:p>
          <w:p w:rsidR="00A135E2" w:rsidRPr="00884FF7" w:rsidRDefault="00A135E2" w:rsidP="007154CF">
            <w:pPr>
              <w:spacing w:before="120"/>
              <w:jc w:val="both"/>
              <w:rPr>
                <w:rFonts w:ascii="Times New Roman" w:hAnsi="Times New Roman" w:cs="Times New Roman"/>
              </w:rPr>
            </w:pPr>
          </w:p>
        </w:tc>
      </w:tr>
      <w:tr w:rsidR="00A135E2" w:rsidRPr="00884FF7" w:rsidTr="006E3906">
        <w:trPr>
          <w:trHeight w:val="661"/>
        </w:trPr>
        <w:tc>
          <w:tcPr>
            <w:tcW w:w="1732" w:type="dxa"/>
            <w:vMerge w:val="restart"/>
          </w:tcPr>
          <w:p w:rsidR="00A135E2" w:rsidRPr="00884FF7" w:rsidRDefault="00A135E2" w:rsidP="00A94015">
            <w:pPr>
              <w:spacing w:before="120"/>
              <w:rPr>
                <w:rFonts w:ascii="Times New Roman" w:hAnsi="Times New Roman" w:cs="Times New Roman"/>
              </w:rPr>
            </w:pPr>
          </w:p>
        </w:tc>
        <w:tc>
          <w:tcPr>
            <w:tcW w:w="5955" w:type="dxa"/>
          </w:tcPr>
          <w:p w:rsidR="00A135E2" w:rsidRPr="00884FF7" w:rsidRDefault="00A135E2" w:rsidP="00BD179E">
            <w:pPr>
              <w:spacing w:before="120"/>
              <w:rPr>
                <w:rFonts w:ascii="Times New Roman" w:hAnsi="Times New Roman" w:cs="Times New Roman"/>
              </w:rPr>
            </w:pPr>
            <w:r w:rsidRPr="00884FF7">
              <w:rPr>
                <w:rFonts w:ascii="Times New Roman" w:hAnsi="Times New Roman" w:cs="Times New Roman"/>
              </w:rPr>
              <w:t xml:space="preserve">Připomínka č. 18 - </w:t>
            </w:r>
            <w:r w:rsidRPr="00884FF7">
              <w:rPr>
                <w:rFonts w:ascii="Times New Roman" w:hAnsi="Times New Roman" w:cs="Times New Roman"/>
                <w:b/>
              </w:rPr>
              <w:t>zásadní připomínka</w:t>
            </w:r>
            <w:r w:rsidRPr="00884FF7">
              <w:rPr>
                <w:rFonts w:ascii="Times New Roman" w:hAnsi="Times New Roman" w:cs="Times New Roman"/>
              </w:rPr>
              <w:t>:</w:t>
            </w:r>
          </w:p>
          <w:p w:rsidR="00A135E2" w:rsidRPr="00884FF7" w:rsidRDefault="00A135E2" w:rsidP="00E91090">
            <w:pPr>
              <w:numPr>
                <w:ilvl w:val="0"/>
                <w:numId w:val="7"/>
              </w:numPr>
              <w:spacing w:before="120"/>
              <w:rPr>
                <w:rFonts w:ascii="Times New Roman" w:hAnsi="Times New Roman" w:cs="Times New Roman"/>
              </w:rPr>
            </w:pPr>
            <w:r w:rsidRPr="00884FF7">
              <w:rPr>
                <w:rFonts w:ascii="Times New Roman" w:hAnsi="Times New Roman" w:cs="Times New Roman"/>
                <w:b/>
                <w:i/>
              </w:rPr>
              <w:t>ke str. 37, poznámce 9 pod čarou, 1. řádku:</w:t>
            </w:r>
          </w:p>
          <w:p w:rsidR="00A135E2" w:rsidRPr="00884FF7" w:rsidRDefault="00A135E2" w:rsidP="00E91090">
            <w:pPr>
              <w:spacing w:before="120"/>
              <w:rPr>
                <w:rFonts w:ascii="Times New Roman" w:hAnsi="Times New Roman" w:cs="Times New Roman"/>
              </w:rPr>
            </w:pPr>
            <w:r w:rsidRPr="00884FF7">
              <w:rPr>
                <w:rFonts w:ascii="Times New Roman" w:hAnsi="Times New Roman" w:cs="Times New Roman"/>
              </w:rPr>
              <w:t xml:space="preserve">Žádáme opravit závorku </w:t>
            </w:r>
          </w:p>
          <w:p w:rsidR="00A135E2" w:rsidRPr="00884FF7" w:rsidRDefault="00A135E2" w:rsidP="00E91090">
            <w:pPr>
              <w:spacing w:before="120"/>
              <w:rPr>
                <w:rFonts w:ascii="Times New Roman" w:hAnsi="Times New Roman" w:cs="Times New Roman"/>
              </w:rPr>
            </w:pPr>
            <w:r w:rsidRPr="00884FF7">
              <w:rPr>
                <w:rFonts w:ascii="Times New Roman" w:hAnsi="Times New Roman" w:cs="Times New Roman"/>
                <w:i/>
              </w:rPr>
              <w:t>„(54 ústavů v roce 2012)“</w:t>
            </w:r>
          </w:p>
          <w:p w:rsidR="00A135E2" w:rsidRPr="00884FF7" w:rsidRDefault="00A135E2" w:rsidP="00E91090">
            <w:pPr>
              <w:spacing w:before="120"/>
              <w:rPr>
                <w:rFonts w:ascii="Times New Roman" w:hAnsi="Times New Roman" w:cs="Times New Roman"/>
              </w:rPr>
            </w:pPr>
            <w:r w:rsidRPr="00884FF7">
              <w:rPr>
                <w:rFonts w:ascii="Times New Roman" w:hAnsi="Times New Roman" w:cs="Times New Roman"/>
              </w:rPr>
              <w:t>na toto znění:</w:t>
            </w:r>
          </w:p>
          <w:p w:rsidR="00A135E2" w:rsidRPr="00884FF7" w:rsidRDefault="00A135E2" w:rsidP="00E91090">
            <w:pPr>
              <w:spacing w:before="120"/>
              <w:rPr>
                <w:rFonts w:ascii="Times New Roman" w:hAnsi="Times New Roman" w:cs="Times New Roman"/>
              </w:rPr>
            </w:pPr>
            <w:r w:rsidRPr="00884FF7">
              <w:rPr>
                <w:rFonts w:ascii="Times New Roman" w:hAnsi="Times New Roman" w:cs="Times New Roman"/>
                <w:i/>
              </w:rPr>
              <w:t>„(z 54 pracovišť je 53 výzkumných ústavů; Středisko společných činností AV ČR, v. v. i., zajišťuje infrastrukturu VaV)“</w:t>
            </w:r>
          </w:p>
          <w:p w:rsidR="00A135E2" w:rsidRPr="00884FF7" w:rsidRDefault="00A135E2" w:rsidP="00E91090">
            <w:pPr>
              <w:spacing w:before="120"/>
              <w:rPr>
                <w:rFonts w:ascii="Times New Roman" w:hAnsi="Times New Roman" w:cs="Times New Roman"/>
                <w:u w:val="single"/>
              </w:rPr>
            </w:pPr>
            <w:r w:rsidRPr="00884FF7">
              <w:rPr>
                <w:rFonts w:ascii="Times New Roman" w:hAnsi="Times New Roman" w:cs="Times New Roman"/>
                <w:u w:val="single"/>
              </w:rPr>
              <w:t xml:space="preserve">Zdůvodnění: </w:t>
            </w:r>
          </w:p>
          <w:p w:rsidR="00A135E2" w:rsidRPr="00884FF7" w:rsidRDefault="00A135E2" w:rsidP="00E91090">
            <w:pPr>
              <w:spacing w:before="120"/>
              <w:rPr>
                <w:rFonts w:ascii="Times New Roman" w:hAnsi="Times New Roman" w:cs="Times New Roman"/>
              </w:rPr>
            </w:pPr>
            <w:r w:rsidRPr="00884FF7">
              <w:rPr>
                <w:rFonts w:ascii="Times New Roman" w:hAnsi="Times New Roman" w:cs="Times New Roman"/>
              </w:rPr>
              <w:t>Text je třeba korektně upravit tak, aby celkový počet ústavů odpovídal součtu počtů ústavů jednotlivých oblastí věd AV ČR.</w:t>
            </w:r>
          </w:p>
        </w:tc>
        <w:tc>
          <w:tcPr>
            <w:tcW w:w="6642" w:type="dxa"/>
          </w:tcPr>
          <w:p w:rsidR="00A135E2" w:rsidRPr="007154CF" w:rsidRDefault="00A135E2" w:rsidP="007154CF">
            <w:pPr>
              <w:spacing w:before="120"/>
              <w:jc w:val="both"/>
              <w:rPr>
                <w:rFonts w:ascii="Times New Roman" w:hAnsi="Times New Roman" w:cs="Times New Roman"/>
              </w:rPr>
            </w:pPr>
            <w:r w:rsidRPr="007154CF">
              <w:rPr>
                <w:rFonts w:ascii="Times New Roman" w:hAnsi="Times New Roman" w:cs="Times New Roman"/>
              </w:rPr>
              <w:t>Akceptováno:</w:t>
            </w:r>
          </w:p>
          <w:p w:rsidR="00A135E2" w:rsidRPr="007154CF" w:rsidRDefault="00A135E2" w:rsidP="007154CF">
            <w:pPr>
              <w:spacing w:before="120"/>
              <w:jc w:val="both"/>
              <w:rPr>
                <w:rFonts w:ascii="Times New Roman" w:hAnsi="Times New Roman" w:cs="Times New Roman"/>
              </w:rPr>
            </w:pPr>
            <w:r w:rsidRPr="007154CF">
              <w:rPr>
                <w:rFonts w:ascii="Times New Roman" w:hAnsi="Times New Roman" w:cs="Times New Roman"/>
              </w:rPr>
              <w:t>Viz připomínka č. 17.</w:t>
            </w:r>
          </w:p>
          <w:p w:rsidR="00A135E2" w:rsidRPr="007154CF" w:rsidRDefault="00A135E2" w:rsidP="007154CF">
            <w:pPr>
              <w:spacing w:before="120"/>
              <w:jc w:val="both"/>
              <w:rPr>
                <w:rFonts w:ascii="Times New Roman" w:hAnsi="Times New Roman" w:cs="Times New Roman"/>
              </w:rPr>
            </w:pPr>
          </w:p>
          <w:p w:rsidR="00A135E2" w:rsidRPr="007154CF" w:rsidRDefault="00A135E2" w:rsidP="007154CF">
            <w:pPr>
              <w:spacing w:before="120"/>
              <w:jc w:val="both"/>
              <w:rPr>
                <w:rFonts w:ascii="Times New Roman" w:hAnsi="Times New Roman" w:cs="Times New Roman"/>
              </w:rPr>
            </w:pPr>
          </w:p>
          <w:p w:rsidR="00A135E2" w:rsidRPr="007154CF" w:rsidRDefault="00A135E2" w:rsidP="007154CF">
            <w:pPr>
              <w:spacing w:before="120"/>
              <w:jc w:val="both"/>
              <w:rPr>
                <w:rFonts w:ascii="Times New Roman" w:hAnsi="Times New Roman" w:cs="Times New Roman"/>
              </w:rPr>
            </w:pPr>
          </w:p>
          <w:p w:rsidR="00A135E2" w:rsidRPr="007154CF" w:rsidRDefault="00A135E2" w:rsidP="007154CF">
            <w:pPr>
              <w:spacing w:before="120"/>
              <w:jc w:val="both"/>
              <w:rPr>
                <w:rFonts w:ascii="Times New Roman" w:hAnsi="Times New Roman" w:cs="Times New Roman"/>
              </w:rPr>
            </w:pPr>
            <w:r w:rsidRPr="007154CF">
              <w:rPr>
                <w:rFonts w:ascii="Times New Roman" w:hAnsi="Times New Roman" w:cs="Times New Roman"/>
              </w:rPr>
              <w:t>Text upraven následovně:</w:t>
            </w:r>
          </w:p>
          <w:p w:rsidR="00A135E2" w:rsidRPr="00884FF7" w:rsidRDefault="00A135E2" w:rsidP="00A802A4">
            <w:pPr>
              <w:spacing w:before="120"/>
              <w:jc w:val="both"/>
              <w:rPr>
                <w:rFonts w:ascii="Times New Roman" w:hAnsi="Times New Roman" w:cs="Times New Roman"/>
                <w:b/>
              </w:rPr>
            </w:pPr>
            <w:r w:rsidRPr="007154CF">
              <w:rPr>
                <w:rFonts w:ascii="Times New Roman" w:hAnsi="Times New Roman" w:cs="Times New Roman"/>
                <w:i/>
              </w:rPr>
              <w:t xml:space="preserve">„(z 54 </w:t>
            </w:r>
            <w:r>
              <w:rPr>
                <w:rFonts w:ascii="Times New Roman" w:hAnsi="Times New Roman" w:cs="Times New Roman"/>
                <w:i/>
              </w:rPr>
              <w:t xml:space="preserve">pracovišť zřizovaných AV ČR dle příslušného zákona č. </w:t>
            </w:r>
            <w:r w:rsidRPr="00A802A4">
              <w:rPr>
                <w:rFonts w:ascii="Times New Roman" w:hAnsi="Times New Roman" w:cs="Times New Roman"/>
                <w:i/>
              </w:rPr>
              <w:t>283/1992 Sb.</w:t>
            </w:r>
            <w:r w:rsidRPr="007154CF">
              <w:rPr>
                <w:rFonts w:ascii="Times New Roman" w:hAnsi="Times New Roman" w:cs="Times New Roman"/>
                <w:i/>
              </w:rPr>
              <w:t xml:space="preserve"> je 53 výzkumných </w:t>
            </w:r>
            <w:r>
              <w:rPr>
                <w:rFonts w:ascii="Times New Roman" w:hAnsi="Times New Roman" w:cs="Times New Roman"/>
                <w:i/>
              </w:rPr>
              <w:t>pracovišť</w:t>
            </w:r>
            <w:r w:rsidRPr="007154CF">
              <w:rPr>
                <w:rFonts w:ascii="Times New Roman" w:hAnsi="Times New Roman" w:cs="Times New Roman"/>
                <w:i/>
              </w:rPr>
              <w:t>; Středisko společných činností AV ČR, v. v. i., zajišťuje infrastrukturu VaV)"</w:t>
            </w:r>
            <w:r w:rsidRPr="007154CF">
              <w:rPr>
                <w:rFonts w:ascii="Times New Roman" w:hAnsi="Times New Roman" w:cs="Times New Roman"/>
              </w:rPr>
              <w:t>.</w:t>
            </w:r>
          </w:p>
        </w:tc>
      </w:tr>
      <w:tr w:rsidR="00A135E2" w:rsidRPr="00884FF7" w:rsidTr="006E3906">
        <w:trPr>
          <w:trHeight w:val="661"/>
        </w:trPr>
        <w:tc>
          <w:tcPr>
            <w:tcW w:w="1732" w:type="dxa"/>
            <w:vMerge/>
          </w:tcPr>
          <w:p w:rsidR="00A135E2" w:rsidRPr="00884FF7" w:rsidRDefault="00A135E2" w:rsidP="00A94015">
            <w:pPr>
              <w:spacing w:before="120"/>
              <w:rPr>
                <w:rFonts w:ascii="Times New Roman" w:hAnsi="Times New Roman" w:cs="Times New Roman"/>
              </w:rPr>
            </w:pPr>
          </w:p>
        </w:tc>
        <w:tc>
          <w:tcPr>
            <w:tcW w:w="5955" w:type="dxa"/>
          </w:tcPr>
          <w:p w:rsidR="00A135E2" w:rsidRPr="00884FF7" w:rsidRDefault="00A135E2" w:rsidP="00BD179E">
            <w:pPr>
              <w:spacing w:before="120"/>
              <w:rPr>
                <w:rFonts w:ascii="Times New Roman" w:hAnsi="Times New Roman" w:cs="Times New Roman"/>
              </w:rPr>
            </w:pPr>
            <w:r w:rsidRPr="00884FF7">
              <w:rPr>
                <w:rFonts w:ascii="Times New Roman" w:hAnsi="Times New Roman" w:cs="Times New Roman"/>
              </w:rPr>
              <w:t xml:space="preserve">Připomínka č. 19 - </w:t>
            </w:r>
            <w:r w:rsidRPr="00884FF7">
              <w:rPr>
                <w:rFonts w:ascii="Times New Roman" w:hAnsi="Times New Roman" w:cs="Times New Roman"/>
                <w:b/>
              </w:rPr>
              <w:t>zásadní připomínka</w:t>
            </w:r>
            <w:r w:rsidRPr="00884FF7">
              <w:rPr>
                <w:rFonts w:ascii="Times New Roman" w:hAnsi="Times New Roman" w:cs="Times New Roman"/>
              </w:rPr>
              <w:t>:</w:t>
            </w:r>
          </w:p>
          <w:p w:rsidR="00A135E2" w:rsidRPr="00884FF7" w:rsidRDefault="00A135E2" w:rsidP="00E91090">
            <w:pPr>
              <w:numPr>
                <w:ilvl w:val="0"/>
                <w:numId w:val="8"/>
              </w:numPr>
              <w:spacing w:before="120"/>
              <w:rPr>
                <w:rFonts w:ascii="Times New Roman" w:hAnsi="Times New Roman" w:cs="Times New Roman"/>
              </w:rPr>
            </w:pPr>
            <w:r w:rsidRPr="00884FF7">
              <w:rPr>
                <w:rFonts w:ascii="Times New Roman" w:hAnsi="Times New Roman" w:cs="Times New Roman"/>
                <w:b/>
                <w:i/>
              </w:rPr>
              <w:t>ke str. 57, 1. odst., 2. řádku:</w:t>
            </w:r>
          </w:p>
          <w:p w:rsidR="00A135E2" w:rsidRPr="00884FF7" w:rsidRDefault="00A135E2" w:rsidP="00E91090">
            <w:pPr>
              <w:spacing w:before="120"/>
              <w:rPr>
                <w:rFonts w:ascii="Times New Roman" w:hAnsi="Times New Roman" w:cs="Times New Roman"/>
              </w:rPr>
            </w:pPr>
            <w:r w:rsidRPr="00884FF7">
              <w:rPr>
                <w:rFonts w:ascii="Times New Roman" w:hAnsi="Times New Roman" w:cs="Times New Roman"/>
              </w:rPr>
              <w:t>Žádáme nahradit slovo „</w:t>
            </w:r>
            <w:r w:rsidRPr="00884FF7">
              <w:rPr>
                <w:rFonts w:ascii="Times New Roman" w:hAnsi="Times New Roman" w:cs="Times New Roman"/>
                <w:i/>
              </w:rPr>
              <w:t>poněkud</w:t>
            </w:r>
            <w:r w:rsidRPr="00884FF7">
              <w:rPr>
                <w:rFonts w:ascii="Times New Roman" w:hAnsi="Times New Roman" w:cs="Times New Roman"/>
              </w:rPr>
              <w:t>“ slovem „</w:t>
            </w:r>
            <w:r w:rsidRPr="00884FF7">
              <w:rPr>
                <w:rFonts w:ascii="Times New Roman" w:hAnsi="Times New Roman" w:cs="Times New Roman"/>
                <w:i/>
              </w:rPr>
              <w:t>výrazně</w:t>
            </w:r>
            <w:r w:rsidRPr="00884FF7">
              <w:rPr>
                <w:rFonts w:ascii="Times New Roman" w:hAnsi="Times New Roman" w:cs="Times New Roman"/>
              </w:rPr>
              <w:t>“.</w:t>
            </w:r>
          </w:p>
          <w:p w:rsidR="00A135E2" w:rsidRPr="00884FF7" w:rsidRDefault="00A135E2" w:rsidP="00E91090">
            <w:pPr>
              <w:spacing w:before="120"/>
              <w:rPr>
                <w:rFonts w:ascii="Times New Roman" w:hAnsi="Times New Roman" w:cs="Times New Roman"/>
                <w:u w:val="single"/>
              </w:rPr>
            </w:pPr>
            <w:r w:rsidRPr="00884FF7">
              <w:rPr>
                <w:rFonts w:ascii="Times New Roman" w:hAnsi="Times New Roman" w:cs="Times New Roman"/>
                <w:u w:val="single"/>
              </w:rPr>
              <w:t xml:space="preserve">Zdůvodnění: </w:t>
            </w:r>
          </w:p>
          <w:p w:rsidR="00A135E2" w:rsidRPr="00884FF7" w:rsidRDefault="00A135E2" w:rsidP="00E91090">
            <w:pPr>
              <w:spacing w:before="120"/>
              <w:rPr>
                <w:rFonts w:ascii="Times New Roman" w:hAnsi="Times New Roman" w:cs="Times New Roman"/>
              </w:rPr>
            </w:pPr>
            <w:r w:rsidRPr="00884FF7">
              <w:rPr>
                <w:rFonts w:ascii="Times New Roman" w:hAnsi="Times New Roman" w:cs="Times New Roman"/>
              </w:rPr>
              <w:t xml:space="preserve">Pokles podílu z 27 </w:t>
            </w:r>
            <w:r w:rsidRPr="00132E46">
              <w:rPr>
                <w:rFonts w:ascii="Times New Roman" w:hAnsi="Times New Roman" w:cs="Times New Roman"/>
              </w:rPr>
              <w:t>% na 18 % je poklesem v</w:t>
            </w:r>
            <w:r w:rsidRPr="00884FF7">
              <w:rPr>
                <w:rFonts w:ascii="Times New Roman" w:hAnsi="Times New Roman" w:cs="Times New Roman"/>
              </w:rPr>
              <w:t>ý</w:t>
            </w:r>
            <w:r w:rsidRPr="00132E46">
              <w:rPr>
                <w:rFonts w:ascii="Times New Roman" w:hAnsi="Times New Roman" w:cs="Times New Roman"/>
              </w:rPr>
              <w:t xml:space="preserve">razným, nelze </w:t>
            </w:r>
            <w:r w:rsidRPr="00884FF7">
              <w:rPr>
                <w:rFonts w:ascii="Times New Roman" w:hAnsi="Times New Roman" w:cs="Times New Roman"/>
              </w:rPr>
              <w:t>ho tudíž charakterizovat slovem poněkud.</w:t>
            </w:r>
          </w:p>
        </w:tc>
        <w:tc>
          <w:tcPr>
            <w:tcW w:w="6642" w:type="dxa"/>
          </w:tcPr>
          <w:p w:rsidR="00A135E2" w:rsidRPr="00C96C3B" w:rsidRDefault="00A135E2" w:rsidP="00E91090">
            <w:pPr>
              <w:spacing w:before="120"/>
              <w:rPr>
                <w:rFonts w:ascii="Times New Roman" w:hAnsi="Times New Roman" w:cs="Times New Roman"/>
              </w:rPr>
            </w:pPr>
            <w:r w:rsidRPr="00C96C3B">
              <w:rPr>
                <w:rFonts w:ascii="Times New Roman" w:hAnsi="Times New Roman" w:cs="Times New Roman"/>
              </w:rPr>
              <w:t>Akceptováno</w:t>
            </w:r>
            <w:r>
              <w:rPr>
                <w:rFonts w:ascii="Times New Roman" w:hAnsi="Times New Roman" w:cs="Times New Roman"/>
              </w:rPr>
              <w:t>:</w:t>
            </w:r>
          </w:p>
          <w:p w:rsidR="00A135E2" w:rsidRPr="00884FF7" w:rsidRDefault="00A135E2" w:rsidP="00E91090">
            <w:pPr>
              <w:spacing w:before="120"/>
              <w:rPr>
                <w:rFonts w:ascii="Times New Roman" w:hAnsi="Times New Roman" w:cs="Times New Roman"/>
                <w:b/>
              </w:rPr>
            </w:pPr>
            <w:r w:rsidRPr="00C96C3B">
              <w:rPr>
                <w:rFonts w:ascii="Times New Roman" w:hAnsi="Times New Roman" w:cs="Times New Roman"/>
              </w:rPr>
              <w:t>Text opraven.</w:t>
            </w:r>
          </w:p>
        </w:tc>
      </w:tr>
      <w:tr w:rsidR="00A135E2" w:rsidRPr="00884FF7" w:rsidTr="006E3906">
        <w:trPr>
          <w:trHeight w:val="661"/>
        </w:trPr>
        <w:tc>
          <w:tcPr>
            <w:tcW w:w="1732" w:type="dxa"/>
            <w:vMerge/>
          </w:tcPr>
          <w:p w:rsidR="00A135E2" w:rsidRPr="00884FF7" w:rsidRDefault="00A135E2" w:rsidP="00A94015">
            <w:pPr>
              <w:spacing w:before="120"/>
              <w:rPr>
                <w:rFonts w:ascii="Times New Roman" w:hAnsi="Times New Roman" w:cs="Times New Roman"/>
              </w:rPr>
            </w:pPr>
          </w:p>
        </w:tc>
        <w:tc>
          <w:tcPr>
            <w:tcW w:w="5955" w:type="dxa"/>
          </w:tcPr>
          <w:p w:rsidR="00A135E2" w:rsidRPr="00884FF7" w:rsidRDefault="00A135E2" w:rsidP="00BD179E">
            <w:pPr>
              <w:spacing w:before="120"/>
              <w:rPr>
                <w:rFonts w:ascii="Times New Roman" w:hAnsi="Times New Roman" w:cs="Times New Roman"/>
              </w:rPr>
            </w:pPr>
            <w:r w:rsidRPr="00884FF7">
              <w:rPr>
                <w:rFonts w:ascii="Times New Roman" w:hAnsi="Times New Roman" w:cs="Times New Roman"/>
              </w:rPr>
              <w:t>Připomínka č. 20:</w:t>
            </w:r>
          </w:p>
          <w:p w:rsidR="00A135E2" w:rsidRPr="00884FF7" w:rsidRDefault="00A135E2" w:rsidP="00E91090">
            <w:pPr>
              <w:spacing w:before="120"/>
              <w:rPr>
                <w:rFonts w:ascii="Times New Roman" w:hAnsi="Times New Roman" w:cs="Times New Roman"/>
                <w:b/>
              </w:rPr>
            </w:pPr>
            <w:r w:rsidRPr="00884FF7">
              <w:rPr>
                <w:rFonts w:ascii="Times New Roman" w:hAnsi="Times New Roman" w:cs="Times New Roman"/>
                <w:b/>
              </w:rPr>
              <w:t>Obecná připomínka:</w:t>
            </w:r>
          </w:p>
          <w:p w:rsidR="00A135E2" w:rsidRPr="00884FF7" w:rsidRDefault="00A135E2" w:rsidP="00E91090">
            <w:pPr>
              <w:spacing w:before="120"/>
              <w:rPr>
                <w:rFonts w:ascii="Times New Roman" w:hAnsi="Times New Roman" w:cs="Times New Roman"/>
              </w:rPr>
            </w:pPr>
            <w:r w:rsidRPr="00884FF7">
              <w:rPr>
                <w:rFonts w:ascii="Times New Roman" w:hAnsi="Times New Roman" w:cs="Times New Roman"/>
              </w:rPr>
              <w:t>V textu nejsou jednotně uváděny plné názvy pracovišť AV ČR (jen někdy jsou s „</w:t>
            </w:r>
            <w:r w:rsidRPr="00884FF7">
              <w:rPr>
                <w:rFonts w:ascii="Times New Roman" w:hAnsi="Times New Roman" w:cs="Times New Roman"/>
                <w:i/>
              </w:rPr>
              <w:t>AV ČR</w:t>
            </w:r>
            <w:r w:rsidRPr="00884FF7">
              <w:rPr>
                <w:rFonts w:ascii="Times New Roman" w:hAnsi="Times New Roman" w:cs="Times New Roman"/>
              </w:rPr>
              <w:t>“ i s „</w:t>
            </w:r>
            <w:r w:rsidRPr="00884FF7">
              <w:rPr>
                <w:rFonts w:ascii="Times New Roman" w:hAnsi="Times New Roman" w:cs="Times New Roman"/>
                <w:i/>
              </w:rPr>
              <w:t>v. v. i.</w:t>
            </w:r>
            <w:r w:rsidRPr="00884FF7">
              <w:rPr>
                <w:rFonts w:ascii="Times New Roman" w:hAnsi="Times New Roman" w:cs="Times New Roman"/>
              </w:rPr>
              <w:t>“).</w:t>
            </w:r>
          </w:p>
        </w:tc>
        <w:tc>
          <w:tcPr>
            <w:tcW w:w="6642" w:type="dxa"/>
          </w:tcPr>
          <w:p w:rsidR="00A135E2" w:rsidRPr="007154CF" w:rsidRDefault="00A135E2" w:rsidP="007154CF">
            <w:pPr>
              <w:spacing w:before="120"/>
              <w:jc w:val="both"/>
              <w:rPr>
                <w:rFonts w:ascii="Times New Roman" w:hAnsi="Times New Roman" w:cs="Times New Roman"/>
              </w:rPr>
            </w:pPr>
            <w:r w:rsidRPr="007154CF">
              <w:rPr>
                <w:rFonts w:ascii="Times New Roman" w:hAnsi="Times New Roman" w:cs="Times New Roman"/>
              </w:rPr>
              <w:t>V</w:t>
            </w:r>
            <w:r>
              <w:rPr>
                <w:rFonts w:ascii="Times New Roman" w:hAnsi="Times New Roman" w:cs="Times New Roman"/>
              </w:rPr>
              <w:t>y</w:t>
            </w:r>
            <w:r w:rsidRPr="007154CF">
              <w:rPr>
                <w:rFonts w:ascii="Times New Roman" w:hAnsi="Times New Roman" w:cs="Times New Roman"/>
              </w:rPr>
              <w:t>světle</w:t>
            </w:r>
            <w:r>
              <w:rPr>
                <w:rFonts w:ascii="Times New Roman" w:hAnsi="Times New Roman" w:cs="Times New Roman"/>
              </w:rPr>
              <w:t>n</w:t>
            </w:r>
            <w:r w:rsidRPr="007154CF">
              <w:rPr>
                <w:rFonts w:ascii="Times New Roman" w:hAnsi="Times New Roman" w:cs="Times New Roman"/>
              </w:rPr>
              <w:t>o:</w:t>
            </w:r>
          </w:p>
          <w:p w:rsidR="00A135E2" w:rsidRPr="00884FF7" w:rsidRDefault="00A135E2" w:rsidP="007154CF">
            <w:pPr>
              <w:spacing w:before="120"/>
              <w:jc w:val="both"/>
              <w:rPr>
                <w:rFonts w:ascii="Times New Roman" w:hAnsi="Times New Roman" w:cs="Times New Roman"/>
                <w:b/>
              </w:rPr>
            </w:pPr>
            <w:r w:rsidRPr="007154CF">
              <w:rPr>
                <w:rFonts w:ascii="Times New Roman" w:hAnsi="Times New Roman" w:cs="Times New Roman"/>
              </w:rPr>
              <w:t>Autoři budou upozorněni, aby dbali na jednotnost označení institucí AV ČR v celém textu Analýzy. V Analýze 2013 ponechány zjednodušující označení.</w:t>
            </w:r>
          </w:p>
        </w:tc>
      </w:tr>
      <w:tr w:rsidR="00A135E2" w:rsidRPr="00884FF7" w:rsidTr="006E3906">
        <w:trPr>
          <w:trHeight w:val="661"/>
        </w:trPr>
        <w:tc>
          <w:tcPr>
            <w:tcW w:w="1732" w:type="dxa"/>
            <w:vMerge/>
          </w:tcPr>
          <w:p w:rsidR="00A135E2" w:rsidRPr="00884FF7" w:rsidRDefault="00A135E2" w:rsidP="00A94015">
            <w:pPr>
              <w:spacing w:before="120"/>
              <w:rPr>
                <w:rFonts w:ascii="Times New Roman" w:hAnsi="Times New Roman" w:cs="Times New Roman"/>
              </w:rPr>
            </w:pPr>
          </w:p>
        </w:tc>
        <w:tc>
          <w:tcPr>
            <w:tcW w:w="5955" w:type="dxa"/>
          </w:tcPr>
          <w:p w:rsidR="00A135E2" w:rsidRPr="00884FF7" w:rsidRDefault="00A135E2" w:rsidP="00BD179E">
            <w:pPr>
              <w:spacing w:before="120"/>
              <w:rPr>
                <w:rFonts w:ascii="Times New Roman" w:hAnsi="Times New Roman" w:cs="Times New Roman"/>
              </w:rPr>
            </w:pPr>
            <w:r w:rsidRPr="00884FF7">
              <w:rPr>
                <w:rFonts w:ascii="Times New Roman" w:hAnsi="Times New Roman" w:cs="Times New Roman"/>
              </w:rPr>
              <w:t>Připomínka č. 21:</w:t>
            </w:r>
          </w:p>
          <w:p w:rsidR="00A135E2" w:rsidRPr="00884FF7" w:rsidRDefault="00A135E2" w:rsidP="00E91090">
            <w:pPr>
              <w:numPr>
                <w:ilvl w:val="0"/>
                <w:numId w:val="9"/>
              </w:numPr>
              <w:spacing w:before="120"/>
              <w:rPr>
                <w:rFonts w:ascii="Times New Roman" w:hAnsi="Times New Roman" w:cs="Times New Roman"/>
              </w:rPr>
            </w:pPr>
            <w:r w:rsidRPr="00884FF7">
              <w:rPr>
                <w:rFonts w:ascii="Times New Roman" w:hAnsi="Times New Roman" w:cs="Times New Roman"/>
                <w:b/>
                <w:i/>
              </w:rPr>
              <w:t>ke str. 15, 3. odrážce, 5. řádku:</w:t>
            </w:r>
          </w:p>
          <w:p w:rsidR="00A135E2" w:rsidRPr="00884FF7" w:rsidRDefault="00A135E2" w:rsidP="00E91090">
            <w:pPr>
              <w:spacing w:before="120"/>
              <w:rPr>
                <w:rFonts w:ascii="Times New Roman" w:hAnsi="Times New Roman" w:cs="Times New Roman"/>
              </w:rPr>
            </w:pPr>
            <w:r w:rsidRPr="00884FF7">
              <w:rPr>
                <w:rFonts w:ascii="Times New Roman" w:hAnsi="Times New Roman" w:cs="Times New Roman"/>
              </w:rPr>
              <w:t>Slovo „</w:t>
            </w:r>
            <w:r w:rsidRPr="00884FF7">
              <w:rPr>
                <w:rFonts w:ascii="Times New Roman" w:hAnsi="Times New Roman" w:cs="Times New Roman"/>
                <w:i/>
              </w:rPr>
              <w:t>dominantě</w:t>
            </w:r>
            <w:r w:rsidRPr="00884FF7">
              <w:rPr>
                <w:rFonts w:ascii="Times New Roman" w:hAnsi="Times New Roman" w:cs="Times New Roman"/>
              </w:rPr>
              <w:t>“ je třeba nahradit slovem „</w:t>
            </w:r>
            <w:r w:rsidRPr="00884FF7">
              <w:rPr>
                <w:rFonts w:ascii="Times New Roman" w:hAnsi="Times New Roman" w:cs="Times New Roman"/>
                <w:i/>
              </w:rPr>
              <w:t>dominantně</w:t>
            </w:r>
            <w:r w:rsidRPr="00884FF7">
              <w:rPr>
                <w:rFonts w:ascii="Times New Roman" w:hAnsi="Times New Roman" w:cs="Times New Roman"/>
              </w:rPr>
              <w:t>“.</w:t>
            </w:r>
          </w:p>
        </w:tc>
        <w:tc>
          <w:tcPr>
            <w:tcW w:w="6642" w:type="dxa"/>
          </w:tcPr>
          <w:p w:rsidR="00A135E2" w:rsidRPr="00C96C3B" w:rsidRDefault="00A135E2" w:rsidP="00D74E60">
            <w:pPr>
              <w:spacing w:before="120"/>
              <w:rPr>
                <w:rFonts w:ascii="Times New Roman" w:hAnsi="Times New Roman" w:cs="Times New Roman"/>
              </w:rPr>
            </w:pPr>
            <w:r w:rsidRPr="00C96C3B">
              <w:rPr>
                <w:rFonts w:ascii="Times New Roman" w:hAnsi="Times New Roman" w:cs="Times New Roman"/>
              </w:rPr>
              <w:t>Akceptováno</w:t>
            </w:r>
            <w:r>
              <w:rPr>
                <w:rFonts w:ascii="Times New Roman" w:hAnsi="Times New Roman" w:cs="Times New Roman"/>
              </w:rPr>
              <w:t>:</w:t>
            </w:r>
          </w:p>
          <w:p w:rsidR="00A135E2" w:rsidRPr="00C96C3B" w:rsidRDefault="00A135E2" w:rsidP="00D74E60">
            <w:pPr>
              <w:spacing w:before="120"/>
              <w:rPr>
                <w:rFonts w:ascii="Times New Roman" w:hAnsi="Times New Roman" w:cs="Times New Roman"/>
                <w:b/>
              </w:rPr>
            </w:pPr>
            <w:r w:rsidRPr="00C96C3B">
              <w:rPr>
                <w:rFonts w:ascii="Times New Roman" w:hAnsi="Times New Roman" w:cs="Times New Roman"/>
              </w:rPr>
              <w:t>Text opraven.</w:t>
            </w:r>
          </w:p>
        </w:tc>
      </w:tr>
      <w:tr w:rsidR="00A135E2" w:rsidRPr="00884FF7" w:rsidTr="006E3906">
        <w:trPr>
          <w:trHeight w:val="661"/>
        </w:trPr>
        <w:tc>
          <w:tcPr>
            <w:tcW w:w="1732" w:type="dxa"/>
            <w:vMerge/>
          </w:tcPr>
          <w:p w:rsidR="00A135E2" w:rsidRPr="00884FF7" w:rsidRDefault="00A135E2" w:rsidP="00A94015">
            <w:pPr>
              <w:spacing w:before="120"/>
              <w:rPr>
                <w:rFonts w:ascii="Times New Roman" w:hAnsi="Times New Roman" w:cs="Times New Roman"/>
              </w:rPr>
            </w:pPr>
          </w:p>
        </w:tc>
        <w:tc>
          <w:tcPr>
            <w:tcW w:w="5955" w:type="dxa"/>
          </w:tcPr>
          <w:p w:rsidR="00A135E2" w:rsidRPr="00884FF7" w:rsidRDefault="00A135E2" w:rsidP="00BD179E">
            <w:pPr>
              <w:spacing w:before="120"/>
              <w:rPr>
                <w:rFonts w:ascii="Times New Roman" w:hAnsi="Times New Roman" w:cs="Times New Roman"/>
              </w:rPr>
            </w:pPr>
            <w:r w:rsidRPr="00884FF7">
              <w:rPr>
                <w:rFonts w:ascii="Times New Roman" w:hAnsi="Times New Roman" w:cs="Times New Roman"/>
              </w:rPr>
              <w:t>Připomínka č. 22:</w:t>
            </w:r>
          </w:p>
          <w:p w:rsidR="00A135E2" w:rsidRPr="00884FF7" w:rsidRDefault="00A135E2" w:rsidP="00E91090">
            <w:pPr>
              <w:numPr>
                <w:ilvl w:val="0"/>
                <w:numId w:val="10"/>
              </w:numPr>
              <w:spacing w:before="120"/>
              <w:rPr>
                <w:rFonts w:ascii="Times New Roman" w:hAnsi="Times New Roman" w:cs="Times New Roman"/>
              </w:rPr>
            </w:pPr>
            <w:r w:rsidRPr="00884FF7">
              <w:rPr>
                <w:rFonts w:ascii="Times New Roman" w:hAnsi="Times New Roman" w:cs="Times New Roman"/>
                <w:b/>
                <w:i/>
              </w:rPr>
              <w:t>ke str. 87, 2. odst., 2. řádku:</w:t>
            </w:r>
          </w:p>
          <w:p w:rsidR="00A135E2" w:rsidRPr="00884FF7" w:rsidRDefault="00A135E2" w:rsidP="00E91090">
            <w:pPr>
              <w:spacing w:before="120"/>
              <w:rPr>
                <w:rFonts w:ascii="Times New Roman" w:hAnsi="Times New Roman" w:cs="Times New Roman"/>
              </w:rPr>
            </w:pPr>
            <w:r w:rsidRPr="00884FF7">
              <w:rPr>
                <w:rFonts w:ascii="Times New Roman" w:hAnsi="Times New Roman" w:cs="Times New Roman"/>
              </w:rPr>
              <w:t>Je třeba vypustit duplicitní slova „</w:t>
            </w:r>
            <w:r w:rsidRPr="00884FF7">
              <w:rPr>
                <w:rFonts w:ascii="Times New Roman" w:hAnsi="Times New Roman" w:cs="Times New Roman"/>
                <w:i/>
              </w:rPr>
              <w:t>mezi léty</w:t>
            </w:r>
            <w:r w:rsidRPr="00884FF7">
              <w:rPr>
                <w:rFonts w:ascii="Times New Roman" w:hAnsi="Times New Roman" w:cs="Times New Roman"/>
              </w:rPr>
              <w:t>“.</w:t>
            </w:r>
          </w:p>
        </w:tc>
        <w:tc>
          <w:tcPr>
            <w:tcW w:w="6642" w:type="dxa"/>
          </w:tcPr>
          <w:p w:rsidR="00A135E2" w:rsidRPr="00C96C3B" w:rsidRDefault="00A135E2" w:rsidP="00D74E60">
            <w:pPr>
              <w:spacing w:before="120"/>
              <w:rPr>
                <w:rFonts w:ascii="Times New Roman" w:hAnsi="Times New Roman" w:cs="Times New Roman"/>
              </w:rPr>
            </w:pPr>
            <w:r w:rsidRPr="00C96C3B">
              <w:rPr>
                <w:rFonts w:ascii="Times New Roman" w:hAnsi="Times New Roman" w:cs="Times New Roman"/>
              </w:rPr>
              <w:t>Akceptováno</w:t>
            </w:r>
            <w:r>
              <w:rPr>
                <w:rFonts w:ascii="Times New Roman" w:hAnsi="Times New Roman" w:cs="Times New Roman"/>
              </w:rPr>
              <w:t>:</w:t>
            </w:r>
          </w:p>
          <w:p w:rsidR="00A135E2" w:rsidRPr="00C96C3B" w:rsidRDefault="00A135E2" w:rsidP="00D74E60">
            <w:pPr>
              <w:spacing w:before="120"/>
              <w:rPr>
                <w:rFonts w:ascii="Times New Roman" w:hAnsi="Times New Roman" w:cs="Times New Roman"/>
                <w:b/>
              </w:rPr>
            </w:pPr>
            <w:r w:rsidRPr="00C96C3B">
              <w:rPr>
                <w:rFonts w:ascii="Times New Roman" w:hAnsi="Times New Roman" w:cs="Times New Roman"/>
              </w:rPr>
              <w:t>Text opraven.</w:t>
            </w:r>
          </w:p>
        </w:tc>
      </w:tr>
      <w:tr w:rsidR="00A135E2" w:rsidRPr="00884FF7" w:rsidTr="006E3906">
        <w:trPr>
          <w:trHeight w:val="661"/>
        </w:trPr>
        <w:tc>
          <w:tcPr>
            <w:tcW w:w="1732" w:type="dxa"/>
            <w:vMerge w:val="restart"/>
          </w:tcPr>
          <w:p w:rsidR="00A135E2" w:rsidRPr="00884FF7" w:rsidRDefault="00A135E2" w:rsidP="00A94015">
            <w:pPr>
              <w:spacing w:before="120"/>
              <w:rPr>
                <w:rFonts w:ascii="Times New Roman" w:hAnsi="Times New Roman" w:cs="Times New Roman"/>
              </w:rPr>
            </w:pPr>
          </w:p>
        </w:tc>
        <w:tc>
          <w:tcPr>
            <w:tcW w:w="5955" w:type="dxa"/>
          </w:tcPr>
          <w:p w:rsidR="00A135E2" w:rsidRPr="00884FF7" w:rsidRDefault="00A135E2" w:rsidP="00BD179E">
            <w:pPr>
              <w:spacing w:before="120"/>
              <w:rPr>
                <w:rFonts w:ascii="Times New Roman" w:hAnsi="Times New Roman" w:cs="Times New Roman"/>
              </w:rPr>
            </w:pPr>
            <w:r w:rsidRPr="00884FF7">
              <w:rPr>
                <w:rFonts w:ascii="Times New Roman" w:hAnsi="Times New Roman" w:cs="Times New Roman"/>
              </w:rPr>
              <w:t>Připomínka č. 23:</w:t>
            </w:r>
          </w:p>
          <w:p w:rsidR="00A135E2" w:rsidRPr="00884FF7" w:rsidRDefault="00A135E2" w:rsidP="00E91090">
            <w:pPr>
              <w:numPr>
                <w:ilvl w:val="0"/>
                <w:numId w:val="11"/>
              </w:numPr>
              <w:spacing w:before="120"/>
              <w:rPr>
                <w:rFonts w:ascii="Times New Roman" w:hAnsi="Times New Roman" w:cs="Times New Roman"/>
              </w:rPr>
            </w:pPr>
            <w:r w:rsidRPr="00884FF7">
              <w:rPr>
                <w:rFonts w:ascii="Times New Roman" w:hAnsi="Times New Roman" w:cs="Times New Roman"/>
                <w:b/>
                <w:i/>
              </w:rPr>
              <w:t>ke str. 105, 1. odst., 7. řádku:</w:t>
            </w:r>
          </w:p>
          <w:p w:rsidR="00A135E2" w:rsidRPr="00884FF7" w:rsidRDefault="00A135E2" w:rsidP="00E91090">
            <w:pPr>
              <w:spacing w:before="120"/>
              <w:rPr>
                <w:rFonts w:ascii="Times New Roman" w:hAnsi="Times New Roman" w:cs="Times New Roman"/>
              </w:rPr>
            </w:pPr>
            <w:r w:rsidRPr="00884FF7">
              <w:rPr>
                <w:rFonts w:ascii="Times New Roman" w:hAnsi="Times New Roman" w:cs="Times New Roman"/>
              </w:rPr>
              <w:t>Slovo „</w:t>
            </w:r>
            <w:r w:rsidRPr="00884FF7">
              <w:rPr>
                <w:rFonts w:ascii="Times New Roman" w:hAnsi="Times New Roman" w:cs="Times New Roman"/>
                <w:i/>
              </w:rPr>
              <w:t>autore</w:t>
            </w:r>
            <w:r w:rsidRPr="00884FF7">
              <w:rPr>
                <w:rFonts w:ascii="Times New Roman" w:hAnsi="Times New Roman" w:cs="Times New Roman"/>
              </w:rPr>
              <w:t>“ je třeba nahradit slovem „</w:t>
            </w:r>
            <w:r w:rsidRPr="00884FF7">
              <w:rPr>
                <w:rFonts w:ascii="Times New Roman" w:hAnsi="Times New Roman" w:cs="Times New Roman"/>
                <w:i/>
              </w:rPr>
              <w:t>autorem</w:t>
            </w:r>
            <w:r w:rsidRPr="00884FF7">
              <w:rPr>
                <w:rFonts w:ascii="Times New Roman" w:hAnsi="Times New Roman" w:cs="Times New Roman"/>
              </w:rPr>
              <w:t>“.</w:t>
            </w:r>
          </w:p>
        </w:tc>
        <w:tc>
          <w:tcPr>
            <w:tcW w:w="6642" w:type="dxa"/>
          </w:tcPr>
          <w:p w:rsidR="00A135E2" w:rsidRPr="00C96C3B" w:rsidRDefault="00A135E2" w:rsidP="00D74E60">
            <w:pPr>
              <w:spacing w:before="120"/>
              <w:rPr>
                <w:rFonts w:ascii="Times New Roman" w:hAnsi="Times New Roman" w:cs="Times New Roman"/>
              </w:rPr>
            </w:pPr>
            <w:r w:rsidRPr="00C96C3B">
              <w:rPr>
                <w:rFonts w:ascii="Times New Roman" w:hAnsi="Times New Roman" w:cs="Times New Roman"/>
              </w:rPr>
              <w:t>Akceptováno</w:t>
            </w:r>
            <w:r>
              <w:rPr>
                <w:rFonts w:ascii="Times New Roman" w:hAnsi="Times New Roman" w:cs="Times New Roman"/>
              </w:rPr>
              <w:t>:</w:t>
            </w:r>
          </w:p>
          <w:p w:rsidR="00A135E2" w:rsidRPr="00C96C3B" w:rsidRDefault="00A135E2" w:rsidP="00D74E60">
            <w:pPr>
              <w:spacing w:before="120"/>
              <w:rPr>
                <w:rFonts w:ascii="Times New Roman" w:hAnsi="Times New Roman" w:cs="Times New Roman"/>
                <w:b/>
              </w:rPr>
            </w:pPr>
            <w:r w:rsidRPr="00C96C3B">
              <w:rPr>
                <w:rFonts w:ascii="Times New Roman" w:hAnsi="Times New Roman" w:cs="Times New Roman"/>
              </w:rPr>
              <w:t>Text opraven.</w:t>
            </w:r>
          </w:p>
        </w:tc>
      </w:tr>
      <w:tr w:rsidR="00A135E2" w:rsidRPr="00884FF7" w:rsidTr="006E3906">
        <w:trPr>
          <w:trHeight w:val="661"/>
        </w:trPr>
        <w:tc>
          <w:tcPr>
            <w:tcW w:w="1732" w:type="dxa"/>
            <w:vMerge/>
          </w:tcPr>
          <w:p w:rsidR="00A135E2" w:rsidRPr="00884FF7" w:rsidRDefault="00A135E2" w:rsidP="00A94015">
            <w:pPr>
              <w:spacing w:before="120"/>
              <w:rPr>
                <w:rFonts w:ascii="Times New Roman" w:hAnsi="Times New Roman" w:cs="Times New Roman"/>
              </w:rPr>
            </w:pPr>
          </w:p>
        </w:tc>
        <w:tc>
          <w:tcPr>
            <w:tcW w:w="5955" w:type="dxa"/>
          </w:tcPr>
          <w:p w:rsidR="00A135E2" w:rsidRPr="00884FF7" w:rsidRDefault="00A135E2" w:rsidP="00BD179E">
            <w:pPr>
              <w:spacing w:before="120"/>
              <w:rPr>
                <w:rFonts w:ascii="Times New Roman" w:hAnsi="Times New Roman" w:cs="Times New Roman"/>
              </w:rPr>
            </w:pPr>
            <w:r w:rsidRPr="00884FF7">
              <w:rPr>
                <w:rFonts w:ascii="Times New Roman" w:hAnsi="Times New Roman" w:cs="Times New Roman"/>
              </w:rPr>
              <w:t>Připomínka č. 24:</w:t>
            </w:r>
          </w:p>
          <w:p w:rsidR="00A135E2" w:rsidRPr="00884FF7" w:rsidRDefault="00A135E2" w:rsidP="00E91090">
            <w:pPr>
              <w:numPr>
                <w:ilvl w:val="0"/>
                <w:numId w:val="12"/>
              </w:numPr>
              <w:spacing w:before="120"/>
              <w:rPr>
                <w:rFonts w:ascii="Times New Roman" w:hAnsi="Times New Roman" w:cs="Times New Roman"/>
              </w:rPr>
            </w:pPr>
            <w:r w:rsidRPr="00884FF7">
              <w:rPr>
                <w:rFonts w:ascii="Times New Roman" w:hAnsi="Times New Roman" w:cs="Times New Roman"/>
                <w:b/>
                <w:i/>
              </w:rPr>
              <w:t>ke str. 131, poslední odrážce v rámečku, 2. řádku:</w:t>
            </w:r>
          </w:p>
          <w:p w:rsidR="00A135E2" w:rsidRPr="00884FF7" w:rsidRDefault="00A135E2" w:rsidP="00E91090">
            <w:pPr>
              <w:spacing w:before="120"/>
              <w:rPr>
                <w:rFonts w:ascii="Times New Roman" w:hAnsi="Times New Roman" w:cs="Times New Roman"/>
              </w:rPr>
            </w:pPr>
            <w:r w:rsidRPr="00884FF7">
              <w:rPr>
                <w:rFonts w:ascii="Times New Roman" w:hAnsi="Times New Roman" w:cs="Times New Roman"/>
              </w:rPr>
              <w:t>Je třeba opravit výši ročního rozpočtu, částka „</w:t>
            </w:r>
            <w:r w:rsidRPr="00884FF7">
              <w:rPr>
                <w:rFonts w:ascii="Times New Roman" w:hAnsi="Times New Roman" w:cs="Times New Roman"/>
                <w:i/>
              </w:rPr>
              <w:t>799,6 Kč</w:t>
            </w:r>
            <w:r w:rsidRPr="00884FF7">
              <w:rPr>
                <w:rFonts w:ascii="Times New Roman" w:hAnsi="Times New Roman" w:cs="Times New Roman"/>
              </w:rPr>
              <w:t>“ je evidentně řádově chybná.</w:t>
            </w:r>
          </w:p>
        </w:tc>
        <w:tc>
          <w:tcPr>
            <w:tcW w:w="6642" w:type="dxa"/>
          </w:tcPr>
          <w:p w:rsidR="00A135E2" w:rsidRPr="00C96C3B" w:rsidRDefault="00A135E2" w:rsidP="00D74E60">
            <w:pPr>
              <w:spacing w:before="120"/>
              <w:rPr>
                <w:rFonts w:ascii="Times New Roman" w:hAnsi="Times New Roman" w:cs="Times New Roman"/>
              </w:rPr>
            </w:pPr>
            <w:r w:rsidRPr="00C96C3B">
              <w:rPr>
                <w:rFonts w:ascii="Times New Roman" w:hAnsi="Times New Roman" w:cs="Times New Roman"/>
              </w:rPr>
              <w:t>Akceptováno</w:t>
            </w:r>
            <w:r>
              <w:rPr>
                <w:rFonts w:ascii="Times New Roman" w:hAnsi="Times New Roman" w:cs="Times New Roman"/>
              </w:rPr>
              <w:t>:</w:t>
            </w:r>
          </w:p>
          <w:p w:rsidR="00A135E2" w:rsidRPr="00C96C3B" w:rsidRDefault="00A135E2" w:rsidP="00D74E60">
            <w:pPr>
              <w:spacing w:before="120"/>
              <w:rPr>
                <w:rFonts w:ascii="Times New Roman" w:hAnsi="Times New Roman" w:cs="Times New Roman"/>
                <w:b/>
              </w:rPr>
            </w:pPr>
            <w:r w:rsidRPr="00C96C3B">
              <w:rPr>
                <w:rFonts w:ascii="Times New Roman" w:hAnsi="Times New Roman" w:cs="Times New Roman"/>
              </w:rPr>
              <w:t>Text opraven.</w:t>
            </w:r>
          </w:p>
        </w:tc>
      </w:tr>
      <w:tr w:rsidR="00A135E2" w:rsidRPr="00884FF7" w:rsidTr="006E3906">
        <w:trPr>
          <w:trHeight w:val="661"/>
        </w:trPr>
        <w:tc>
          <w:tcPr>
            <w:tcW w:w="1732" w:type="dxa"/>
            <w:vMerge/>
          </w:tcPr>
          <w:p w:rsidR="00A135E2" w:rsidRPr="00884FF7" w:rsidRDefault="00A135E2" w:rsidP="00A94015">
            <w:pPr>
              <w:spacing w:before="120"/>
              <w:rPr>
                <w:rFonts w:ascii="Times New Roman" w:hAnsi="Times New Roman" w:cs="Times New Roman"/>
              </w:rPr>
            </w:pPr>
          </w:p>
        </w:tc>
        <w:tc>
          <w:tcPr>
            <w:tcW w:w="5955" w:type="dxa"/>
          </w:tcPr>
          <w:p w:rsidR="00A135E2" w:rsidRPr="00884FF7" w:rsidRDefault="00A135E2" w:rsidP="00BD179E">
            <w:pPr>
              <w:spacing w:before="120"/>
              <w:rPr>
                <w:rFonts w:ascii="Times New Roman" w:hAnsi="Times New Roman" w:cs="Times New Roman"/>
              </w:rPr>
            </w:pPr>
            <w:r w:rsidRPr="00884FF7">
              <w:rPr>
                <w:rFonts w:ascii="Times New Roman" w:hAnsi="Times New Roman" w:cs="Times New Roman"/>
              </w:rPr>
              <w:t>Připomínka č. 25:</w:t>
            </w:r>
          </w:p>
          <w:p w:rsidR="00A135E2" w:rsidRPr="00884FF7" w:rsidRDefault="00A135E2" w:rsidP="0094043D">
            <w:pPr>
              <w:numPr>
                <w:ilvl w:val="0"/>
                <w:numId w:val="13"/>
              </w:numPr>
              <w:spacing w:before="120"/>
              <w:rPr>
                <w:rFonts w:ascii="Times New Roman" w:hAnsi="Times New Roman" w:cs="Times New Roman"/>
              </w:rPr>
            </w:pPr>
            <w:r w:rsidRPr="00884FF7">
              <w:rPr>
                <w:rFonts w:ascii="Times New Roman" w:hAnsi="Times New Roman" w:cs="Times New Roman"/>
                <w:b/>
                <w:i/>
              </w:rPr>
              <w:t>ke str. 145, 2. odst., 1. řádku:</w:t>
            </w:r>
          </w:p>
          <w:p w:rsidR="00A135E2" w:rsidRPr="00884FF7" w:rsidRDefault="00A135E2" w:rsidP="0094043D">
            <w:pPr>
              <w:spacing w:before="120"/>
              <w:rPr>
                <w:rFonts w:ascii="Times New Roman" w:hAnsi="Times New Roman" w:cs="Times New Roman"/>
              </w:rPr>
            </w:pPr>
            <w:r w:rsidRPr="00884FF7">
              <w:rPr>
                <w:rFonts w:ascii="Times New Roman" w:hAnsi="Times New Roman" w:cs="Times New Roman"/>
              </w:rPr>
              <w:t>Slovo „</w:t>
            </w:r>
            <w:r w:rsidRPr="00884FF7">
              <w:rPr>
                <w:rFonts w:ascii="Times New Roman" w:hAnsi="Times New Roman" w:cs="Times New Roman"/>
                <w:i/>
              </w:rPr>
              <w:t>krze</w:t>
            </w:r>
            <w:r w:rsidRPr="00884FF7">
              <w:rPr>
                <w:rFonts w:ascii="Times New Roman" w:hAnsi="Times New Roman" w:cs="Times New Roman"/>
              </w:rPr>
              <w:t>“ je patrně třeba nahradit slovem „</w:t>
            </w:r>
            <w:r w:rsidRPr="00884FF7">
              <w:rPr>
                <w:rFonts w:ascii="Times New Roman" w:hAnsi="Times New Roman" w:cs="Times New Roman"/>
                <w:i/>
              </w:rPr>
              <w:t>skrze</w:t>
            </w:r>
            <w:r w:rsidRPr="00884FF7">
              <w:rPr>
                <w:rFonts w:ascii="Times New Roman" w:hAnsi="Times New Roman" w:cs="Times New Roman"/>
              </w:rPr>
              <w:t>“.</w:t>
            </w:r>
          </w:p>
        </w:tc>
        <w:tc>
          <w:tcPr>
            <w:tcW w:w="6642" w:type="dxa"/>
          </w:tcPr>
          <w:p w:rsidR="00A135E2" w:rsidRPr="00C96C3B" w:rsidRDefault="00A135E2" w:rsidP="00D74E60">
            <w:pPr>
              <w:spacing w:before="120"/>
              <w:rPr>
                <w:rFonts w:ascii="Times New Roman" w:hAnsi="Times New Roman" w:cs="Times New Roman"/>
              </w:rPr>
            </w:pPr>
            <w:r w:rsidRPr="00C96C3B">
              <w:rPr>
                <w:rFonts w:ascii="Times New Roman" w:hAnsi="Times New Roman" w:cs="Times New Roman"/>
              </w:rPr>
              <w:t>Akceptováno</w:t>
            </w:r>
            <w:r>
              <w:rPr>
                <w:rFonts w:ascii="Times New Roman" w:hAnsi="Times New Roman" w:cs="Times New Roman"/>
              </w:rPr>
              <w:t>:</w:t>
            </w:r>
          </w:p>
          <w:p w:rsidR="00A135E2" w:rsidRPr="00C96C3B" w:rsidRDefault="00A135E2" w:rsidP="00D74E60">
            <w:pPr>
              <w:spacing w:before="120"/>
              <w:rPr>
                <w:rFonts w:ascii="Times New Roman" w:hAnsi="Times New Roman" w:cs="Times New Roman"/>
                <w:b/>
              </w:rPr>
            </w:pPr>
            <w:r w:rsidRPr="00C96C3B">
              <w:rPr>
                <w:rFonts w:ascii="Times New Roman" w:hAnsi="Times New Roman" w:cs="Times New Roman"/>
              </w:rPr>
              <w:t>Text opraven.</w:t>
            </w:r>
          </w:p>
        </w:tc>
      </w:tr>
      <w:tr w:rsidR="00A135E2" w:rsidRPr="00884FF7" w:rsidTr="006E3906">
        <w:trPr>
          <w:trHeight w:val="661"/>
        </w:trPr>
        <w:tc>
          <w:tcPr>
            <w:tcW w:w="1732" w:type="dxa"/>
            <w:vMerge/>
          </w:tcPr>
          <w:p w:rsidR="00A135E2" w:rsidRPr="00884FF7" w:rsidRDefault="00A135E2" w:rsidP="00A94015">
            <w:pPr>
              <w:spacing w:before="120"/>
              <w:rPr>
                <w:rFonts w:ascii="Times New Roman" w:hAnsi="Times New Roman" w:cs="Times New Roman"/>
              </w:rPr>
            </w:pPr>
          </w:p>
        </w:tc>
        <w:tc>
          <w:tcPr>
            <w:tcW w:w="5955" w:type="dxa"/>
          </w:tcPr>
          <w:p w:rsidR="00A135E2" w:rsidRPr="00884FF7" w:rsidRDefault="00A135E2" w:rsidP="00BD179E">
            <w:pPr>
              <w:spacing w:before="120"/>
              <w:rPr>
                <w:rFonts w:ascii="Times New Roman" w:hAnsi="Times New Roman" w:cs="Times New Roman"/>
              </w:rPr>
            </w:pPr>
            <w:r w:rsidRPr="00884FF7">
              <w:rPr>
                <w:rFonts w:ascii="Times New Roman" w:hAnsi="Times New Roman" w:cs="Times New Roman"/>
              </w:rPr>
              <w:t>Připomínka č. 26:</w:t>
            </w:r>
          </w:p>
          <w:p w:rsidR="00A135E2" w:rsidRPr="00884FF7" w:rsidRDefault="00A135E2" w:rsidP="0094043D">
            <w:pPr>
              <w:numPr>
                <w:ilvl w:val="0"/>
                <w:numId w:val="14"/>
              </w:numPr>
              <w:spacing w:before="120"/>
              <w:rPr>
                <w:rFonts w:ascii="Times New Roman" w:hAnsi="Times New Roman" w:cs="Times New Roman"/>
              </w:rPr>
            </w:pPr>
            <w:r w:rsidRPr="00884FF7">
              <w:rPr>
                <w:rFonts w:ascii="Times New Roman" w:hAnsi="Times New Roman" w:cs="Times New Roman"/>
                <w:b/>
                <w:i/>
              </w:rPr>
              <w:t>ke str. 151, 1. odst., 1. řádku:</w:t>
            </w:r>
          </w:p>
          <w:p w:rsidR="00A135E2" w:rsidRPr="00884FF7" w:rsidRDefault="00A135E2" w:rsidP="0094043D">
            <w:pPr>
              <w:spacing w:before="120"/>
              <w:rPr>
                <w:rFonts w:ascii="Times New Roman" w:hAnsi="Times New Roman" w:cs="Times New Roman"/>
              </w:rPr>
            </w:pPr>
            <w:r w:rsidRPr="00884FF7">
              <w:rPr>
                <w:rFonts w:ascii="Times New Roman" w:hAnsi="Times New Roman" w:cs="Times New Roman"/>
              </w:rPr>
              <w:t>Slova „</w:t>
            </w:r>
            <w:r w:rsidRPr="00884FF7">
              <w:rPr>
                <w:rFonts w:ascii="Times New Roman" w:hAnsi="Times New Roman" w:cs="Times New Roman"/>
                <w:i/>
              </w:rPr>
              <w:t>následného časového</w:t>
            </w:r>
            <w:r w:rsidRPr="00884FF7">
              <w:rPr>
                <w:rFonts w:ascii="Times New Roman" w:hAnsi="Times New Roman" w:cs="Times New Roman"/>
              </w:rPr>
              <w:t>“ je třeba nahradit slovy „</w:t>
            </w:r>
            <w:r w:rsidRPr="00884FF7">
              <w:rPr>
                <w:rFonts w:ascii="Times New Roman" w:hAnsi="Times New Roman" w:cs="Times New Roman"/>
                <w:i/>
              </w:rPr>
              <w:t>následné časové</w:t>
            </w:r>
            <w:r w:rsidRPr="00884FF7">
              <w:rPr>
                <w:rFonts w:ascii="Times New Roman" w:hAnsi="Times New Roman" w:cs="Times New Roman"/>
              </w:rPr>
              <w:t>“.</w:t>
            </w:r>
          </w:p>
        </w:tc>
        <w:tc>
          <w:tcPr>
            <w:tcW w:w="6642" w:type="dxa"/>
          </w:tcPr>
          <w:p w:rsidR="00A135E2" w:rsidRPr="00C96C3B" w:rsidRDefault="00A135E2" w:rsidP="00D74E60">
            <w:pPr>
              <w:spacing w:before="120"/>
              <w:rPr>
                <w:rFonts w:ascii="Times New Roman" w:hAnsi="Times New Roman" w:cs="Times New Roman"/>
              </w:rPr>
            </w:pPr>
            <w:r w:rsidRPr="00C96C3B">
              <w:rPr>
                <w:rFonts w:ascii="Times New Roman" w:hAnsi="Times New Roman" w:cs="Times New Roman"/>
              </w:rPr>
              <w:t>Akceptováno</w:t>
            </w:r>
            <w:r>
              <w:rPr>
                <w:rFonts w:ascii="Times New Roman" w:hAnsi="Times New Roman" w:cs="Times New Roman"/>
              </w:rPr>
              <w:t>:</w:t>
            </w:r>
          </w:p>
          <w:p w:rsidR="00A135E2" w:rsidRPr="00C96C3B" w:rsidRDefault="00A135E2" w:rsidP="00D74E60">
            <w:pPr>
              <w:spacing w:before="120"/>
              <w:rPr>
                <w:rFonts w:ascii="Times New Roman" w:hAnsi="Times New Roman" w:cs="Times New Roman"/>
                <w:b/>
              </w:rPr>
            </w:pPr>
            <w:r w:rsidRPr="00C96C3B">
              <w:rPr>
                <w:rFonts w:ascii="Times New Roman" w:hAnsi="Times New Roman" w:cs="Times New Roman"/>
              </w:rPr>
              <w:t>Text opraven.</w:t>
            </w:r>
          </w:p>
        </w:tc>
      </w:tr>
      <w:tr w:rsidR="00A135E2" w:rsidRPr="00884FF7" w:rsidTr="006E3906">
        <w:trPr>
          <w:trHeight w:val="661"/>
        </w:trPr>
        <w:tc>
          <w:tcPr>
            <w:tcW w:w="1732" w:type="dxa"/>
            <w:vMerge/>
          </w:tcPr>
          <w:p w:rsidR="00A135E2" w:rsidRPr="00884FF7" w:rsidRDefault="00A135E2" w:rsidP="00A94015">
            <w:pPr>
              <w:spacing w:before="120"/>
              <w:rPr>
                <w:rFonts w:ascii="Times New Roman" w:hAnsi="Times New Roman" w:cs="Times New Roman"/>
              </w:rPr>
            </w:pPr>
          </w:p>
        </w:tc>
        <w:tc>
          <w:tcPr>
            <w:tcW w:w="5955" w:type="dxa"/>
          </w:tcPr>
          <w:p w:rsidR="00A135E2" w:rsidRPr="00884FF7" w:rsidRDefault="00A135E2" w:rsidP="0094043D">
            <w:pPr>
              <w:spacing w:before="120"/>
              <w:rPr>
                <w:rFonts w:ascii="Times New Roman" w:hAnsi="Times New Roman" w:cs="Times New Roman"/>
                <w:b/>
              </w:rPr>
            </w:pPr>
            <w:r w:rsidRPr="00884FF7">
              <w:rPr>
                <w:rFonts w:ascii="Times New Roman" w:hAnsi="Times New Roman" w:cs="Times New Roman"/>
                <w:b/>
              </w:rPr>
              <w:t>Závěr:</w:t>
            </w:r>
          </w:p>
          <w:p w:rsidR="00A135E2" w:rsidRPr="00884FF7" w:rsidRDefault="00A135E2" w:rsidP="0094043D">
            <w:pPr>
              <w:spacing w:before="120"/>
              <w:rPr>
                <w:rFonts w:ascii="Times New Roman" w:hAnsi="Times New Roman" w:cs="Times New Roman"/>
              </w:rPr>
            </w:pPr>
            <w:r w:rsidRPr="00884FF7">
              <w:rPr>
                <w:rFonts w:ascii="Times New Roman" w:hAnsi="Times New Roman" w:cs="Times New Roman"/>
                <w:b/>
              </w:rPr>
              <w:t>Důrazně žádáme o uplatnění našich 3 zásadních připomínek.</w:t>
            </w:r>
          </w:p>
        </w:tc>
        <w:tc>
          <w:tcPr>
            <w:tcW w:w="6642" w:type="dxa"/>
          </w:tcPr>
          <w:p w:rsidR="00A135E2" w:rsidRPr="00884FF7" w:rsidRDefault="00A135E2" w:rsidP="0035006F">
            <w:pPr>
              <w:spacing w:before="120"/>
              <w:rPr>
                <w:rFonts w:ascii="Times New Roman" w:hAnsi="Times New Roman" w:cs="Times New Roman"/>
                <w:b/>
              </w:rPr>
            </w:pPr>
          </w:p>
        </w:tc>
      </w:tr>
      <w:tr w:rsidR="00A135E2" w:rsidRPr="00884FF7" w:rsidTr="006E3906">
        <w:trPr>
          <w:trHeight w:val="661"/>
        </w:trPr>
        <w:tc>
          <w:tcPr>
            <w:tcW w:w="1732" w:type="dxa"/>
          </w:tcPr>
          <w:p w:rsidR="00A135E2" w:rsidRPr="00884FF7" w:rsidRDefault="00A135E2" w:rsidP="00B0739B">
            <w:pPr>
              <w:spacing w:before="120"/>
              <w:rPr>
                <w:rFonts w:ascii="Times New Roman" w:hAnsi="Times New Roman" w:cs="Times New Roman"/>
              </w:rPr>
            </w:pPr>
            <w:r w:rsidRPr="00884FF7">
              <w:rPr>
                <w:rFonts w:ascii="Times New Roman" w:hAnsi="Times New Roman" w:cs="Times New Roman"/>
              </w:rPr>
              <w:t>ÚVČR - KOM</w:t>
            </w:r>
          </w:p>
        </w:tc>
        <w:tc>
          <w:tcPr>
            <w:tcW w:w="5955" w:type="dxa"/>
          </w:tcPr>
          <w:p w:rsidR="00A135E2" w:rsidRPr="00884FF7" w:rsidRDefault="00A135E2" w:rsidP="00BD179E">
            <w:pPr>
              <w:spacing w:before="120"/>
              <w:rPr>
                <w:rFonts w:ascii="Times New Roman" w:hAnsi="Times New Roman" w:cs="Times New Roman"/>
              </w:rPr>
            </w:pPr>
            <w:r w:rsidRPr="00884FF7">
              <w:rPr>
                <w:rFonts w:ascii="Times New Roman" w:hAnsi="Times New Roman" w:cs="Times New Roman"/>
              </w:rPr>
              <w:t>Bez připomínek</w:t>
            </w:r>
          </w:p>
        </w:tc>
        <w:tc>
          <w:tcPr>
            <w:tcW w:w="6642" w:type="dxa"/>
          </w:tcPr>
          <w:p w:rsidR="00A135E2" w:rsidRPr="00884FF7" w:rsidRDefault="00A135E2" w:rsidP="0035006F">
            <w:pPr>
              <w:spacing w:before="120"/>
              <w:rPr>
                <w:rFonts w:ascii="Times New Roman" w:hAnsi="Times New Roman" w:cs="Times New Roman"/>
                <w:b/>
              </w:rPr>
            </w:pPr>
          </w:p>
        </w:tc>
      </w:tr>
      <w:tr w:rsidR="00A135E2" w:rsidRPr="00884FF7" w:rsidTr="006E3906">
        <w:trPr>
          <w:trHeight w:val="661"/>
        </w:trPr>
        <w:tc>
          <w:tcPr>
            <w:tcW w:w="1732" w:type="dxa"/>
            <w:vMerge w:val="restart"/>
          </w:tcPr>
          <w:p w:rsidR="00A135E2" w:rsidRPr="00884FF7" w:rsidRDefault="00A135E2" w:rsidP="00726BDC">
            <w:pPr>
              <w:spacing w:before="120"/>
              <w:rPr>
                <w:rFonts w:ascii="Times New Roman" w:hAnsi="Times New Roman" w:cs="Times New Roman"/>
              </w:rPr>
            </w:pPr>
            <w:r w:rsidRPr="00884FF7">
              <w:rPr>
                <w:rFonts w:ascii="Times New Roman" w:hAnsi="Times New Roman" w:cs="Times New Roman"/>
              </w:rPr>
              <w:t>HKČR</w:t>
            </w:r>
          </w:p>
        </w:tc>
        <w:tc>
          <w:tcPr>
            <w:tcW w:w="5955" w:type="dxa"/>
          </w:tcPr>
          <w:p w:rsidR="00A135E2" w:rsidRPr="00884FF7" w:rsidRDefault="00A135E2" w:rsidP="00726BDC">
            <w:pPr>
              <w:spacing w:before="120"/>
              <w:rPr>
                <w:rFonts w:ascii="Times New Roman" w:hAnsi="Times New Roman" w:cs="Times New Roman"/>
              </w:rPr>
            </w:pPr>
            <w:r w:rsidRPr="00884FF7">
              <w:rPr>
                <w:rFonts w:ascii="Times New Roman" w:hAnsi="Times New Roman" w:cs="Times New Roman"/>
              </w:rPr>
              <w:t>Připomínka č. 27:</w:t>
            </w:r>
          </w:p>
          <w:p w:rsidR="00A135E2" w:rsidRPr="00884FF7" w:rsidRDefault="00A135E2" w:rsidP="00726BDC">
            <w:pPr>
              <w:spacing w:before="120"/>
              <w:jc w:val="both"/>
              <w:rPr>
                <w:rFonts w:ascii="Times New Roman" w:hAnsi="Times New Roman" w:cs="Times New Roman"/>
                <w:b/>
              </w:rPr>
            </w:pPr>
            <w:r w:rsidRPr="00884FF7">
              <w:rPr>
                <w:rFonts w:ascii="Times New Roman" w:hAnsi="Times New Roman" w:cs="Times New Roman"/>
                <w:b/>
              </w:rPr>
              <w:t>Doporučující obecná připomínka k předkládanému materiálu</w:t>
            </w:r>
          </w:p>
          <w:p w:rsidR="00A135E2" w:rsidRPr="00884FF7" w:rsidRDefault="00A135E2" w:rsidP="00726BDC">
            <w:pPr>
              <w:spacing w:before="120"/>
              <w:jc w:val="both"/>
              <w:rPr>
                <w:rFonts w:ascii="Times New Roman" w:hAnsi="Times New Roman" w:cs="Times New Roman"/>
                <w:u w:val="single"/>
              </w:rPr>
            </w:pPr>
            <w:r w:rsidRPr="00884FF7">
              <w:rPr>
                <w:rFonts w:ascii="Times New Roman" w:hAnsi="Times New Roman" w:cs="Times New Roman"/>
              </w:rPr>
              <w:t>Předloženému materiálu schází na mnoha místech bližší odůvodnění vývoje a jeho predikce. Dále postrádáme uvedení širší souvztažnosti mezi objasňovanými skutečnostmi. Co ovšem v předloženém materiálu schází nejvíce, je kapitola „Závěr“, která by přehledně shrnovala celkový vývoj v oblasti VaVaI v roce 2013, samozřejmě včetně vyhodnocení dopadů na vývoj ekonomiky a konkurenceschopnost ČR.</w:t>
            </w:r>
          </w:p>
          <w:p w:rsidR="00A135E2" w:rsidRPr="00884FF7" w:rsidRDefault="00A135E2" w:rsidP="00726BDC">
            <w:pPr>
              <w:spacing w:before="120"/>
              <w:rPr>
                <w:rFonts w:ascii="Times New Roman" w:hAnsi="Times New Roman" w:cs="Times New Roman"/>
                <w:u w:val="single"/>
              </w:rPr>
            </w:pPr>
            <w:r w:rsidRPr="00884FF7">
              <w:rPr>
                <w:rFonts w:ascii="Times New Roman" w:hAnsi="Times New Roman" w:cs="Times New Roman"/>
                <w:u w:val="single"/>
              </w:rPr>
              <w:t>Odůvodnění:</w:t>
            </w:r>
          </w:p>
          <w:p w:rsidR="00A135E2" w:rsidRPr="00884FF7" w:rsidRDefault="00A135E2" w:rsidP="00726BDC">
            <w:pPr>
              <w:spacing w:before="120"/>
              <w:jc w:val="both"/>
              <w:rPr>
                <w:rFonts w:ascii="Times New Roman" w:hAnsi="Times New Roman" w:cs="Times New Roman"/>
              </w:rPr>
            </w:pPr>
            <w:r w:rsidRPr="00884FF7">
              <w:rPr>
                <w:rFonts w:ascii="Times New Roman" w:hAnsi="Times New Roman" w:cs="Times New Roman"/>
              </w:rPr>
              <w:t>Formální doplnění. Shrnutí nejdůležitějších závěrů a výstupů analýzy by nemělo scházet.</w:t>
            </w:r>
          </w:p>
        </w:tc>
        <w:tc>
          <w:tcPr>
            <w:tcW w:w="6642" w:type="dxa"/>
          </w:tcPr>
          <w:p w:rsidR="00A135E2" w:rsidRPr="00C96C3B" w:rsidRDefault="00A135E2" w:rsidP="00C96C3B">
            <w:pPr>
              <w:spacing w:before="120"/>
              <w:jc w:val="both"/>
            </w:pPr>
            <w:r w:rsidRPr="00C96C3B">
              <w:rPr>
                <w:rFonts w:ascii="Times New Roman" w:hAnsi="Times New Roman" w:cs="Times New Roman"/>
              </w:rPr>
              <w:t>Vysvětleno:</w:t>
            </w:r>
          </w:p>
          <w:p w:rsidR="00A135E2" w:rsidRPr="00C96C3B" w:rsidRDefault="00A135E2" w:rsidP="00C96C3B">
            <w:pPr>
              <w:spacing w:before="120"/>
              <w:jc w:val="both"/>
              <w:rPr>
                <w:rFonts w:ascii="Times New Roman" w:hAnsi="Times New Roman" w:cs="Times New Roman"/>
              </w:rPr>
            </w:pPr>
            <w:r w:rsidRPr="00C96C3B">
              <w:rPr>
                <w:rFonts w:ascii="Times New Roman" w:hAnsi="Times New Roman" w:cs="Times New Roman"/>
              </w:rPr>
              <w:t>Viz připomínka č. 1 (MPO) - analytická hloubka je omezená rozsahem a zadáním, které požaduje pokrýt široké spektrum indikátorů/aspektů prostředí VaVaI.</w:t>
            </w:r>
          </w:p>
          <w:p w:rsidR="00A135E2" w:rsidRPr="00884FF7" w:rsidRDefault="00A135E2" w:rsidP="00C96C3B">
            <w:pPr>
              <w:spacing w:before="120"/>
              <w:jc w:val="both"/>
              <w:rPr>
                <w:rFonts w:ascii="Times New Roman" w:hAnsi="Times New Roman" w:cs="Times New Roman"/>
                <w:b/>
              </w:rPr>
            </w:pPr>
            <w:r w:rsidRPr="00C96C3B">
              <w:rPr>
                <w:rFonts w:ascii="Times New Roman" w:hAnsi="Times New Roman" w:cs="Times New Roman"/>
              </w:rPr>
              <w:t>Na úrovni kapitol nahrazuje závěr úvodní rámeček Hlavní trendy. Pro celý dokument plní funkci závěru kapitola Shrnutí v úvodu.</w:t>
            </w:r>
          </w:p>
        </w:tc>
      </w:tr>
      <w:tr w:rsidR="00A135E2" w:rsidRPr="00884FF7" w:rsidTr="006E3906">
        <w:trPr>
          <w:trHeight w:val="661"/>
        </w:trPr>
        <w:tc>
          <w:tcPr>
            <w:tcW w:w="1732" w:type="dxa"/>
            <w:vMerge/>
          </w:tcPr>
          <w:p w:rsidR="00A135E2" w:rsidRPr="00884FF7" w:rsidRDefault="00A135E2" w:rsidP="00B0739B">
            <w:pPr>
              <w:spacing w:before="120"/>
              <w:rPr>
                <w:rFonts w:ascii="Times New Roman" w:hAnsi="Times New Roman" w:cs="Times New Roman"/>
              </w:rPr>
            </w:pPr>
          </w:p>
        </w:tc>
        <w:tc>
          <w:tcPr>
            <w:tcW w:w="5955" w:type="dxa"/>
          </w:tcPr>
          <w:p w:rsidR="00A135E2" w:rsidRPr="00884FF7" w:rsidRDefault="00A135E2" w:rsidP="00BD179E">
            <w:pPr>
              <w:spacing w:before="120"/>
              <w:rPr>
                <w:rFonts w:ascii="Times New Roman" w:hAnsi="Times New Roman" w:cs="Times New Roman"/>
              </w:rPr>
            </w:pPr>
            <w:r w:rsidRPr="00884FF7">
              <w:rPr>
                <w:rFonts w:ascii="Times New Roman" w:hAnsi="Times New Roman" w:cs="Times New Roman"/>
              </w:rPr>
              <w:t>Připomínka č. 28:</w:t>
            </w:r>
          </w:p>
          <w:p w:rsidR="00A135E2" w:rsidRPr="00884FF7" w:rsidRDefault="00A135E2" w:rsidP="00C7671E">
            <w:pPr>
              <w:numPr>
                <w:ilvl w:val="0"/>
                <w:numId w:val="15"/>
              </w:numPr>
              <w:spacing w:before="120"/>
              <w:rPr>
                <w:rFonts w:ascii="Times New Roman" w:hAnsi="Times New Roman" w:cs="Times New Roman"/>
                <w:b/>
              </w:rPr>
            </w:pPr>
            <w:r w:rsidRPr="00884FF7">
              <w:rPr>
                <w:rFonts w:ascii="Times New Roman" w:hAnsi="Times New Roman" w:cs="Times New Roman"/>
                <w:b/>
              </w:rPr>
              <w:t>Připomínka ke Kapitole A. 3, text na str. 61</w:t>
            </w:r>
          </w:p>
          <w:p w:rsidR="00A135E2" w:rsidRPr="00884FF7" w:rsidRDefault="00A135E2" w:rsidP="00C7671E">
            <w:pPr>
              <w:spacing w:before="120"/>
              <w:rPr>
                <w:rFonts w:ascii="Times New Roman" w:hAnsi="Times New Roman" w:cs="Times New Roman"/>
              </w:rPr>
            </w:pPr>
            <w:r w:rsidRPr="00884FF7">
              <w:rPr>
                <w:rFonts w:ascii="Times New Roman" w:hAnsi="Times New Roman" w:cs="Times New Roman"/>
              </w:rPr>
              <w:t>Doporučujeme úpravu následující věty:</w:t>
            </w:r>
          </w:p>
          <w:p w:rsidR="00A135E2" w:rsidRPr="00884FF7" w:rsidRDefault="00A135E2" w:rsidP="00C7671E">
            <w:pPr>
              <w:spacing w:before="120"/>
              <w:jc w:val="both"/>
              <w:rPr>
                <w:rFonts w:ascii="Times New Roman" w:hAnsi="Times New Roman" w:cs="Times New Roman"/>
              </w:rPr>
            </w:pPr>
            <w:r w:rsidRPr="00884FF7">
              <w:rPr>
                <w:rFonts w:ascii="Times New Roman" w:hAnsi="Times New Roman" w:cs="Times New Roman"/>
              </w:rPr>
              <w:t>„Z hlediska velikosti podniků dominovaly podniky s více než 250 zaměstnanci, ve kterých bylo v roce 2011 na VaV z nepřímé podpory spotřebováno 73 %. Na podniky střední velikosti pak připadalo 19 % nepřímé podpory VaV (356 mil. Kč) a na malé podniky 7 % (135 mil. Kč).“</w:t>
            </w:r>
          </w:p>
          <w:p w:rsidR="00A135E2" w:rsidRPr="00884FF7" w:rsidRDefault="00A135E2" w:rsidP="00C7671E">
            <w:pPr>
              <w:spacing w:before="120"/>
              <w:rPr>
                <w:rFonts w:ascii="Times New Roman" w:hAnsi="Times New Roman" w:cs="Times New Roman"/>
                <w:u w:val="single"/>
              </w:rPr>
            </w:pPr>
            <w:r w:rsidRPr="00884FF7">
              <w:rPr>
                <w:rFonts w:ascii="Times New Roman" w:hAnsi="Times New Roman" w:cs="Times New Roman"/>
                <w:u w:val="single"/>
              </w:rPr>
              <w:t>Odůvodnění:</w:t>
            </w:r>
          </w:p>
          <w:p w:rsidR="00A135E2" w:rsidRPr="00884FF7" w:rsidRDefault="00A135E2" w:rsidP="00C7671E">
            <w:pPr>
              <w:spacing w:before="120"/>
              <w:jc w:val="both"/>
              <w:rPr>
                <w:rFonts w:ascii="Times New Roman" w:hAnsi="Times New Roman" w:cs="Times New Roman"/>
              </w:rPr>
            </w:pPr>
            <w:r w:rsidRPr="00884FF7">
              <w:rPr>
                <w:rFonts w:ascii="Times New Roman" w:hAnsi="Times New Roman" w:cs="Times New Roman"/>
              </w:rPr>
              <w:t>Doporučujeme upřesnění podané informace. Není zřejmé, jaký finanční obnos představuje 100%. V tuto chvíli nemá výše uvedené sdělení žádnou vypovídající hodnotu, protože součet uváděných hodnot nepřímé podpory VaV není 100%.</w:t>
            </w:r>
          </w:p>
        </w:tc>
        <w:tc>
          <w:tcPr>
            <w:tcW w:w="6642" w:type="dxa"/>
          </w:tcPr>
          <w:p w:rsidR="00A135E2" w:rsidRPr="00C96C3B" w:rsidRDefault="00A135E2" w:rsidP="00C96C3B">
            <w:pPr>
              <w:spacing w:before="120"/>
              <w:jc w:val="both"/>
            </w:pPr>
            <w:r w:rsidRPr="00C96C3B">
              <w:rPr>
                <w:rFonts w:ascii="Times New Roman" w:hAnsi="Times New Roman" w:cs="Times New Roman"/>
              </w:rPr>
              <w:t>Vysvětleno:</w:t>
            </w:r>
          </w:p>
          <w:p w:rsidR="00A135E2" w:rsidRPr="00C96C3B" w:rsidRDefault="00A135E2" w:rsidP="00C96C3B">
            <w:pPr>
              <w:spacing w:before="120"/>
              <w:jc w:val="both"/>
              <w:rPr>
                <w:rFonts w:ascii="Times New Roman" w:hAnsi="Times New Roman" w:cs="Times New Roman"/>
                <w:b/>
              </w:rPr>
            </w:pPr>
            <w:r w:rsidRPr="00C96C3B">
              <w:rPr>
                <w:rFonts w:ascii="Times New Roman" w:hAnsi="Times New Roman" w:cs="Times New Roman"/>
              </w:rPr>
              <w:t>Viz připomínka č. 7 (TA ČR) - Součty celočíselných hodnot nerovnající se 100 % vznikají zaokrouhlením (vyskytují se i v jiných částech dokumentu). Při zachování přehlednosti a současně poměru kategorií je to nezbytný kompromis (v tomto případě se dosáhne bezezbytkové hodnoty poměru na úrovni sedmi desetinných míst). Podkladová data jsou k dispozici v tabulkových přílohách, zde A.34.</w:t>
            </w:r>
          </w:p>
        </w:tc>
      </w:tr>
      <w:tr w:rsidR="00A135E2" w:rsidRPr="00884FF7" w:rsidTr="006E3906">
        <w:trPr>
          <w:trHeight w:val="661"/>
        </w:trPr>
        <w:tc>
          <w:tcPr>
            <w:tcW w:w="1732" w:type="dxa"/>
            <w:vMerge/>
          </w:tcPr>
          <w:p w:rsidR="00A135E2" w:rsidRPr="00884FF7" w:rsidRDefault="00A135E2" w:rsidP="00A94015">
            <w:pPr>
              <w:spacing w:before="120"/>
              <w:rPr>
                <w:rFonts w:ascii="Times New Roman" w:hAnsi="Times New Roman" w:cs="Times New Roman"/>
              </w:rPr>
            </w:pPr>
          </w:p>
        </w:tc>
        <w:tc>
          <w:tcPr>
            <w:tcW w:w="5955" w:type="dxa"/>
          </w:tcPr>
          <w:p w:rsidR="00A135E2" w:rsidRPr="00884FF7" w:rsidRDefault="00A135E2" w:rsidP="00C7671E">
            <w:pPr>
              <w:spacing w:before="120"/>
              <w:jc w:val="both"/>
              <w:rPr>
                <w:rFonts w:ascii="Times New Roman" w:hAnsi="Times New Roman" w:cs="Times New Roman"/>
              </w:rPr>
            </w:pPr>
            <w:r w:rsidRPr="00884FF7">
              <w:rPr>
                <w:rFonts w:ascii="Times New Roman" w:hAnsi="Times New Roman" w:cs="Times New Roman"/>
              </w:rPr>
              <w:t>Připomínka č. 29:</w:t>
            </w:r>
          </w:p>
          <w:p w:rsidR="00A135E2" w:rsidRPr="00884FF7" w:rsidRDefault="00A135E2" w:rsidP="00C7671E">
            <w:pPr>
              <w:numPr>
                <w:ilvl w:val="0"/>
                <w:numId w:val="16"/>
              </w:numPr>
              <w:spacing w:before="120"/>
              <w:jc w:val="both"/>
              <w:rPr>
                <w:rFonts w:ascii="Times New Roman" w:hAnsi="Times New Roman" w:cs="Times New Roman"/>
                <w:b/>
              </w:rPr>
            </w:pPr>
            <w:r w:rsidRPr="00884FF7">
              <w:rPr>
                <w:rFonts w:ascii="Times New Roman" w:hAnsi="Times New Roman" w:cs="Times New Roman"/>
                <w:b/>
              </w:rPr>
              <w:t>Připomínka ke Kapitole E. 2</w:t>
            </w:r>
          </w:p>
          <w:p w:rsidR="00A135E2" w:rsidRPr="00884FF7" w:rsidRDefault="00A135E2" w:rsidP="00C7671E">
            <w:pPr>
              <w:spacing w:before="120"/>
              <w:jc w:val="both"/>
              <w:rPr>
                <w:rFonts w:ascii="Times New Roman" w:hAnsi="Times New Roman" w:cs="Times New Roman"/>
              </w:rPr>
            </w:pPr>
            <w:r w:rsidRPr="00884FF7">
              <w:rPr>
                <w:rFonts w:ascii="Times New Roman" w:hAnsi="Times New Roman" w:cs="Times New Roman"/>
              </w:rPr>
              <w:t>Doporučujeme upravit kapitolu ve smyslu níže uvedeného odůvodnění.</w:t>
            </w:r>
          </w:p>
          <w:p w:rsidR="00A135E2" w:rsidRPr="00884FF7" w:rsidRDefault="00A135E2" w:rsidP="00C7671E">
            <w:pPr>
              <w:spacing w:before="120"/>
              <w:jc w:val="both"/>
              <w:rPr>
                <w:rFonts w:ascii="Times New Roman" w:hAnsi="Times New Roman" w:cs="Times New Roman"/>
                <w:u w:val="single"/>
              </w:rPr>
            </w:pPr>
            <w:r w:rsidRPr="00884FF7">
              <w:rPr>
                <w:rFonts w:ascii="Times New Roman" w:hAnsi="Times New Roman" w:cs="Times New Roman"/>
                <w:u w:val="single"/>
              </w:rPr>
              <w:t>Odůvodnění:</w:t>
            </w:r>
          </w:p>
          <w:p w:rsidR="00A135E2" w:rsidRPr="00884FF7" w:rsidRDefault="00A135E2" w:rsidP="00C7671E">
            <w:pPr>
              <w:spacing w:before="120"/>
              <w:jc w:val="both"/>
              <w:rPr>
                <w:rFonts w:ascii="Times New Roman" w:hAnsi="Times New Roman" w:cs="Times New Roman"/>
              </w:rPr>
            </w:pPr>
            <w:r w:rsidRPr="00884FF7">
              <w:rPr>
                <w:rFonts w:ascii="Times New Roman" w:hAnsi="Times New Roman" w:cs="Times New Roman"/>
              </w:rPr>
              <w:t>V dané kapitole nejsou obsaženy tabulky s hlavními výstupy hodnocení všech uváděných programů. Konkrétně postrádáme tabulku s výstupy programu EUPRO, případně dále uváděné GESHER/MOST nebo finanční mechanismy EHP/Norsko.</w:t>
            </w:r>
          </w:p>
          <w:p w:rsidR="00A135E2" w:rsidRPr="00884FF7" w:rsidRDefault="00A135E2" w:rsidP="00C7671E">
            <w:pPr>
              <w:spacing w:before="120"/>
              <w:jc w:val="both"/>
              <w:rPr>
                <w:rFonts w:ascii="Times New Roman" w:hAnsi="Times New Roman" w:cs="Times New Roman"/>
              </w:rPr>
            </w:pPr>
            <w:r w:rsidRPr="00884FF7">
              <w:rPr>
                <w:rFonts w:ascii="Times New Roman" w:hAnsi="Times New Roman" w:cs="Times New Roman"/>
              </w:rPr>
              <w:t>Nerozumíme tomu, z jakého důvodu není v této kapitole zahrnut i TA ČR, jež schází ve výčtu organizací zabývajících se podporou mezinárodní spolupráce (program DELTA).</w:t>
            </w:r>
          </w:p>
        </w:tc>
        <w:tc>
          <w:tcPr>
            <w:tcW w:w="6642" w:type="dxa"/>
          </w:tcPr>
          <w:p w:rsidR="00A135E2" w:rsidRPr="00C96C3B" w:rsidRDefault="00A135E2" w:rsidP="00C96C3B">
            <w:pPr>
              <w:spacing w:before="120"/>
              <w:jc w:val="both"/>
            </w:pPr>
            <w:r>
              <w:rPr>
                <w:rFonts w:ascii="Times New Roman" w:hAnsi="Times New Roman" w:cs="Times New Roman"/>
              </w:rPr>
              <w:t>Vysvětleno</w:t>
            </w:r>
            <w:r w:rsidRPr="00C96C3B">
              <w:rPr>
                <w:rFonts w:ascii="Times New Roman" w:hAnsi="Times New Roman" w:cs="Times New Roman"/>
              </w:rPr>
              <w:t>:</w:t>
            </w:r>
          </w:p>
          <w:p w:rsidR="00A135E2" w:rsidRPr="00C96C3B" w:rsidRDefault="00A135E2" w:rsidP="00C96C3B">
            <w:pPr>
              <w:spacing w:before="120"/>
              <w:jc w:val="both"/>
              <w:rPr>
                <w:rFonts w:ascii="Times New Roman" w:hAnsi="Times New Roman" w:cs="Times New Roman"/>
              </w:rPr>
            </w:pPr>
            <w:r w:rsidRPr="00C96C3B">
              <w:rPr>
                <w:rFonts w:ascii="Times New Roman" w:hAnsi="Times New Roman" w:cs="Times New Roman"/>
              </w:rPr>
              <w:t>Viz připomínka č. 6 (TA ČR) - Viz Tabulka k programu EUPRO byla doplněna po vzoru ostatních programů mezinárodní spolupráce - v době přípravy Analýzy nebyla ještě podkladová studie pro EUPRO k dispozici.</w:t>
            </w:r>
          </w:p>
          <w:p w:rsidR="00A135E2" w:rsidRPr="00C96C3B" w:rsidRDefault="00A135E2" w:rsidP="00C96C3B">
            <w:pPr>
              <w:spacing w:before="120"/>
              <w:jc w:val="both"/>
              <w:rPr>
                <w:rFonts w:ascii="Times New Roman" w:hAnsi="Times New Roman" w:cs="Times New Roman"/>
              </w:rPr>
            </w:pPr>
            <w:r w:rsidRPr="00C96C3B">
              <w:rPr>
                <w:rFonts w:ascii="Times New Roman" w:hAnsi="Times New Roman" w:cs="Times New Roman"/>
              </w:rPr>
              <w:t>Viz připomínka č. 8 (TA ČR) - Informace doplněna. Program Delta byl schválen 28. srpna 2013, tedy v době, kdy již byl finalizován obsah příslušné kapitoly.</w:t>
            </w:r>
          </w:p>
          <w:p w:rsidR="00A135E2" w:rsidRPr="00884FF7" w:rsidRDefault="00A135E2" w:rsidP="00C96C3B">
            <w:pPr>
              <w:spacing w:before="120"/>
              <w:jc w:val="both"/>
              <w:rPr>
                <w:rFonts w:ascii="Times New Roman" w:hAnsi="Times New Roman" w:cs="Times New Roman"/>
                <w:b/>
              </w:rPr>
            </w:pPr>
            <w:r w:rsidRPr="00C96C3B">
              <w:rPr>
                <w:rFonts w:ascii="Times New Roman" w:hAnsi="Times New Roman" w:cs="Times New Roman"/>
              </w:rPr>
              <w:t>Množství uvedených údajů je omezeno rozsahem kapitoly, který je specifikován v zadání.</w:t>
            </w:r>
          </w:p>
        </w:tc>
      </w:tr>
      <w:tr w:rsidR="00A135E2" w:rsidRPr="00884FF7" w:rsidTr="006E3906">
        <w:trPr>
          <w:trHeight w:val="661"/>
        </w:trPr>
        <w:tc>
          <w:tcPr>
            <w:tcW w:w="1732" w:type="dxa"/>
          </w:tcPr>
          <w:p w:rsidR="00A135E2" w:rsidRPr="00884FF7" w:rsidRDefault="00A135E2" w:rsidP="00A94015">
            <w:pPr>
              <w:spacing w:before="120"/>
              <w:rPr>
                <w:rFonts w:ascii="Times New Roman" w:hAnsi="Times New Roman" w:cs="Times New Roman"/>
              </w:rPr>
            </w:pPr>
          </w:p>
        </w:tc>
        <w:tc>
          <w:tcPr>
            <w:tcW w:w="5955" w:type="dxa"/>
          </w:tcPr>
          <w:p w:rsidR="00A135E2" w:rsidRPr="00884FF7" w:rsidRDefault="00A135E2" w:rsidP="00C7671E">
            <w:pPr>
              <w:spacing w:before="120"/>
              <w:rPr>
                <w:rFonts w:ascii="Times New Roman" w:hAnsi="Times New Roman" w:cs="Times New Roman"/>
              </w:rPr>
            </w:pPr>
          </w:p>
        </w:tc>
        <w:tc>
          <w:tcPr>
            <w:tcW w:w="6642" w:type="dxa"/>
          </w:tcPr>
          <w:p w:rsidR="00A135E2" w:rsidRPr="00884FF7" w:rsidRDefault="00A135E2" w:rsidP="0035006F">
            <w:pPr>
              <w:spacing w:before="120"/>
              <w:rPr>
                <w:rFonts w:ascii="Times New Roman" w:hAnsi="Times New Roman" w:cs="Times New Roman"/>
                <w:b/>
              </w:rPr>
            </w:pPr>
          </w:p>
        </w:tc>
      </w:tr>
    </w:tbl>
    <w:p w:rsidR="00A135E2" w:rsidRPr="00884FF7" w:rsidRDefault="00A135E2" w:rsidP="00EC2346">
      <w:pPr>
        <w:autoSpaceDE w:val="0"/>
        <w:autoSpaceDN w:val="0"/>
        <w:adjustRightInd w:val="0"/>
        <w:spacing w:line="240" w:lineRule="atLeast"/>
        <w:outlineLvl w:val="0"/>
        <w:rPr>
          <w:rFonts w:ascii="Times New Roman" w:hAnsi="Times New Roman" w:cs="Times New Roman"/>
        </w:rPr>
      </w:pPr>
    </w:p>
    <w:p w:rsidR="00A135E2" w:rsidRPr="00884FF7" w:rsidRDefault="00A135E2" w:rsidP="00EC2346">
      <w:pPr>
        <w:autoSpaceDE w:val="0"/>
        <w:autoSpaceDN w:val="0"/>
        <w:adjustRightInd w:val="0"/>
        <w:spacing w:line="240" w:lineRule="atLeast"/>
        <w:rPr>
          <w:rFonts w:ascii="Times New Roman" w:hAnsi="Times New Roman" w:cs="Times New Roman"/>
        </w:rPr>
      </w:pPr>
    </w:p>
    <w:p w:rsidR="00A135E2" w:rsidRPr="00884FF7" w:rsidRDefault="00A135E2" w:rsidP="00EC2346">
      <w:pPr>
        <w:autoSpaceDE w:val="0"/>
        <w:autoSpaceDN w:val="0"/>
        <w:adjustRightInd w:val="0"/>
        <w:spacing w:line="240" w:lineRule="atLeast"/>
        <w:rPr>
          <w:rFonts w:ascii="Times New Roman" w:hAnsi="Times New Roman" w:cs="Times New Roman"/>
        </w:rPr>
      </w:pPr>
      <w:r w:rsidRPr="00884FF7">
        <w:rPr>
          <w:rFonts w:ascii="Times New Roman" w:hAnsi="Times New Roman" w:cs="Times New Roman"/>
        </w:rPr>
        <w:t xml:space="preserve">Vypracoval: </w:t>
      </w:r>
      <w:r>
        <w:rPr>
          <w:rFonts w:ascii="Times New Roman" w:hAnsi="Times New Roman" w:cs="Times New Roman"/>
        </w:rPr>
        <w:t>Zdeněk Roll</w:t>
      </w:r>
      <w:r w:rsidRPr="00884FF7">
        <w:rPr>
          <w:rFonts w:ascii="Times New Roman" w:hAnsi="Times New Roman" w:cs="Times New Roman"/>
        </w:rPr>
        <w:tab/>
      </w:r>
      <w:r w:rsidRPr="00884FF7">
        <w:rPr>
          <w:rFonts w:ascii="Times New Roman" w:hAnsi="Times New Roman" w:cs="Times New Roman"/>
        </w:rPr>
        <w:tab/>
      </w:r>
      <w:r w:rsidRPr="00884FF7">
        <w:rPr>
          <w:rFonts w:ascii="Times New Roman" w:hAnsi="Times New Roman" w:cs="Times New Roman"/>
        </w:rPr>
        <w:tab/>
      </w:r>
      <w:r w:rsidRPr="00884FF7">
        <w:rPr>
          <w:rFonts w:ascii="Times New Roman" w:hAnsi="Times New Roman" w:cs="Times New Roman"/>
        </w:rPr>
        <w:tab/>
      </w:r>
      <w:r w:rsidRPr="00884FF7">
        <w:rPr>
          <w:rFonts w:ascii="Times New Roman" w:hAnsi="Times New Roman" w:cs="Times New Roman"/>
        </w:rPr>
        <w:tab/>
      </w:r>
      <w:r w:rsidRPr="00884FF7">
        <w:rPr>
          <w:rFonts w:ascii="Times New Roman" w:hAnsi="Times New Roman" w:cs="Times New Roman"/>
        </w:rPr>
        <w:tab/>
      </w:r>
      <w:r w:rsidRPr="00884FF7">
        <w:rPr>
          <w:rFonts w:ascii="Times New Roman" w:hAnsi="Times New Roman" w:cs="Times New Roman"/>
        </w:rPr>
        <w:tab/>
      </w:r>
      <w:r w:rsidRPr="00884FF7">
        <w:rPr>
          <w:rFonts w:ascii="Times New Roman" w:hAnsi="Times New Roman" w:cs="Times New Roman"/>
        </w:rPr>
        <w:tab/>
        <w:t>Podpis: ……………………………</w:t>
      </w:r>
    </w:p>
    <w:p w:rsidR="00A135E2" w:rsidRPr="00884FF7" w:rsidRDefault="00A135E2">
      <w:pPr>
        <w:rPr>
          <w:rFonts w:ascii="Times New Roman" w:hAnsi="Times New Roman" w:cs="Times New Roman"/>
        </w:rPr>
      </w:pPr>
    </w:p>
    <w:sectPr w:rsidR="00A135E2" w:rsidRPr="00884FF7" w:rsidSect="004D2141">
      <w:footerReference w:type="even" r:id="rId8"/>
      <w:footerReference w:type="default" r:id="rId9"/>
      <w:pgSz w:w="16838" w:h="11906" w:orient="landscape"/>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5E2" w:rsidRDefault="00A135E2">
      <w:r>
        <w:separator/>
      </w:r>
    </w:p>
  </w:endnote>
  <w:endnote w:type="continuationSeparator" w:id="0">
    <w:p w:rsidR="00A135E2" w:rsidRDefault="00A135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etaPro-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5E2" w:rsidRDefault="00A135E2" w:rsidP="004D2141">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A135E2" w:rsidRDefault="00A135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5E2" w:rsidRDefault="00A135E2" w:rsidP="004D2141">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13</w:t>
    </w:r>
    <w:r>
      <w:rPr>
        <w:rStyle w:val="PageNumber"/>
        <w:rFonts w:cs="Arial"/>
      </w:rPr>
      <w:fldChar w:fldCharType="end"/>
    </w:r>
  </w:p>
  <w:p w:rsidR="00A135E2" w:rsidRDefault="00A135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5E2" w:rsidRDefault="00A135E2">
      <w:r>
        <w:separator/>
      </w:r>
    </w:p>
  </w:footnote>
  <w:footnote w:type="continuationSeparator" w:id="0">
    <w:p w:rsidR="00A135E2" w:rsidRDefault="00A135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872"/>
    <w:multiLevelType w:val="hybridMultilevel"/>
    <w:tmpl w:val="26223C62"/>
    <w:lvl w:ilvl="0" w:tplc="0405000F">
      <w:start w:val="1"/>
      <w:numFmt w:val="decimal"/>
      <w:lvlText w:val="%1."/>
      <w:lvlJc w:val="left"/>
      <w:pPr>
        <w:tabs>
          <w:tab w:val="num" w:pos="780"/>
        </w:tabs>
        <w:ind w:left="780" w:hanging="360"/>
      </w:pPr>
      <w:rPr>
        <w:rFonts w:cs="Times New Roman"/>
      </w:rPr>
    </w:lvl>
    <w:lvl w:ilvl="1" w:tplc="04050019" w:tentative="1">
      <w:start w:val="1"/>
      <w:numFmt w:val="lowerLetter"/>
      <w:lvlText w:val="%2."/>
      <w:lvlJc w:val="left"/>
      <w:pPr>
        <w:tabs>
          <w:tab w:val="num" w:pos="1500"/>
        </w:tabs>
        <w:ind w:left="1500" w:hanging="360"/>
      </w:pPr>
      <w:rPr>
        <w:rFonts w:cs="Times New Roman"/>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1">
    <w:nsid w:val="0E0F16EE"/>
    <w:multiLevelType w:val="hybridMultilevel"/>
    <w:tmpl w:val="C870F420"/>
    <w:lvl w:ilvl="0" w:tplc="119AA1E4">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184265E"/>
    <w:multiLevelType w:val="hybridMultilevel"/>
    <w:tmpl w:val="C870F420"/>
    <w:lvl w:ilvl="0" w:tplc="119AA1E4">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79D198A"/>
    <w:multiLevelType w:val="hybridMultilevel"/>
    <w:tmpl w:val="C870F420"/>
    <w:lvl w:ilvl="0" w:tplc="119AA1E4">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8FA5C3F"/>
    <w:multiLevelType w:val="hybridMultilevel"/>
    <w:tmpl w:val="8C7AADE4"/>
    <w:lvl w:ilvl="0" w:tplc="DD30FF20">
      <w:start w:val="4"/>
      <w:numFmt w:val="decimal"/>
      <w:lvlText w:val="%1."/>
      <w:lvlJc w:val="left"/>
      <w:pPr>
        <w:tabs>
          <w:tab w:val="num" w:pos="0"/>
        </w:tabs>
        <w:ind w:left="360" w:hanging="360"/>
      </w:pPr>
      <w:rPr>
        <w:rFonts w:cs="Times New Roman" w:hint="default"/>
      </w:rPr>
    </w:lvl>
    <w:lvl w:ilvl="1" w:tplc="ED08109A">
      <w:start w:val="1"/>
      <w:numFmt w:val="lowerLetter"/>
      <w:lvlText w:val="%2)"/>
      <w:lvlJc w:val="left"/>
      <w:pPr>
        <w:tabs>
          <w:tab w:val="num" w:pos="1080"/>
        </w:tabs>
        <w:ind w:left="1080" w:hanging="360"/>
      </w:pPr>
      <w:rPr>
        <w:rFonts w:cs="Times New Roman" w:hint="default"/>
        <w:b w:val="0"/>
        <w:i w:val="0"/>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nsid w:val="29DD2D86"/>
    <w:multiLevelType w:val="hybridMultilevel"/>
    <w:tmpl w:val="C870F420"/>
    <w:lvl w:ilvl="0" w:tplc="119AA1E4">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C53149A"/>
    <w:multiLevelType w:val="hybridMultilevel"/>
    <w:tmpl w:val="E302446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344322B8"/>
    <w:multiLevelType w:val="hybridMultilevel"/>
    <w:tmpl w:val="C870F420"/>
    <w:lvl w:ilvl="0" w:tplc="119AA1E4">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363253C0"/>
    <w:multiLevelType w:val="hybridMultilevel"/>
    <w:tmpl w:val="C870F420"/>
    <w:lvl w:ilvl="0" w:tplc="119AA1E4">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3EF32882"/>
    <w:multiLevelType w:val="hybridMultilevel"/>
    <w:tmpl w:val="63E0DE90"/>
    <w:lvl w:ilvl="0" w:tplc="3BEE7BC4">
      <w:start w:val="1"/>
      <w:numFmt w:val="lowerLetter"/>
      <w:lvlText w:val="%1)"/>
      <w:lvlJc w:val="left"/>
      <w:pPr>
        <w:tabs>
          <w:tab w:val="num" w:pos="677"/>
        </w:tabs>
        <w:ind w:left="677" w:hanging="36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4D684D9D"/>
    <w:multiLevelType w:val="hybridMultilevel"/>
    <w:tmpl w:val="18C22CC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4FC17504"/>
    <w:multiLevelType w:val="hybridMultilevel"/>
    <w:tmpl w:val="E302446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68C219F5"/>
    <w:multiLevelType w:val="hybridMultilevel"/>
    <w:tmpl w:val="C870F420"/>
    <w:lvl w:ilvl="0" w:tplc="119AA1E4">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6C5E3258"/>
    <w:multiLevelType w:val="hybridMultilevel"/>
    <w:tmpl w:val="9F74B63C"/>
    <w:lvl w:ilvl="0" w:tplc="0405000F">
      <w:start w:val="1"/>
      <w:numFmt w:val="decimal"/>
      <w:lvlText w:val="%1."/>
      <w:lvlJc w:val="left"/>
      <w:pPr>
        <w:tabs>
          <w:tab w:val="num" w:pos="720"/>
        </w:tabs>
        <w:ind w:left="720" w:hanging="360"/>
      </w:pPr>
      <w:rPr>
        <w:rFonts w:cs="Times New Roman" w:hint="default"/>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769F738B"/>
    <w:multiLevelType w:val="hybridMultilevel"/>
    <w:tmpl w:val="C870F420"/>
    <w:lvl w:ilvl="0" w:tplc="119AA1E4">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7BA66B27"/>
    <w:multiLevelType w:val="hybridMultilevel"/>
    <w:tmpl w:val="C870F420"/>
    <w:lvl w:ilvl="0" w:tplc="119AA1E4">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3"/>
  </w:num>
  <w:num w:numId="2">
    <w:abstractNumId w:val="4"/>
  </w:num>
  <w:num w:numId="3">
    <w:abstractNumId w:val="9"/>
  </w:num>
  <w:num w:numId="4">
    <w:abstractNumId w:val="10"/>
  </w:num>
  <w:num w:numId="5">
    <w:abstractNumId w:val="0"/>
  </w:num>
  <w:num w:numId="6">
    <w:abstractNumId w:val="1"/>
  </w:num>
  <w:num w:numId="7">
    <w:abstractNumId w:val="14"/>
  </w:num>
  <w:num w:numId="8">
    <w:abstractNumId w:val="3"/>
  </w:num>
  <w:num w:numId="9">
    <w:abstractNumId w:val="12"/>
  </w:num>
  <w:num w:numId="10">
    <w:abstractNumId w:val="15"/>
  </w:num>
  <w:num w:numId="11">
    <w:abstractNumId w:val="2"/>
  </w:num>
  <w:num w:numId="12">
    <w:abstractNumId w:val="8"/>
  </w:num>
  <w:num w:numId="13">
    <w:abstractNumId w:val="7"/>
  </w:num>
  <w:num w:numId="14">
    <w:abstractNumId w:val="5"/>
  </w:num>
  <w:num w:numId="15">
    <w:abstractNumId w:val="6"/>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7BF0"/>
    <w:rsid w:val="00026A00"/>
    <w:rsid w:val="00031F93"/>
    <w:rsid w:val="00034F35"/>
    <w:rsid w:val="000923CD"/>
    <w:rsid w:val="000A03DD"/>
    <w:rsid w:val="000A5427"/>
    <w:rsid w:val="000E17F8"/>
    <w:rsid w:val="000F4854"/>
    <w:rsid w:val="00103D5D"/>
    <w:rsid w:val="00132E46"/>
    <w:rsid w:val="001504C8"/>
    <w:rsid w:val="001658F2"/>
    <w:rsid w:val="00165E3E"/>
    <w:rsid w:val="00186008"/>
    <w:rsid w:val="001E384F"/>
    <w:rsid w:val="0020104D"/>
    <w:rsid w:val="00205B3A"/>
    <w:rsid w:val="00243C9C"/>
    <w:rsid w:val="00251F12"/>
    <w:rsid w:val="00254D73"/>
    <w:rsid w:val="0026235B"/>
    <w:rsid w:val="002722F1"/>
    <w:rsid w:val="002752C8"/>
    <w:rsid w:val="002E70FC"/>
    <w:rsid w:val="002F5680"/>
    <w:rsid w:val="002F5755"/>
    <w:rsid w:val="0035006F"/>
    <w:rsid w:val="00383DC7"/>
    <w:rsid w:val="00396BE8"/>
    <w:rsid w:val="003A154B"/>
    <w:rsid w:val="003C30B8"/>
    <w:rsid w:val="003D689A"/>
    <w:rsid w:val="003E72A3"/>
    <w:rsid w:val="004255E7"/>
    <w:rsid w:val="00453EFB"/>
    <w:rsid w:val="00465AE1"/>
    <w:rsid w:val="004812E8"/>
    <w:rsid w:val="004A75AF"/>
    <w:rsid w:val="004C2D29"/>
    <w:rsid w:val="004D2141"/>
    <w:rsid w:val="00507B71"/>
    <w:rsid w:val="00535860"/>
    <w:rsid w:val="00555925"/>
    <w:rsid w:val="00557DB6"/>
    <w:rsid w:val="005C097F"/>
    <w:rsid w:val="005D27F9"/>
    <w:rsid w:val="005D32A7"/>
    <w:rsid w:val="005D7DE6"/>
    <w:rsid w:val="005E40E5"/>
    <w:rsid w:val="005F0C4E"/>
    <w:rsid w:val="006007DE"/>
    <w:rsid w:val="006029CA"/>
    <w:rsid w:val="00606AA9"/>
    <w:rsid w:val="00622BAD"/>
    <w:rsid w:val="006327E7"/>
    <w:rsid w:val="006A1CF0"/>
    <w:rsid w:val="006B27B9"/>
    <w:rsid w:val="006B7376"/>
    <w:rsid w:val="006E347E"/>
    <w:rsid w:val="006E3906"/>
    <w:rsid w:val="006E3D1A"/>
    <w:rsid w:val="007154CF"/>
    <w:rsid w:val="007158AA"/>
    <w:rsid w:val="0072584A"/>
    <w:rsid w:val="00726BDC"/>
    <w:rsid w:val="0075191F"/>
    <w:rsid w:val="00762A26"/>
    <w:rsid w:val="0076783E"/>
    <w:rsid w:val="007A29EE"/>
    <w:rsid w:val="007B598E"/>
    <w:rsid w:val="007C47F1"/>
    <w:rsid w:val="007F63F5"/>
    <w:rsid w:val="00822C49"/>
    <w:rsid w:val="00826B24"/>
    <w:rsid w:val="00864719"/>
    <w:rsid w:val="00884FF7"/>
    <w:rsid w:val="00895BBE"/>
    <w:rsid w:val="008B4E47"/>
    <w:rsid w:val="008C6C05"/>
    <w:rsid w:val="008F499E"/>
    <w:rsid w:val="008F4DC1"/>
    <w:rsid w:val="009079CE"/>
    <w:rsid w:val="00907C8A"/>
    <w:rsid w:val="0093147F"/>
    <w:rsid w:val="0093272B"/>
    <w:rsid w:val="0093362D"/>
    <w:rsid w:val="0093418C"/>
    <w:rsid w:val="0094043D"/>
    <w:rsid w:val="00947B8E"/>
    <w:rsid w:val="009549B2"/>
    <w:rsid w:val="00993050"/>
    <w:rsid w:val="009A1E40"/>
    <w:rsid w:val="009E148B"/>
    <w:rsid w:val="009E3FA2"/>
    <w:rsid w:val="009F4D1F"/>
    <w:rsid w:val="00A12D86"/>
    <w:rsid w:val="00A135E2"/>
    <w:rsid w:val="00A802A4"/>
    <w:rsid w:val="00A80EF0"/>
    <w:rsid w:val="00A94015"/>
    <w:rsid w:val="00AF25AC"/>
    <w:rsid w:val="00B06300"/>
    <w:rsid w:val="00B0739B"/>
    <w:rsid w:val="00B26D42"/>
    <w:rsid w:val="00B5499A"/>
    <w:rsid w:val="00B63B6B"/>
    <w:rsid w:val="00B91402"/>
    <w:rsid w:val="00B91BDF"/>
    <w:rsid w:val="00BA4F96"/>
    <w:rsid w:val="00BB4DA2"/>
    <w:rsid w:val="00BD179E"/>
    <w:rsid w:val="00BF4FD0"/>
    <w:rsid w:val="00BF7CBE"/>
    <w:rsid w:val="00C17BBC"/>
    <w:rsid w:val="00C3747E"/>
    <w:rsid w:val="00C45B35"/>
    <w:rsid w:val="00C47E9F"/>
    <w:rsid w:val="00C73460"/>
    <w:rsid w:val="00C7671E"/>
    <w:rsid w:val="00C96C3B"/>
    <w:rsid w:val="00D12E34"/>
    <w:rsid w:val="00D64A18"/>
    <w:rsid w:val="00D71BB0"/>
    <w:rsid w:val="00D74E60"/>
    <w:rsid w:val="00D85398"/>
    <w:rsid w:val="00DA1A4A"/>
    <w:rsid w:val="00DC27EE"/>
    <w:rsid w:val="00DE1B68"/>
    <w:rsid w:val="00E027DA"/>
    <w:rsid w:val="00E21F33"/>
    <w:rsid w:val="00E37BB9"/>
    <w:rsid w:val="00E449B1"/>
    <w:rsid w:val="00E63DC1"/>
    <w:rsid w:val="00E86828"/>
    <w:rsid w:val="00E91090"/>
    <w:rsid w:val="00EA1E83"/>
    <w:rsid w:val="00EC2346"/>
    <w:rsid w:val="00EF2AF0"/>
    <w:rsid w:val="00EF7BF0"/>
    <w:rsid w:val="00F04299"/>
    <w:rsid w:val="00F115D0"/>
    <w:rsid w:val="00F56CEA"/>
    <w:rsid w:val="00F63A66"/>
    <w:rsid w:val="00F72531"/>
    <w:rsid w:val="00FC1EF8"/>
    <w:rsid w:val="00FE23FB"/>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BF0"/>
    <w:rPr>
      <w:rFonts w:ascii="Arial" w:hAnsi="Arial" w:cs="Arial"/>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F7BF0"/>
    <w:pPr>
      <w:jc w:val="both"/>
    </w:pPr>
  </w:style>
  <w:style w:type="character" w:customStyle="1" w:styleId="BodyTextChar">
    <w:name w:val="Body Text Char"/>
    <w:basedOn w:val="DefaultParagraphFont"/>
    <w:link w:val="BodyText"/>
    <w:uiPriority w:val="99"/>
    <w:semiHidden/>
    <w:locked/>
    <w:rPr>
      <w:rFonts w:ascii="Arial" w:hAnsi="Arial" w:cs="Arial"/>
      <w:sz w:val="24"/>
      <w:szCs w:val="24"/>
    </w:rPr>
  </w:style>
  <w:style w:type="table" w:styleId="TableGrid">
    <w:name w:val="Table Grid"/>
    <w:basedOn w:val="TableNormal"/>
    <w:uiPriority w:val="99"/>
    <w:rsid w:val="00EF7BF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uiPriority w:val="99"/>
    <w:rsid w:val="00EF7BF0"/>
    <w:pPr>
      <w:spacing w:after="160" w:line="240" w:lineRule="exact"/>
    </w:pPr>
    <w:rPr>
      <w:rFonts w:ascii="Tahoma" w:hAnsi="Tahoma" w:cs="Times New Roman"/>
      <w:sz w:val="20"/>
      <w:szCs w:val="20"/>
      <w:lang w:val="en-US" w:eastAsia="en-US"/>
    </w:rPr>
  </w:style>
  <w:style w:type="paragraph" w:styleId="CommentText">
    <w:name w:val="annotation text"/>
    <w:basedOn w:val="Normal"/>
    <w:link w:val="CommentTextChar"/>
    <w:uiPriority w:val="99"/>
    <w:semiHidden/>
    <w:rsid w:val="00EF7BF0"/>
    <w:rPr>
      <w:rFonts w:cs="Times New Roman"/>
      <w:sz w:val="20"/>
      <w:szCs w:val="20"/>
    </w:rPr>
  </w:style>
  <w:style w:type="character" w:customStyle="1" w:styleId="CommentTextChar">
    <w:name w:val="Comment Text Char"/>
    <w:basedOn w:val="DefaultParagraphFont"/>
    <w:link w:val="CommentText"/>
    <w:uiPriority w:val="99"/>
    <w:semiHidden/>
    <w:locked/>
    <w:rsid w:val="006B7376"/>
    <w:rPr>
      <w:rFonts w:ascii="Arial" w:hAnsi="Arial" w:cs="Times New Roman"/>
    </w:rPr>
  </w:style>
  <w:style w:type="character" w:styleId="Hyperlink">
    <w:name w:val="Hyperlink"/>
    <w:basedOn w:val="DefaultParagraphFont"/>
    <w:uiPriority w:val="99"/>
    <w:rsid w:val="00EF7BF0"/>
    <w:rPr>
      <w:rFonts w:cs="Times New Roman"/>
      <w:color w:val="0000FF"/>
      <w:u w:val="single"/>
    </w:rPr>
  </w:style>
  <w:style w:type="character" w:styleId="Strong">
    <w:name w:val="Strong"/>
    <w:basedOn w:val="DefaultParagraphFont"/>
    <w:uiPriority w:val="99"/>
    <w:qFormat/>
    <w:rsid w:val="00EC2346"/>
    <w:rPr>
      <w:rFonts w:cs="Times New Roman"/>
      <w:b/>
    </w:rPr>
  </w:style>
  <w:style w:type="paragraph" w:customStyle="1" w:styleId="CharCharChar">
    <w:name w:val="Char Char Char"/>
    <w:basedOn w:val="Normal"/>
    <w:uiPriority w:val="99"/>
    <w:rsid w:val="00864719"/>
    <w:pPr>
      <w:spacing w:after="160" w:line="240" w:lineRule="exact"/>
    </w:pPr>
    <w:rPr>
      <w:rFonts w:ascii="Tahoma" w:hAnsi="Tahoma" w:cs="Times New Roman"/>
      <w:sz w:val="20"/>
      <w:szCs w:val="20"/>
      <w:lang w:val="en-US" w:eastAsia="en-US"/>
    </w:rPr>
  </w:style>
  <w:style w:type="paragraph" w:styleId="Footer">
    <w:name w:val="footer"/>
    <w:basedOn w:val="Normal"/>
    <w:link w:val="FooterChar"/>
    <w:uiPriority w:val="99"/>
    <w:rsid w:val="004D2141"/>
    <w:pPr>
      <w:tabs>
        <w:tab w:val="center" w:pos="4536"/>
        <w:tab w:val="right" w:pos="9072"/>
      </w:tabs>
    </w:pPr>
  </w:style>
  <w:style w:type="character" w:customStyle="1" w:styleId="FooterChar">
    <w:name w:val="Footer Char"/>
    <w:basedOn w:val="DefaultParagraphFont"/>
    <w:link w:val="Footer"/>
    <w:uiPriority w:val="99"/>
    <w:semiHidden/>
    <w:locked/>
    <w:rPr>
      <w:rFonts w:ascii="Arial" w:hAnsi="Arial" w:cs="Arial"/>
      <w:sz w:val="24"/>
      <w:szCs w:val="24"/>
    </w:rPr>
  </w:style>
  <w:style w:type="character" w:styleId="PageNumber">
    <w:name w:val="page number"/>
    <w:basedOn w:val="DefaultParagraphFont"/>
    <w:uiPriority w:val="99"/>
    <w:rsid w:val="004D2141"/>
    <w:rPr>
      <w:rFonts w:cs="Times New Roman"/>
    </w:rPr>
  </w:style>
  <w:style w:type="paragraph" w:styleId="BalloonText">
    <w:name w:val="Balloon Text"/>
    <w:basedOn w:val="Normal"/>
    <w:link w:val="BalloonTextChar"/>
    <w:uiPriority w:val="99"/>
    <w:semiHidden/>
    <w:rsid w:val="0035006F"/>
    <w:rPr>
      <w:rFonts w:ascii="Tahoma" w:hAnsi="Tahoma" w:cs="Times New Roman"/>
      <w:sz w:val="16"/>
      <w:szCs w:val="16"/>
    </w:rPr>
  </w:style>
  <w:style w:type="character" w:customStyle="1" w:styleId="BalloonTextChar">
    <w:name w:val="Balloon Text Char"/>
    <w:basedOn w:val="DefaultParagraphFont"/>
    <w:link w:val="BalloonText"/>
    <w:uiPriority w:val="99"/>
    <w:semiHidden/>
    <w:locked/>
    <w:rsid w:val="0035006F"/>
    <w:rPr>
      <w:rFonts w:ascii="Tahoma" w:hAnsi="Tahoma" w:cs="Times New Roman"/>
      <w:sz w:val="16"/>
    </w:rPr>
  </w:style>
  <w:style w:type="character" w:styleId="CommentReference">
    <w:name w:val="annotation reference"/>
    <w:basedOn w:val="DefaultParagraphFont"/>
    <w:uiPriority w:val="99"/>
    <w:semiHidden/>
    <w:rsid w:val="006B7376"/>
    <w:rPr>
      <w:rFonts w:cs="Times New Roman"/>
      <w:sz w:val="16"/>
    </w:rPr>
  </w:style>
</w:styles>
</file>

<file path=word/webSettings.xml><?xml version="1.0" encoding="utf-8"?>
<w:webSettings xmlns:r="http://schemas.openxmlformats.org/officeDocument/2006/relationships" xmlns:w="http://schemas.openxmlformats.org/wordprocessingml/2006/main">
  <w:divs>
    <w:div w:id="16229564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zso.cz/csu/2013edicniplan.nsf/t/0E002419E3/$File/0001130101.x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13</Pages>
  <Words>3213</Words>
  <Characters>18957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VYPOŘÁDÁNÍ PŘIPOMÍNEK K MATERIÁLU S NÁZVEM:</dc:title>
  <dc:subject/>
  <dc:creator>roll</dc:creator>
  <cp:keywords/>
  <dc:description/>
  <cp:lastModifiedBy>bartova</cp:lastModifiedBy>
  <cp:revision>7</cp:revision>
  <cp:lastPrinted>2014-01-16T17:40:00Z</cp:lastPrinted>
  <dcterms:created xsi:type="dcterms:W3CDTF">2014-01-16T17:20:00Z</dcterms:created>
  <dcterms:modified xsi:type="dcterms:W3CDTF">2014-01-21T10:18:00Z</dcterms:modified>
</cp:coreProperties>
</file>