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1DF" w:rsidRDefault="00840D4B" w:rsidP="00FE372C">
      <w:pPr>
        <w:pStyle w:val="Nadpis1"/>
        <w:spacing w:before="120" w:after="240"/>
        <w:jc w:val="center"/>
      </w:pPr>
      <w:r>
        <w:rPr>
          <w:noProof/>
        </w:rPr>
        <mc:AlternateContent>
          <mc:Choice Requires="wps">
            <w:drawing>
              <wp:anchor distT="0" distB="0" distL="114300" distR="114300" simplePos="0" relativeHeight="251658240" behindDoc="0" locked="0" layoutInCell="1" allowOverlap="1">
                <wp:simplePos x="0" y="0"/>
                <wp:positionH relativeFrom="column">
                  <wp:posOffset>4898390</wp:posOffset>
                </wp:positionH>
                <wp:positionV relativeFrom="paragraph">
                  <wp:posOffset>-435610</wp:posOffset>
                </wp:positionV>
                <wp:extent cx="892175" cy="342900"/>
                <wp:effectExtent l="0" t="0" r="22225" b="1905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342900"/>
                        </a:xfrm>
                        <a:prstGeom prst="rect">
                          <a:avLst/>
                        </a:prstGeom>
                        <a:solidFill>
                          <a:srgbClr val="C0C0C0"/>
                        </a:solidFill>
                        <a:ln w="9525">
                          <a:solidFill>
                            <a:srgbClr val="000000"/>
                          </a:solidFill>
                          <a:miter lim="800000"/>
                          <a:headEnd/>
                          <a:tailEnd/>
                        </a:ln>
                      </wps:spPr>
                      <wps:txbx>
                        <w:txbxContent>
                          <w:p w:rsidR="00840D4B" w:rsidRPr="00840D4B" w:rsidRDefault="00840D4B" w:rsidP="00F261BD">
                            <w:pPr>
                              <w:tabs>
                                <w:tab w:val="left" w:pos="8789"/>
                              </w:tabs>
                              <w:ind w:left="-180" w:firstLine="180"/>
                              <w:jc w:val="center"/>
                              <w:rPr>
                                <w:rFonts w:ascii="Times New Roman" w:hAnsi="Times New Roman" w:cs="Times New Roman"/>
                                <w:b/>
                                <w:sz w:val="32"/>
                                <w:szCs w:val="32"/>
                              </w:rPr>
                            </w:pPr>
                            <w:r w:rsidRPr="00840D4B">
                              <w:rPr>
                                <w:rFonts w:ascii="Times New Roman" w:hAnsi="Times New Roman" w:cs="Times New Roman"/>
                                <w:b/>
                                <w:sz w:val="32"/>
                                <w:szCs w:val="32"/>
                              </w:rPr>
                              <w:t>295/A4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385.7pt;margin-top:-34.3pt;width:70.2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" fillcolor="silver">
                <v:textbox>
                  <w:txbxContent>
                    <w:p w:rsidR="00840D4B" w:rsidRPr="00840D4B" w:rsidRDefault="00840D4B" w:rsidP="00F261BD">
                      <w:pPr>
                        <w:tabs>
                          <w:tab w:val="left" w:pos="8789"/>
                        </w:tabs>
                        <w:ind w:left="-180" w:firstLine="180"/>
                        <w:jc w:val="center"/>
                        <w:rPr>
                          <w:rFonts w:ascii="Times New Roman" w:hAnsi="Times New Roman" w:cs="Times New Roman"/>
                          <w:b/>
                          <w:sz w:val="32"/>
                          <w:szCs w:val="32"/>
                        </w:rPr>
                      </w:pPr>
                      <w:r w:rsidRPr="00840D4B">
                        <w:rPr>
                          <w:rFonts w:ascii="Times New Roman" w:hAnsi="Times New Roman" w:cs="Times New Roman"/>
                          <w:b/>
                          <w:sz w:val="32"/>
                          <w:szCs w:val="32"/>
                        </w:rPr>
                        <w:t>295/A4</w:t>
                      </w:r>
                    </w:p>
                  </w:txbxContent>
                </v:textbox>
              </v:shape>
            </w:pict>
          </mc:Fallback>
        </mc:AlternateContent>
      </w:r>
      <w:r w:rsidR="00BE31DF">
        <w:t>O</w:t>
      </w:r>
      <w:r w:rsidR="00BE31DF" w:rsidRPr="00BE31DF">
        <w:t xml:space="preserve">patření č. 21 </w:t>
      </w:r>
    </w:p>
    <w:p w:rsidR="00BE31DF" w:rsidRPr="00BE31DF" w:rsidRDefault="00BE31DF" w:rsidP="00BE31DF">
      <w:pPr>
        <w:spacing w:after="120"/>
        <w:jc w:val="cente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t>P</w:t>
      </w:r>
      <w:r w:rsidRPr="00BE31DF">
        <w:rPr>
          <w:rFonts w:asciiTheme="majorHAnsi" w:eastAsiaTheme="majorEastAsia" w:hAnsiTheme="majorHAnsi" w:cstheme="majorBidi"/>
          <w:b/>
          <w:bCs/>
          <w:color w:val="365F91" w:themeColor="accent1" w:themeShade="BF"/>
          <w:sz w:val="28"/>
          <w:szCs w:val="28"/>
        </w:rPr>
        <w:t xml:space="preserve">ostup pro hodnocení realizace NP </w:t>
      </w:r>
      <w:proofErr w:type="spellStart"/>
      <w:r w:rsidRPr="00BE31DF">
        <w:rPr>
          <w:rFonts w:asciiTheme="majorHAnsi" w:eastAsiaTheme="majorEastAsia" w:hAnsiTheme="majorHAnsi" w:cstheme="majorBidi"/>
          <w:b/>
          <w:bCs/>
          <w:color w:val="365F91" w:themeColor="accent1" w:themeShade="BF"/>
          <w:sz w:val="28"/>
          <w:szCs w:val="28"/>
        </w:rPr>
        <w:t>VaVaI</w:t>
      </w:r>
      <w:proofErr w:type="spellEnd"/>
      <w:r w:rsidRPr="00BE31DF">
        <w:rPr>
          <w:rFonts w:asciiTheme="majorHAnsi" w:eastAsiaTheme="majorEastAsia" w:hAnsiTheme="majorHAnsi" w:cstheme="majorBidi"/>
          <w:b/>
          <w:bCs/>
          <w:color w:val="365F91" w:themeColor="accent1" w:themeShade="BF"/>
          <w:sz w:val="28"/>
          <w:szCs w:val="28"/>
        </w:rPr>
        <w:t xml:space="preserve"> a  cílové hodnoty sledovaných indikátorů ve vazbě na hodnoty těchto indikáto</w:t>
      </w:r>
      <w:r>
        <w:rPr>
          <w:rFonts w:asciiTheme="majorHAnsi" w:eastAsiaTheme="majorEastAsia" w:hAnsiTheme="majorHAnsi" w:cstheme="majorBidi"/>
          <w:b/>
          <w:bCs/>
          <w:color w:val="365F91" w:themeColor="accent1" w:themeShade="BF"/>
          <w:sz w:val="28"/>
          <w:szCs w:val="28"/>
        </w:rPr>
        <w:t xml:space="preserve">rů ve </w:t>
      </w:r>
      <w:bookmarkStart w:id="0" w:name="_GoBack"/>
      <w:bookmarkEnd w:id="0"/>
      <w:r>
        <w:rPr>
          <w:rFonts w:asciiTheme="majorHAnsi" w:eastAsiaTheme="majorEastAsia" w:hAnsiTheme="majorHAnsi" w:cstheme="majorBidi"/>
          <w:b/>
          <w:bCs/>
          <w:color w:val="365F91" w:themeColor="accent1" w:themeShade="BF"/>
          <w:sz w:val="28"/>
          <w:szCs w:val="28"/>
        </w:rPr>
        <w:t>vzorku srovnatelných zemí</w:t>
      </w:r>
    </w:p>
    <w:p w:rsidR="005508BC" w:rsidRDefault="005508BC" w:rsidP="00F372A6">
      <w:pPr>
        <w:spacing w:after="120"/>
        <w:jc w:val="both"/>
        <w:rPr>
          <w:rFonts w:ascii="Times New Roman" w:hAnsi="Times New Roman" w:cs="Times New Roman"/>
          <w:i/>
          <w:sz w:val="24"/>
          <w:szCs w:val="24"/>
        </w:rPr>
      </w:pPr>
      <w:r>
        <w:rPr>
          <w:rFonts w:ascii="Times New Roman" w:hAnsi="Times New Roman" w:cs="Times New Roman"/>
          <w:i/>
          <w:sz w:val="24"/>
          <w:szCs w:val="24"/>
        </w:rPr>
        <w:t>Materiál pro diskusi na</w:t>
      </w:r>
      <w:r w:rsidR="00BE31DF">
        <w:rPr>
          <w:rFonts w:ascii="Times New Roman" w:hAnsi="Times New Roman" w:cs="Times New Roman"/>
          <w:i/>
          <w:sz w:val="24"/>
          <w:szCs w:val="24"/>
        </w:rPr>
        <w:t xml:space="preserve"> 295.</w:t>
      </w:r>
      <w:r>
        <w:rPr>
          <w:rFonts w:ascii="Times New Roman" w:hAnsi="Times New Roman" w:cs="Times New Roman"/>
          <w:i/>
          <w:sz w:val="24"/>
          <w:szCs w:val="24"/>
        </w:rPr>
        <w:t xml:space="preserve"> </w:t>
      </w:r>
      <w:r w:rsidR="00BE31DF">
        <w:rPr>
          <w:rFonts w:ascii="Times New Roman" w:hAnsi="Times New Roman" w:cs="Times New Roman"/>
          <w:i/>
          <w:sz w:val="24"/>
          <w:szCs w:val="24"/>
        </w:rPr>
        <w:t>zasedání</w:t>
      </w:r>
      <w:r>
        <w:rPr>
          <w:rFonts w:ascii="Times New Roman" w:hAnsi="Times New Roman" w:cs="Times New Roman"/>
          <w:i/>
          <w:sz w:val="24"/>
          <w:szCs w:val="24"/>
        </w:rPr>
        <w:t xml:space="preserve"> Rady</w:t>
      </w:r>
      <w:r w:rsidR="00BE31DF">
        <w:rPr>
          <w:rFonts w:ascii="Times New Roman" w:hAnsi="Times New Roman" w:cs="Times New Roman"/>
          <w:i/>
          <w:sz w:val="24"/>
          <w:szCs w:val="24"/>
        </w:rPr>
        <w:t xml:space="preserve"> pro výzkum, vývoj a inovace.</w:t>
      </w:r>
    </w:p>
    <w:p w:rsidR="005508BC" w:rsidRPr="005508BC" w:rsidRDefault="005508BC" w:rsidP="00F372A6">
      <w:pPr>
        <w:spacing w:after="120"/>
        <w:jc w:val="both"/>
        <w:rPr>
          <w:rFonts w:ascii="Times New Roman" w:hAnsi="Times New Roman" w:cs="Times New Roman"/>
          <w:i/>
          <w:sz w:val="24"/>
          <w:szCs w:val="24"/>
        </w:rPr>
      </w:pPr>
    </w:p>
    <w:p w:rsidR="00233F01" w:rsidRPr="00C114B0" w:rsidRDefault="00233F01" w:rsidP="00F372A6">
      <w:pPr>
        <w:spacing w:after="120"/>
        <w:jc w:val="both"/>
        <w:rPr>
          <w:rFonts w:ascii="Times New Roman" w:hAnsi="Times New Roman" w:cs="Times New Roman"/>
          <w:sz w:val="24"/>
          <w:szCs w:val="24"/>
        </w:rPr>
      </w:pPr>
      <w:r w:rsidRPr="00C114B0">
        <w:rPr>
          <w:rFonts w:ascii="Times New Roman" w:hAnsi="Times New Roman" w:cs="Times New Roman"/>
          <w:sz w:val="24"/>
          <w:szCs w:val="24"/>
        </w:rPr>
        <w:t>Usnesením vlády ze dne 24. dubna 2013 č. 294 byla schválena Aktualizace Národní politiky výzkumu, vývoje a inovací České republiky na léta 2009 až 2015 s</w:t>
      </w:r>
      <w:r w:rsidR="00C114B0">
        <w:rPr>
          <w:rFonts w:ascii="Times New Roman" w:hAnsi="Times New Roman" w:cs="Times New Roman"/>
          <w:sz w:val="24"/>
          <w:szCs w:val="24"/>
        </w:rPr>
        <w:t> </w:t>
      </w:r>
      <w:r w:rsidRPr="00C114B0">
        <w:rPr>
          <w:rFonts w:ascii="Times New Roman" w:hAnsi="Times New Roman" w:cs="Times New Roman"/>
          <w:sz w:val="24"/>
          <w:szCs w:val="24"/>
        </w:rPr>
        <w:t xml:space="preserve">výhledem do roku 2020 (dále jen „Aktualizace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která nahradila Národní politiku výzkumu, vývoje a inovací ČR na léta 2009 až 2015.</w:t>
      </w:r>
      <w:r w:rsidR="002A52CE">
        <w:rPr>
          <w:rFonts w:ascii="Times New Roman" w:hAnsi="Times New Roman" w:cs="Times New Roman"/>
          <w:sz w:val="24"/>
          <w:szCs w:val="24"/>
        </w:rPr>
        <w:t xml:space="preserve"> </w:t>
      </w:r>
      <w:r w:rsidRPr="00C114B0">
        <w:rPr>
          <w:rFonts w:ascii="Times New Roman" w:hAnsi="Times New Roman" w:cs="Times New Roman"/>
          <w:sz w:val="24"/>
          <w:szCs w:val="24"/>
        </w:rPr>
        <w:t>V </w:t>
      </w:r>
      <w:r w:rsidR="00A66BCA" w:rsidRPr="00C114B0">
        <w:rPr>
          <w:rFonts w:ascii="Times New Roman" w:hAnsi="Times New Roman" w:cs="Times New Roman"/>
          <w:sz w:val="24"/>
          <w:szCs w:val="24"/>
        </w:rPr>
        <w:t>Aktualizaci</w:t>
      </w:r>
      <w:r w:rsidRPr="00C114B0">
        <w:rPr>
          <w:rFonts w:ascii="Times New Roman" w:hAnsi="Times New Roman" w:cs="Times New Roman"/>
          <w:sz w:val="24"/>
          <w:szCs w:val="24"/>
        </w:rPr>
        <w:t xml:space="preserv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je navrženo 21</w:t>
      </w:r>
      <w:r w:rsidR="00262B2F" w:rsidRPr="00262B2F">
        <w:rPr>
          <w:rFonts w:ascii="Times New Roman" w:hAnsi="Times New Roman" w:cs="Times New Roman"/>
          <w:sz w:val="24"/>
          <w:szCs w:val="24"/>
        </w:rPr>
        <w:t xml:space="preserve"> </w:t>
      </w:r>
      <w:r w:rsidR="00262B2F">
        <w:rPr>
          <w:rFonts w:ascii="Times New Roman" w:hAnsi="Times New Roman" w:cs="Times New Roman"/>
          <w:sz w:val="24"/>
          <w:szCs w:val="24"/>
        </w:rPr>
        <w:t>o</w:t>
      </w:r>
      <w:r w:rsidR="00262B2F" w:rsidRPr="00C114B0">
        <w:rPr>
          <w:rFonts w:ascii="Times New Roman" w:hAnsi="Times New Roman" w:cs="Times New Roman"/>
          <w:sz w:val="24"/>
          <w:szCs w:val="24"/>
        </w:rPr>
        <w:t>patření</w:t>
      </w:r>
      <w:r w:rsidRPr="00C114B0">
        <w:rPr>
          <w:rFonts w:ascii="Times New Roman" w:hAnsi="Times New Roman" w:cs="Times New Roman"/>
          <w:sz w:val="24"/>
          <w:szCs w:val="24"/>
        </w:rPr>
        <w:t>, která by měl</w:t>
      </w:r>
      <w:r w:rsidR="00262B2F">
        <w:rPr>
          <w:rFonts w:ascii="Times New Roman" w:hAnsi="Times New Roman" w:cs="Times New Roman"/>
          <w:sz w:val="24"/>
          <w:szCs w:val="24"/>
        </w:rPr>
        <w:t>a</w:t>
      </w:r>
      <w:r w:rsidRPr="00C114B0">
        <w:rPr>
          <w:rFonts w:ascii="Times New Roman" w:hAnsi="Times New Roman" w:cs="Times New Roman"/>
          <w:sz w:val="24"/>
          <w:szCs w:val="24"/>
        </w:rPr>
        <w:t xml:space="preserve"> přispět ke splnění stanovených cílů, a</w:t>
      </w:r>
      <w:r w:rsidR="00262B2F">
        <w:rPr>
          <w:rFonts w:ascii="Times New Roman" w:hAnsi="Times New Roman" w:cs="Times New Roman"/>
          <w:sz w:val="24"/>
          <w:szCs w:val="24"/>
        </w:rPr>
        <w:t xml:space="preserve"> </w:t>
      </w:r>
      <w:r w:rsidRPr="00C114B0">
        <w:rPr>
          <w:rFonts w:ascii="Times New Roman" w:hAnsi="Times New Roman" w:cs="Times New Roman"/>
          <w:sz w:val="24"/>
          <w:szCs w:val="24"/>
        </w:rPr>
        <w:t>25 kontextových indikátorů, kterými bude vyhodnocován pokrok v</w:t>
      </w:r>
      <w:r w:rsidR="00C114B0">
        <w:rPr>
          <w:rFonts w:ascii="Times New Roman" w:hAnsi="Times New Roman" w:cs="Times New Roman"/>
          <w:sz w:val="24"/>
          <w:szCs w:val="24"/>
        </w:rPr>
        <w:t> </w:t>
      </w:r>
      <w:r w:rsidRPr="00C114B0">
        <w:rPr>
          <w:rFonts w:ascii="Times New Roman" w:hAnsi="Times New Roman" w:cs="Times New Roman"/>
          <w:sz w:val="24"/>
          <w:szCs w:val="24"/>
        </w:rPr>
        <w:t xml:space="preserve">naplňování cílů </w:t>
      </w:r>
      <w:r w:rsidR="00A66BCA" w:rsidRPr="00C114B0">
        <w:rPr>
          <w:rFonts w:ascii="Times New Roman" w:hAnsi="Times New Roman" w:cs="Times New Roman"/>
          <w:sz w:val="24"/>
          <w:szCs w:val="24"/>
        </w:rPr>
        <w:t>Aktualizace</w:t>
      </w:r>
      <w:r w:rsidRPr="00C114B0">
        <w:rPr>
          <w:rFonts w:ascii="Times New Roman" w:hAnsi="Times New Roman" w:cs="Times New Roman"/>
          <w:sz w:val="24"/>
          <w:szCs w:val="24"/>
        </w:rPr>
        <w:t xml:space="preserv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w:t>
      </w:r>
    </w:p>
    <w:p w:rsidR="002C74DB" w:rsidRPr="00C114B0" w:rsidRDefault="002C74DB" w:rsidP="00F372A6">
      <w:pPr>
        <w:spacing w:after="120"/>
        <w:jc w:val="both"/>
        <w:rPr>
          <w:rFonts w:ascii="Times New Roman" w:hAnsi="Times New Roman" w:cs="Times New Roman"/>
          <w:sz w:val="24"/>
          <w:szCs w:val="24"/>
        </w:rPr>
      </w:pPr>
      <w:r w:rsidRPr="00C114B0">
        <w:rPr>
          <w:rFonts w:ascii="Times New Roman" w:hAnsi="Times New Roman" w:cs="Times New Roman"/>
          <w:sz w:val="24"/>
          <w:szCs w:val="24"/>
        </w:rPr>
        <w:t xml:space="preserve">Jedním z navržených opatření </w:t>
      </w:r>
      <w:r w:rsidR="00A66BCA" w:rsidRPr="00C114B0">
        <w:rPr>
          <w:rFonts w:ascii="Times New Roman" w:hAnsi="Times New Roman" w:cs="Times New Roman"/>
          <w:sz w:val="24"/>
          <w:szCs w:val="24"/>
        </w:rPr>
        <w:t xml:space="preserve">v Aktualizaci NP </w:t>
      </w:r>
      <w:proofErr w:type="spellStart"/>
      <w:r w:rsidR="00A66BCA" w:rsidRPr="00C114B0">
        <w:rPr>
          <w:rFonts w:ascii="Times New Roman" w:hAnsi="Times New Roman" w:cs="Times New Roman"/>
          <w:sz w:val="24"/>
          <w:szCs w:val="24"/>
        </w:rPr>
        <w:t>VaVaI</w:t>
      </w:r>
      <w:proofErr w:type="spellEnd"/>
      <w:r w:rsidR="00A66BCA" w:rsidRPr="00C114B0">
        <w:rPr>
          <w:rFonts w:ascii="Times New Roman" w:hAnsi="Times New Roman" w:cs="Times New Roman"/>
          <w:sz w:val="24"/>
          <w:szCs w:val="24"/>
        </w:rPr>
        <w:t xml:space="preserve"> </w:t>
      </w:r>
      <w:r w:rsidRPr="00C114B0">
        <w:rPr>
          <w:rFonts w:ascii="Times New Roman" w:hAnsi="Times New Roman" w:cs="Times New Roman"/>
          <w:sz w:val="24"/>
          <w:szCs w:val="24"/>
        </w:rPr>
        <w:t>je opatření č. 21 - Vytvořit postup pro</w:t>
      </w:r>
      <w:r w:rsidR="00C114B0" w:rsidRPr="00C114B0">
        <w:rPr>
          <w:rFonts w:ascii="Times New Roman" w:hAnsi="Times New Roman" w:cs="Times New Roman"/>
          <w:sz w:val="24"/>
          <w:szCs w:val="24"/>
        </w:rPr>
        <w:t> </w:t>
      </w:r>
      <w:r w:rsidRPr="00C114B0">
        <w:rPr>
          <w:rFonts w:ascii="Times New Roman" w:hAnsi="Times New Roman" w:cs="Times New Roman"/>
          <w:sz w:val="24"/>
          <w:szCs w:val="24"/>
        </w:rPr>
        <w:t xml:space="preserve">hodnocení realizace NP </w:t>
      </w:r>
      <w:proofErr w:type="spellStart"/>
      <w:r w:rsidRPr="00C114B0">
        <w:rPr>
          <w:rFonts w:ascii="Times New Roman" w:hAnsi="Times New Roman" w:cs="Times New Roman"/>
          <w:sz w:val="24"/>
          <w:szCs w:val="24"/>
        </w:rPr>
        <w:t>VaVaI</w:t>
      </w:r>
      <w:proofErr w:type="spellEnd"/>
      <w:r w:rsidRPr="00C114B0">
        <w:rPr>
          <w:rFonts w:ascii="Times New Roman" w:hAnsi="Times New Roman" w:cs="Times New Roman"/>
          <w:sz w:val="24"/>
          <w:szCs w:val="24"/>
        </w:rPr>
        <w:t xml:space="preserve"> a</w:t>
      </w:r>
      <w:r w:rsidR="00A66BCA" w:rsidRPr="00C114B0">
        <w:rPr>
          <w:rFonts w:ascii="Times New Roman" w:hAnsi="Times New Roman" w:cs="Times New Roman"/>
          <w:sz w:val="24"/>
          <w:szCs w:val="24"/>
        </w:rPr>
        <w:t> </w:t>
      </w:r>
      <w:r w:rsidRPr="00C114B0">
        <w:rPr>
          <w:rFonts w:ascii="Times New Roman" w:hAnsi="Times New Roman" w:cs="Times New Roman"/>
          <w:sz w:val="24"/>
          <w:szCs w:val="24"/>
        </w:rPr>
        <w:t xml:space="preserve">stanovit cílové hodnoty sledovaných indikátorů ve vazbě na hodnoty těchto indikátorů ve vzorku srovnatelných zemí. </w:t>
      </w:r>
    </w:p>
    <w:p w:rsidR="002C74DB" w:rsidRDefault="00C114B0" w:rsidP="00F372A6">
      <w:pPr>
        <w:spacing w:after="120"/>
        <w:jc w:val="both"/>
        <w:rPr>
          <w:rFonts w:ascii="Times New Roman" w:hAnsi="Times New Roman" w:cs="Times New Roman"/>
          <w:sz w:val="24"/>
          <w:szCs w:val="24"/>
        </w:rPr>
      </w:pPr>
      <w:r w:rsidRPr="00C114B0">
        <w:rPr>
          <w:rFonts w:ascii="Times New Roman" w:hAnsi="Times New Roman" w:cs="Times New Roman"/>
          <w:sz w:val="24"/>
          <w:szCs w:val="24"/>
        </w:rPr>
        <w:t>V souvislosti s uvedeným opatřením byla v roce 2013 Technologickým centrem AV ČR</w:t>
      </w:r>
      <w:r w:rsidR="002A7774">
        <w:rPr>
          <w:rFonts w:ascii="Times New Roman" w:hAnsi="Times New Roman" w:cs="Times New Roman"/>
          <w:sz w:val="24"/>
          <w:szCs w:val="24"/>
        </w:rPr>
        <w:t xml:space="preserve"> (dále jen „TC AV ČR“)</w:t>
      </w:r>
      <w:r w:rsidRPr="00C114B0">
        <w:rPr>
          <w:rFonts w:ascii="Times New Roman" w:hAnsi="Times New Roman" w:cs="Times New Roman"/>
          <w:sz w:val="24"/>
          <w:szCs w:val="24"/>
        </w:rPr>
        <w:t xml:space="preserve"> </w:t>
      </w:r>
      <w:r w:rsidR="002C74DB" w:rsidRPr="00C114B0">
        <w:rPr>
          <w:rFonts w:ascii="Times New Roman" w:hAnsi="Times New Roman" w:cs="Times New Roman"/>
          <w:sz w:val="24"/>
          <w:szCs w:val="24"/>
        </w:rPr>
        <w:t xml:space="preserve">zpracována studie nazvaná „Postup pro hodnocení realizace NP </w:t>
      </w:r>
      <w:proofErr w:type="spellStart"/>
      <w:r w:rsidR="002C74DB" w:rsidRPr="00C114B0">
        <w:rPr>
          <w:rFonts w:ascii="Times New Roman" w:hAnsi="Times New Roman" w:cs="Times New Roman"/>
          <w:sz w:val="24"/>
          <w:szCs w:val="24"/>
        </w:rPr>
        <w:t>VaVaI</w:t>
      </w:r>
      <w:proofErr w:type="spellEnd"/>
      <w:r w:rsidR="002C74DB" w:rsidRPr="00C114B0">
        <w:rPr>
          <w:rFonts w:ascii="Times New Roman" w:hAnsi="Times New Roman" w:cs="Times New Roman"/>
          <w:sz w:val="24"/>
          <w:szCs w:val="24"/>
        </w:rPr>
        <w:t xml:space="preserve"> a</w:t>
      </w:r>
      <w:r w:rsidR="00262F7C">
        <w:rPr>
          <w:rFonts w:ascii="Times New Roman" w:hAnsi="Times New Roman" w:cs="Times New Roman"/>
          <w:sz w:val="24"/>
          <w:szCs w:val="24"/>
        </w:rPr>
        <w:t> </w:t>
      </w:r>
      <w:r w:rsidR="002C74DB" w:rsidRPr="00C114B0">
        <w:rPr>
          <w:rFonts w:ascii="Times New Roman" w:hAnsi="Times New Roman" w:cs="Times New Roman"/>
          <w:sz w:val="24"/>
          <w:szCs w:val="24"/>
        </w:rPr>
        <w:t xml:space="preserve">stanovení cílových hodnot sledovaných indikátorů - popis indikátorů“, ve které jsou blíže charakterizovány všechny indikátory navržené v aktualizované NP </w:t>
      </w:r>
      <w:proofErr w:type="spellStart"/>
      <w:r w:rsidR="002C74DB" w:rsidRPr="00C114B0">
        <w:rPr>
          <w:rFonts w:ascii="Times New Roman" w:hAnsi="Times New Roman" w:cs="Times New Roman"/>
          <w:sz w:val="24"/>
          <w:szCs w:val="24"/>
        </w:rPr>
        <w:t>VaVaI</w:t>
      </w:r>
      <w:proofErr w:type="spellEnd"/>
      <w:r w:rsidR="002C74DB" w:rsidRPr="00C114B0">
        <w:rPr>
          <w:rFonts w:ascii="Times New Roman" w:hAnsi="Times New Roman" w:cs="Times New Roman"/>
          <w:sz w:val="24"/>
          <w:szCs w:val="24"/>
        </w:rPr>
        <w:t>.</w:t>
      </w:r>
    </w:p>
    <w:p w:rsidR="00AA5BB8" w:rsidRDefault="00E0599A" w:rsidP="00F372A6">
      <w:pPr>
        <w:spacing w:after="120"/>
        <w:jc w:val="both"/>
        <w:rPr>
          <w:rFonts w:ascii="Times New Roman" w:hAnsi="Times New Roman" w:cs="Times New Roman"/>
          <w:sz w:val="24"/>
          <w:szCs w:val="24"/>
        </w:rPr>
      </w:pPr>
      <w:r>
        <w:rPr>
          <w:rFonts w:ascii="Times New Roman" w:hAnsi="Times New Roman" w:cs="Times New Roman"/>
          <w:sz w:val="24"/>
          <w:szCs w:val="24"/>
        </w:rPr>
        <w:t xml:space="preserve">Při </w:t>
      </w:r>
      <w:r w:rsidR="002A52CE">
        <w:rPr>
          <w:rFonts w:ascii="Times New Roman" w:hAnsi="Times New Roman" w:cs="Times New Roman"/>
          <w:sz w:val="24"/>
          <w:szCs w:val="24"/>
        </w:rPr>
        <w:t xml:space="preserve">hodnocení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na úrovni národní politiky je v souladu se zkušenostmi ze zahraničí vhodné využívat více nezávislých metod. Jednou z metod je sledování kvantitativních ukazatelů – indikátorů,</w:t>
      </w:r>
      <w:r w:rsidR="006E0BB7">
        <w:rPr>
          <w:rFonts w:ascii="Times New Roman" w:hAnsi="Times New Roman" w:cs="Times New Roman"/>
          <w:sz w:val="24"/>
          <w:szCs w:val="24"/>
        </w:rPr>
        <w:t xml:space="preserve"> majících </w:t>
      </w:r>
      <w:r>
        <w:rPr>
          <w:rFonts w:ascii="Times New Roman" w:hAnsi="Times New Roman" w:cs="Times New Roman"/>
          <w:sz w:val="24"/>
          <w:szCs w:val="24"/>
        </w:rPr>
        <w:t xml:space="preserve">souvislost s cíli národní politiky. Základem této analýzy založené na kvantitativních indikátorech je správná volba těchto indikátorů. Indikátory mají být navrženy tak, aby co možná nejvíce </w:t>
      </w:r>
      <w:r w:rsidR="006E0BB7">
        <w:rPr>
          <w:rFonts w:ascii="Times New Roman" w:hAnsi="Times New Roman" w:cs="Times New Roman"/>
          <w:sz w:val="24"/>
          <w:szCs w:val="24"/>
        </w:rPr>
        <w:t xml:space="preserve">popsaly sledovaný pokrok při plnění národní politiky. </w:t>
      </w:r>
      <w:r w:rsidR="00AA5BB8">
        <w:rPr>
          <w:rFonts w:ascii="Times New Roman" w:hAnsi="Times New Roman" w:cs="Times New Roman"/>
          <w:sz w:val="24"/>
          <w:szCs w:val="24"/>
        </w:rPr>
        <w:t>Základními vlastnostmi vhodně zvolených indikátorů mají být SMART</w:t>
      </w:r>
      <w:r w:rsidR="00E1366D">
        <w:rPr>
          <w:rFonts w:ascii="Times New Roman" w:hAnsi="Times New Roman" w:cs="Times New Roman"/>
          <w:sz w:val="24"/>
          <w:szCs w:val="24"/>
        </w:rPr>
        <w:t xml:space="preserve">: </w:t>
      </w:r>
      <w:proofErr w:type="spellStart"/>
      <w:r w:rsidR="00E1366D">
        <w:rPr>
          <w:rFonts w:ascii="Times New Roman" w:hAnsi="Times New Roman" w:cs="Times New Roman"/>
          <w:sz w:val="24"/>
          <w:szCs w:val="24"/>
        </w:rPr>
        <w:t>Specific</w:t>
      </w:r>
      <w:proofErr w:type="spellEnd"/>
      <w:r w:rsidR="00E1366D">
        <w:rPr>
          <w:rFonts w:ascii="Times New Roman" w:hAnsi="Times New Roman" w:cs="Times New Roman"/>
          <w:sz w:val="24"/>
          <w:szCs w:val="24"/>
        </w:rPr>
        <w:t xml:space="preserve"> = </w:t>
      </w:r>
      <w:r w:rsidR="00E1366D" w:rsidRPr="00E1366D">
        <w:rPr>
          <w:rFonts w:ascii="Times New Roman" w:hAnsi="Times New Roman" w:cs="Times New Roman"/>
          <w:sz w:val="24"/>
          <w:szCs w:val="24"/>
        </w:rPr>
        <w:t xml:space="preserve">specifické, </w:t>
      </w:r>
      <w:proofErr w:type="spellStart"/>
      <w:r w:rsidR="00E1366D">
        <w:rPr>
          <w:rFonts w:ascii="Times New Roman" w:hAnsi="Times New Roman" w:cs="Times New Roman"/>
          <w:sz w:val="24"/>
          <w:szCs w:val="24"/>
        </w:rPr>
        <w:t>Measurable</w:t>
      </w:r>
      <w:proofErr w:type="spellEnd"/>
      <w:r w:rsidR="00E1366D">
        <w:rPr>
          <w:rFonts w:ascii="Times New Roman" w:hAnsi="Times New Roman" w:cs="Times New Roman"/>
          <w:sz w:val="24"/>
          <w:szCs w:val="24"/>
        </w:rPr>
        <w:t xml:space="preserve"> = </w:t>
      </w:r>
      <w:r w:rsidR="00E1366D" w:rsidRPr="00E1366D">
        <w:rPr>
          <w:rFonts w:ascii="Times New Roman" w:hAnsi="Times New Roman" w:cs="Times New Roman"/>
          <w:sz w:val="24"/>
          <w:szCs w:val="24"/>
        </w:rPr>
        <w:t xml:space="preserve">měřitelné, </w:t>
      </w:r>
      <w:proofErr w:type="spellStart"/>
      <w:r w:rsidR="00E1366D">
        <w:rPr>
          <w:rFonts w:ascii="Times New Roman" w:hAnsi="Times New Roman" w:cs="Times New Roman"/>
          <w:sz w:val="24"/>
          <w:szCs w:val="24"/>
        </w:rPr>
        <w:t>Acceptable</w:t>
      </w:r>
      <w:proofErr w:type="spellEnd"/>
      <w:r w:rsidR="00E1366D">
        <w:rPr>
          <w:rFonts w:ascii="Times New Roman" w:hAnsi="Times New Roman" w:cs="Times New Roman"/>
          <w:sz w:val="24"/>
          <w:szCs w:val="24"/>
        </w:rPr>
        <w:t>/</w:t>
      </w:r>
      <w:proofErr w:type="spellStart"/>
      <w:r w:rsidR="00E1366D">
        <w:rPr>
          <w:rFonts w:ascii="Times New Roman" w:hAnsi="Times New Roman" w:cs="Times New Roman"/>
          <w:sz w:val="24"/>
          <w:szCs w:val="24"/>
        </w:rPr>
        <w:t>Attainable</w:t>
      </w:r>
      <w:proofErr w:type="spellEnd"/>
      <w:r w:rsidR="00E1366D">
        <w:rPr>
          <w:rFonts w:ascii="Times New Roman" w:hAnsi="Times New Roman" w:cs="Times New Roman"/>
          <w:sz w:val="24"/>
          <w:szCs w:val="24"/>
        </w:rPr>
        <w:t xml:space="preserve"> = </w:t>
      </w:r>
      <w:r w:rsidR="00E1366D" w:rsidRPr="00E1366D">
        <w:rPr>
          <w:rFonts w:ascii="Times New Roman" w:hAnsi="Times New Roman" w:cs="Times New Roman"/>
          <w:sz w:val="24"/>
          <w:szCs w:val="24"/>
        </w:rPr>
        <w:t xml:space="preserve">přijímané, </w:t>
      </w:r>
      <w:proofErr w:type="spellStart"/>
      <w:r w:rsidR="00E1366D">
        <w:rPr>
          <w:rFonts w:ascii="Times New Roman" w:hAnsi="Times New Roman" w:cs="Times New Roman"/>
          <w:sz w:val="24"/>
          <w:szCs w:val="24"/>
        </w:rPr>
        <w:t>Relevant</w:t>
      </w:r>
      <w:proofErr w:type="spellEnd"/>
      <w:r w:rsidR="00E1366D">
        <w:rPr>
          <w:rFonts w:ascii="Times New Roman" w:hAnsi="Times New Roman" w:cs="Times New Roman"/>
          <w:sz w:val="24"/>
          <w:szCs w:val="24"/>
        </w:rPr>
        <w:t>/</w:t>
      </w:r>
      <w:proofErr w:type="spellStart"/>
      <w:r w:rsidR="00E1366D">
        <w:rPr>
          <w:rFonts w:ascii="Times New Roman" w:hAnsi="Times New Roman" w:cs="Times New Roman"/>
          <w:sz w:val="24"/>
          <w:szCs w:val="24"/>
        </w:rPr>
        <w:t>Realistic</w:t>
      </w:r>
      <w:proofErr w:type="spellEnd"/>
      <w:r w:rsidR="00E1366D">
        <w:rPr>
          <w:rFonts w:ascii="Times New Roman" w:hAnsi="Times New Roman" w:cs="Times New Roman"/>
          <w:sz w:val="24"/>
          <w:szCs w:val="24"/>
        </w:rPr>
        <w:t xml:space="preserve"> = </w:t>
      </w:r>
      <w:r w:rsidR="00E1366D" w:rsidRPr="00E1366D">
        <w:rPr>
          <w:rFonts w:ascii="Times New Roman" w:hAnsi="Times New Roman" w:cs="Times New Roman"/>
          <w:sz w:val="24"/>
          <w:szCs w:val="24"/>
        </w:rPr>
        <w:t xml:space="preserve">realistické a </w:t>
      </w:r>
      <w:proofErr w:type="spellStart"/>
      <w:r w:rsidR="00E1366D">
        <w:rPr>
          <w:rFonts w:ascii="Times New Roman" w:hAnsi="Times New Roman" w:cs="Times New Roman"/>
          <w:sz w:val="24"/>
          <w:szCs w:val="24"/>
        </w:rPr>
        <w:t>Timely</w:t>
      </w:r>
      <w:proofErr w:type="spellEnd"/>
      <w:r w:rsidR="00E1366D">
        <w:rPr>
          <w:rFonts w:ascii="Times New Roman" w:hAnsi="Times New Roman" w:cs="Times New Roman"/>
          <w:sz w:val="24"/>
          <w:szCs w:val="24"/>
        </w:rPr>
        <w:t xml:space="preserve"> - časově vhodné.</w:t>
      </w:r>
      <w:r w:rsidR="00AA5BB8">
        <w:rPr>
          <w:rFonts w:ascii="Times New Roman" w:hAnsi="Times New Roman" w:cs="Times New Roman"/>
          <w:sz w:val="24"/>
          <w:szCs w:val="24"/>
        </w:rPr>
        <w:t xml:space="preserve"> </w:t>
      </w:r>
      <w:r w:rsidR="006E0BB7">
        <w:rPr>
          <w:rFonts w:ascii="Times New Roman" w:hAnsi="Times New Roman" w:cs="Times New Roman"/>
          <w:sz w:val="24"/>
          <w:szCs w:val="24"/>
        </w:rPr>
        <w:t xml:space="preserve">Ze statistického pohledu </w:t>
      </w:r>
      <w:r w:rsidR="00D1618F">
        <w:rPr>
          <w:rFonts w:ascii="Times New Roman" w:hAnsi="Times New Roman" w:cs="Times New Roman"/>
          <w:sz w:val="24"/>
          <w:szCs w:val="24"/>
        </w:rPr>
        <w:t>by měly</w:t>
      </w:r>
      <w:r w:rsidR="006E0BB7">
        <w:rPr>
          <w:rFonts w:ascii="Times New Roman" w:hAnsi="Times New Roman" w:cs="Times New Roman"/>
          <w:sz w:val="24"/>
          <w:szCs w:val="24"/>
        </w:rPr>
        <w:t xml:space="preserve"> být indikátory vzájemně co nejméně závislé, aby se předešlo nežádoucím kumulativním a</w:t>
      </w:r>
      <w:r w:rsidR="00262F7C">
        <w:rPr>
          <w:rFonts w:ascii="Times New Roman" w:hAnsi="Times New Roman" w:cs="Times New Roman"/>
          <w:sz w:val="24"/>
          <w:szCs w:val="24"/>
        </w:rPr>
        <w:t> </w:t>
      </w:r>
      <w:r w:rsidR="006E0BB7">
        <w:rPr>
          <w:rFonts w:ascii="Times New Roman" w:hAnsi="Times New Roman" w:cs="Times New Roman"/>
          <w:sz w:val="24"/>
          <w:szCs w:val="24"/>
        </w:rPr>
        <w:t xml:space="preserve">multiplikativním jevům, které mohou zkreslovat výslednou analýzu. Z pohledu srovnání </w:t>
      </w:r>
      <w:r w:rsidR="00E1366D">
        <w:rPr>
          <w:rFonts w:ascii="Times New Roman" w:hAnsi="Times New Roman" w:cs="Times New Roman"/>
          <w:sz w:val="24"/>
          <w:szCs w:val="24"/>
        </w:rPr>
        <w:t xml:space="preserve">úrovně </w:t>
      </w:r>
      <w:proofErr w:type="spellStart"/>
      <w:r w:rsidR="00E1366D">
        <w:rPr>
          <w:rFonts w:ascii="Times New Roman" w:hAnsi="Times New Roman" w:cs="Times New Roman"/>
          <w:sz w:val="24"/>
          <w:szCs w:val="24"/>
        </w:rPr>
        <w:t>VaVaI</w:t>
      </w:r>
      <w:proofErr w:type="spellEnd"/>
      <w:r w:rsidR="00E1366D">
        <w:rPr>
          <w:rFonts w:ascii="Times New Roman" w:hAnsi="Times New Roman" w:cs="Times New Roman"/>
          <w:sz w:val="24"/>
          <w:szCs w:val="24"/>
        </w:rPr>
        <w:t xml:space="preserve"> v </w:t>
      </w:r>
      <w:r w:rsidR="006E0BB7">
        <w:rPr>
          <w:rFonts w:ascii="Times New Roman" w:hAnsi="Times New Roman" w:cs="Times New Roman"/>
          <w:sz w:val="24"/>
          <w:szCs w:val="24"/>
        </w:rPr>
        <w:t xml:space="preserve">ČR </w:t>
      </w:r>
      <w:r w:rsidR="00E1366D">
        <w:rPr>
          <w:rFonts w:ascii="Times New Roman" w:hAnsi="Times New Roman" w:cs="Times New Roman"/>
          <w:sz w:val="24"/>
          <w:szCs w:val="24"/>
        </w:rPr>
        <w:t>ve vazbě na národní politiku</w:t>
      </w:r>
      <w:r w:rsidR="00D72301">
        <w:rPr>
          <w:rFonts w:ascii="Times New Roman" w:hAnsi="Times New Roman" w:cs="Times New Roman"/>
          <w:sz w:val="24"/>
          <w:szCs w:val="24"/>
        </w:rPr>
        <w:t xml:space="preserve"> </w:t>
      </w:r>
      <w:r w:rsidR="006E0BB7">
        <w:rPr>
          <w:rFonts w:ascii="Times New Roman" w:hAnsi="Times New Roman" w:cs="Times New Roman"/>
          <w:sz w:val="24"/>
          <w:szCs w:val="24"/>
        </w:rPr>
        <w:t>s jinými zeměmi je vhodné popsat situaci spíše menším počtem dobře vypovídajících indikátorů, než velkým počtem ukazatelů slabé vypovídací hodnoty</w:t>
      </w:r>
      <w:r w:rsidR="00AA5BB8">
        <w:rPr>
          <w:rFonts w:ascii="Times New Roman" w:hAnsi="Times New Roman" w:cs="Times New Roman"/>
          <w:sz w:val="24"/>
          <w:szCs w:val="24"/>
        </w:rPr>
        <w:t>.</w:t>
      </w:r>
      <w:r w:rsidR="006E0BB7">
        <w:rPr>
          <w:rFonts w:ascii="Times New Roman" w:hAnsi="Times New Roman" w:cs="Times New Roman"/>
          <w:sz w:val="24"/>
          <w:szCs w:val="24"/>
        </w:rPr>
        <w:t xml:space="preserve"> Je navíc nezbytné, aby stejné či podobné ukazatele byly v ostatních zemích také sledovány a k hodnocení užívány.</w:t>
      </w:r>
    </w:p>
    <w:p w:rsidR="00991716" w:rsidRPr="00EF3622" w:rsidRDefault="00991716" w:rsidP="00F372A6">
      <w:pPr>
        <w:spacing w:after="120"/>
        <w:jc w:val="both"/>
        <w:rPr>
          <w:rFonts w:ascii="Times New Roman" w:hAnsi="Times New Roman" w:cs="Times New Roman"/>
          <w:i/>
          <w:sz w:val="24"/>
          <w:szCs w:val="24"/>
        </w:rPr>
      </w:pPr>
      <w:r w:rsidRPr="00EF3622">
        <w:rPr>
          <w:rFonts w:ascii="Times New Roman" w:hAnsi="Times New Roman" w:cs="Times New Roman"/>
          <w:i/>
          <w:sz w:val="24"/>
          <w:szCs w:val="24"/>
        </w:rPr>
        <w:t>Další významnou metodou je peer-</w:t>
      </w:r>
      <w:proofErr w:type="spellStart"/>
      <w:r w:rsidRPr="00EF3622">
        <w:rPr>
          <w:rFonts w:ascii="Times New Roman" w:hAnsi="Times New Roman" w:cs="Times New Roman"/>
          <w:i/>
          <w:sz w:val="24"/>
          <w:szCs w:val="24"/>
        </w:rPr>
        <w:t>review</w:t>
      </w:r>
      <w:proofErr w:type="spellEnd"/>
      <w:r w:rsidRPr="00EF3622">
        <w:rPr>
          <w:rFonts w:ascii="Times New Roman" w:hAnsi="Times New Roman" w:cs="Times New Roman"/>
          <w:i/>
          <w:sz w:val="24"/>
          <w:szCs w:val="24"/>
        </w:rPr>
        <w:t xml:space="preserve"> externích odborníků, pro NP </w:t>
      </w:r>
      <w:proofErr w:type="spellStart"/>
      <w:r w:rsidRPr="00EF3622">
        <w:rPr>
          <w:rFonts w:ascii="Times New Roman" w:hAnsi="Times New Roman" w:cs="Times New Roman"/>
          <w:i/>
          <w:sz w:val="24"/>
          <w:szCs w:val="24"/>
        </w:rPr>
        <w:t>VaVaI</w:t>
      </w:r>
      <w:proofErr w:type="spellEnd"/>
      <w:r w:rsidRPr="00EF3622">
        <w:rPr>
          <w:rFonts w:ascii="Times New Roman" w:hAnsi="Times New Roman" w:cs="Times New Roman"/>
          <w:i/>
          <w:sz w:val="24"/>
          <w:szCs w:val="24"/>
        </w:rPr>
        <w:t xml:space="preserve"> nejlépe formou auditu. Audit je možné zaměřit i na problematické oblasti, pro které není dostatek SMART indikátorů, s využitím indikátorů kvalitativních.</w:t>
      </w:r>
    </w:p>
    <w:p w:rsidR="00152E5C" w:rsidRDefault="00152E5C" w:rsidP="00152E5C">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 xml:space="preserve">Následující tabulka popisuje soustavu vybraných indikátorů, která bude použita pro hodnocení pokroku při naplňování NP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Pro jejich výběr byla vzata v úvahu následující kritéria:</w:t>
      </w:r>
    </w:p>
    <w:p w:rsidR="00152E5C" w:rsidRPr="00152E5C" w:rsidRDefault="00152E5C" w:rsidP="00152E5C">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 xml:space="preserve">Obecná využitelnost indikátoru </w:t>
      </w:r>
    </w:p>
    <w:p w:rsidR="00152E5C" w:rsidRPr="00152E5C" w:rsidRDefault="00152E5C" w:rsidP="00152E5C">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 xml:space="preserve">Vztah k opatřením NP </w:t>
      </w:r>
      <w:proofErr w:type="spellStart"/>
      <w:r w:rsidRPr="00152E5C">
        <w:rPr>
          <w:rFonts w:ascii="Times New Roman" w:hAnsi="Times New Roman" w:cs="Times New Roman"/>
          <w:sz w:val="24"/>
          <w:szCs w:val="24"/>
        </w:rPr>
        <w:t>VaVaI</w:t>
      </w:r>
      <w:proofErr w:type="spellEnd"/>
    </w:p>
    <w:p w:rsidR="00152E5C" w:rsidRPr="00152E5C" w:rsidRDefault="00152E5C" w:rsidP="00152E5C">
      <w:pPr>
        <w:pStyle w:val="Odstavecseseznamem"/>
        <w:numPr>
          <w:ilvl w:val="0"/>
          <w:numId w:val="8"/>
        </w:numPr>
        <w:spacing w:after="120"/>
        <w:jc w:val="both"/>
        <w:rPr>
          <w:rFonts w:ascii="Times New Roman" w:hAnsi="Times New Roman" w:cs="Times New Roman"/>
          <w:sz w:val="24"/>
          <w:szCs w:val="24"/>
        </w:rPr>
      </w:pPr>
      <w:r w:rsidRPr="00152E5C">
        <w:rPr>
          <w:rFonts w:ascii="Times New Roman" w:hAnsi="Times New Roman" w:cs="Times New Roman"/>
          <w:sz w:val="24"/>
          <w:szCs w:val="24"/>
        </w:rPr>
        <w:t>Dostupnost věrohodných údajů</w:t>
      </w:r>
    </w:p>
    <w:p w:rsidR="00E0599A" w:rsidRPr="00C114B0" w:rsidRDefault="00152E5C" w:rsidP="00F372A6">
      <w:pPr>
        <w:spacing w:after="120"/>
        <w:jc w:val="both"/>
        <w:rPr>
          <w:rFonts w:ascii="Times New Roman" w:hAnsi="Times New Roman" w:cs="Times New Roman"/>
          <w:sz w:val="24"/>
          <w:szCs w:val="24"/>
        </w:rPr>
      </w:pPr>
      <w:r>
        <w:rPr>
          <w:rFonts w:ascii="Times New Roman" w:hAnsi="Times New Roman" w:cs="Times New Roman"/>
          <w:sz w:val="24"/>
          <w:szCs w:val="24"/>
        </w:rPr>
        <w:t>Pro srovnání je v příloze uvedena</w:t>
      </w:r>
      <w:r w:rsidR="006E0BB7">
        <w:rPr>
          <w:rFonts w:ascii="Times New Roman" w:hAnsi="Times New Roman" w:cs="Times New Roman"/>
          <w:sz w:val="24"/>
          <w:szCs w:val="24"/>
        </w:rPr>
        <w:t xml:space="preserve"> soustava 25 indikátorů</w:t>
      </w:r>
      <w:r>
        <w:rPr>
          <w:rFonts w:ascii="Times New Roman" w:hAnsi="Times New Roman" w:cs="Times New Roman"/>
          <w:sz w:val="24"/>
          <w:szCs w:val="24"/>
        </w:rPr>
        <w:t>, která vychází ze studie TC AV ČR</w:t>
      </w:r>
      <w:r w:rsidR="00AA5BB8">
        <w:rPr>
          <w:rFonts w:ascii="Times New Roman" w:hAnsi="Times New Roman" w:cs="Times New Roman"/>
          <w:sz w:val="24"/>
          <w:szCs w:val="24"/>
        </w:rPr>
        <w:t xml:space="preserve">. První skupinu </w:t>
      </w:r>
      <w:r>
        <w:rPr>
          <w:rFonts w:ascii="Times New Roman" w:hAnsi="Times New Roman" w:cs="Times New Roman"/>
          <w:sz w:val="24"/>
          <w:szCs w:val="24"/>
        </w:rPr>
        <w:t>tvoří</w:t>
      </w:r>
      <w:r w:rsidR="00AA5BB8">
        <w:rPr>
          <w:rFonts w:ascii="Times New Roman" w:hAnsi="Times New Roman" w:cs="Times New Roman"/>
          <w:sz w:val="24"/>
          <w:szCs w:val="24"/>
        </w:rPr>
        <w:t xml:space="preserve"> </w:t>
      </w:r>
      <w:r w:rsidR="006E0BB7">
        <w:rPr>
          <w:rFonts w:ascii="Times New Roman" w:hAnsi="Times New Roman" w:cs="Times New Roman"/>
          <w:sz w:val="24"/>
          <w:szCs w:val="24"/>
        </w:rPr>
        <w:t>indikátory klíčové, které jsou použitelné j</w:t>
      </w:r>
      <w:r w:rsidR="00D72301">
        <w:rPr>
          <w:rFonts w:ascii="Times New Roman" w:hAnsi="Times New Roman" w:cs="Times New Roman"/>
          <w:sz w:val="24"/>
          <w:szCs w:val="24"/>
        </w:rPr>
        <w:t>ak</w:t>
      </w:r>
      <w:r w:rsidR="006E0BB7">
        <w:rPr>
          <w:rFonts w:ascii="Times New Roman" w:hAnsi="Times New Roman" w:cs="Times New Roman"/>
          <w:sz w:val="24"/>
          <w:szCs w:val="24"/>
        </w:rPr>
        <w:t xml:space="preserve"> pro </w:t>
      </w:r>
      <w:r w:rsidR="00AA5BB8">
        <w:rPr>
          <w:rFonts w:ascii="Times New Roman" w:hAnsi="Times New Roman" w:cs="Times New Roman"/>
          <w:sz w:val="24"/>
          <w:szCs w:val="24"/>
        </w:rPr>
        <w:t>analýzu úspěšnosti národní politiky</w:t>
      </w:r>
      <w:r w:rsidR="00D72301">
        <w:rPr>
          <w:rFonts w:ascii="Times New Roman" w:hAnsi="Times New Roman" w:cs="Times New Roman"/>
          <w:sz w:val="24"/>
          <w:szCs w:val="24"/>
        </w:rPr>
        <w:t>,</w:t>
      </w:r>
      <w:r w:rsidR="00AA5BB8">
        <w:rPr>
          <w:rFonts w:ascii="Times New Roman" w:hAnsi="Times New Roman" w:cs="Times New Roman"/>
          <w:sz w:val="24"/>
          <w:szCs w:val="24"/>
        </w:rPr>
        <w:t xml:space="preserve"> </w:t>
      </w:r>
      <w:r w:rsidR="002A52CE">
        <w:rPr>
          <w:rFonts w:ascii="Times New Roman" w:hAnsi="Times New Roman" w:cs="Times New Roman"/>
          <w:sz w:val="24"/>
          <w:szCs w:val="24"/>
        </w:rPr>
        <w:t>tak pro srovnávací studie. Druhá</w:t>
      </w:r>
      <w:r w:rsidR="00AA5BB8">
        <w:rPr>
          <w:rFonts w:ascii="Times New Roman" w:hAnsi="Times New Roman" w:cs="Times New Roman"/>
          <w:sz w:val="24"/>
          <w:szCs w:val="24"/>
        </w:rPr>
        <w:t xml:space="preserve"> skupin</w:t>
      </w:r>
      <w:r w:rsidR="002A52CE">
        <w:rPr>
          <w:rFonts w:ascii="Times New Roman" w:hAnsi="Times New Roman" w:cs="Times New Roman"/>
          <w:sz w:val="24"/>
          <w:szCs w:val="24"/>
        </w:rPr>
        <w:t>a obsahuje</w:t>
      </w:r>
      <w:r w:rsidR="00AA5BB8">
        <w:rPr>
          <w:rFonts w:ascii="Times New Roman" w:hAnsi="Times New Roman" w:cs="Times New Roman"/>
          <w:sz w:val="24"/>
          <w:szCs w:val="24"/>
        </w:rPr>
        <w:t xml:space="preserve"> indikátory doplňkové, které mohou za určitých okolností popisovat dílčí cíle národní politiky, ale jejich stanovení je provázeno riziky, nebo se jedná o národně specifické indikátory, případně je obtížné stanovit cílovou hodnotu.</w:t>
      </w:r>
      <w:r w:rsidR="005263DB">
        <w:rPr>
          <w:rFonts w:ascii="Times New Roman" w:hAnsi="Times New Roman" w:cs="Times New Roman"/>
          <w:sz w:val="24"/>
          <w:szCs w:val="24"/>
        </w:rPr>
        <w:t xml:space="preserve"> </w:t>
      </w:r>
    </w:p>
    <w:p w:rsidR="002A7774" w:rsidRDefault="002A7774" w:rsidP="00F372A6">
      <w:pPr>
        <w:spacing w:after="120"/>
        <w:jc w:val="both"/>
        <w:rPr>
          <w:rFonts w:ascii="Times New Roman" w:hAnsi="Times New Roman" w:cs="Times New Roman"/>
          <w:sz w:val="24"/>
          <w:szCs w:val="24"/>
        </w:rPr>
      </w:pPr>
    </w:p>
    <w:p w:rsidR="00C3511A" w:rsidRDefault="00C3511A" w:rsidP="002A7774">
      <w:pPr>
        <w:sectPr w:rsidR="00C3511A" w:rsidSect="006A0A26">
          <w:footerReference w:type="default" r:id="rId9"/>
          <w:pgSz w:w="11906" w:h="16838"/>
          <w:pgMar w:top="1418" w:right="1418" w:bottom="1418" w:left="1418" w:header="709" w:footer="709" w:gutter="0"/>
          <w:cols w:space="708"/>
          <w:docGrid w:linePitch="360"/>
        </w:sectPr>
      </w:pPr>
    </w:p>
    <w:tbl>
      <w:tblPr>
        <w:tblStyle w:val="Mkatabulky"/>
        <w:tblW w:w="0" w:type="auto"/>
        <w:tblLook w:val="04A0" w:firstRow="1" w:lastRow="0" w:firstColumn="1" w:lastColumn="0" w:noHBand="0" w:noVBand="1"/>
      </w:tblPr>
      <w:tblGrid>
        <w:gridCol w:w="513"/>
        <w:gridCol w:w="1983"/>
        <w:gridCol w:w="3278"/>
        <w:gridCol w:w="2217"/>
        <w:gridCol w:w="1547"/>
        <w:gridCol w:w="1358"/>
        <w:gridCol w:w="3322"/>
      </w:tblGrid>
      <w:tr w:rsidR="00C3511A" w:rsidRPr="00123EB6" w:rsidTr="00C3511A">
        <w:trPr>
          <w:trHeight w:val="551"/>
        </w:trPr>
        <w:tc>
          <w:tcPr>
            <w:tcW w:w="14218" w:type="dxa"/>
            <w:gridSpan w:val="7"/>
            <w:shd w:val="clear" w:color="auto" w:fill="D9D9D9" w:themeFill="background1" w:themeFillShade="D9"/>
            <w:vAlign w:val="center"/>
          </w:tcPr>
          <w:p w:rsidR="00C3511A" w:rsidRPr="00123EB6" w:rsidRDefault="00C3511A" w:rsidP="00747F40">
            <w:pPr>
              <w:rPr>
                <w:b/>
                <w:sz w:val="28"/>
                <w:szCs w:val="28"/>
              </w:rPr>
            </w:pPr>
            <w:r w:rsidRPr="00123EB6">
              <w:rPr>
                <w:b/>
                <w:sz w:val="28"/>
                <w:szCs w:val="28"/>
              </w:rPr>
              <w:lastRenderedPageBreak/>
              <w:t>Soustava</w:t>
            </w:r>
            <w:r w:rsidR="002A52CE">
              <w:rPr>
                <w:b/>
                <w:sz w:val="28"/>
                <w:szCs w:val="28"/>
              </w:rPr>
              <w:t xml:space="preserve"> vybraných</w:t>
            </w:r>
            <w:r w:rsidRPr="00123EB6">
              <w:rPr>
                <w:b/>
                <w:sz w:val="28"/>
                <w:szCs w:val="28"/>
              </w:rPr>
              <w:t xml:space="preserve"> klíčových indikátorů pro hodnocení NP </w:t>
            </w:r>
            <w:proofErr w:type="spellStart"/>
            <w:r w:rsidRPr="00123EB6">
              <w:rPr>
                <w:b/>
                <w:sz w:val="28"/>
                <w:szCs w:val="28"/>
              </w:rPr>
              <w:t>VaVaI</w:t>
            </w:r>
            <w:proofErr w:type="spellEnd"/>
          </w:p>
        </w:tc>
      </w:tr>
      <w:tr w:rsidR="00C3511A" w:rsidRPr="005671D4" w:rsidTr="00C3511A">
        <w:trPr>
          <w:trHeight w:val="463"/>
        </w:trPr>
        <w:tc>
          <w:tcPr>
            <w:tcW w:w="513" w:type="dxa"/>
            <w:shd w:val="clear" w:color="auto" w:fill="F2F2F2" w:themeFill="background1" w:themeFillShade="F2"/>
            <w:vAlign w:val="center"/>
          </w:tcPr>
          <w:p w:rsidR="00C3511A" w:rsidRDefault="00C3511A" w:rsidP="00747F40"/>
        </w:tc>
        <w:tc>
          <w:tcPr>
            <w:tcW w:w="1983" w:type="dxa"/>
            <w:shd w:val="clear" w:color="auto" w:fill="F2F2F2" w:themeFill="background1" w:themeFillShade="F2"/>
            <w:vAlign w:val="center"/>
          </w:tcPr>
          <w:p w:rsidR="00C3511A" w:rsidRPr="005671D4" w:rsidRDefault="00C3511A" w:rsidP="00747F40">
            <w:pPr>
              <w:rPr>
                <w:b/>
                <w:sz w:val="20"/>
                <w:szCs w:val="20"/>
              </w:rPr>
            </w:pPr>
            <w:r w:rsidRPr="005671D4">
              <w:rPr>
                <w:b/>
                <w:sz w:val="20"/>
                <w:szCs w:val="20"/>
              </w:rPr>
              <w:t>Název</w:t>
            </w:r>
          </w:p>
        </w:tc>
        <w:tc>
          <w:tcPr>
            <w:tcW w:w="3278" w:type="dxa"/>
            <w:shd w:val="clear" w:color="auto" w:fill="F2F2F2" w:themeFill="background1" w:themeFillShade="F2"/>
            <w:vAlign w:val="center"/>
          </w:tcPr>
          <w:p w:rsidR="00C3511A" w:rsidRPr="005671D4" w:rsidRDefault="00C3511A" w:rsidP="00747F40">
            <w:pPr>
              <w:rPr>
                <w:b/>
                <w:sz w:val="20"/>
                <w:szCs w:val="20"/>
              </w:rPr>
            </w:pPr>
            <w:r w:rsidRPr="005671D4">
              <w:rPr>
                <w:b/>
                <w:sz w:val="20"/>
                <w:szCs w:val="20"/>
              </w:rPr>
              <w:t>Definice</w:t>
            </w:r>
          </w:p>
        </w:tc>
        <w:tc>
          <w:tcPr>
            <w:tcW w:w="2217" w:type="dxa"/>
            <w:shd w:val="clear" w:color="auto" w:fill="F2F2F2" w:themeFill="background1" w:themeFillShade="F2"/>
            <w:vAlign w:val="center"/>
          </w:tcPr>
          <w:p w:rsidR="00C3511A" w:rsidRPr="005671D4" w:rsidRDefault="00C3511A" w:rsidP="00747F40">
            <w:pPr>
              <w:rPr>
                <w:b/>
                <w:sz w:val="20"/>
                <w:szCs w:val="20"/>
              </w:rPr>
            </w:pPr>
            <w:r w:rsidRPr="005671D4">
              <w:rPr>
                <w:b/>
                <w:sz w:val="20"/>
                <w:szCs w:val="20"/>
              </w:rPr>
              <w:t>Zdroj dat</w:t>
            </w:r>
          </w:p>
        </w:tc>
        <w:tc>
          <w:tcPr>
            <w:tcW w:w="1547" w:type="dxa"/>
            <w:shd w:val="clear" w:color="auto" w:fill="F2F2F2" w:themeFill="background1" w:themeFillShade="F2"/>
            <w:vAlign w:val="center"/>
          </w:tcPr>
          <w:p w:rsidR="00C3511A" w:rsidRPr="005671D4" w:rsidRDefault="00C3511A" w:rsidP="00747F40">
            <w:pPr>
              <w:rPr>
                <w:b/>
                <w:sz w:val="20"/>
                <w:szCs w:val="20"/>
              </w:rPr>
            </w:pPr>
            <w:r w:rsidRPr="005671D4">
              <w:rPr>
                <w:b/>
                <w:sz w:val="20"/>
                <w:szCs w:val="20"/>
              </w:rPr>
              <w:t>Výchozí hodnota</w:t>
            </w:r>
          </w:p>
        </w:tc>
        <w:tc>
          <w:tcPr>
            <w:tcW w:w="1358" w:type="dxa"/>
            <w:shd w:val="clear" w:color="auto" w:fill="F2F2F2" w:themeFill="background1" w:themeFillShade="F2"/>
            <w:vAlign w:val="center"/>
          </w:tcPr>
          <w:p w:rsidR="00C3511A" w:rsidRPr="005671D4" w:rsidRDefault="00C3511A" w:rsidP="00747F40">
            <w:pPr>
              <w:rPr>
                <w:b/>
                <w:sz w:val="20"/>
                <w:szCs w:val="20"/>
              </w:rPr>
            </w:pPr>
            <w:r w:rsidRPr="005671D4">
              <w:rPr>
                <w:b/>
                <w:sz w:val="20"/>
                <w:szCs w:val="20"/>
              </w:rPr>
              <w:t>Cílová hodnota</w:t>
            </w:r>
          </w:p>
        </w:tc>
        <w:tc>
          <w:tcPr>
            <w:tcW w:w="3322" w:type="dxa"/>
            <w:shd w:val="clear" w:color="auto" w:fill="F2F2F2" w:themeFill="background1" w:themeFillShade="F2"/>
            <w:vAlign w:val="center"/>
          </w:tcPr>
          <w:p w:rsidR="00C3511A" w:rsidRPr="005671D4" w:rsidRDefault="00C3511A" w:rsidP="00747F40">
            <w:pPr>
              <w:rPr>
                <w:b/>
                <w:sz w:val="20"/>
                <w:szCs w:val="20"/>
              </w:rPr>
            </w:pPr>
            <w:r>
              <w:rPr>
                <w:b/>
                <w:sz w:val="20"/>
                <w:szCs w:val="20"/>
              </w:rPr>
              <w:t>Zdůvodnění cílové hodnoty</w:t>
            </w:r>
          </w:p>
        </w:tc>
      </w:tr>
      <w:tr w:rsidR="00C3511A" w:rsidRPr="005671D4" w:rsidTr="00C3511A">
        <w:trPr>
          <w:trHeight w:val="665"/>
        </w:trPr>
        <w:tc>
          <w:tcPr>
            <w:tcW w:w="513" w:type="dxa"/>
            <w:vAlign w:val="center"/>
          </w:tcPr>
          <w:p w:rsidR="00C3511A" w:rsidRPr="000A03FD" w:rsidRDefault="00C3511A" w:rsidP="00747F40">
            <w:pPr>
              <w:rPr>
                <w:rFonts w:cstheme="minorHAnsi"/>
              </w:rPr>
            </w:pPr>
            <w:r w:rsidRPr="000A03FD">
              <w:rPr>
                <w:rFonts w:cstheme="minorHAnsi"/>
              </w:rPr>
              <w:t>1.</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Počet výzkumných pracovníků v centrech excelence.</w:t>
            </w:r>
          </w:p>
        </w:tc>
        <w:tc>
          <w:tcPr>
            <w:tcW w:w="3278" w:type="dxa"/>
            <w:vAlign w:val="center"/>
          </w:tcPr>
          <w:p w:rsidR="00C3511A" w:rsidRPr="005671D4" w:rsidRDefault="00C3511A" w:rsidP="00747F40">
            <w:pPr>
              <w:spacing w:after="120"/>
              <w:rPr>
                <w:rFonts w:cstheme="minorHAnsi"/>
                <w:sz w:val="20"/>
                <w:szCs w:val="20"/>
              </w:rPr>
            </w:pPr>
            <w:r w:rsidRPr="005671D4">
              <w:rPr>
                <w:rFonts w:cstheme="minorHAnsi"/>
                <w:sz w:val="20"/>
                <w:szCs w:val="20"/>
              </w:rPr>
              <w:t xml:space="preserve">Počet výzkumných pracovníků působících ve sledovaném roce v Evropských centrech excelence. </w:t>
            </w:r>
          </w:p>
        </w:tc>
        <w:tc>
          <w:tcPr>
            <w:tcW w:w="2217" w:type="dxa"/>
            <w:vAlign w:val="center"/>
          </w:tcPr>
          <w:p w:rsidR="00C3511A" w:rsidRPr="005671D4" w:rsidRDefault="00C3511A" w:rsidP="00747F40">
            <w:pPr>
              <w:spacing w:after="120"/>
              <w:rPr>
                <w:rFonts w:cstheme="minorHAnsi"/>
                <w:sz w:val="20"/>
                <w:szCs w:val="20"/>
              </w:rPr>
            </w:pPr>
            <w:r w:rsidRPr="005671D4">
              <w:rPr>
                <w:rFonts w:cstheme="minorHAnsi"/>
                <w:bCs/>
                <w:sz w:val="20"/>
                <w:szCs w:val="20"/>
              </w:rPr>
              <w:t xml:space="preserve">Periodické a závěrečné zprávy k projektům OP </w:t>
            </w:r>
            <w:proofErr w:type="spellStart"/>
            <w:r w:rsidRPr="005671D4">
              <w:rPr>
                <w:rFonts w:cstheme="minorHAnsi"/>
                <w:bCs/>
                <w:sz w:val="20"/>
                <w:szCs w:val="20"/>
              </w:rPr>
              <w:t>VaVpI</w:t>
            </w:r>
            <w:proofErr w:type="spellEnd"/>
            <w:r w:rsidRPr="005671D4">
              <w:rPr>
                <w:rFonts w:cstheme="minorHAnsi"/>
                <w:bCs/>
                <w:sz w:val="20"/>
                <w:szCs w:val="20"/>
              </w:rPr>
              <w:t xml:space="preserve"> týkající se Evropských center excelence.</w:t>
            </w:r>
          </w:p>
        </w:tc>
        <w:tc>
          <w:tcPr>
            <w:tcW w:w="1547" w:type="dxa"/>
            <w:vAlign w:val="center"/>
          </w:tcPr>
          <w:p w:rsidR="00C3511A" w:rsidRPr="005671D4" w:rsidRDefault="00C3511A" w:rsidP="00747F40">
            <w:pPr>
              <w:rPr>
                <w:rFonts w:cstheme="minorHAnsi"/>
                <w:sz w:val="20"/>
                <w:szCs w:val="20"/>
              </w:rPr>
            </w:pPr>
            <w:r>
              <w:rPr>
                <w:rFonts w:cstheme="minorHAnsi"/>
                <w:sz w:val="20"/>
                <w:szCs w:val="20"/>
              </w:rPr>
              <w:t xml:space="preserve">685 FTP </w:t>
            </w:r>
            <w:proofErr w:type="spellStart"/>
            <w:r>
              <w:rPr>
                <w:rFonts w:cstheme="minorHAnsi"/>
                <w:sz w:val="20"/>
                <w:szCs w:val="20"/>
              </w:rPr>
              <w:t>FTP</w:t>
            </w:r>
            <w:proofErr w:type="spellEnd"/>
            <w:r>
              <w:rPr>
                <w:rFonts w:cstheme="minorHAnsi"/>
                <w:sz w:val="20"/>
                <w:szCs w:val="20"/>
              </w:rPr>
              <w:t xml:space="preserve"> (2013; dle studie TC AV ČR)</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1 500 FTE</w:t>
            </w:r>
          </w:p>
        </w:tc>
        <w:tc>
          <w:tcPr>
            <w:tcW w:w="3322" w:type="dxa"/>
            <w:vAlign w:val="center"/>
          </w:tcPr>
          <w:p w:rsidR="00C3511A" w:rsidRPr="005671D4" w:rsidRDefault="00C3511A" w:rsidP="00747F40">
            <w:pPr>
              <w:rPr>
                <w:rFonts w:cstheme="minorHAnsi"/>
                <w:sz w:val="20"/>
                <w:szCs w:val="20"/>
              </w:rPr>
            </w:pPr>
            <w:r w:rsidRPr="008B0763">
              <w:rPr>
                <w:rFonts w:cstheme="minorHAnsi"/>
                <w:sz w:val="20"/>
                <w:szCs w:val="20"/>
              </w:rPr>
              <w:t>Údaje o cílových počtech výzkumných pracovníků jsou uvedeny v technickém popisu schválených projektů Evropských center excelence.</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2.</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Podíl žen na celkovém počtu výzkumných pracovníků.</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Podíl žen – výzkumných pracovnic působících ve sledovaném roce ve vládním a vysokoškolském sektoru vůči celkovému počtu výzkumných pracovníků. Pro výpočet indikátoru budou využity údaje o počtu výzkumných pracovníků v přepočtu na plný pracovní úvazek (FTE).</w:t>
            </w:r>
          </w:p>
        </w:tc>
        <w:tc>
          <w:tcPr>
            <w:tcW w:w="2217" w:type="dxa"/>
            <w:vAlign w:val="center"/>
          </w:tcPr>
          <w:p w:rsidR="00C3511A" w:rsidRPr="005671D4" w:rsidRDefault="00C3511A" w:rsidP="00747F40">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 počtu žen mezi výzkumnými pracovníky ve všech sektorech provádění.</w:t>
            </w:r>
          </w:p>
          <w:p w:rsidR="00C3511A" w:rsidRPr="005671D4" w:rsidRDefault="00C3511A" w:rsidP="00747F40">
            <w:pPr>
              <w:rPr>
                <w:rFonts w:cstheme="minorHAnsi"/>
                <w:sz w:val="20"/>
                <w:szCs w:val="20"/>
              </w:rPr>
            </w:pPr>
            <w:r w:rsidRPr="005671D4">
              <w:rPr>
                <w:rFonts w:cstheme="minorHAnsi"/>
                <w:sz w:val="20"/>
                <w:szCs w:val="20"/>
              </w:rPr>
              <w:t>ČSÚ – údaje o počtu výzkumných pracovníků v přepočtu na plný pracovní úvazek.</w:t>
            </w:r>
          </w:p>
        </w:tc>
        <w:tc>
          <w:tcPr>
            <w:tcW w:w="1547" w:type="dxa"/>
            <w:vAlign w:val="center"/>
          </w:tcPr>
          <w:p w:rsidR="00C3511A" w:rsidRPr="008103FD" w:rsidRDefault="00C3511A" w:rsidP="00747F40">
            <w:pPr>
              <w:spacing w:before="60" w:after="60"/>
              <w:rPr>
                <w:rFonts w:ascii="Calibri" w:eastAsia="Calibri" w:hAnsi="Calibri" w:cs="Calibri"/>
                <w:sz w:val="20"/>
              </w:rPr>
            </w:pPr>
            <w:r>
              <w:rPr>
                <w:rFonts w:ascii="Calibri" w:eastAsia="Calibri" w:hAnsi="Calibri" w:cs="Calibri"/>
                <w:sz w:val="20"/>
              </w:rPr>
              <w:t>35</w:t>
            </w:r>
            <w:r w:rsidRPr="008103FD">
              <w:rPr>
                <w:rFonts w:ascii="Calibri" w:eastAsia="Calibri" w:hAnsi="Calibri" w:cs="Calibri"/>
                <w:sz w:val="20"/>
              </w:rPr>
              <w:t>,</w:t>
            </w:r>
            <w:r>
              <w:rPr>
                <w:rFonts w:ascii="Calibri" w:eastAsia="Calibri" w:hAnsi="Calibri" w:cs="Calibri"/>
                <w:sz w:val="20"/>
              </w:rPr>
              <w:t>1 % vládní/ 32</w:t>
            </w:r>
            <w:r w:rsidRPr="008103FD">
              <w:rPr>
                <w:rFonts w:ascii="Calibri" w:eastAsia="Calibri" w:hAnsi="Calibri" w:cs="Calibri"/>
                <w:sz w:val="20"/>
              </w:rPr>
              <w:t>,</w:t>
            </w:r>
            <w:r>
              <w:rPr>
                <w:rFonts w:ascii="Calibri" w:eastAsia="Calibri" w:hAnsi="Calibri" w:cs="Calibri"/>
                <w:sz w:val="20"/>
              </w:rPr>
              <w:t>3 % vysokoškolský (2012)</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40</w:t>
            </w:r>
            <w:r>
              <w:rPr>
                <w:rFonts w:cstheme="minorHAnsi"/>
                <w:sz w:val="20"/>
                <w:szCs w:val="20"/>
              </w:rPr>
              <w:t> </w:t>
            </w:r>
            <w:r w:rsidRPr="005671D4">
              <w:rPr>
                <w:rFonts w:cstheme="minorHAnsi"/>
                <w:sz w:val="20"/>
                <w:szCs w:val="20"/>
              </w:rPr>
              <w:t>%</w:t>
            </w:r>
            <w:r>
              <w:rPr>
                <w:rFonts w:cstheme="minorHAnsi"/>
                <w:sz w:val="20"/>
                <w:szCs w:val="20"/>
              </w:rPr>
              <w:t xml:space="preserve"> </w:t>
            </w:r>
            <w:r>
              <w:rPr>
                <w:rFonts w:ascii="Calibri" w:eastAsia="Calibri" w:hAnsi="Calibri" w:cs="Calibri"/>
                <w:sz w:val="20"/>
              </w:rPr>
              <w:t xml:space="preserve">vládní/ </w:t>
            </w:r>
            <w:r>
              <w:rPr>
                <w:rFonts w:cstheme="minorHAnsi"/>
                <w:sz w:val="20"/>
                <w:szCs w:val="20"/>
              </w:rPr>
              <w:t xml:space="preserve">40 % </w:t>
            </w:r>
            <w:r>
              <w:rPr>
                <w:rFonts w:ascii="Calibri" w:eastAsia="Calibri" w:hAnsi="Calibri" w:cs="Calibri"/>
                <w:sz w:val="20"/>
              </w:rPr>
              <w:t>vysokoškolský</w:t>
            </w:r>
          </w:p>
        </w:tc>
        <w:tc>
          <w:tcPr>
            <w:tcW w:w="3322" w:type="dxa"/>
            <w:vAlign w:val="center"/>
          </w:tcPr>
          <w:p w:rsidR="00C3511A" w:rsidRPr="005671D4" w:rsidRDefault="00C3511A" w:rsidP="00747F40">
            <w:pPr>
              <w:rPr>
                <w:rFonts w:cstheme="minorHAnsi"/>
                <w:sz w:val="20"/>
                <w:szCs w:val="20"/>
              </w:rPr>
            </w:pPr>
            <w:r>
              <w:rPr>
                <w:rFonts w:cstheme="minorHAnsi"/>
                <w:sz w:val="20"/>
                <w:szCs w:val="20"/>
              </w:rPr>
              <w:t>Cílová hodnota</w:t>
            </w:r>
            <w:r w:rsidRPr="00EE1609">
              <w:rPr>
                <w:rFonts w:cstheme="minorHAnsi"/>
                <w:sz w:val="20"/>
                <w:szCs w:val="20"/>
              </w:rPr>
              <w:t xml:space="preserve"> 40 %</w:t>
            </w:r>
            <w:r>
              <w:rPr>
                <w:rFonts w:cstheme="minorHAnsi"/>
                <w:sz w:val="20"/>
                <w:szCs w:val="20"/>
              </w:rPr>
              <w:t xml:space="preserve"> pr</w:t>
            </w:r>
            <w:r w:rsidRPr="00EA7BC8">
              <w:rPr>
                <w:rFonts w:cstheme="minorHAnsi"/>
                <w:sz w:val="20"/>
                <w:szCs w:val="20"/>
              </w:rPr>
              <w:t>o podíl žen ve veř</w:t>
            </w:r>
            <w:r>
              <w:rPr>
                <w:rFonts w:cstheme="minorHAnsi"/>
                <w:sz w:val="20"/>
                <w:szCs w:val="20"/>
              </w:rPr>
              <w:t>ejném výzkumu (tj. ve vládním a v</w:t>
            </w:r>
            <w:r w:rsidRPr="00EA7BC8">
              <w:rPr>
                <w:rFonts w:cstheme="minorHAnsi"/>
                <w:sz w:val="20"/>
                <w:szCs w:val="20"/>
              </w:rPr>
              <w:t>ysokoškolském sektoru)</w:t>
            </w:r>
            <w:r>
              <w:rPr>
                <w:rFonts w:cstheme="minorHAnsi"/>
                <w:sz w:val="20"/>
                <w:szCs w:val="20"/>
              </w:rPr>
              <w:t xml:space="preserve"> </w:t>
            </w:r>
            <w:r w:rsidRPr="00EE1609">
              <w:rPr>
                <w:rFonts w:cstheme="minorHAnsi"/>
                <w:sz w:val="20"/>
                <w:szCs w:val="20"/>
              </w:rPr>
              <w:t>zhruba odpovídá současným hodnotám pro průměr členských států EU</w:t>
            </w:r>
            <w:r>
              <w:rPr>
                <w:rFonts w:cstheme="minorHAnsi"/>
                <w:sz w:val="20"/>
                <w:szCs w:val="20"/>
              </w:rPr>
              <w:t xml:space="preserve"> (</w:t>
            </w:r>
            <w:r w:rsidRPr="00862B2A">
              <w:rPr>
                <w:rFonts w:cstheme="minorHAnsi"/>
                <w:sz w:val="20"/>
                <w:szCs w:val="20"/>
              </w:rPr>
              <w:t>a přibližně pro Dánsko, Irsko, Rakousko, Itálii či Maďarsko)</w:t>
            </w:r>
            <w:r>
              <w:rPr>
                <w:rFonts w:cstheme="minorHAnsi"/>
                <w:sz w:val="20"/>
                <w:szCs w:val="20"/>
              </w:rPr>
              <w:t xml:space="preserve">. </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3.</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Podíl vědeckých publikací ve spoluautorství domácích a zahraničních výzkumníků.</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Podíl vědeckých prací publikovaných ve sledovaném roce, které mají alespoň jednoho spoluautora z ČR a jednoho spoluautora ze zahraniční výzkumné organizace, k celkovému počtu publikací v daném roce, kde je alespoň jeden spoluautor z ČR.</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 xml:space="preserve">Databáze Thomson Reuters Web </w:t>
            </w:r>
            <w:proofErr w:type="spellStart"/>
            <w:r w:rsidRPr="005671D4">
              <w:rPr>
                <w:rFonts w:cstheme="minorHAnsi"/>
                <w:sz w:val="20"/>
                <w:szCs w:val="20"/>
              </w:rPr>
              <w:t>of</w:t>
            </w:r>
            <w:proofErr w:type="spellEnd"/>
            <w:r w:rsidRPr="005671D4">
              <w:rPr>
                <w:rFonts w:cstheme="minorHAnsi"/>
                <w:sz w:val="20"/>
                <w:szCs w:val="20"/>
              </w:rPr>
              <w:t xml:space="preserve"> Science</w:t>
            </w:r>
          </w:p>
        </w:tc>
        <w:tc>
          <w:tcPr>
            <w:tcW w:w="1547" w:type="dxa"/>
            <w:vAlign w:val="center"/>
          </w:tcPr>
          <w:p w:rsidR="00C3511A" w:rsidRPr="008103FD" w:rsidRDefault="00C3511A" w:rsidP="00747F40">
            <w:pPr>
              <w:spacing w:before="60" w:after="60"/>
              <w:rPr>
                <w:rFonts w:ascii="Calibri" w:eastAsia="Calibri" w:hAnsi="Calibri" w:cs="Calibri"/>
                <w:sz w:val="20"/>
              </w:rPr>
            </w:pPr>
            <w:r w:rsidRPr="00900F7C">
              <w:rPr>
                <w:rFonts w:ascii="Calibri" w:eastAsia="Calibri" w:hAnsi="Calibri" w:cs="Calibri"/>
                <w:sz w:val="20"/>
              </w:rPr>
              <w:t>49,1 %</w:t>
            </w:r>
            <w:r>
              <w:rPr>
                <w:rFonts w:ascii="Calibri" w:eastAsia="Calibri" w:hAnsi="Calibri" w:cs="Calibri"/>
                <w:sz w:val="20"/>
              </w:rPr>
              <w:t xml:space="preserve"> (2012)</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60 %</w:t>
            </w:r>
          </w:p>
        </w:tc>
        <w:tc>
          <w:tcPr>
            <w:tcW w:w="3322" w:type="dxa"/>
            <w:vAlign w:val="center"/>
          </w:tcPr>
          <w:p w:rsidR="00C3511A" w:rsidRPr="005671D4" w:rsidRDefault="00C3511A" w:rsidP="00747F40">
            <w:pPr>
              <w:rPr>
                <w:rFonts w:cstheme="minorHAnsi"/>
                <w:sz w:val="20"/>
                <w:szCs w:val="20"/>
              </w:rPr>
            </w:pPr>
            <w:r w:rsidRPr="009900CD">
              <w:rPr>
                <w:sz w:val="20"/>
                <w:szCs w:val="20"/>
              </w:rPr>
              <w:t>Ve „srovnatelných“ evropských zemích (např. Rakousko, Belgie) je podíl již dnes nad 60 % a roste.</w:t>
            </w:r>
            <w:r>
              <w:rPr>
                <w:sz w:val="20"/>
                <w:szCs w:val="20"/>
              </w:rPr>
              <w:t xml:space="preserve"> J</w:t>
            </w:r>
            <w:r w:rsidRPr="002271F8">
              <w:rPr>
                <w:sz w:val="20"/>
                <w:szCs w:val="20"/>
              </w:rPr>
              <w:t xml:space="preserve">e předpokládán nárůst ve výši přibližně 1,5 procentního bodu ročně, což představuje přibližně dvojnásobné tempo růstu podílu mezinárodních publikací, než bylo mezi lety 2001 a 2012. Nárůst o 1,5 procentního bodu ročně </w:t>
            </w:r>
            <w:r>
              <w:rPr>
                <w:sz w:val="20"/>
                <w:szCs w:val="20"/>
              </w:rPr>
              <w:t xml:space="preserve">však </w:t>
            </w:r>
            <w:r w:rsidRPr="002271F8">
              <w:rPr>
                <w:sz w:val="20"/>
                <w:szCs w:val="20"/>
              </w:rPr>
              <w:t>zároveň odpovídá tempu, s jakým narůstal podíl mezinárodních publikací v letech 2001 až 2012 například v Rakousku.</w:t>
            </w:r>
          </w:p>
        </w:tc>
      </w:tr>
    </w:tbl>
    <w:p w:rsidR="00C3511A" w:rsidRDefault="00C3511A">
      <w:r>
        <w:br w:type="page"/>
      </w:r>
    </w:p>
    <w:tbl>
      <w:tblPr>
        <w:tblStyle w:val="Mkatabulky"/>
        <w:tblW w:w="0" w:type="auto"/>
        <w:tblLook w:val="04A0" w:firstRow="1" w:lastRow="0" w:firstColumn="1" w:lastColumn="0" w:noHBand="0" w:noVBand="1"/>
      </w:tblPr>
      <w:tblGrid>
        <w:gridCol w:w="513"/>
        <w:gridCol w:w="1983"/>
        <w:gridCol w:w="3278"/>
        <w:gridCol w:w="2217"/>
        <w:gridCol w:w="1547"/>
        <w:gridCol w:w="1358"/>
        <w:gridCol w:w="3322"/>
      </w:tblGrid>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lastRenderedPageBreak/>
              <w:t>4.</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 xml:space="preserve">Objem veřejných výdajů na </w:t>
            </w:r>
            <w:proofErr w:type="spellStart"/>
            <w:r w:rsidRPr="005671D4">
              <w:rPr>
                <w:rFonts w:cstheme="minorHAnsi"/>
                <w:b/>
                <w:sz w:val="20"/>
                <w:szCs w:val="20"/>
              </w:rPr>
              <w:t>VaV</w:t>
            </w:r>
            <w:proofErr w:type="spellEnd"/>
            <w:r w:rsidRPr="005671D4">
              <w:rPr>
                <w:rFonts w:cstheme="minorHAnsi"/>
                <w:b/>
                <w:sz w:val="20"/>
                <w:szCs w:val="20"/>
              </w:rPr>
              <w:t>.</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 xml:space="preserve">Podíl státních rozpočtových výdajů a dotací na </w:t>
            </w:r>
            <w:proofErr w:type="spellStart"/>
            <w:r w:rsidRPr="005671D4">
              <w:rPr>
                <w:rFonts w:cstheme="minorHAnsi"/>
                <w:sz w:val="20"/>
                <w:szCs w:val="20"/>
              </w:rPr>
              <w:t>VaV</w:t>
            </w:r>
            <w:proofErr w:type="spellEnd"/>
            <w:r w:rsidRPr="005671D4">
              <w:rPr>
                <w:rFonts w:cstheme="minorHAnsi"/>
                <w:sz w:val="20"/>
                <w:szCs w:val="20"/>
              </w:rPr>
              <w:t xml:space="preserve"> (GBAORD) uskutečněných ve sledovaném roce k hrubému domácímu produktu v tomto roce.</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 xml:space="preserve">ČSÚ – státní rozpočtové výdaje a dotace na </w:t>
            </w:r>
            <w:proofErr w:type="spellStart"/>
            <w:r w:rsidRPr="005671D4">
              <w:rPr>
                <w:rFonts w:cstheme="minorHAnsi"/>
                <w:sz w:val="20"/>
                <w:szCs w:val="20"/>
              </w:rPr>
              <w:t>VaV</w:t>
            </w:r>
            <w:proofErr w:type="spellEnd"/>
            <w:r w:rsidRPr="005671D4">
              <w:rPr>
                <w:rFonts w:cstheme="minorHAnsi"/>
                <w:sz w:val="20"/>
                <w:szCs w:val="20"/>
              </w:rPr>
              <w:t xml:space="preserve"> (</w:t>
            </w:r>
            <w:r w:rsidRPr="005671D4">
              <w:rPr>
                <w:rFonts w:cstheme="minorHAnsi"/>
                <w:sz w:val="20"/>
                <w:szCs w:val="20"/>
                <w:lang w:val="en-GB"/>
              </w:rPr>
              <w:t>Government budget appropriations or outlays for research and development</w:t>
            </w:r>
            <w:r w:rsidRPr="005671D4">
              <w:rPr>
                <w:rFonts w:cstheme="minorHAnsi"/>
                <w:sz w:val="20"/>
                <w:szCs w:val="20"/>
              </w:rPr>
              <w:t>, GBAORD)</w:t>
            </w:r>
          </w:p>
          <w:p w:rsidR="00C3511A" w:rsidRPr="005671D4" w:rsidRDefault="00C3511A" w:rsidP="00747F40">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 státních rozpočtových výdajů a dotací na </w:t>
            </w:r>
            <w:proofErr w:type="spellStart"/>
            <w:r w:rsidRPr="005671D4">
              <w:rPr>
                <w:rFonts w:cstheme="minorHAnsi"/>
                <w:sz w:val="20"/>
                <w:szCs w:val="20"/>
              </w:rPr>
              <w:t>VaV</w:t>
            </w:r>
            <w:proofErr w:type="spellEnd"/>
            <w:r w:rsidRPr="005671D4">
              <w:rPr>
                <w:rFonts w:cstheme="minorHAnsi"/>
                <w:sz w:val="20"/>
                <w:szCs w:val="20"/>
              </w:rPr>
              <w:t xml:space="preserve"> (GBAORD)</w:t>
            </w:r>
          </w:p>
        </w:tc>
        <w:tc>
          <w:tcPr>
            <w:tcW w:w="1547" w:type="dxa"/>
            <w:vAlign w:val="center"/>
          </w:tcPr>
          <w:p w:rsidR="00C3511A" w:rsidRPr="005671D4" w:rsidRDefault="00C3511A" w:rsidP="00747F40">
            <w:pPr>
              <w:rPr>
                <w:rFonts w:cstheme="minorHAnsi"/>
                <w:sz w:val="20"/>
                <w:szCs w:val="20"/>
              </w:rPr>
            </w:pPr>
            <w:r w:rsidRPr="004C6528">
              <w:rPr>
                <w:rFonts w:cstheme="minorHAnsi"/>
                <w:sz w:val="20"/>
                <w:szCs w:val="20"/>
              </w:rPr>
              <w:t>0,6</w:t>
            </w:r>
            <w:r>
              <w:rPr>
                <w:rFonts w:cstheme="minorHAnsi"/>
                <w:sz w:val="20"/>
                <w:szCs w:val="20"/>
              </w:rPr>
              <w:t xml:space="preserve">8 </w:t>
            </w:r>
            <w:r w:rsidRPr="004C6528">
              <w:rPr>
                <w:rFonts w:cstheme="minorHAnsi"/>
                <w:sz w:val="20"/>
                <w:szCs w:val="20"/>
              </w:rPr>
              <w:t>%</w:t>
            </w:r>
            <w:r>
              <w:rPr>
                <w:rFonts w:cstheme="minorHAnsi"/>
                <w:sz w:val="20"/>
                <w:szCs w:val="20"/>
              </w:rPr>
              <w:t xml:space="preserve"> (2012)</w:t>
            </w:r>
          </w:p>
        </w:tc>
        <w:tc>
          <w:tcPr>
            <w:tcW w:w="1358" w:type="dxa"/>
            <w:vAlign w:val="center"/>
          </w:tcPr>
          <w:p w:rsidR="00C3511A" w:rsidRPr="005671D4" w:rsidRDefault="00C3511A" w:rsidP="00747F40">
            <w:pPr>
              <w:rPr>
                <w:rFonts w:cstheme="minorHAnsi"/>
                <w:sz w:val="20"/>
                <w:szCs w:val="20"/>
              </w:rPr>
            </w:pPr>
            <w:r>
              <w:rPr>
                <w:rFonts w:cstheme="minorHAnsi"/>
                <w:sz w:val="20"/>
                <w:szCs w:val="20"/>
              </w:rPr>
              <w:t xml:space="preserve">1,0 % </w:t>
            </w:r>
          </w:p>
        </w:tc>
        <w:tc>
          <w:tcPr>
            <w:tcW w:w="3322" w:type="dxa"/>
            <w:vAlign w:val="center"/>
          </w:tcPr>
          <w:p w:rsidR="00C3511A" w:rsidRPr="005671D4" w:rsidRDefault="00C3511A" w:rsidP="00747F40">
            <w:pPr>
              <w:rPr>
                <w:rFonts w:cstheme="minorHAnsi"/>
                <w:sz w:val="20"/>
                <w:szCs w:val="20"/>
              </w:rPr>
            </w:pPr>
            <w:r w:rsidRPr="007F2748">
              <w:rPr>
                <w:rFonts w:cstheme="minorHAnsi"/>
                <w:sz w:val="20"/>
                <w:szCs w:val="20"/>
              </w:rPr>
              <w:t xml:space="preserve">Cílová hodnota tohoto indikátoru je 1 % HDP, což je výše veřejných výdajů na </w:t>
            </w:r>
            <w:proofErr w:type="spellStart"/>
            <w:r w:rsidRPr="007F2748">
              <w:rPr>
                <w:rFonts w:cstheme="minorHAnsi"/>
                <w:sz w:val="20"/>
                <w:szCs w:val="20"/>
              </w:rPr>
              <w:t>VaV</w:t>
            </w:r>
            <w:proofErr w:type="spellEnd"/>
            <w:r w:rsidRPr="007F2748">
              <w:rPr>
                <w:rFonts w:cstheme="minorHAnsi"/>
                <w:sz w:val="20"/>
                <w:szCs w:val="20"/>
              </w:rPr>
              <w:t>, které se ČR zavázala dosáhnout do roku 2020 v dokumentu „Investice pro evropskou konkurenceschopnost: Příspěvek České republiky ke Strategii Evropa 2020, Národní program reforem České republiky 2012</w:t>
            </w:r>
            <w:r>
              <w:rPr>
                <w:rFonts w:cstheme="minorHAnsi"/>
                <w:sz w:val="20"/>
                <w:szCs w:val="20"/>
              </w:rPr>
              <w:t>“</w:t>
            </w:r>
            <w:r w:rsidRPr="007F2748">
              <w:rPr>
                <w:rFonts w:cstheme="minorHAnsi"/>
                <w:sz w:val="20"/>
                <w:szCs w:val="20"/>
              </w:rPr>
              <w:t xml:space="preserve"> schváleném usnesením vlády ze dne 11. 4. 2012</w:t>
            </w:r>
            <w:r>
              <w:rPr>
                <w:rFonts w:cstheme="minorHAnsi"/>
                <w:sz w:val="20"/>
                <w:szCs w:val="20"/>
              </w:rPr>
              <w:t xml:space="preserve"> č. 271.</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5.</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Počet účastí ČR realizovaných v programu H2020.</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Počet účastí všech subjektů z České republiky (vyjádřeno v %), které jsou nebo byly zapojeny v projektech financovaných v rámcovém programu Horizont 2020 do sledovaného roku</w:t>
            </w:r>
            <w:r w:rsidRPr="00232BE7">
              <w:rPr>
                <w:rFonts w:cstheme="minorHAnsi"/>
                <w:i/>
                <w:sz w:val="20"/>
                <w:szCs w:val="20"/>
              </w:rPr>
              <w:t>.</w:t>
            </w:r>
            <w:r w:rsidR="00991716" w:rsidRPr="00232BE7">
              <w:rPr>
                <w:rFonts w:cstheme="minorHAnsi"/>
                <w:i/>
                <w:sz w:val="20"/>
                <w:szCs w:val="20"/>
              </w:rPr>
              <w:t xml:space="preserve"> Zvláštní význam bude věnován grantům Evropské výzkumné Rady (ERC</w:t>
            </w:r>
            <w:r w:rsidR="00E35899" w:rsidRPr="00232BE7">
              <w:rPr>
                <w:rFonts w:cstheme="minorHAnsi"/>
                <w:i/>
                <w:sz w:val="20"/>
                <w:szCs w:val="20"/>
              </w:rPr>
              <w:t>)</w:t>
            </w:r>
            <w:r w:rsidR="00991716" w:rsidRPr="00232BE7">
              <w:rPr>
                <w:rFonts w:cstheme="minorHAnsi"/>
                <w:i/>
                <w:sz w:val="20"/>
                <w:szCs w:val="20"/>
              </w:rPr>
              <w:t xml:space="preserve"> ve všech jeho kategoriích</w:t>
            </w:r>
            <w:r w:rsidR="00E35899" w:rsidRPr="00232BE7">
              <w:rPr>
                <w:rFonts w:cstheme="minorHAnsi"/>
                <w:i/>
                <w:sz w:val="20"/>
                <w:szCs w:val="20"/>
              </w:rPr>
              <w:t xml:space="preserve"> (junior, </w:t>
            </w:r>
            <w:proofErr w:type="spellStart"/>
            <w:r w:rsidR="00E35899" w:rsidRPr="00232BE7">
              <w:rPr>
                <w:rFonts w:cstheme="minorHAnsi"/>
                <w:i/>
                <w:sz w:val="20"/>
                <w:szCs w:val="20"/>
              </w:rPr>
              <w:t>advanced</w:t>
            </w:r>
            <w:proofErr w:type="spellEnd"/>
            <w:r w:rsidR="00E35899" w:rsidRPr="00232BE7">
              <w:rPr>
                <w:rFonts w:cstheme="minorHAnsi"/>
                <w:i/>
                <w:sz w:val="20"/>
                <w:szCs w:val="20"/>
              </w:rPr>
              <w:t xml:space="preserve">, </w:t>
            </w:r>
            <w:proofErr w:type="spellStart"/>
            <w:r w:rsidR="00E35899" w:rsidRPr="00232BE7">
              <w:rPr>
                <w:rFonts w:cstheme="minorHAnsi"/>
                <w:i/>
                <w:sz w:val="20"/>
                <w:szCs w:val="20"/>
              </w:rPr>
              <w:t>proof</w:t>
            </w:r>
            <w:proofErr w:type="spellEnd"/>
            <w:r w:rsidR="00E35899" w:rsidRPr="00232BE7">
              <w:rPr>
                <w:rFonts w:cstheme="minorHAnsi"/>
                <w:i/>
                <w:sz w:val="20"/>
                <w:szCs w:val="20"/>
              </w:rPr>
              <w:t xml:space="preserve"> </w:t>
            </w:r>
            <w:proofErr w:type="spellStart"/>
            <w:r w:rsidR="00E35899" w:rsidRPr="00232BE7">
              <w:rPr>
                <w:rFonts w:cstheme="minorHAnsi"/>
                <w:i/>
                <w:sz w:val="20"/>
                <w:szCs w:val="20"/>
              </w:rPr>
              <w:t>of</w:t>
            </w:r>
            <w:proofErr w:type="spellEnd"/>
            <w:r w:rsidR="00E35899" w:rsidRPr="00232BE7">
              <w:rPr>
                <w:rFonts w:cstheme="minorHAnsi"/>
                <w:i/>
                <w:sz w:val="20"/>
                <w:szCs w:val="20"/>
              </w:rPr>
              <w:t xml:space="preserve"> </w:t>
            </w:r>
            <w:proofErr w:type="spellStart"/>
            <w:r w:rsidR="00E35899" w:rsidRPr="00232BE7">
              <w:rPr>
                <w:rFonts w:cstheme="minorHAnsi"/>
                <w:i/>
                <w:sz w:val="20"/>
                <w:szCs w:val="20"/>
              </w:rPr>
              <w:t>concept</w:t>
            </w:r>
            <w:proofErr w:type="spellEnd"/>
            <w:r w:rsidR="00E35899" w:rsidRPr="00232BE7">
              <w:rPr>
                <w:rFonts w:cstheme="minorHAnsi"/>
                <w:i/>
                <w:sz w:val="20"/>
                <w:szCs w:val="20"/>
              </w:rPr>
              <w:t xml:space="preserve">, </w:t>
            </w:r>
            <w:proofErr w:type="spellStart"/>
            <w:r w:rsidR="00E35899" w:rsidRPr="00232BE7">
              <w:rPr>
                <w:rFonts w:cstheme="minorHAnsi"/>
                <w:i/>
                <w:sz w:val="20"/>
                <w:szCs w:val="20"/>
              </w:rPr>
              <w:t>synergy</w:t>
            </w:r>
            <w:proofErr w:type="spellEnd"/>
            <w:r w:rsidR="00E35899" w:rsidRPr="00232BE7">
              <w:rPr>
                <w:rFonts w:cstheme="minorHAnsi"/>
                <w:i/>
                <w:sz w:val="20"/>
                <w:szCs w:val="20"/>
              </w:rPr>
              <w:t>)</w:t>
            </w:r>
            <w:r w:rsidR="00991716" w:rsidRPr="00232BE7">
              <w:rPr>
                <w:rFonts w:cstheme="minorHAnsi"/>
                <w:i/>
                <w:sz w:val="20"/>
                <w:szCs w:val="20"/>
              </w:rPr>
              <w:t xml:space="preserve"> a aktivitám věnovaným partnerství k podpoře excelence.</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Databáze E-Corda</w:t>
            </w:r>
          </w:p>
        </w:tc>
        <w:tc>
          <w:tcPr>
            <w:tcW w:w="1547" w:type="dxa"/>
            <w:vAlign w:val="center"/>
          </w:tcPr>
          <w:p w:rsidR="00C3511A" w:rsidRPr="005671D4" w:rsidRDefault="00C3511A" w:rsidP="00747F40">
            <w:pPr>
              <w:rPr>
                <w:rFonts w:cstheme="minorHAnsi"/>
                <w:sz w:val="20"/>
                <w:szCs w:val="20"/>
              </w:rPr>
            </w:pPr>
            <w:r w:rsidRPr="00AD1490">
              <w:rPr>
                <w:rFonts w:cstheme="minorHAnsi"/>
                <w:sz w:val="20"/>
                <w:szCs w:val="20"/>
              </w:rPr>
              <w:t>1,3 %</w:t>
            </w:r>
            <w:r>
              <w:rPr>
                <w:rFonts w:cstheme="minorHAnsi"/>
                <w:sz w:val="20"/>
                <w:szCs w:val="20"/>
              </w:rPr>
              <w:t xml:space="preserve"> (účast v 7. RP)</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2,4 %</w:t>
            </w:r>
          </w:p>
        </w:tc>
        <w:tc>
          <w:tcPr>
            <w:tcW w:w="3322" w:type="dxa"/>
            <w:vAlign w:val="center"/>
          </w:tcPr>
          <w:p w:rsidR="00C3511A" w:rsidRPr="005671D4" w:rsidRDefault="00C3511A" w:rsidP="00747F40">
            <w:pPr>
              <w:rPr>
                <w:rFonts w:cstheme="minorHAnsi"/>
                <w:sz w:val="20"/>
                <w:szCs w:val="20"/>
              </w:rPr>
            </w:pPr>
            <w:r w:rsidRPr="00A111B7">
              <w:rPr>
                <w:rFonts w:cstheme="minorHAnsi"/>
                <w:sz w:val="20"/>
                <w:szCs w:val="20"/>
              </w:rPr>
              <w:t xml:space="preserve">Cílová hodnota indikátoru byla stanovena tak, aby ČR v </w:t>
            </w:r>
            <w:r>
              <w:rPr>
                <w:rFonts w:cstheme="minorHAnsi"/>
                <w:sz w:val="20"/>
                <w:szCs w:val="20"/>
              </w:rPr>
              <w:t>počtu účastí v programu H</w:t>
            </w:r>
            <w:r w:rsidRPr="00A111B7">
              <w:rPr>
                <w:rFonts w:cstheme="minorHAnsi"/>
                <w:sz w:val="20"/>
                <w:szCs w:val="20"/>
              </w:rPr>
              <w:t>2020 přesáhla průměr EU-27 a vyrovnala se velikostně srovnatelným zemím s kvalitním a rozvinutým výzkumným systémem, jako je například Rakousko, Belgie, Nizozemsko, Švédsko a Dánsko. Zvýšení účasti nad průměr EU-27 a přiblížení se výše uvedeným zemím je nezbytné i v souvislosti budováním Evropských center excelence, kde je zapojení do mezinárodní výzkumné spolupráce jedním z předpokladů pro zajištění jejich dlouhodobé udržitelnosti.</w:t>
            </w:r>
          </w:p>
        </w:tc>
      </w:tr>
      <w:tr w:rsidR="00991716" w:rsidRPr="005671D4" w:rsidTr="00C3511A">
        <w:trPr>
          <w:trHeight w:val="794"/>
        </w:trPr>
        <w:tc>
          <w:tcPr>
            <w:tcW w:w="513" w:type="dxa"/>
            <w:vAlign w:val="center"/>
          </w:tcPr>
          <w:p w:rsidR="00991716" w:rsidRPr="000A03FD" w:rsidRDefault="00991716" w:rsidP="00747F40">
            <w:pPr>
              <w:rPr>
                <w:rFonts w:cstheme="minorHAnsi"/>
              </w:rPr>
            </w:pPr>
          </w:p>
        </w:tc>
        <w:tc>
          <w:tcPr>
            <w:tcW w:w="1983" w:type="dxa"/>
            <w:vAlign w:val="center"/>
          </w:tcPr>
          <w:p w:rsidR="00991716" w:rsidRPr="00232BE7" w:rsidRDefault="00F927D2" w:rsidP="00F927D2">
            <w:pPr>
              <w:rPr>
                <w:rFonts w:cstheme="minorHAnsi"/>
                <w:b/>
                <w:i/>
                <w:sz w:val="20"/>
                <w:szCs w:val="20"/>
              </w:rPr>
            </w:pPr>
            <w:r w:rsidRPr="00232BE7">
              <w:rPr>
                <w:rFonts w:cstheme="minorHAnsi"/>
                <w:b/>
                <w:i/>
                <w:sz w:val="20"/>
                <w:szCs w:val="20"/>
              </w:rPr>
              <w:t xml:space="preserve">Počet programů financovaných ze státního rozpočtu zaměřených na podporu internacionalizace </w:t>
            </w:r>
            <w:proofErr w:type="spellStart"/>
            <w:r w:rsidRPr="00232BE7">
              <w:rPr>
                <w:rFonts w:cstheme="minorHAnsi"/>
                <w:b/>
                <w:i/>
                <w:sz w:val="20"/>
                <w:szCs w:val="20"/>
              </w:rPr>
              <w:t>VaVaI</w:t>
            </w:r>
            <w:proofErr w:type="spellEnd"/>
            <w:r w:rsidRPr="00232BE7">
              <w:rPr>
                <w:rFonts w:cstheme="minorHAnsi"/>
                <w:b/>
                <w:i/>
                <w:sz w:val="20"/>
                <w:szCs w:val="20"/>
              </w:rPr>
              <w:t>.</w:t>
            </w:r>
          </w:p>
        </w:tc>
        <w:tc>
          <w:tcPr>
            <w:tcW w:w="3278" w:type="dxa"/>
            <w:vAlign w:val="center"/>
          </w:tcPr>
          <w:p w:rsidR="00991716" w:rsidRPr="00232BE7" w:rsidRDefault="001165D6" w:rsidP="00747F40">
            <w:pPr>
              <w:rPr>
                <w:rFonts w:cstheme="minorHAnsi"/>
                <w:i/>
                <w:sz w:val="20"/>
                <w:szCs w:val="20"/>
              </w:rPr>
            </w:pPr>
            <w:r w:rsidRPr="00232BE7">
              <w:rPr>
                <w:rFonts w:cstheme="minorHAnsi"/>
                <w:i/>
                <w:sz w:val="20"/>
                <w:szCs w:val="20"/>
              </w:rPr>
              <w:t xml:space="preserve">Počet programů řešených v letech 2009 – 2020, ve kterých byly podporovány aktivity mezinárodní spolupráce ve </w:t>
            </w:r>
            <w:proofErr w:type="spellStart"/>
            <w:r w:rsidRPr="00232BE7">
              <w:rPr>
                <w:rFonts w:cstheme="minorHAnsi"/>
                <w:i/>
                <w:sz w:val="20"/>
                <w:szCs w:val="20"/>
              </w:rPr>
              <w:t>VaVaI</w:t>
            </w:r>
            <w:proofErr w:type="spellEnd"/>
            <w:r w:rsidRPr="00232BE7">
              <w:rPr>
                <w:rFonts w:cstheme="minorHAnsi"/>
                <w:i/>
                <w:sz w:val="20"/>
                <w:szCs w:val="20"/>
              </w:rPr>
              <w:t xml:space="preserve">, které nebyly spolufinancovány </w:t>
            </w:r>
            <w:r w:rsidR="00A67AAF" w:rsidRPr="00232BE7">
              <w:rPr>
                <w:rFonts w:cstheme="minorHAnsi"/>
                <w:i/>
                <w:sz w:val="20"/>
                <w:szCs w:val="20"/>
              </w:rPr>
              <w:t>z evropských zdrojů.</w:t>
            </w:r>
          </w:p>
        </w:tc>
        <w:tc>
          <w:tcPr>
            <w:tcW w:w="2217" w:type="dxa"/>
            <w:vAlign w:val="center"/>
          </w:tcPr>
          <w:p w:rsidR="00991716" w:rsidRPr="005671D4" w:rsidRDefault="00991716" w:rsidP="00747F40">
            <w:pPr>
              <w:rPr>
                <w:rFonts w:cstheme="minorHAnsi"/>
                <w:sz w:val="20"/>
                <w:szCs w:val="20"/>
              </w:rPr>
            </w:pPr>
          </w:p>
        </w:tc>
        <w:tc>
          <w:tcPr>
            <w:tcW w:w="1547" w:type="dxa"/>
            <w:vAlign w:val="center"/>
          </w:tcPr>
          <w:p w:rsidR="00991716" w:rsidRPr="00AD1490" w:rsidRDefault="00991716" w:rsidP="00747F40">
            <w:pPr>
              <w:rPr>
                <w:rFonts w:cstheme="minorHAnsi"/>
                <w:sz w:val="20"/>
                <w:szCs w:val="20"/>
              </w:rPr>
            </w:pPr>
          </w:p>
        </w:tc>
        <w:tc>
          <w:tcPr>
            <w:tcW w:w="1358" w:type="dxa"/>
            <w:vAlign w:val="center"/>
          </w:tcPr>
          <w:p w:rsidR="00991716" w:rsidRPr="005671D4" w:rsidRDefault="00991716" w:rsidP="00747F40">
            <w:pPr>
              <w:rPr>
                <w:rFonts w:cstheme="minorHAnsi"/>
                <w:sz w:val="20"/>
                <w:szCs w:val="20"/>
              </w:rPr>
            </w:pPr>
          </w:p>
        </w:tc>
        <w:tc>
          <w:tcPr>
            <w:tcW w:w="3322" w:type="dxa"/>
            <w:vAlign w:val="center"/>
          </w:tcPr>
          <w:p w:rsidR="00991716" w:rsidRPr="00A111B7" w:rsidRDefault="00991716" w:rsidP="00747F40">
            <w:pPr>
              <w:rPr>
                <w:rFonts w:cstheme="minorHAnsi"/>
                <w:sz w:val="20"/>
                <w:szCs w:val="20"/>
              </w:rPr>
            </w:pPr>
          </w:p>
        </w:tc>
      </w:tr>
      <w:tr w:rsidR="001165D6" w:rsidRPr="005671D4" w:rsidTr="00C3511A">
        <w:trPr>
          <w:trHeight w:val="794"/>
        </w:trPr>
        <w:tc>
          <w:tcPr>
            <w:tcW w:w="513" w:type="dxa"/>
            <w:vAlign w:val="center"/>
          </w:tcPr>
          <w:p w:rsidR="001165D6" w:rsidRPr="000A03FD" w:rsidRDefault="001165D6" w:rsidP="00747F40">
            <w:pPr>
              <w:rPr>
                <w:rFonts w:cstheme="minorHAnsi"/>
              </w:rPr>
            </w:pPr>
          </w:p>
        </w:tc>
        <w:tc>
          <w:tcPr>
            <w:tcW w:w="1983" w:type="dxa"/>
            <w:vAlign w:val="center"/>
          </w:tcPr>
          <w:p w:rsidR="001165D6" w:rsidRPr="00232BE7" w:rsidRDefault="001165D6" w:rsidP="001165D6">
            <w:pPr>
              <w:rPr>
                <w:rFonts w:cstheme="minorHAnsi"/>
                <w:b/>
                <w:i/>
                <w:sz w:val="20"/>
                <w:szCs w:val="20"/>
              </w:rPr>
            </w:pPr>
            <w:r w:rsidRPr="00232BE7">
              <w:rPr>
                <w:rFonts w:cstheme="minorHAnsi"/>
                <w:b/>
                <w:i/>
                <w:sz w:val="20"/>
                <w:szCs w:val="20"/>
              </w:rPr>
              <w:t>Počet nově přijímaných vědeckých pracovníků.</w:t>
            </w:r>
          </w:p>
          <w:p w:rsidR="001165D6" w:rsidRPr="00232BE7" w:rsidRDefault="001165D6" w:rsidP="00F927D2">
            <w:pPr>
              <w:rPr>
                <w:rFonts w:cstheme="minorHAnsi"/>
                <w:b/>
                <w:i/>
                <w:sz w:val="20"/>
                <w:szCs w:val="20"/>
              </w:rPr>
            </w:pPr>
          </w:p>
        </w:tc>
        <w:tc>
          <w:tcPr>
            <w:tcW w:w="3278" w:type="dxa"/>
            <w:vAlign w:val="center"/>
          </w:tcPr>
          <w:p w:rsidR="001165D6" w:rsidRPr="00232BE7" w:rsidRDefault="001165D6" w:rsidP="00747F40">
            <w:pPr>
              <w:rPr>
                <w:rFonts w:cstheme="minorHAnsi"/>
                <w:i/>
                <w:sz w:val="20"/>
                <w:szCs w:val="20"/>
              </w:rPr>
            </w:pPr>
            <w:r w:rsidRPr="00232BE7">
              <w:rPr>
                <w:rFonts w:cstheme="minorHAnsi"/>
                <w:i/>
                <w:sz w:val="20"/>
                <w:szCs w:val="20"/>
              </w:rPr>
              <w:t>Počet nově obsazovaných vědeckých pozic ve výzkumných organizacích na základě mezinárodního výběrového řízení k celkovému počtu obsazovaných vědeckých pozic.</w:t>
            </w:r>
          </w:p>
          <w:p w:rsidR="001165D6" w:rsidRPr="00232BE7" w:rsidRDefault="001165D6" w:rsidP="00747F40">
            <w:pPr>
              <w:rPr>
                <w:rFonts w:cstheme="minorHAnsi"/>
                <w:i/>
                <w:sz w:val="20"/>
                <w:szCs w:val="20"/>
              </w:rPr>
            </w:pPr>
            <w:r w:rsidRPr="00232BE7">
              <w:rPr>
                <w:rFonts w:cstheme="minorHAnsi"/>
                <w:i/>
                <w:sz w:val="20"/>
                <w:szCs w:val="20"/>
              </w:rPr>
              <w:t>Podrobněji budou sledována také kritéria výběrových řízení</w:t>
            </w:r>
          </w:p>
        </w:tc>
        <w:tc>
          <w:tcPr>
            <w:tcW w:w="2217" w:type="dxa"/>
            <w:vAlign w:val="center"/>
          </w:tcPr>
          <w:p w:rsidR="001165D6" w:rsidRPr="005671D4" w:rsidRDefault="001165D6" w:rsidP="00747F40">
            <w:pPr>
              <w:rPr>
                <w:rFonts w:cstheme="minorHAnsi"/>
                <w:sz w:val="20"/>
                <w:szCs w:val="20"/>
              </w:rPr>
            </w:pPr>
          </w:p>
        </w:tc>
        <w:tc>
          <w:tcPr>
            <w:tcW w:w="1547" w:type="dxa"/>
            <w:vAlign w:val="center"/>
          </w:tcPr>
          <w:p w:rsidR="001165D6" w:rsidRPr="00AD1490" w:rsidRDefault="001165D6" w:rsidP="00747F40">
            <w:pPr>
              <w:rPr>
                <w:rFonts w:cstheme="minorHAnsi"/>
                <w:sz w:val="20"/>
                <w:szCs w:val="20"/>
              </w:rPr>
            </w:pPr>
          </w:p>
        </w:tc>
        <w:tc>
          <w:tcPr>
            <w:tcW w:w="1358" w:type="dxa"/>
            <w:vAlign w:val="center"/>
          </w:tcPr>
          <w:p w:rsidR="001165D6" w:rsidRPr="005671D4" w:rsidRDefault="001165D6" w:rsidP="00747F40">
            <w:pPr>
              <w:rPr>
                <w:rFonts w:cstheme="minorHAnsi"/>
                <w:sz w:val="20"/>
                <w:szCs w:val="20"/>
              </w:rPr>
            </w:pPr>
          </w:p>
        </w:tc>
        <w:tc>
          <w:tcPr>
            <w:tcW w:w="3322" w:type="dxa"/>
            <w:vAlign w:val="center"/>
          </w:tcPr>
          <w:p w:rsidR="001165D6" w:rsidRPr="00A111B7" w:rsidRDefault="001165D6" w:rsidP="00747F40">
            <w:pPr>
              <w:rPr>
                <w:rFonts w:cstheme="minorHAnsi"/>
                <w:sz w:val="20"/>
                <w:szCs w:val="20"/>
              </w:rPr>
            </w:pP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6.</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Počet přihlášek PCT patentů.</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 xml:space="preserve">Počet mezinárodních přihlášek podle Smlouvy o patentové spolupráci (Patent </w:t>
            </w:r>
            <w:proofErr w:type="spellStart"/>
            <w:r w:rsidRPr="005671D4">
              <w:rPr>
                <w:rFonts w:cstheme="minorHAnsi"/>
                <w:sz w:val="20"/>
                <w:szCs w:val="20"/>
              </w:rPr>
              <w:t>Cooperation</w:t>
            </w:r>
            <w:proofErr w:type="spellEnd"/>
            <w:r w:rsidRPr="005671D4">
              <w:rPr>
                <w:rFonts w:cstheme="minorHAnsi"/>
                <w:sz w:val="20"/>
                <w:szCs w:val="20"/>
              </w:rPr>
              <w:t xml:space="preserve"> </w:t>
            </w:r>
            <w:proofErr w:type="spellStart"/>
            <w:r w:rsidRPr="005671D4">
              <w:rPr>
                <w:rFonts w:cstheme="minorHAnsi"/>
                <w:sz w:val="20"/>
                <w:szCs w:val="20"/>
              </w:rPr>
              <w:t>Treaty</w:t>
            </w:r>
            <w:proofErr w:type="spellEnd"/>
            <w:r w:rsidRPr="005671D4">
              <w:rPr>
                <w:rFonts w:cstheme="minorHAnsi"/>
                <w:sz w:val="20"/>
                <w:szCs w:val="20"/>
              </w:rPr>
              <w:t>, PCT), které byly ve sledovaném roce (rok priority) podány subjekty z ČR.</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ÚPV (nebo ČSÚ)</w:t>
            </w:r>
          </w:p>
          <w:p w:rsidR="00C3511A" w:rsidRPr="005671D4" w:rsidRDefault="00C3511A" w:rsidP="00747F40">
            <w:pPr>
              <w:rPr>
                <w:rFonts w:cstheme="minorHAnsi"/>
                <w:sz w:val="20"/>
                <w:szCs w:val="20"/>
              </w:rPr>
            </w:pPr>
            <w:r w:rsidRPr="005671D4">
              <w:rPr>
                <w:rFonts w:cstheme="minorHAnsi"/>
                <w:sz w:val="20"/>
                <w:szCs w:val="20"/>
              </w:rPr>
              <w:t xml:space="preserve">OECD a </w:t>
            </w:r>
            <w:proofErr w:type="spellStart"/>
            <w:r w:rsidRPr="005671D4">
              <w:rPr>
                <w:rFonts w:cstheme="minorHAnsi"/>
                <w:sz w:val="20"/>
                <w:szCs w:val="20"/>
              </w:rPr>
              <w:t>Eurostat</w:t>
            </w:r>
            <w:proofErr w:type="spellEnd"/>
            <w:r w:rsidRPr="005671D4">
              <w:rPr>
                <w:rFonts w:cstheme="minorHAnsi"/>
                <w:sz w:val="20"/>
                <w:szCs w:val="20"/>
              </w:rPr>
              <w:t xml:space="preserve"> - mezinárodní srovnání</w:t>
            </w:r>
          </w:p>
        </w:tc>
        <w:tc>
          <w:tcPr>
            <w:tcW w:w="1547" w:type="dxa"/>
            <w:vAlign w:val="center"/>
          </w:tcPr>
          <w:p w:rsidR="00C3511A" w:rsidRPr="005671D4" w:rsidRDefault="00C3511A" w:rsidP="00747F40">
            <w:pPr>
              <w:rPr>
                <w:rFonts w:cstheme="minorHAnsi"/>
                <w:sz w:val="20"/>
                <w:szCs w:val="20"/>
              </w:rPr>
            </w:pPr>
            <w:r>
              <w:rPr>
                <w:rFonts w:cstheme="minorHAnsi"/>
                <w:sz w:val="20"/>
                <w:szCs w:val="20"/>
              </w:rPr>
              <w:t>145 (2011)</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500</w:t>
            </w:r>
          </w:p>
        </w:tc>
        <w:tc>
          <w:tcPr>
            <w:tcW w:w="3322" w:type="dxa"/>
            <w:vAlign w:val="center"/>
          </w:tcPr>
          <w:p w:rsidR="00C3511A" w:rsidRPr="005671D4" w:rsidRDefault="00C3511A" w:rsidP="00747F40">
            <w:pPr>
              <w:rPr>
                <w:rFonts w:cstheme="minorHAnsi"/>
                <w:sz w:val="20"/>
                <w:szCs w:val="20"/>
              </w:rPr>
            </w:pPr>
            <w:r w:rsidRPr="00AC4948">
              <w:rPr>
                <w:rFonts w:cstheme="minorHAnsi"/>
                <w:sz w:val="20"/>
                <w:szCs w:val="20"/>
              </w:rPr>
              <w:t>Dlouhodobým cílem by mělo být, aby se patentová aktivita ČR přiblížila aktivitě, která odpovídá průměru EU-15. Vzhledem k tomu, že zaostávání ČR za</w:t>
            </w:r>
            <w:r>
              <w:rPr>
                <w:rFonts w:cstheme="minorHAnsi"/>
                <w:sz w:val="20"/>
                <w:szCs w:val="20"/>
              </w:rPr>
              <w:t xml:space="preserve"> zeměmi EU-15 je značné, jako c</w:t>
            </w:r>
            <w:r w:rsidRPr="00AC4948">
              <w:rPr>
                <w:rFonts w:cstheme="minorHAnsi"/>
                <w:sz w:val="20"/>
                <w:szCs w:val="20"/>
              </w:rPr>
              <w:t xml:space="preserve">íl lze stanovit, že patentová aktivita ČR v roce 2020 dosáhne třetinové hodnoty, jako je </w:t>
            </w:r>
            <w:r>
              <w:rPr>
                <w:rFonts w:cstheme="minorHAnsi"/>
                <w:sz w:val="20"/>
                <w:szCs w:val="20"/>
              </w:rPr>
              <w:t xml:space="preserve">v současné době v průměru EU-15. </w:t>
            </w:r>
            <w:r w:rsidRPr="00AC4948">
              <w:rPr>
                <w:rFonts w:cstheme="minorHAnsi"/>
                <w:sz w:val="20"/>
                <w:szCs w:val="20"/>
              </w:rPr>
              <w:t xml:space="preserve">Pro výpočet cílové hodnoty je využito mezinárodní srovnání počtu PCT přihlášek v databázi </w:t>
            </w:r>
            <w:proofErr w:type="spellStart"/>
            <w:r w:rsidRPr="00AC4948">
              <w:rPr>
                <w:rFonts w:cstheme="minorHAnsi"/>
                <w:sz w:val="20"/>
                <w:szCs w:val="20"/>
              </w:rPr>
              <w:t>Eurostat</w:t>
            </w:r>
            <w:proofErr w:type="spellEnd"/>
            <w:r w:rsidRPr="00AC4948">
              <w:rPr>
                <w:rFonts w:cstheme="minorHAnsi"/>
                <w:sz w:val="20"/>
                <w:szCs w:val="20"/>
              </w:rPr>
              <w:t xml:space="preserve"> vztažených na 1 milión obyvatel, což odráží velikost země</w:t>
            </w:r>
            <w:r>
              <w:rPr>
                <w:rFonts w:cstheme="minorHAnsi"/>
                <w:sz w:val="20"/>
                <w:szCs w:val="20"/>
              </w:rPr>
              <w:t>.</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7.</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Podíl prostředků ve veřejném výzkumu získaných ze soukromých (domácích i zahraničních) zdrojů.</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 xml:space="preserve">Podíl finančních prostředků pocházejících z podnikatelského sektoru (z domácích i zahraničních zdrojů) v celkových výdajích na </w:t>
            </w:r>
            <w:proofErr w:type="spellStart"/>
            <w:r w:rsidRPr="005671D4">
              <w:rPr>
                <w:rFonts w:cstheme="minorHAnsi"/>
                <w:sz w:val="20"/>
                <w:szCs w:val="20"/>
              </w:rPr>
              <w:t>VaV</w:t>
            </w:r>
            <w:proofErr w:type="spellEnd"/>
            <w:r w:rsidRPr="005671D4">
              <w:rPr>
                <w:rFonts w:cstheme="minorHAnsi"/>
                <w:sz w:val="20"/>
                <w:szCs w:val="20"/>
              </w:rPr>
              <w:t xml:space="preserve">, které byly uskutečněny ve sledovaném roce ve vládním a vysokoškolském sektoru. </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 xml:space="preserve">ČSÚ -  výdaje na </w:t>
            </w:r>
            <w:proofErr w:type="spellStart"/>
            <w:r w:rsidRPr="005671D4">
              <w:rPr>
                <w:rFonts w:cstheme="minorHAnsi"/>
                <w:sz w:val="20"/>
                <w:szCs w:val="20"/>
              </w:rPr>
              <w:t>VaV</w:t>
            </w:r>
            <w:proofErr w:type="spellEnd"/>
            <w:r w:rsidRPr="005671D4">
              <w:rPr>
                <w:rFonts w:cstheme="minorHAnsi"/>
                <w:sz w:val="20"/>
                <w:szCs w:val="20"/>
              </w:rPr>
              <w:t xml:space="preserve"> v sektorech provádění podle zdrojů jejich financování</w:t>
            </w:r>
          </w:p>
          <w:p w:rsidR="00C3511A" w:rsidRPr="005671D4" w:rsidRDefault="00C3511A" w:rsidP="00747F40">
            <w:pPr>
              <w:rPr>
                <w:rFonts w:cstheme="minorHAnsi"/>
                <w:sz w:val="20"/>
                <w:szCs w:val="20"/>
              </w:rPr>
            </w:pPr>
            <w:proofErr w:type="spellStart"/>
            <w:r w:rsidRPr="005671D4">
              <w:rPr>
                <w:rFonts w:cstheme="minorHAnsi"/>
                <w:sz w:val="20"/>
                <w:szCs w:val="20"/>
              </w:rPr>
              <w:t>Eurostat</w:t>
            </w:r>
            <w:proofErr w:type="spellEnd"/>
            <w:r w:rsidRPr="005671D4">
              <w:rPr>
                <w:rFonts w:cstheme="minorHAnsi"/>
                <w:sz w:val="20"/>
                <w:szCs w:val="20"/>
              </w:rPr>
              <w:t xml:space="preserve"> - mezinárodní srovnání</w:t>
            </w:r>
          </w:p>
        </w:tc>
        <w:tc>
          <w:tcPr>
            <w:tcW w:w="1547" w:type="dxa"/>
            <w:vAlign w:val="center"/>
          </w:tcPr>
          <w:p w:rsidR="00C3511A" w:rsidRPr="009C2D70" w:rsidRDefault="00C3511A" w:rsidP="00747F40">
            <w:pPr>
              <w:rPr>
                <w:rFonts w:cstheme="minorHAnsi"/>
                <w:sz w:val="20"/>
                <w:szCs w:val="20"/>
              </w:rPr>
            </w:pPr>
            <w:r>
              <w:rPr>
                <w:rFonts w:cstheme="minorHAnsi"/>
                <w:sz w:val="20"/>
                <w:szCs w:val="20"/>
              </w:rPr>
              <w:t>5</w:t>
            </w:r>
            <w:r w:rsidRPr="009C2D70">
              <w:rPr>
                <w:rFonts w:cstheme="minorHAnsi"/>
                <w:sz w:val="20"/>
                <w:szCs w:val="20"/>
              </w:rPr>
              <w:t>,</w:t>
            </w:r>
            <w:r>
              <w:rPr>
                <w:rFonts w:cstheme="minorHAnsi"/>
                <w:sz w:val="20"/>
                <w:szCs w:val="20"/>
              </w:rPr>
              <w:t>6</w:t>
            </w:r>
            <w:r w:rsidRPr="009C2D70">
              <w:rPr>
                <w:rFonts w:cstheme="minorHAnsi"/>
                <w:sz w:val="20"/>
                <w:szCs w:val="20"/>
              </w:rPr>
              <w:t xml:space="preserve"> %</w:t>
            </w:r>
            <w:r>
              <w:rPr>
                <w:rFonts w:cstheme="minorHAnsi"/>
                <w:sz w:val="20"/>
                <w:szCs w:val="20"/>
              </w:rPr>
              <w:t xml:space="preserve"> (2012)</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8 %</w:t>
            </w:r>
          </w:p>
        </w:tc>
        <w:tc>
          <w:tcPr>
            <w:tcW w:w="3322" w:type="dxa"/>
            <w:vAlign w:val="center"/>
          </w:tcPr>
          <w:p w:rsidR="00C3511A" w:rsidRPr="005671D4" w:rsidRDefault="00C3511A" w:rsidP="00747F40">
            <w:pPr>
              <w:rPr>
                <w:rFonts w:cstheme="minorHAnsi"/>
                <w:sz w:val="20"/>
                <w:szCs w:val="20"/>
              </w:rPr>
            </w:pPr>
            <w:r w:rsidRPr="00D36893">
              <w:rPr>
                <w:rFonts w:cstheme="minorHAnsi"/>
                <w:sz w:val="20"/>
                <w:szCs w:val="20"/>
              </w:rPr>
              <w:t>Cílovou hodnotu indikátoru k roku 2020 lze stanovit na 8 %, což je mírně nad průměrem EU-27 i EU-15, který v roce 2010 činil 7,2% a který se v posledních letech prakticky neměnil</w:t>
            </w:r>
            <w:r>
              <w:rPr>
                <w:rFonts w:cstheme="minorHAnsi"/>
                <w:sz w:val="20"/>
                <w:szCs w:val="20"/>
              </w:rPr>
              <w:t>.</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8.</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Počet spin-</w:t>
            </w:r>
            <w:proofErr w:type="spellStart"/>
            <w:r w:rsidRPr="005671D4">
              <w:rPr>
                <w:rFonts w:cstheme="minorHAnsi"/>
                <w:b/>
                <w:sz w:val="20"/>
                <w:szCs w:val="20"/>
              </w:rPr>
              <w:t>off</w:t>
            </w:r>
            <w:proofErr w:type="spellEnd"/>
            <w:r w:rsidRPr="005671D4">
              <w:rPr>
                <w:rFonts w:cstheme="minorHAnsi"/>
                <w:b/>
                <w:sz w:val="20"/>
                <w:szCs w:val="20"/>
              </w:rPr>
              <w:t xml:space="preserve"> založených VO.</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Celkový počet spin-</w:t>
            </w:r>
            <w:proofErr w:type="spellStart"/>
            <w:r w:rsidRPr="005671D4">
              <w:rPr>
                <w:rFonts w:cstheme="minorHAnsi"/>
                <w:sz w:val="20"/>
                <w:szCs w:val="20"/>
              </w:rPr>
              <w:t>off</w:t>
            </w:r>
            <w:proofErr w:type="spellEnd"/>
            <w:r w:rsidRPr="005671D4">
              <w:rPr>
                <w:rFonts w:cstheme="minorHAnsi"/>
                <w:sz w:val="20"/>
                <w:szCs w:val="20"/>
              </w:rPr>
              <w:t xml:space="preserve"> firem, které byly založeny ve sledovaném roce všemi VO v ČR (s majetkovou účastí VO i bez majetkové účasti VO).</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Specificky zaměřené analýzy, studie či šetření, které vycházejí z průzkumů mezi VO.</w:t>
            </w:r>
          </w:p>
        </w:tc>
        <w:tc>
          <w:tcPr>
            <w:tcW w:w="1547" w:type="dxa"/>
            <w:vAlign w:val="center"/>
          </w:tcPr>
          <w:p w:rsidR="00C3511A" w:rsidRPr="005671D4" w:rsidRDefault="00C3511A" w:rsidP="00747F40">
            <w:pPr>
              <w:rPr>
                <w:rFonts w:cstheme="minorHAnsi"/>
                <w:sz w:val="20"/>
                <w:szCs w:val="20"/>
              </w:rPr>
            </w:pPr>
            <w:r>
              <w:rPr>
                <w:rFonts w:cstheme="minorHAnsi"/>
                <w:sz w:val="20"/>
                <w:szCs w:val="20"/>
              </w:rPr>
              <w:t>25 (2011)</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30</w:t>
            </w:r>
          </w:p>
        </w:tc>
        <w:tc>
          <w:tcPr>
            <w:tcW w:w="3322" w:type="dxa"/>
            <w:vAlign w:val="center"/>
          </w:tcPr>
          <w:p w:rsidR="00C3511A" w:rsidRPr="005671D4" w:rsidRDefault="00C3511A" w:rsidP="00747F40">
            <w:pPr>
              <w:rPr>
                <w:rFonts w:cstheme="minorHAnsi"/>
                <w:sz w:val="20"/>
                <w:szCs w:val="20"/>
              </w:rPr>
            </w:pPr>
            <w:r>
              <w:rPr>
                <w:rFonts w:cstheme="minorHAnsi"/>
                <w:sz w:val="20"/>
                <w:szCs w:val="20"/>
              </w:rPr>
              <w:t xml:space="preserve">V roce 2011 </w:t>
            </w:r>
            <w:r w:rsidRPr="00F32FCD">
              <w:rPr>
                <w:rFonts w:cstheme="minorHAnsi"/>
                <w:sz w:val="20"/>
                <w:szCs w:val="20"/>
              </w:rPr>
              <w:t>v ČR mělo vzniknout přibližně 25 spin-</w:t>
            </w:r>
            <w:proofErr w:type="spellStart"/>
            <w:r w:rsidRPr="00F32FCD">
              <w:rPr>
                <w:rFonts w:cstheme="minorHAnsi"/>
                <w:sz w:val="20"/>
                <w:szCs w:val="20"/>
              </w:rPr>
              <w:t>off</w:t>
            </w:r>
            <w:proofErr w:type="spellEnd"/>
            <w:r w:rsidRPr="00F32FCD">
              <w:rPr>
                <w:rFonts w:cstheme="minorHAnsi"/>
                <w:sz w:val="20"/>
                <w:szCs w:val="20"/>
              </w:rPr>
              <w:t xml:space="preserve"> firem. Pokud budeme předpokládat, že počet výzkumných pracovníků poroste v ČR stejným tempem jako dosud (tj. mezi lety 2006 a 2011), lze předpokládat, že v roce 2020 by mělo v ČR vzniknout přibližně 30 nových spin-</w:t>
            </w:r>
            <w:proofErr w:type="spellStart"/>
            <w:r w:rsidRPr="00F32FCD">
              <w:rPr>
                <w:rFonts w:cstheme="minorHAnsi"/>
                <w:sz w:val="20"/>
                <w:szCs w:val="20"/>
              </w:rPr>
              <w:t>off</w:t>
            </w:r>
            <w:proofErr w:type="spellEnd"/>
            <w:r w:rsidRPr="00F32FCD">
              <w:rPr>
                <w:rFonts w:cstheme="minorHAnsi"/>
                <w:sz w:val="20"/>
                <w:szCs w:val="20"/>
              </w:rPr>
              <w:t xml:space="preserve"> ročně.</w:t>
            </w:r>
          </w:p>
        </w:tc>
      </w:tr>
      <w:tr w:rsidR="00A67AAF" w:rsidRPr="005671D4" w:rsidTr="00C3511A">
        <w:trPr>
          <w:trHeight w:val="794"/>
        </w:trPr>
        <w:tc>
          <w:tcPr>
            <w:tcW w:w="513" w:type="dxa"/>
            <w:vAlign w:val="center"/>
          </w:tcPr>
          <w:p w:rsidR="00A67AAF" w:rsidRPr="000A03FD" w:rsidRDefault="00A67AAF" w:rsidP="00747F40">
            <w:pPr>
              <w:rPr>
                <w:rFonts w:cstheme="minorHAnsi"/>
              </w:rPr>
            </w:pPr>
          </w:p>
        </w:tc>
        <w:tc>
          <w:tcPr>
            <w:tcW w:w="1983" w:type="dxa"/>
            <w:vAlign w:val="center"/>
          </w:tcPr>
          <w:p w:rsidR="00A67AAF" w:rsidRPr="00232BE7" w:rsidRDefault="00A67AAF" w:rsidP="00CA0546">
            <w:pPr>
              <w:rPr>
                <w:rFonts w:cstheme="minorHAnsi"/>
                <w:b/>
                <w:i/>
                <w:sz w:val="20"/>
                <w:szCs w:val="20"/>
              </w:rPr>
            </w:pPr>
            <w:r w:rsidRPr="00232BE7">
              <w:rPr>
                <w:rFonts w:cstheme="minorHAnsi"/>
                <w:b/>
                <w:i/>
                <w:sz w:val="20"/>
                <w:szCs w:val="20"/>
              </w:rPr>
              <w:t>Počet nov</w:t>
            </w:r>
            <w:r w:rsidR="00CA0546">
              <w:rPr>
                <w:rFonts w:cstheme="minorHAnsi"/>
                <w:b/>
                <w:i/>
                <w:sz w:val="20"/>
                <w:szCs w:val="20"/>
              </w:rPr>
              <w:t>ých</w:t>
            </w:r>
            <w:r w:rsidRPr="00232BE7">
              <w:rPr>
                <w:rFonts w:cstheme="minorHAnsi"/>
                <w:b/>
                <w:i/>
                <w:sz w:val="20"/>
                <w:szCs w:val="20"/>
              </w:rPr>
              <w:t xml:space="preserve"> studijních oborů navázaných na potřeby praxe.</w:t>
            </w:r>
          </w:p>
        </w:tc>
        <w:tc>
          <w:tcPr>
            <w:tcW w:w="3278" w:type="dxa"/>
            <w:vAlign w:val="center"/>
          </w:tcPr>
          <w:p w:rsidR="00A67AAF" w:rsidRPr="00232BE7" w:rsidRDefault="00A67AAF" w:rsidP="00CA0546">
            <w:pPr>
              <w:rPr>
                <w:rFonts w:cstheme="minorHAnsi"/>
                <w:i/>
                <w:sz w:val="20"/>
                <w:szCs w:val="20"/>
              </w:rPr>
            </w:pPr>
            <w:r w:rsidRPr="00232BE7">
              <w:rPr>
                <w:rFonts w:cstheme="minorHAnsi"/>
                <w:i/>
                <w:sz w:val="20"/>
                <w:szCs w:val="20"/>
              </w:rPr>
              <w:t>Počet oborů, které byly nově akreditovány na veřejných vysokých školách v letech 2009 –</w:t>
            </w:r>
            <w:r w:rsidR="00CA0546" w:rsidRPr="00CA0546">
              <w:rPr>
                <w:rFonts w:cstheme="minorHAnsi"/>
                <w:i/>
                <w:sz w:val="20"/>
                <w:szCs w:val="20"/>
              </w:rPr>
              <w:t xml:space="preserve"> 2020</w:t>
            </w:r>
            <w:r w:rsidR="00232BE7">
              <w:rPr>
                <w:rFonts w:cstheme="minorHAnsi"/>
                <w:i/>
                <w:sz w:val="20"/>
                <w:szCs w:val="20"/>
              </w:rPr>
              <w:t>,</w:t>
            </w:r>
            <w:r w:rsidRPr="00232BE7">
              <w:rPr>
                <w:rFonts w:cstheme="minorHAnsi"/>
                <w:i/>
                <w:sz w:val="20"/>
                <w:szCs w:val="20"/>
              </w:rPr>
              <w:t xml:space="preserve"> </w:t>
            </w:r>
            <w:r w:rsidR="00CA0546">
              <w:rPr>
                <w:rFonts w:cstheme="minorHAnsi"/>
                <w:i/>
                <w:sz w:val="20"/>
                <w:szCs w:val="20"/>
              </w:rPr>
              <w:t xml:space="preserve"> </w:t>
            </w:r>
            <w:r w:rsidRPr="00232BE7">
              <w:rPr>
                <w:rFonts w:cstheme="minorHAnsi"/>
                <w:i/>
                <w:sz w:val="20"/>
                <w:szCs w:val="20"/>
              </w:rPr>
              <w:t>jejichž povinnou součástí jsou stáže/praxe realizované v podniku.</w:t>
            </w:r>
          </w:p>
        </w:tc>
        <w:tc>
          <w:tcPr>
            <w:tcW w:w="2217" w:type="dxa"/>
            <w:vAlign w:val="center"/>
          </w:tcPr>
          <w:p w:rsidR="00A67AAF" w:rsidRPr="005671D4" w:rsidRDefault="00A67AAF" w:rsidP="00747F40">
            <w:pPr>
              <w:rPr>
                <w:rFonts w:cstheme="minorHAnsi"/>
                <w:sz w:val="20"/>
                <w:szCs w:val="20"/>
              </w:rPr>
            </w:pPr>
          </w:p>
        </w:tc>
        <w:tc>
          <w:tcPr>
            <w:tcW w:w="1547" w:type="dxa"/>
            <w:vAlign w:val="center"/>
          </w:tcPr>
          <w:p w:rsidR="00A67AAF" w:rsidRDefault="00A67AAF" w:rsidP="00747F40">
            <w:pPr>
              <w:rPr>
                <w:rFonts w:cstheme="minorHAnsi"/>
                <w:sz w:val="20"/>
                <w:szCs w:val="20"/>
              </w:rPr>
            </w:pPr>
          </w:p>
        </w:tc>
        <w:tc>
          <w:tcPr>
            <w:tcW w:w="1358" w:type="dxa"/>
            <w:vAlign w:val="center"/>
          </w:tcPr>
          <w:p w:rsidR="00A67AAF" w:rsidRPr="005671D4" w:rsidRDefault="00A67AAF" w:rsidP="00747F40">
            <w:pPr>
              <w:rPr>
                <w:rFonts w:cstheme="minorHAnsi"/>
                <w:sz w:val="20"/>
                <w:szCs w:val="20"/>
              </w:rPr>
            </w:pPr>
          </w:p>
        </w:tc>
        <w:tc>
          <w:tcPr>
            <w:tcW w:w="3322" w:type="dxa"/>
            <w:vAlign w:val="center"/>
          </w:tcPr>
          <w:p w:rsidR="00A67AAF" w:rsidRDefault="00A67AAF" w:rsidP="00747F40">
            <w:pPr>
              <w:rPr>
                <w:rFonts w:cstheme="minorHAnsi"/>
                <w:sz w:val="20"/>
                <w:szCs w:val="20"/>
              </w:rPr>
            </w:pPr>
          </w:p>
        </w:tc>
      </w:tr>
      <w:tr w:rsidR="00C3511A" w:rsidRPr="005671D4" w:rsidTr="00C3511A">
        <w:trPr>
          <w:trHeight w:val="616"/>
        </w:trPr>
        <w:tc>
          <w:tcPr>
            <w:tcW w:w="513" w:type="dxa"/>
            <w:vAlign w:val="center"/>
          </w:tcPr>
          <w:p w:rsidR="00C3511A" w:rsidRPr="000A03FD" w:rsidRDefault="00C3511A" w:rsidP="00747F40">
            <w:pPr>
              <w:rPr>
                <w:rFonts w:cstheme="minorHAnsi"/>
              </w:rPr>
            </w:pPr>
            <w:r w:rsidRPr="000A03FD">
              <w:rPr>
                <w:rFonts w:cstheme="minorHAnsi"/>
              </w:rPr>
              <w:t>9.</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Investice rizikového kapitálu do začínajících podniků - start-up kapitál.</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Podíl investic rizikového kapitálu do začínajících podniků (</w:t>
            </w:r>
            <w:proofErr w:type="spellStart"/>
            <w:r w:rsidRPr="005671D4">
              <w:rPr>
                <w:rFonts w:cstheme="minorHAnsi"/>
                <w:sz w:val="20"/>
                <w:szCs w:val="20"/>
              </w:rPr>
              <w:t>seed</w:t>
            </w:r>
            <w:proofErr w:type="spellEnd"/>
            <w:r w:rsidRPr="005671D4">
              <w:rPr>
                <w:rFonts w:cstheme="minorHAnsi"/>
                <w:sz w:val="20"/>
                <w:szCs w:val="20"/>
              </w:rPr>
              <w:t>, start-up kapitál) uskutečněných v ČR ve sledovaném roce k hrubému domácímu produktu ČR.</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EVCA (</w:t>
            </w:r>
            <w:proofErr w:type="spellStart"/>
            <w:r w:rsidRPr="005671D4">
              <w:rPr>
                <w:rFonts w:cstheme="minorHAnsi"/>
                <w:sz w:val="20"/>
                <w:szCs w:val="20"/>
              </w:rPr>
              <w:t>European</w:t>
            </w:r>
            <w:proofErr w:type="spellEnd"/>
            <w:r w:rsidRPr="005671D4">
              <w:rPr>
                <w:rFonts w:cstheme="minorHAnsi"/>
                <w:sz w:val="20"/>
                <w:szCs w:val="20"/>
              </w:rPr>
              <w:t xml:space="preserve"> </w:t>
            </w:r>
            <w:proofErr w:type="spellStart"/>
            <w:r w:rsidRPr="005671D4">
              <w:rPr>
                <w:rFonts w:cstheme="minorHAnsi"/>
                <w:sz w:val="20"/>
                <w:szCs w:val="20"/>
              </w:rPr>
              <w:t>Private</w:t>
            </w:r>
            <w:proofErr w:type="spellEnd"/>
            <w:r w:rsidRPr="005671D4">
              <w:rPr>
                <w:rFonts w:cstheme="minorHAnsi"/>
                <w:sz w:val="20"/>
                <w:szCs w:val="20"/>
              </w:rPr>
              <w:t xml:space="preserve"> </w:t>
            </w:r>
            <w:proofErr w:type="spellStart"/>
            <w:r w:rsidRPr="005671D4">
              <w:rPr>
                <w:rFonts w:cstheme="minorHAnsi"/>
                <w:sz w:val="20"/>
                <w:szCs w:val="20"/>
              </w:rPr>
              <w:t>Equity</w:t>
            </w:r>
            <w:proofErr w:type="spellEnd"/>
            <w:r w:rsidRPr="005671D4">
              <w:rPr>
                <w:rFonts w:cstheme="minorHAnsi"/>
                <w:sz w:val="20"/>
                <w:szCs w:val="20"/>
              </w:rPr>
              <w:t xml:space="preserve"> and Venture </w:t>
            </w:r>
            <w:proofErr w:type="spellStart"/>
            <w:r w:rsidRPr="005671D4">
              <w:rPr>
                <w:rFonts w:cstheme="minorHAnsi"/>
                <w:sz w:val="20"/>
                <w:szCs w:val="20"/>
              </w:rPr>
              <w:t>Capital</w:t>
            </w:r>
            <w:proofErr w:type="spellEnd"/>
            <w:r w:rsidRPr="005671D4">
              <w:rPr>
                <w:rFonts w:cstheme="minorHAnsi"/>
                <w:sz w:val="20"/>
                <w:szCs w:val="20"/>
              </w:rPr>
              <w:t xml:space="preserve"> </w:t>
            </w:r>
            <w:proofErr w:type="spellStart"/>
            <w:r w:rsidRPr="005671D4">
              <w:rPr>
                <w:rFonts w:cstheme="minorHAnsi"/>
                <w:sz w:val="20"/>
                <w:szCs w:val="20"/>
              </w:rPr>
              <w:t>Association</w:t>
            </w:r>
            <w:proofErr w:type="spellEnd"/>
            <w:r w:rsidRPr="005671D4">
              <w:rPr>
                <w:rFonts w:cstheme="minorHAnsi"/>
                <w:sz w:val="20"/>
                <w:szCs w:val="20"/>
              </w:rPr>
              <w:t>)</w:t>
            </w:r>
          </w:p>
        </w:tc>
        <w:tc>
          <w:tcPr>
            <w:tcW w:w="1547" w:type="dxa"/>
            <w:vAlign w:val="center"/>
          </w:tcPr>
          <w:p w:rsidR="00C3511A" w:rsidRPr="005671D4" w:rsidRDefault="00C3511A" w:rsidP="00747F40">
            <w:pPr>
              <w:rPr>
                <w:rFonts w:cstheme="minorHAnsi"/>
                <w:sz w:val="20"/>
                <w:szCs w:val="20"/>
              </w:rPr>
            </w:pPr>
            <w:r w:rsidRPr="00244285">
              <w:rPr>
                <w:rFonts w:cstheme="minorHAnsi"/>
                <w:sz w:val="20"/>
                <w:szCs w:val="20"/>
              </w:rPr>
              <w:t>0,00</w:t>
            </w:r>
            <w:r>
              <w:rPr>
                <w:rFonts w:cstheme="minorHAnsi"/>
                <w:sz w:val="20"/>
                <w:szCs w:val="20"/>
              </w:rPr>
              <w:t>1</w:t>
            </w:r>
            <w:r w:rsidRPr="00244285">
              <w:rPr>
                <w:rFonts w:cstheme="minorHAnsi"/>
                <w:sz w:val="20"/>
                <w:szCs w:val="20"/>
              </w:rPr>
              <w:t xml:space="preserve"> %</w:t>
            </w:r>
            <w:r>
              <w:rPr>
                <w:rFonts w:cstheme="minorHAnsi"/>
                <w:sz w:val="20"/>
                <w:szCs w:val="20"/>
              </w:rPr>
              <w:t xml:space="preserve"> (2013)</w:t>
            </w:r>
          </w:p>
        </w:tc>
        <w:tc>
          <w:tcPr>
            <w:tcW w:w="1358" w:type="dxa"/>
            <w:vAlign w:val="center"/>
          </w:tcPr>
          <w:p w:rsidR="00C3511A" w:rsidRPr="005671D4" w:rsidRDefault="00C3511A" w:rsidP="00747F40">
            <w:pPr>
              <w:rPr>
                <w:rFonts w:cstheme="minorHAnsi"/>
                <w:sz w:val="20"/>
                <w:szCs w:val="20"/>
              </w:rPr>
            </w:pPr>
            <w:r>
              <w:rPr>
                <w:rFonts w:cstheme="minorHAnsi"/>
                <w:sz w:val="20"/>
                <w:szCs w:val="20"/>
              </w:rPr>
              <w:t xml:space="preserve">0,015 % </w:t>
            </w:r>
          </w:p>
        </w:tc>
        <w:tc>
          <w:tcPr>
            <w:tcW w:w="3322" w:type="dxa"/>
            <w:vAlign w:val="center"/>
          </w:tcPr>
          <w:p w:rsidR="00C3511A" w:rsidRPr="005671D4" w:rsidRDefault="00C3511A" w:rsidP="00747F40">
            <w:pPr>
              <w:rPr>
                <w:rFonts w:cstheme="minorHAnsi"/>
                <w:sz w:val="20"/>
                <w:szCs w:val="20"/>
              </w:rPr>
            </w:pPr>
            <w:r w:rsidRPr="00100E97">
              <w:rPr>
                <w:rFonts w:cstheme="minorHAnsi"/>
                <w:sz w:val="20"/>
                <w:szCs w:val="20"/>
              </w:rPr>
              <w:t>Cílová hodnota tohoto indikátoru k roku 2020 byla stanovena tak, aby ČR v tomto roce dosáhla úrovně investic rizikového do začínajících podniků, která je v současné době většině zemí EU-15.</w:t>
            </w:r>
            <w:r>
              <w:rPr>
                <w:rFonts w:cstheme="minorHAnsi"/>
                <w:sz w:val="20"/>
                <w:szCs w:val="20"/>
              </w:rPr>
              <w:t xml:space="preserve"> Z</w:t>
            </w:r>
            <w:r w:rsidRPr="00100E97">
              <w:rPr>
                <w:rFonts w:cstheme="minorHAnsi"/>
                <w:sz w:val="20"/>
                <w:szCs w:val="20"/>
              </w:rPr>
              <w:t>a cílovou hodnotu je proto možné považovat 0,015 % HDP, což je mírně nad průměrem EU v roce 2011 (0,012 % HDP)</w:t>
            </w:r>
            <w:r>
              <w:rPr>
                <w:rFonts w:cstheme="minorHAnsi"/>
                <w:sz w:val="20"/>
                <w:szCs w:val="20"/>
              </w:rPr>
              <w:t>.</w:t>
            </w:r>
            <w:r w:rsidRPr="00100E97">
              <w:rPr>
                <w:rFonts w:cstheme="minorHAnsi"/>
                <w:sz w:val="20"/>
                <w:szCs w:val="20"/>
              </w:rPr>
              <w:t xml:space="preserve"> </w:t>
            </w:r>
          </w:p>
        </w:tc>
      </w:tr>
      <w:tr w:rsidR="00C3511A" w:rsidRPr="005671D4" w:rsidTr="00C3511A">
        <w:trPr>
          <w:trHeight w:val="794"/>
        </w:trPr>
        <w:tc>
          <w:tcPr>
            <w:tcW w:w="513" w:type="dxa"/>
            <w:vAlign w:val="center"/>
          </w:tcPr>
          <w:p w:rsidR="00C3511A" w:rsidRPr="000A03FD" w:rsidRDefault="00C3511A" w:rsidP="00747F40">
            <w:pPr>
              <w:rPr>
                <w:rFonts w:cstheme="minorHAnsi"/>
              </w:rPr>
            </w:pPr>
            <w:r w:rsidRPr="000A03FD">
              <w:rPr>
                <w:rFonts w:cstheme="minorHAnsi"/>
              </w:rPr>
              <w:t>10.</w:t>
            </w:r>
          </w:p>
        </w:tc>
        <w:tc>
          <w:tcPr>
            <w:tcW w:w="1983" w:type="dxa"/>
            <w:vAlign w:val="center"/>
          </w:tcPr>
          <w:p w:rsidR="00C3511A" w:rsidRPr="005671D4" w:rsidRDefault="00C3511A" w:rsidP="00747F40">
            <w:pPr>
              <w:rPr>
                <w:rFonts w:cstheme="minorHAnsi"/>
                <w:b/>
                <w:sz w:val="20"/>
                <w:szCs w:val="20"/>
              </w:rPr>
            </w:pPr>
            <w:r w:rsidRPr="005671D4">
              <w:rPr>
                <w:rFonts w:cstheme="minorHAnsi"/>
                <w:b/>
                <w:sz w:val="20"/>
                <w:szCs w:val="20"/>
              </w:rPr>
              <w:t>Podíl rychle rostoucích podniků.</w:t>
            </w:r>
          </w:p>
        </w:tc>
        <w:tc>
          <w:tcPr>
            <w:tcW w:w="3278" w:type="dxa"/>
            <w:vAlign w:val="center"/>
          </w:tcPr>
          <w:p w:rsidR="00C3511A" w:rsidRPr="005671D4" w:rsidRDefault="00C3511A" w:rsidP="00747F40">
            <w:pPr>
              <w:rPr>
                <w:rFonts w:cstheme="minorHAnsi"/>
                <w:sz w:val="20"/>
                <w:szCs w:val="20"/>
              </w:rPr>
            </w:pPr>
            <w:r w:rsidRPr="005671D4">
              <w:rPr>
                <w:rFonts w:cstheme="minorHAnsi"/>
                <w:sz w:val="20"/>
                <w:szCs w:val="20"/>
              </w:rPr>
              <w:t>Podíl takových podniků s deseti a více zaměstnanci, které mají meziroční růst počtu zaměstnanců (nebo obratu) vyšší než 20 % (průměr za 3 roky), vůči celkovému počtu podniků s deseti a více zaměstnanci.</w:t>
            </w:r>
          </w:p>
        </w:tc>
        <w:tc>
          <w:tcPr>
            <w:tcW w:w="2217" w:type="dxa"/>
            <w:vAlign w:val="center"/>
          </w:tcPr>
          <w:p w:rsidR="00C3511A" w:rsidRPr="005671D4" w:rsidRDefault="00C3511A" w:rsidP="00747F40">
            <w:pPr>
              <w:rPr>
                <w:rFonts w:cstheme="minorHAnsi"/>
                <w:sz w:val="20"/>
                <w:szCs w:val="20"/>
              </w:rPr>
            </w:pPr>
            <w:r w:rsidRPr="005671D4">
              <w:rPr>
                <w:rFonts w:cstheme="minorHAnsi"/>
                <w:sz w:val="20"/>
                <w:szCs w:val="20"/>
              </w:rPr>
              <w:t xml:space="preserve">ČSÚ – </w:t>
            </w:r>
            <w:proofErr w:type="spellStart"/>
            <w:r w:rsidRPr="005671D4">
              <w:rPr>
                <w:rFonts w:cstheme="minorHAnsi"/>
                <w:sz w:val="20"/>
                <w:szCs w:val="20"/>
              </w:rPr>
              <w:t>mikrodata</w:t>
            </w:r>
            <w:proofErr w:type="spellEnd"/>
          </w:p>
        </w:tc>
        <w:tc>
          <w:tcPr>
            <w:tcW w:w="1547" w:type="dxa"/>
            <w:vAlign w:val="center"/>
          </w:tcPr>
          <w:p w:rsidR="00C3511A" w:rsidRPr="005671D4" w:rsidRDefault="00C3511A" w:rsidP="00747F40">
            <w:pPr>
              <w:rPr>
                <w:rFonts w:cstheme="minorHAnsi"/>
                <w:sz w:val="20"/>
                <w:szCs w:val="20"/>
              </w:rPr>
            </w:pPr>
            <w:r>
              <w:rPr>
                <w:rFonts w:cstheme="minorHAnsi"/>
                <w:sz w:val="20"/>
                <w:szCs w:val="20"/>
              </w:rPr>
              <w:t>4,1 % (2009)</w:t>
            </w:r>
          </w:p>
        </w:tc>
        <w:tc>
          <w:tcPr>
            <w:tcW w:w="1358" w:type="dxa"/>
            <w:vAlign w:val="center"/>
          </w:tcPr>
          <w:p w:rsidR="00C3511A" w:rsidRPr="005671D4" w:rsidRDefault="00C3511A" w:rsidP="00747F40">
            <w:pPr>
              <w:rPr>
                <w:rFonts w:cstheme="minorHAnsi"/>
                <w:sz w:val="20"/>
                <w:szCs w:val="20"/>
              </w:rPr>
            </w:pPr>
            <w:r w:rsidRPr="005671D4">
              <w:rPr>
                <w:rFonts w:cstheme="minorHAnsi"/>
                <w:sz w:val="20"/>
                <w:szCs w:val="20"/>
              </w:rPr>
              <w:t xml:space="preserve">5 % </w:t>
            </w:r>
          </w:p>
        </w:tc>
        <w:tc>
          <w:tcPr>
            <w:tcW w:w="3322" w:type="dxa"/>
            <w:vAlign w:val="center"/>
          </w:tcPr>
          <w:p w:rsidR="00C3511A" w:rsidRPr="005671D4" w:rsidRDefault="00C3511A" w:rsidP="00747F40">
            <w:pPr>
              <w:rPr>
                <w:rFonts w:cstheme="minorHAnsi"/>
                <w:sz w:val="20"/>
                <w:szCs w:val="20"/>
              </w:rPr>
            </w:pPr>
            <w:r w:rsidRPr="00AD4CA3">
              <w:rPr>
                <w:rFonts w:cstheme="minorHAnsi"/>
                <w:sz w:val="20"/>
                <w:szCs w:val="20"/>
              </w:rPr>
              <w:t xml:space="preserve">Rychle rostoucí podniky představují poměrně malé procento celkového počtu podniků. Podle studií OECD bývá podíl rychle rostoucích podniků podle růstu zaměstnanosti obvykle 3,5 % až 6 %. Podle růstu obratu je jejich podíl poněkud vyšší, a ve studiích OECD se uvádí, že jejich podíl bývá i více než 20 % celkového počtu podniků. Za cílovou hodnotu tohoto indikátoru </w:t>
            </w:r>
            <w:r>
              <w:rPr>
                <w:rFonts w:cstheme="minorHAnsi"/>
                <w:sz w:val="20"/>
                <w:szCs w:val="20"/>
              </w:rPr>
              <w:t>pro ČR lze proto považovat 5 %.</w:t>
            </w:r>
          </w:p>
        </w:tc>
      </w:tr>
    </w:tbl>
    <w:p w:rsidR="002A52CE" w:rsidRDefault="002A52CE" w:rsidP="002A52CE">
      <w:pPr>
        <w:jc w:val="both"/>
        <w:rPr>
          <w:rFonts w:ascii="Times New Roman" w:hAnsi="Times New Roman" w:cs="Times New Roman"/>
          <w:b/>
          <w:sz w:val="24"/>
          <w:szCs w:val="24"/>
        </w:rPr>
        <w:sectPr w:rsidR="002A52CE" w:rsidSect="00C3511A">
          <w:pgSz w:w="16838" w:h="11906" w:orient="landscape"/>
          <w:pgMar w:top="1418" w:right="1418" w:bottom="1418" w:left="1418" w:header="709" w:footer="709" w:gutter="0"/>
          <w:cols w:space="708"/>
          <w:docGrid w:linePitch="360"/>
        </w:sectPr>
      </w:pPr>
    </w:p>
    <w:p w:rsidR="00E35899" w:rsidRPr="00232BE7" w:rsidRDefault="00E35899" w:rsidP="002A52CE">
      <w:pPr>
        <w:jc w:val="both"/>
        <w:rPr>
          <w:rFonts w:ascii="Times New Roman" w:hAnsi="Times New Roman" w:cs="Times New Roman"/>
          <w:b/>
          <w:i/>
          <w:sz w:val="24"/>
          <w:szCs w:val="24"/>
        </w:rPr>
      </w:pPr>
      <w:r w:rsidRPr="00232BE7">
        <w:rPr>
          <w:rFonts w:ascii="Times New Roman" w:hAnsi="Times New Roman" w:cs="Times New Roman"/>
          <w:b/>
          <w:i/>
          <w:sz w:val="24"/>
          <w:szCs w:val="24"/>
        </w:rPr>
        <w:lastRenderedPageBreak/>
        <w:t xml:space="preserve">Kvalitativní indikátory pro hodnocení NP </w:t>
      </w:r>
      <w:proofErr w:type="spellStart"/>
      <w:r w:rsidRPr="00232BE7">
        <w:rPr>
          <w:rFonts w:ascii="Times New Roman" w:hAnsi="Times New Roman" w:cs="Times New Roman"/>
          <w:b/>
          <w:i/>
          <w:sz w:val="24"/>
          <w:szCs w:val="24"/>
        </w:rPr>
        <w:t>VaVaI</w:t>
      </w:r>
      <w:proofErr w:type="spellEnd"/>
      <w:r w:rsidR="00EF3622" w:rsidRPr="00232BE7">
        <w:rPr>
          <w:rFonts w:ascii="Times New Roman" w:hAnsi="Times New Roman" w:cs="Times New Roman"/>
          <w:b/>
          <w:i/>
          <w:sz w:val="24"/>
          <w:szCs w:val="24"/>
        </w:rPr>
        <w:t>, které by měly být součástí auditu</w:t>
      </w:r>
      <w:r w:rsidRPr="00232BE7">
        <w:rPr>
          <w:rFonts w:ascii="Times New Roman" w:hAnsi="Times New Roman" w:cs="Times New Roman"/>
          <w:b/>
          <w:i/>
          <w:sz w:val="24"/>
          <w:szCs w:val="24"/>
        </w:rPr>
        <w:t>:</w:t>
      </w:r>
    </w:p>
    <w:p w:rsidR="004A5EF3" w:rsidRPr="00232BE7" w:rsidRDefault="00E35899" w:rsidP="00232BE7">
      <w:pPr>
        <w:pStyle w:val="Odstavecseseznamem"/>
        <w:numPr>
          <w:ilvl w:val="0"/>
          <w:numId w:val="9"/>
        </w:numPr>
        <w:jc w:val="both"/>
        <w:rPr>
          <w:rFonts w:ascii="Times New Roman" w:hAnsi="Times New Roman" w:cs="Times New Roman"/>
          <w:i/>
          <w:sz w:val="24"/>
          <w:szCs w:val="24"/>
        </w:rPr>
      </w:pPr>
      <w:r w:rsidRPr="00232BE7">
        <w:rPr>
          <w:rFonts w:ascii="Times New Roman" w:hAnsi="Times New Roman" w:cs="Times New Roman"/>
          <w:i/>
          <w:sz w:val="24"/>
          <w:szCs w:val="24"/>
        </w:rPr>
        <w:t xml:space="preserve">Systém hodnocení a financování výzkumných organizací: </w:t>
      </w:r>
    </w:p>
    <w:p w:rsidR="00E35899" w:rsidRPr="00232BE7" w:rsidRDefault="004A5EF3" w:rsidP="004A5EF3">
      <w:pPr>
        <w:jc w:val="both"/>
        <w:rPr>
          <w:rFonts w:ascii="Times New Roman" w:hAnsi="Times New Roman" w:cs="Times New Roman"/>
          <w:i/>
          <w:sz w:val="24"/>
          <w:szCs w:val="24"/>
        </w:rPr>
      </w:pPr>
      <w:r w:rsidRPr="00232BE7">
        <w:rPr>
          <w:rFonts w:ascii="Times New Roman" w:hAnsi="Times New Roman" w:cs="Times New Roman"/>
          <w:i/>
          <w:sz w:val="24"/>
          <w:szCs w:val="24"/>
        </w:rPr>
        <w:t>Z</w:t>
      </w:r>
      <w:r w:rsidR="00E35899" w:rsidRPr="00232BE7">
        <w:rPr>
          <w:rFonts w:ascii="Times New Roman" w:hAnsi="Times New Roman" w:cs="Times New Roman"/>
          <w:i/>
          <w:sz w:val="24"/>
          <w:szCs w:val="24"/>
        </w:rPr>
        <w:t xml:space="preserve">měna krátkodobého systému v dlouhodobý, realizace Individuálního projektu národního </w:t>
      </w:r>
      <w:r w:rsidR="00A67AAF" w:rsidRPr="00232BE7">
        <w:rPr>
          <w:rFonts w:ascii="Times New Roman" w:hAnsi="Times New Roman" w:cs="Times New Roman"/>
          <w:i/>
          <w:sz w:val="24"/>
          <w:szCs w:val="24"/>
        </w:rPr>
        <w:t>„Efektivní systém hodnocení a financování výzkumu, vývoje a inovací“</w:t>
      </w:r>
      <w:r w:rsidR="00E35899" w:rsidRPr="00232BE7">
        <w:rPr>
          <w:rFonts w:ascii="Times New Roman" w:hAnsi="Times New Roman" w:cs="Times New Roman"/>
          <w:i/>
          <w:sz w:val="24"/>
          <w:szCs w:val="24"/>
        </w:rPr>
        <w:t xml:space="preserve"> a implementace výstupů tohoto projektu.</w:t>
      </w:r>
    </w:p>
    <w:p w:rsidR="004A5EF3" w:rsidRPr="00232BE7" w:rsidRDefault="00E35899" w:rsidP="00232BE7">
      <w:pPr>
        <w:pStyle w:val="Odstavecseseznamem"/>
        <w:numPr>
          <w:ilvl w:val="0"/>
          <w:numId w:val="9"/>
        </w:numPr>
        <w:jc w:val="both"/>
        <w:rPr>
          <w:rFonts w:ascii="Times New Roman" w:hAnsi="Times New Roman" w:cs="Times New Roman"/>
          <w:i/>
          <w:sz w:val="24"/>
          <w:szCs w:val="24"/>
        </w:rPr>
      </w:pPr>
      <w:r w:rsidRPr="00232BE7">
        <w:rPr>
          <w:rFonts w:ascii="Times New Roman" w:hAnsi="Times New Roman" w:cs="Times New Roman"/>
          <w:i/>
          <w:sz w:val="24"/>
          <w:szCs w:val="24"/>
        </w:rPr>
        <w:t xml:space="preserve">Charakteristika pracovníků výzkumných organizací ve veřejném sektoru: </w:t>
      </w:r>
    </w:p>
    <w:p w:rsidR="00E35899" w:rsidRPr="00232BE7" w:rsidRDefault="004A5EF3" w:rsidP="004A5EF3">
      <w:pPr>
        <w:jc w:val="both"/>
        <w:rPr>
          <w:rFonts w:ascii="Times New Roman" w:hAnsi="Times New Roman" w:cs="Times New Roman"/>
          <w:i/>
          <w:sz w:val="24"/>
          <w:szCs w:val="24"/>
        </w:rPr>
      </w:pPr>
      <w:r w:rsidRPr="00232BE7">
        <w:rPr>
          <w:rFonts w:ascii="Times New Roman" w:hAnsi="Times New Roman" w:cs="Times New Roman"/>
          <w:i/>
          <w:sz w:val="24"/>
          <w:szCs w:val="24"/>
        </w:rPr>
        <w:t>P</w:t>
      </w:r>
      <w:r w:rsidR="00E35899" w:rsidRPr="00232BE7">
        <w:rPr>
          <w:rFonts w:ascii="Times New Roman" w:hAnsi="Times New Roman" w:cs="Times New Roman"/>
          <w:i/>
          <w:sz w:val="24"/>
          <w:szCs w:val="24"/>
        </w:rPr>
        <w:t>ro jednotlivé pozice (post-doktorandi</w:t>
      </w:r>
      <w:r w:rsidR="001165D6" w:rsidRPr="00232BE7">
        <w:rPr>
          <w:rFonts w:ascii="Times New Roman" w:hAnsi="Times New Roman" w:cs="Times New Roman"/>
          <w:i/>
          <w:sz w:val="24"/>
          <w:szCs w:val="24"/>
        </w:rPr>
        <w:t xml:space="preserve">, junior výzkumníci a senior výzkumníci ve veřejných výzkumných institucích, odborní asistenti, docenti a profesoři ve veřejných vysokých školách) bude proveden rozbor jejich profesního růstu, tj. na jaké pozici pracovali předtím, zda mají mezinárodní zkušenosti s prováděním </w:t>
      </w:r>
      <w:proofErr w:type="spellStart"/>
      <w:r w:rsidR="001165D6" w:rsidRPr="00232BE7">
        <w:rPr>
          <w:rFonts w:ascii="Times New Roman" w:hAnsi="Times New Roman" w:cs="Times New Roman"/>
          <w:i/>
          <w:sz w:val="24"/>
          <w:szCs w:val="24"/>
        </w:rPr>
        <w:t>VaVaI</w:t>
      </w:r>
      <w:proofErr w:type="spellEnd"/>
      <w:r w:rsidR="001165D6" w:rsidRPr="00232BE7">
        <w:rPr>
          <w:rFonts w:ascii="Times New Roman" w:hAnsi="Times New Roman" w:cs="Times New Roman"/>
          <w:i/>
          <w:sz w:val="24"/>
          <w:szCs w:val="24"/>
        </w:rPr>
        <w:t>, kde získali graduální a postgraduální vzdělání.</w:t>
      </w:r>
    </w:p>
    <w:p w:rsidR="004A5EF3" w:rsidRPr="00232BE7" w:rsidRDefault="00A67AAF" w:rsidP="00232BE7">
      <w:pPr>
        <w:pStyle w:val="Odstavecseseznamem"/>
        <w:numPr>
          <w:ilvl w:val="0"/>
          <w:numId w:val="9"/>
        </w:numPr>
        <w:jc w:val="both"/>
        <w:rPr>
          <w:rFonts w:ascii="Times New Roman" w:hAnsi="Times New Roman" w:cs="Times New Roman"/>
          <w:b/>
          <w:i/>
          <w:sz w:val="24"/>
          <w:szCs w:val="24"/>
        </w:rPr>
      </w:pPr>
      <w:r w:rsidRPr="00232BE7">
        <w:rPr>
          <w:rFonts w:ascii="Times New Roman" w:hAnsi="Times New Roman" w:cs="Times New Roman"/>
          <w:i/>
          <w:sz w:val="24"/>
          <w:szCs w:val="24"/>
        </w:rPr>
        <w:t>Dynamika vzniku nových organizačních strukt</w:t>
      </w:r>
      <w:r w:rsidR="00EF3622" w:rsidRPr="00232BE7">
        <w:rPr>
          <w:rFonts w:ascii="Times New Roman" w:hAnsi="Times New Roman" w:cs="Times New Roman"/>
          <w:i/>
          <w:sz w:val="24"/>
          <w:szCs w:val="24"/>
        </w:rPr>
        <w:t>ur uvnitř výzkumných organizací:</w:t>
      </w:r>
    </w:p>
    <w:p w:rsidR="00E35899" w:rsidRPr="00232BE7" w:rsidRDefault="00EF3622" w:rsidP="004A5EF3">
      <w:pPr>
        <w:jc w:val="both"/>
        <w:rPr>
          <w:rFonts w:ascii="Times New Roman" w:hAnsi="Times New Roman" w:cs="Times New Roman"/>
          <w:b/>
          <w:i/>
          <w:sz w:val="24"/>
          <w:szCs w:val="24"/>
        </w:rPr>
      </w:pPr>
      <w:r w:rsidRPr="00232BE7">
        <w:rPr>
          <w:rFonts w:ascii="Times New Roman" w:hAnsi="Times New Roman" w:cs="Times New Roman"/>
          <w:i/>
          <w:sz w:val="24"/>
          <w:szCs w:val="24"/>
        </w:rPr>
        <w:t>Jakou organizační strukturu měly výzkumné organizace na začátku sledovaného období (sledované období 2009 – 2020) a k jakým změnám došlo. Zejména se jedná o počet organizačních stupňů (např. univerzita – fakulta – katedra – oddělení na veřejných vysokých školách).</w:t>
      </w:r>
    </w:p>
    <w:p w:rsidR="00E35899" w:rsidRDefault="00E35899" w:rsidP="002A52CE">
      <w:pPr>
        <w:jc w:val="both"/>
        <w:rPr>
          <w:rFonts w:ascii="Times New Roman" w:hAnsi="Times New Roman" w:cs="Times New Roman"/>
          <w:b/>
          <w:sz w:val="24"/>
          <w:szCs w:val="24"/>
        </w:rPr>
      </w:pPr>
    </w:p>
    <w:p w:rsidR="002A52CE" w:rsidRPr="00712E96" w:rsidRDefault="002A52CE" w:rsidP="002A52CE">
      <w:pPr>
        <w:jc w:val="both"/>
        <w:rPr>
          <w:rFonts w:ascii="Times New Roman" w:hAnsi="Times New Roman" w:cs="Times New Roman"/>
          <w:b/>
          <w:sz w:val="24"/>
          <w:szCs w:val="24"/>
        </w:rPr>
      </w:pPr>
      <w:r w:rsidRPr="00712E96">
        <w:rPr>
          <w:rFonts w:ascii="Times New Roman" w:hAnsi="Times New Roman" w:cs="Times New Roman"/>
          <w:b/>
          <w:sz w:val="24"/>
          <w:szCs w:val="24"/>
        </w:rPr>
        <w:t>Závěr</w:t>
      </w:r>
    </w:p>
    <w:p w:rsidR="001165D6" w:rsidRPr="00A67AAF" w:rsidRDefault="002A52CE" w:rsidP="002A52CE">
      <w:pPr>
        <w:jc w:val="both"/>
        <w:rPr>
          <w:rFonts w:ascii="Times New Roman" w:hAnsi="Times New Roman" w:cs="Times New Roman"/>
          <w:sz w:val="24"/>
          <w:szCs w:val="24"/>
        </w:rPr>
      </w:pPr>
      <w:r>
        <w:rPr>
          <w:rFonts w:ascii="Times New Roman" w:hAnsi="Times New Roman" w:cs="Times New Roman"/>
          <w:sz w:val="24"/>
          <w:szCs w:val="24"/>
        </w:rPr>
        <w:t xml:space="preserve">Byla definována soustava </w:t>
      </w:r>
      <w:r w:rsidRPr="00C114B0">
        <w:rPr>
          <w:rFonts w:ascii="Times New Roman" w:hAnsi="Times New Roman" w:cs="Times New Roman"/>
          <w:sz w:val="24"/>
          <w:szCs w:val="24"/>
        </w:rPr>
        <w:t xml:space="preserve">25 kontextových indikátorů </w:t>
      </w:r>
      <w:r>
        <w:rPr>
          <w:rFonts w:ascii="Times New Roman" w:hAnsi="Times New Roman" w:cs="Times New Roman"/>
          <w:sz w:val="24"/>
          <w:szCs w:val="24"/>
        </w:rPr>
        <w:t xml:space="preserve">využitelných pro hodnocení pokroku při plnění cílů NP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Soustava je založena na 10 klíčových indikátorech, pro něž byla stanovena cílová hodnota v ČR, které má být dosaženo v roce 2020. Klíčové indikátory lze využít pro srovnávání ČR s ostatními evropskými zeměmi v kontextu NP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Šest z uvedených klíčových </w:t>
      </w:r>
      <w:r w:rsidRPr="00C114B0">
        <w:rPr>
          <w:rFonts w:ascii="Times New Roman" w:hAnsi="Times New Roman" w:cs="Times New Roman"/>
          <w:sz w:val="24"/>
          <w:szCs w:val="24"/>
        </w:rPr>
        <w:t xml:space="preserve">indikátorů </w:t>
      </w:r>
      <w:r>
        <w:rPr>
          <w:rFonts w:ascii="Times New Roman" w:hAnsi="Times New Roman" w:cs="Times New Roman"/>
          <w:sz w:val="24"/>
          <w:szCs w:val="24"/>
        </w:rPr>
        <w:t xml:space="preserve">se váže na cíl </w:t>
      </w:r>
      <w:r w:rsidRPr="00C114B0">
        <w:rPr>
          <w:rFonts w:ascii="Times New Roman" w:hAnsi="Times New Roman" w:cs="Times New Roman"/>
          <w:sz w:val="24"/>
          <w:szCs w:val="24"/>
        </w:rPr>
        <w:t xml:space="preserve">„Kvalitní a produktivní výzkumný systém“, </w:t>
      </w:r>
      <w:r>
        <w:rPr>
          <w:rFonts w:ascii="Times New Roman" w:hAnsi="Times New Roman" w:cs="Times New Roman"/>
          <w:sz w:val="24"/>
          <w:szCs w:val="24"/>
        </w:rPr>
        <w:t>dva jsou využitelné pro hodnocení cíle</w:t>
      </w:r>
      <w:r w:rsidRPr="00C114B0">
        <w:rPr>
          <w:rFonts w:ascii="Times New Roman" w:hAnsi="Times New Roman" w:cs="Times New Roman"/>
          <w:sz w:val="24"/>
          <w:szCs w:val="24"/>
        </w:rPr>
        <w:t xml:space="preserve"> „Efektivní šíření znalostí a jejich využívání v inovacích“ a</w:t>
      </w:r>
      <w:r>
        <w:rPr>
          <w:rFonts w:ascii="Times New Roman" w:hAnsi="Times New Roman" w:cs="Times New Roman"/>
          <w:sz w:val="24"/>
          <w:szCs w:val="24"/>
        </w:rPr>
        <w:t xml:space="preserve"> dva charakterizují úroveň plnění cíle </w:t>
      </w:r>
      <w:r w:rsidRPr="00C114B0">
        <w:rPr>
          <w:rFonts w:ascii="Times New Roman" w:hAnsi="Times New Roman" w:cs="Times New Roman"/>
          <w:sz w:val="24"/>
          <w:szCs w:val="24"/>
        </w:rPr>
        <w:t>„Inovující podniky“.</w:t>
      </w:r>
      <w:r>
        <w:rPr>
          <w:rFonts w:ascii="Times New Roman" w:hAnsi="Times New Roman" w:cs="Times New Roman"/>
          <w:sz w:val="24"/>
          <w:szCs w:val="24"/>
        </w:rPr>
        <w:t xml:space="preserve"> Zbylých 15 indikátorů, označených jako doplňkové, lze využít pro hodnocení NP </w:t>
      </w:r>
      <w:proofErr w:type="spellStart"/>
      <w:r>
        <w:rPr>
          <w:rFonts w:ascii="Times New Roman" w:hAnsi="Times New Roman" w:cs="Times New Roman"/>
          <w:sz w:val="24"/>
          <w:szCs w:val="24"/>
        </w:rPr>
        <w:t>VaVaI</w:t>
      </w:r>
      <w:proofErr w:type="spellEnd"/>
      <w:r>
        <w:rPr>
          <w:rFonts w:ascii="Times New Roman" w:hAnsi="Times New Roman" w:cs="Times New Roman"/>
          <w:sz w:val="24"/>
          <w:szCs w:val="24"/>
        </w:rPr>
        <w:t xml:space="preserve"> pouze v omezené míře.</w:t>
      </w:r>
    </w:p>
    <w:p w:rsidR="00C3511A" w:rsidRDefault="00C3511A" w:rsidP="002A7774"/>
    <w:p w:rsidR="00C3511A" w:rsidRDefault="00C3511A" w:rsidP="002A7774">
      <w:pPr>
        <w:sectPr w:rsidR="00C3511A" w:rsidSect="002A52CE">
          <w:pgSz w:w="11906" w:h="16838"/>
          <w:pgMar w:top="1418" w:right="1418" w:bottom="1418" w:left="1418" w:header="709" w:footer="709" w:gutter="0"/>
          <w:cols w:space="708"/>
          <w:docGrid w:linePitch="360"/>
        </w:sectPr>
      </w:pPr>
    </w:p>
    <w:tbl>
      <w:tblPr>
        <w:tblStyle w:val="Mkatabulky"/>
        <w:tblW w:w="0" w:type="auto"/>
        <w:tblLook w:val="04A0" w:firstRow="1" w:lastRow="0" w:firstColumn="1" w:lastColumn="0" w:noHBand="0" w:noVBand="1"/>
      </w:tblPr>
      <w:tblGrid>
        <w:gridCol w:w="14425"/>
      </w:tblGrid>
      <w:tr w:rsidR="002A52CE" w:rsidRPr="00123EB6" w:rsidTr="002A52CE">
        <w:trPr>
          <w:trHeight w:val="551"/>
        </w:trPr>
        <w:tc>
          <w:tcPr>
            <w:tcW w:w="14425" w:type="dxa"/>
            <w:shd w:val="clear" w:color="auto" w:fill="D9D9D9" w:themeFill="background1" w:themeFillShade="D9"/>
            <w:vAlign w:val="center"/>
          </w:tcPr>
          <w:p w:rsidR="002A52CE" w:rsidRPr="00123EB6" w:rsidRDefault="002A52CE" w:rsidP="002A52CE">
            <w:pPr>
              <w:rPr>
                <w:b/>
                <w:sz w:val="28"/>
                <w:szCs w:val="28"/>
              </w:rPr>
            </w:pPr>
            <w:r>
              <w:rPr>
                <w:b/>
                <w:sz w:val="28"/>
                <w:szCs w:val="28"/>
              </w:rPr>
              <w:lastRenderedPageBreak/>
              <w:t xml:space="preserve">Příloha - </w:t>
            </w:r>
            <w:r w:rsidRPr="00123EB6">
              <w:rPr>
                <w:b/>
                <w:sz w:val="28"/>
                <w:szCs w:val="28"/>
              </w:rPr>
              <w:t>Soustava</w:t>
            </w:r>
            <w:r>
              <w:rPr>
                <w:b/>
                <w:sz w:val="28"/>
                <w:szCs w:val="28"/>
              </w:rPr>
              <w:t xml:space="preserve"> </w:t>
            </w:r>
            <w:r w:rsidRPr="00123EB6">
              <w:rPr>
                <w:b/>
                <w:sz w:val="28"/>
                <w:szCs w:val="28"/>
              </w:rPr>
              <w:t>klíčových</w:t>
            </w:r>
            <w:r>
              <w:rPr>
                <w:b/>
                <w:sz w:val="28"/>
                <w:szCs w:val="28"/>
              </w:rPr>
              <w:t xml:space="preserve"> a doplňkových</w:t>
            </w:r>
            <w:r w:rsidRPr="00123EB6">
              <w:rPr>
                <w:b/>
                <w:sz w:val="28"/>
                <w:szCs w:val="28"/>
              </w:rPr>
              <w:t xml:space="preserve"> indikátorů </w:t>
            </w:r>
          </w:p>
        </w:tc>
      </w:tr>
    </w:tbl>
    <w:tbl>
      <w:tblPr>
        <w:tblStyle w:val="Mkatabulky1"/>
        <w:tblW w:w="14425" w:type="dxa"/>
        <w:tblLayout w:type="fixed"/>
        <w:tblLook w:val="04A0" w:firstRow="1" w:lastRow="0" w:firstColumn="1" w:lastColumn="0" w:noHBand="0" w:noVBand="1"/>
      </w:tblPr>
      <w:tblGrid>
        <w:gridCol w:w="3794"/>
        <w:gridCol w:w="3260"/>
        <w:gridCol w:w="142"/>
        <w:gridCol w:w="1134"/>
        <w:gridCol w:w="6095"/>
      </w:tblGrid>
      <w:tr w:rsidR="002A7774" w:rsidRPr="00B94AAE" w:rsidTr="002A52CE">
        <w:trPr>
          <w:trHeight w:val="503"/>
        </w:trPr>
        <w:tc>
          <w:tcPr>
            <w:tcW w:w="3794" w:type="dxa"/>
            <w:shd w:val="clear" w:color="auto" w:fill="D9D9D9" w:themeFill="background1" w:themeFillShade="D9"/>
            <w:vAlign w:val="center"/>
          </w:tcPr>
          <w:p w:rsidR="002A7774" w:rsidRPr="00B94AAE" w:rsidRDefault="002A7774" w:rsidP="00883D96">
            <w:pPr>
              <w:spacing w:before="60" w:after="60"/>
              <w:rPr>
                <w:rFonts w:ascii="Calibri" w:eastAsia="Calibri" w:hAnsi="Calibri" w:cs="Calibri"/>
                <w:b/>
              </w:rPr>
            </w:pPr>
            <w:r w:rsidRPr="00B94AAE">
              <w:rPr>
                <w:rFonts w:ascii="Calibri" w:eastAsia="Calibri" w:hAnsi="Calibri" w:cs="Calibri"/>
                <w:b/>
              </w:rPr>
              <w:t>Indikátor</w:t>
            </w:r>
          </w:p>
        </w:tc>
        <w:tc>
          <w:tcPr>
            <w:tcW w:w="3260" w:type="dxa"/>
            <w:shd w:val="clear" w:color="auto" w:fill="D9D9D9" w:themeFill="background1" w:themeFillShade="D9"/>
            <w:vAlign w:val="center"/>
          </w:tcPr>
          <w:p w:rsidR="002A7774" w:rsidRPr="00B94AAE" w:rsidRDefault="002A7774" w:rsidP="00883D96">
            <w:pPr>
              <w:spacing w:before="60" w:after="60"/>
              <w:jc w:val="center"/>
              <w:rPr>
                <w:b/>
                <w:szCs w:val="20"/>
              </w:rPr>
            </w:pPr>
            <w:r w:rsidRPr="00B94AAE">
              <w:rPr>
                <w:b/>
                <w:szCs w:val="20"/>
              </w:rPr>
              <w:t>Definice/výpočet indikátoru</w:t>
            </w:r>
          </w:p>
        </w:tc>
        <w:tc>
          <w:tcPr>
            <w:tcW w:w="1276" w:type="dxa"/>
            <w:gridSpan w:val="2"/>
            <w:shd w:val="clear" w:color="auto" w:fill="D9D9D9" w:themeFill="background1" w:themeFillShade="D9"/>
            <w:vAlign w:val="center"/>
          </w:tcPr>
          <w:p w:rsidR="002A7774" w:rsidRPr="00B94AAE" w:rsidRDefault="00BD0216" w:rsidP="00BD0216">
            <w:pPr>
              <w:spacing w:before="60" w:after="60"/>
              <w:jc w:val="center"/>
              <w:rPr>
                <w:b/>
                <w:szCs w:val="20"/>
              </w:rPr>
            </w:pPr>
            <w:r>
              <w:rPr>
                <w:b/>
                <w:szCs w:val="20"/>
              </w:rPr>
              <w:t xml:space="preserve">Využití indikátoru </w:t>
            </w:r>
          </w:p>
        </w:tc>
        <w:tc>
          <w:tcPr>
            <w:tcW w:w="6095" w:type="dxa"/>
            <w:shd w:val="clear" w:color="auto" w:fill="D9D9D9" w:themeFill="background1" w:themeFillShade="D9"/>
            <w:vAlign w:val="center"/>
          </w:tcPr>
          <w:p w:rsidR="002A7774" w:rsidRPr="00B94AAE" w:rsidRDefault="00BD0216" w:rsidP="00883D96">
            <w:pPr>
              <w:spacing w:before="60" w:after="60"/>
              <w:jc w:val="center"/>
              <w:rPr>
                <w:b/>
                <w:szCs w:val="20"/>
              </w:rPr>
            </w:pPr>
            <w:r>
              <w:rPr>
                <w:b/>
                <w:szCs w:val="20"/>
              </w:rPr>
              <w:t>Zdůvodnění</w:t>
            </w:r>
          </w:p>
        </w:tc>
      </w:tr>
      <w:tr w:rsidR="002A7774" w:rsidRPr="00B94AAE" w:rsidTr="002A52CE">
        <w:trPr>
          <w:trHeight w:val="258"/>
        </w:trPr>
        <w:tc>
          <w:tcPr>
            <w:tcW w:w="14425" w:type="dxa"/>
            <w:gridSpan w:val="5"/>
            <w:shd w:val="clear" w:color="auto" w:fill="F2F2F2" w:themeFill="background1" w:themeFillShade="F2"/>
            <w:vAlign w:val="center"/>
          </w:tcPr>
          <w:p w:rsidR="002A7774" w:rsidRPr="00B94AAE" w:rsidRDefault="002A7774" w:rsidP="00883D96">
            <w:pPr>
              <w:rPr>
                <w:b/>
                <w:sz w:val="32"/>
                <w:szCs w:val="20"/>
              </w:rPr>
            </w:pPr>
            <w:r w:rsidRPr="00B94AAE">
              <w:rPr>
                <w:b/>
                <w:szCs w:val="20"/>
              </w:rPr>
              <w:t>1. Kvalitní a produktivní výzkumný systém</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výzkumných pracovníků v centrech excelence na celkovém počtu výzkumných pracovníků</w:t>
            </w:r>
          </w:p>
        </w:tc>
        <w:tc>
          <w:tcPr>
            <w:tcW w:w="3260" w:type="dxa"/>
          </w:tcPr>
          <w:p w:rsidR="002A7774" w:rsidRPr="00B94AAE" w:rsidRDefault="002A7774" w:rsidP="00883D96">
            <w:pPr>
              <w:spacing w:before="40" w:after="40"/>
              <w:rPr>
                <w:sz w:val="20"/>
                <w:szCs w:val="20"/>
              </w:rPr>
            </w:pPr>
            <w:r w:rsidRPr="00B94AAE">
              <w:rPr>
                <w:sz w:val="20"/>
                <w:szCs w:val="20"/>
              </w:rPr>
              <w:t xml:space="preserve">Podíl počtu výzkumných pracovníků působících ve sledovaném roce v Evropských centrech excelence podpořených v prioritní ose 1 OP </w:t>
            </w:r>
            <w:proofErr w:type="spellStart"/>
            <w:r w:rsidRPr="00B94AAE">
              <w:rPr>
                <w:sz w:val="20"/>
                <w:szCs w:val="20"/>
              </w:rPr>
              <w:t>VaVpI</w:t>
            </w:r>
            <w:proofErr w:type="spellEnd"/>
            <w:r w:rsidRPr="00B94AAE">
              <w:rPr>
                <w:sz w:val="20"/>
                <w:szCs w:val="20"/>
              </w:rPr>
              <w:t xml:space="preserve"> v celkovém počtu výzkumných pracovníků působících ve všech pracovištích </w:t>
            </w:r>
            <w:proofErr w:type="spellStart"/>
            <w:r w:rsidRPr="00B94AAE">
              <w:rPr>
                <w:sz w:val="20"/>
                <w:szCs w:val="20"/>
              </w:rPr>
              <w:t>VaV</w:t>
            </w:r>
            <w:proofErr w:type="spellEnd"/>
            <w:r w:rsidRPr="00B94AAE">
              <w:rPr>
                <w:sz w:val="20"/>
                <w:szCs w:val="20"/>
              </w:rPr>
              <w:t xml:space="preserve"> ve vládním sektoru a vysokoškolském sektoru (ve FTE).</w:t>
            </w:r>
          </w:p>
        </w:tc>
        <w:tc>
          <w:tcPr>
            <w:tcW w:w="1276" w:type="dxa"/>
            <w:gridSpan w:val="2"/>
            <w:vAlign w:val="center"/>
          </w:tcPr>
          <w:p w:rsidR="002A7774" w:rsidRPr="00CE6C5E" w:rsidRDefault="00883D96" w:rsidP="00860F72">
            <w:pPr>
              <w:spacing w:before="40" w:after="40"/>
              <w:jc w:val="center"/>
              <w:rPr>
                <w:b/>
                <w:sz w:val="20"/>
                <w:szCs w:val="20"/>
              </w:rPr>
            </w:pPr>
            <w:r>
              <w:rPr>
                <w:b/>
                <w:sz w:val="20"/>
                <w:szCs w:val="20"/>
              </w:rPr>
              <w:t>klíčový</w:t>
            </w:r>
          </w:p>
        </w:tc>
        <w:tc>
          <w:tcPr>
            <w:tcW w:w="6095" w:type="dxa"/>
            <w:vAlign w:val="center"/>
          </w:tcPr>
          <w:p w:rsidR="00966690" w:rsidRDefault="00966690" w:rsidP="00966690">
            <w:pPr>
              <w:spacing w:before="40" w:after="40"/>
              <w:rPr>
                <w:sz w:val="20"/>
                <w:szCs w:val="20"/>
              </w:rPr>
            </w:pPr>
            <w:r>
              <w:rPr>
                <w:sz w:val="20"/>
                <w:szCs w:val="20"/>
              </w:rPr>
              <w:t>V původním pojetí jako podíl bylo stanovení cílové hodnoty ovlivněno počtem výzkumných pracovníků mimo centra excelence, kter</w:t>
            </w:r>
            <w:r w:rsidR="005C1B6B">
              <w:rPr>
                <w:sz w:val="20"/>
                <w:szCs w:val="20"/>
              </w:rPr>
              <w:t>ý</w:t>
            </w:r>
            <w:r>
              <w:rPr>
                <w:sz w:val="20"/>
                <w:szCs w:val="20"/>
              </w:rPr>
              <w:t xml:space="preserve"> nelze uspokojivě predikovat. Cílem NP </w:t>
            </w:r>
            <w:proofErr w:type="spellStart"/>
            <w:r>
              <w:rPr>
                <w:sz w:val="20"/>
                <w:szCs w:val="20"/>
              </w:rPr>
              <w:t>VaVaI</w:t>
            </w:r>
            <w:proofErr w:type="spellEnd"/>
            <w:r>
              <w:rPr>
                <w:sz w:val="20"/>
                <w:szCs w:val="20"/>
              </w:rPr>
              <w:t xml:space="preserve"> je vysoká kvalita a produktivita, které má být dosaženo soustředěním výzkumníků v centrech excelence</w:t>
            </w:r>
            <w:r w:rsidR="00527CD5">
              <w:rPr>
                <w:sz w:val="20"/>
                <w:szCs w:val="20"/>
              </w:rPr>
              <w:t xml:space="preserve">. </w:t>
            </w:r>
            <w:r>
              <w:rPr>
                <w:sz w:val="20"/>
                <w:szCs w:val="20"/>
              </w:rPr>
              <w:t>Proto bude sledován pouze počet pracovníků v centrech excelence, nikoliv jejich podíl. Pro mezinárodní srovnání lze indikátor relativizovat (např. v poměru k počtu obyvatel).</w:t>
            </w:r>
          </w:p>
          <w:p w:rsidR="002A7774" w:rsidRPr="00B94AAE" w:rsidRDefault="00743363" w:rsidP="00966690">
            <w:pPr>
              <w:spacing w:before="40" w:after="40"/>
              <w:rPr>
                <w:sz w:val="20"/>
                <w:szCs w:val="20"/>
              </w:rPr>
            </w:pPr>
            <w:r>
              <w:rPr>
                <w:sz w:val="20"/>
                <w:szCs w:val="20"/>
              </w:rPr>
              <w:t xml:space="preserve">Indikátor </w:t>
            </w:r>
            <w:r w:rsidRPr="00F115FD">
              <w:rPr>
                <w:b/>
                <w:sz w:val="20"/>
                <w:szCs w:val="20"/>
              </w:rPr>
              <w:t>bude pozměněn</w:t>
            </w:r>
            <w:r>
              <w:rPr>
                <w:sz w:val="20"/>
                <w:szCs w:val="20"/>
              </w:rPr>
              <w:t xml:space="preserve"> na „</w:t>
            </w:r>
            <w:r w:rsidRPr="00F115FD">
              <w:rPr>
                <w:b/>
                <w:sz w:val="20"/>
                <w:szCs w:val="20"/>
              </w:rPr>
              <w:t xml:space="preserve">Počet </w:t>
            </w:r>
            <w:r w:rsidRPr="00743363">
              <w:rPr>
                <w:sz w:val="20"/>
                <w:szCs w:val="20"/>
              </w:rPr>
              <w:t xml:space="preserve">výzkumných pracovníků v centrech excelence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zahraničních výzkumných pracovníků na celkovém počtu výzkumných pracovníků</w:t>
            </w:r>
          </w:p>
        </w:tc>
        <w:tc>
          <w:tcPr>
            <w:tcW w:w="3260" w:type="dxa"/>
          </w:tcPr>
          <w:p w:rsidR="002A7774" w:rsidRPr="00B94AAE" w:rsidRDefault="002A7774" w:rsidP="00883D96">
            <w:pPr>
              <w:spacing w:before="40" w:after="40"/>
              <w:rPr>
                <w:sz w:val="20"/>
                <w:szCs w:val="20"/>
              </w:rPr>
            </w:pPr>
            <w:r w:rsidRPr="00B94AAE">
              <w:rPr>
                <w:sz w:val="20"/>
                <w:szCs w:val="20"/>
              </w:rPr>
              <w:t>Podíl výzkumných pracovníků s cizím státním občanstvím, kteří ve sledovaném roce působili v ČR, v celkovém počtu výzkumných pracovníků působících v ČR v tomto roce (v HC).</w:t>
            </w:r>
          </w:p>
        </w:tc>
        <w:tc>
          <w:tcPr>
            <w:tcW w:w="1276" w:type="dxa"/>
            <w:gridSpan w:val="2"/>
            <w:vAlign w:val="center"/>
          </w:tcPr>
          <w:p w:rsidR="002A7774" w:rsidRPr="00B94AAE" w:rsidRDefault="00B7501C" w:rsidP="00860F72">
            <w:pPr>
              <w:spacing w:before="40" w:after="40"/>
              <w:jc w:val="center"/>
              <w:rPr>
                <w:sz w:val="20"/>
                <w:szCs w:val="20"/>
              </w:rPr>
            </w:pPr>
            <w:r>
              <w:rPr>
                <w:sz w:val="20"/>
                <w:szCs w:val="20"/>
              </w:rPr>
              <w:t>doplňkový</w:t>
            </w:r>
          </w:p>
        </w:tc>
        <w:tc>
          <w:tcPr>
            <w:tcW w:w="6095" w:type="dxa"/>
            <w:vAlign w:val="center"/>
          </w:tcPr>
          <w:p w:rsidR="00F115FD" w:rsidRPr="00B94AAE" w:rsidRDefault="00643967" w:rsidP="00643967">
            <w:pPr>
              <w:spacing w:before="40" w:after="40"/>
              <w:rPr>
                <w:sz w:val="20"/>
                <w:szCs w:val="20"/>
                <w:lang w:eastAsia="cs-CZ"/>
              </w:rPr>
            </w:pPr>
            <w:r>
              <w:rPr>
                <w:sz w:val="20"/>
                <w:szCs w:val="20"/>
              </w:rPr>
              <w:t xml:space="preserve">Mezinárodní srovnání je obtížné, </w:t>
            </w:r>
            <w:r w:rsidRPr="00643967">
              <w:rPr>
                <w:sz w:val="20"/>
                <w:szCs w:val="20"/>
              </w:rPr>
              <w:t>neboť indikátor je dostupný jen pro omezený počet zahraničních zemí. Zejména nejsou k dispozici věrohodné údaje ze srovnatelných zemí, a nelze tedy stanovit cílovou hodnotu.</w:t>
            </w:r>
            <w:r>
              <w:rPr>
                <w:sz w:val="20"/>
                <w:szCs w:val="20"/>
              </w:rPr>
              <w:t xml:space="preserv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žen na celkovém počtu výzkumných pracovníků</w:t>
            </w:r>
          </w:p>
        </w:tc>
        <w:tc>
          <w:tcPr>
            <w:tcW w:w="3260" w:type="dxa"/>
          </w:tcPr>
          <w:p w:rsidR="002A7774" w:rsidRPr="00B94AAE" w:rsidRDefault="002A7774" w:rsidP="00883D96">
            <w:pPr>
              <w:spacing w:before="40" w:after="40"/>
              <w:rPr>
                <w:sz w:val="20"/>
                <w:szCs w:val="20"/>
              </w:rPr>
            </w:pPr>
            <w:r w:rsidRPr="00B94AAE">
              <w:rPr>
                <w:sz w:val="20"/>
                <w:szCs w:val="20"/>
              </w:rPr>
              <w:t>Podíl žen – výzkumných pracovnic působících ve sledovaném roce ve všech sektorech provádění v celkovém počtu výzkumných pracovníků v ČR (ve FTE).</w:t>
            </w:r>
          </w:p>
        </w:tc>
        <w:tc>
          <w:tcPr>
            <w:tcW w:w="1276" w:type="dxa"/>
            <w:gridSpan w:val="2"/>
            <w:vAlign w:val="center"/>
          </w:tcPr>
          <w:p w:rsidR="002A7774" w:rsidRPr="00CE6C5E" w:rsidRDefault="00883D96" w:rsidP="001865B0">
            <w:pPr>
              <w:spacing w:before="40" w:after="40"/>
              <w:jc w:val="center"/>
              <w:rPr>
                <w:b/>
                <w:sz w:val="20"/>
                <w:szCs w:val="20"/>
              </w:rPr>
            </w:pPr>
            <w:r>
              <w:rPr>
                <w:b/>
                <w:sz w:val="20"/>
                <w:szCs w:val="20"/>
              </w:rPr>
              <w:t>klíčový</w:t>
            </w:r>
          </w:p>
        </w:tc>
        <w:tc>
          <w:tcPr>
            <w:tcW w:w="6095" w:type="dxa"/>
            <w:vAlign w:val="center"/>
          </w:tcPr>
          <w:p w:rsidR="002A7774" w:rsidRPr="00B94AAE" w:rsidRDefault="00B30882" w:rsidP="00B30882">
            <w:pPr>
              <w:spacing w:before="40" w:after="40"/>
              <w:rPr>
                <w:sz w:val="20"/>
                <w:szCs w:val="20"/>
                <w:lang w:eastAsia="cs-CZ"/>
              </w:rPr>
            </w:pPr>
            <w:r>
              <w:rPr>
                <w:sz w:val="20"/>
                <w:szCs w:val="20"/>
              </w:rPr>
              <w:t>I</w:t>
            </w:r>
            <w:r w:rsidRPr="00B30882">
              <w:rPr>
                <w:sz w:val="20"/>
                <w:szCs w:val="20"/>
              </w:rPr>
              <w:t>ndikátor bude sledován pouze ve vládním sektoru a VŠ sektoru, protože opatření NP směřující ke zvýšení podílu žen se mohou v podnikovém sektoru projevit pouze v omezené míře.</w:t>
            </w:r>
            <w:r>
              <w:rPr>
                <w:sz w:val="20"/>
                <w:szCs w:val="20"/>
              </w:rPr>
              <w:t xml:space="preserv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Podíl studentů studujících v jiné zemi EU27, EHP nebo kandidátské zemi </w:t>
            </w:r>
            <w:r>
              <w:rPr>
                <w:rFonts w:eastAsia="Calibri" w:cs="Calibri"/>
                <w:sz w:val="20"/>
                <w:szCs w:val="20"/>
              </w:rPr>
              <w:t xml:space="preserve">EU </w:t>
            </w:r>
            <w:r w:rsidRPr="00B94AAE">
              <w:rPr>
                <w:rFonts w:eastAsia="Calibri" w:cs="Calibri"/>
                <w:sz w:val="20"/>
                <w:szCs w:val="20"/>
              </w:rPr>
              <w:t>jako % všech studentů</w:t>
            </w:r>
          </w:p>
        </w:tc>
        <w:tc>
          <w:tcPr>
            <w:tcW w:w="3260" w:type="dxa"/>
          </w:tcPr>
          <w:p w:rsidR="002A7774" w:rsidRPr="00B94AAE" w:rsidRDefault="002A7774" w:rsidP="00883D96">
            <w:pPr>
              <w:spacing w:before="40" w:after="40"/>
              <w:rPr>
                <w:sz w:val="20"/>
                <w:szCs w:val="20"/>
              </w:rPr>
            </w:pPr>
            <w:r w:rsidRPr="00B94AAE">
              <w:rPr>
                <w:sz w:val="20"/>
                <w:szCs w:val="20"/>
              </w:rPr>
              <w:t>Podíl studentů prvního a druhého stupně terciárního vzdělávání (ISCED 5 a ISCED 6), kteří ve sledovaném roce studovali v jiném členském státu EU-27, zemi EHP nebo v kandidátské zemi EU, ve všech studentech ČR této úrovně vzdělání.</w:t>
            </w:r>
          </w:p>
        </w:tc>
        <w:tc>
          <w:tcPr>
            <w:tcW w:w="1276" w:type="dxa"/>
            <w:gridSpan w:val="2"/>
            <w:vAlign w:val="center"/>
          </w:tcPr>
          <w:p w:rsidR="002A7774" w:rsidRPr="00B94AAE" w:rsidRDefault="00FA3702" w:rsidP="00743363">
            <w:pPr>
              <w:spacing w:before="40" w:after="40"/>
              <w:jc w:val="center"/>
              <w:rPr>
                <w:sz w:val="20"/>
                <w:szCs w:val="20"/>
              </w:rPr>
            </w:pPr>
            <w:r>
              <w:rPr>
                <w:sz w:val="20"/>
                <w:szCs w:val="20"/>
              </w:rPr>
              <w:t>doplňkový</w:t>
            </w:r>
          </w:p>
        </w:tc>
        <w:tc>
          <w:tcPr>
            <w:tcW w:w="6095" w:type="dxa"/>
            <w:vAlign w:val="center"/>
          </w:tcPr>
          <w:p w:rsidR="002A7774" w:rsidRPr="00B94AAE" w:rsidRDefault="00560CC9" w:rsidP="00C7582B">
            <w:pPr>
              <w:spacing w:before="40" w:after="40"/>
              <w:rPr>
                <w:sz w:val="20"/>
                <w:szCs w:val="20"/>
                <w:lang w:eastAsia="cs-CZ"/>
              </w:rPr>
            </w:pPr>
            <w:r>
              <w:rPr>
                <w:sz w:val="20"/>
                <w:szCs w:val="20"/>
              </w:rPr>
              <w:t>Vypovídací hodnota indikátoru je omezená.</w:t>
            </w:r>
            <w:r w:rsidR="00F8427D">
              <w:rPr>
                <w:sz w:val="20"/>
                <w:szCs w:val="20"/>
              </w:rPr>
              <w:t xml:space="preserve"> Nejsou k dispozici detailní data o kvalitě (prestiži) zahraničních působišť</w:t>
            </w:r>
            <w:r w:rsidR="00C93C8C">
              <w:rPr>
                <w:sz w:val="20"/>
                <w:szCs w:val="20"/>
              </w:rPr>
              <w:t>, ani</w:t>
            </w:r>
            <w:r w:rsidR="00F8427D">
              <w:rPr>
                <w:sz w:val="20"/>
                <w:szCs w:val="20"/>
              </w:rPr>
              <w:t xml:space="preserve"> informace o působení studentů ve </w:t>
            </w:r>
            <w:proofErr w:type="spellStart"/>
            <w:r w:rsidR="00F8427D">
              <w:rPr>
                <w:sz w:val="20"/>
                <w:szCs w:val="20"/>
              </w:rPr>
              <w:t>VaVaI</w:t>
            </w:r>
            <w:proofErr w:type="spellEnd"/>
            <w:r w:rsidR="00F8427D">
              <w:rPr>
                <w:sz w:val="20"/>
                <w:szCs w:val="20"/>
              </w:rPr>
              <w:t xml:space="preserve"> po ukončení studia.</w:t>
            </w:r>
            <w:r w:rsidR="00C7582B">
              <w:rPr>
                <w:sz w:val="20"/>
                <w:szCs w:val="20"/>
              </w:rPr>
              <w:t xml:space="preserve"> </w:t>
            </w:r>
            <w:r w:rsidR="00C7582B" w:rsidRPr="00C7582B">
              <w:rPr>
                <w:sz w:val="20"/>
                <w:szCs w:val="20"/>
              </w:rPr>
              <w:t xml:space="preserve">Vzhledem k tomu, že jedním z cílů NP v oblasti lidských zdrojů ve </w:t>
            </w:r>
            <w:proofErr w:type="spellStart"/>
            <w:r w:rsidR="00C7582B" w:rsidRPr="00C7582B">
              <w:rPr>
                <w:sz w:val="20"/>
                <w:szCs w:val="20"/>
              </w:rPr>
              <w:t>VaVaI</w:t>
            </w:r>
            <w:proofErr w:type="spellEnd"/>
            <w:r w:rsidR="00C7582B" w:rsidRPr="00C7582B">
              <w:rPr>
                <w:sz w:val="20"/>
                <w:szCs w:val="20"/>
              </w:rPr>
              <w:t xml:space="preserve"> je zajistit kvalitní lidské zdroje pro výzkum, vývoj a inovace, je zapotřebí sledovat zejména studenty studující na prestižních zahraničních školách a kteří se po studiu vrátí do ČR a pracují ve </w:t>
            </w:r>
            <w:proofErr w:type="spellStart"/>
            <w:r w:rsidR="00C7582B" w:rsidRPr="00C7582B">
              <w:rPr>
                <w:sz w:val="20"/>
                <w:szCs w:val="20"/>
              </w:rPr>
              <w:t>VaV</w:t>
            </w:r>
            <w:proofErr w:type="spellEnd"/>
            <w:r w:rsidR="00C7582B" w:rsidRPr="00C7582B">
              <w:rPr>
                <w:sz w:val="20"/>
                <w:szCs w:val="20"/>
              </w:rPr>
              <w:t xml:space="preserve"> nebo v znalostně náročných pozicích v podnicích.</w:t>
            </w:r>
            <w:r w:rsidR="00C7582B">
              <w:rPr>
                <w:sz w:val="20"/>
                <w:szCs w:val="20"/>
              </w:rPr>
              <w:t xml:space="preserve"> </w:t>
            </w:r>
            <w:r w:rsidR="00F8427D">
              <w:rPr>
                <w:sz w:val="20"/>
                <w:szCs w:val="20"/>
              </w:rPr>
              <w:t xml:space="preserv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lastRenderedPageBreak/>
              <w:t>Podíl vědeckých publikací ve spoluautorství domácích a zahraničních výzkumníků</w:t>
            </w:r>
          </w:p>
        </w:tc>
        <w:tc>
          <w:tcPr>
            <w:tcW w:w="3260" w:type="dxa"/>
          </w:tcPr>
          <w:p w:rsidR="002A7774" w:rsidRPr="00B94AAE" w:rsidRDefault="002A7774" w:rsidP="00883D96">
            <w:pPr>
              <w:spacing w:before="40" w:after="40"/>
              <w:rPr>
                <w:sz w:val="20"/>
                <w:szCs w:val="20"/>
              </w:rPr>
            </w:pPr>
            <w:r w:rsidRPr="00B94AAE">
              <w:rPr>
                <w:sz w:val="20"/>
                <w:szCs w:val="20"/>
              </w:rPr>
              <w:t>Podíl vědeckých publikací publikovaných ve sledovaném roce, které mají alespoň jednoho spoluautora z ČR a jednoho spoluautora z</w:t>
            </w:r>
            <w:r>
              <w:rPr>
                <w:sz w:val="20"/>
                <w:szCs w:val="20"/>
              </w:rPr>
              <w:t>e zahraniční výzkumné organizace</w:t>
            </w:r>
            <w:r w:rsidRPr="00B94AAE">
              <w:rPr>
                <w:sz w:val="20"/>
                <w:szCs w:val="20"/>
              </w:rPr>
              <w:t>, k celkovému počtu publikací, kde je alespoň jeden spoluautor z ČR.</w:t>
            </w:r>
          </w:p>
        </w:tc>
        <w:tc>
          <w:tcPr>
            <w:tcW w:w="1276" w:type="dxa"/>
            <w:gridSpan w:val="2"/>
            <w:vAlign w:val="center"/>
          </w:tcPr>
          <w:p w:rsidR="002A7774" w:rsidRPr="00712E96" w:rsidRDefault="00883D96" w:rsidP="00743363">
            <w:pPr>
              <w:spacing w:before="40" w:after="40" w:line="276" w:lineRule="auto"/>
              <w:jc w:val="center"/>
              <w:rPr>
                <w:b/>
                <w:sz w:val="20"/>
                <w:szCs w:val="20"/>
              </w:rPr>
            </w:pPr>
            <w:r>
              <w:rPr>
                <w:b/>
                <w:sz w:val="20"/>
                <w:szCs w:val="20"/>
              </w:rPr>
              <w:t>klíčový</w:t>
            </w:r>
          </w:p>
        </w:tc>
        <w:tc>
          <w:tcPr>
            <w:tcW w:w="6095" w:type="dxa"/>
            <w:vAlign w:val="center"/>
          </w:tcPr>
          <w:p w:rsidR="002A7774" w:rsidRPr="00B94AAE" w:rsidRDefault="002A7774" w:rsidP="00883D96">
            <w:pPr>
              <w:spacing w:before="40" w:after="40"/>
              <w:rPr>
                <w:sz w:val="20"/>
                <w:szCs w:val="20"/>
              </w:rPr>
            </w:pPr>
          </w:p>
        </w:tc>
      </w:tr>
      <w:tr w:rsidR="002A7774" w:rsidRPr="00B94AAE" w:rsidTr="002A52CE">
        <w:trPr>
          <w:trHeight w:val="902"/>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výzkumných center využívaných dalšími subjekty</w:t>
            </w:r>
          </w:p>
        </w:tc>
        <w:tc>
          <w:tcPr>
            <w:tcW w:w="3260" w:type="dxa"/>
          </w:tcPr>
          <w:p w:rsidR="002A7774" w:rsidRPr="00B94AAE" w:rsidRDefault="002A7774" w:rsidP="00883D96">
            <w:pPr>
              <w:spacing w:before="40" w:after="40"/>
              <w:rPr>
                <w:sz w:val="20"/>
                <w:szCs w:val="20"/>
              </w:rPr>
            </w:pPr>
            <w:r w:rsidRPr="00B94AAE">
              <w:rPr>
                <w:sz w:val="20"/>
                <w:szCs w:val="20"/>
              </w:rPr>
              <w:t xml:space="preserve">Podíl kapacit výzkumných center (Evropských center excelence a Regionálních </w:t>
            </w:r>
            <w:proofErr w:type="spellStart"/>
            <w:r w:rsidRPr="00B94AAE">
              <w:rPr>
                <w:sz w:val="20"/>
                <w:szCs w:val="20"/>
              </w:rPr>
              <w:t>VaV</w:t>
            </w:r>
            <w:proofErr w:type="spellEnd"/>
            <w:r w:rsidRPr="00B94AAE">
              <w:rPr>
                <w:sz w:val="20"/>
                <w:szCs w:val="20"/>
              </w:rPr>
              <w:t xml:space="preserve"> center podpořených z OP </w:t>
            </w:r>
            <w:proofErr w:type="spellStart"/>
            <w:r w:rsidRPr="00B94AAE">
              <w:rPr>
                <w:sz w:val="20"/>
                <w:szCs w:val="20"/>
              </w:rPr>
              <w:t>VaVpI</w:t>
            </w:r>
            <w:proofErr w:type="spellEnd"/>
            <w:r w:rsidRPr="00B94AAE">
              <w:rPr>
                <w:sz w:val="20"/>
                <w:szCs w:val="20"/>
              </w:rPr>
              <w:t xml:space="preserve">, center podpořených z OP PK a výzkumné infrastruktury, zařazené do Cestovní mapy ČR velkých infrastruktur pro </w:t>
            </w:r>
            <w:proofErr w:type="spellStart"/>
            <w:r w:rsidRPr="00B94AAE">
              <w:rPr>
                <w:sz w:val="20"/>
                <w:szCs w:val="20"/>
              </w:rPr>
              <w:t>VaVaI</w:t>
            </w:r>
            <w:proofErr w:type="spellEnd"/>
            <w:r w:rsidRPr="00B94AAE">
              <w:rPr>
                <w:sz w:val="20"/>
                <w:szCs w:val="20"/>
              </w:rPr>
              <w:t>), který je ve sledovaném roce využíván jinými (externími) subjekty, k celkové kapacitě těchto výzkumných center.</w:t>
            </w:r>
          </w:p>
        </w:tc>
        <w:tc>
          <w:tcPr>
            <w:tcW w:w="1276" w:type="dxa"/>
            <w:gridSpan w:val="2"/>
            <w:vAlign w:val="center"/>
          </w:tcPr>
          <w:p w:rsidR="002A7774" w:rsidRPr="00B94AAE" w:rsidRDefault="00FA3702" w:rsidP="00743363">
            <w:pPr>
              <w:spacing w:before="40" w:after="40"/>
              <w:jc w:val="center"/>
              <w:rPr>
                <w:sz w:val="20"/>
                <w:szCs w:val="20"/>
              </w:rPr>
            </w:pPr>
            <w:r>
              <w:rPr>
                <w:sz w:val="20"/>
                <w:szCs w:val="20"/>
              </w:rPr>
              <w:t>doplňkový</w:t>
            </w:r>
          </w:p>
        </w:tc>
        <w:tc>
          <w:tcPr>
            <w:tcW w:w="6095" w:type="dxa"/>
            <w:vAlign w:val="center"/>
          </w:tcPr>
          <w:p w:rsidR="002A7774" w:rsidRPr="00B94AAE" w:rsidRDefault="0046729B" w:rsidP="00712E96">
            <w:pPr>
              <w:spacing w:before="40" w:after="40"/>
              <w:rPr>
                <w:sz w:val="20"/>
                <w:szCs w:val="20"/>
                <w:lang w:eastAsia="cs-CZ"/>
              </w:rPr>
            </w:pPr>
            <w:r>
              <w:rPr>
                <w:sz w:val="20"/>
                <w:szCs w:val="20"/>
              </w:rPr>
              <w:t xml:space="preserve">Indikátor není v současné době sledován, nelze kvalifikovaně predikovat jeho cílovou hodnotu. Vycházet z fixně stanovené hodnoty vyžadované v OP </w:t>
            </w:r>
            <w:proofErr w:type="spellStart"/>
            <w:r>
              <w:rPr>
                <w:sz w:val="20"/>
                <w:szCs w:val="20"/>
              </w:rPr>
              <w:t>VaV</w:t>
            </w:r>
            <w:r w:rsidR="005C1B6B">
              <w:rPr>
                <w:sz w:val="20"/>
                <w:szCs w:val="20"/>
              </w:rPr>
              <w:t>p</w:t>
            </w:r>
            <w:r>
              <w:rPr>
                <w:sz w:val="20"/>
                <w:szCs w:val="20"/>
              </w:rPr>
              <w:t>I</w:t>
            </w:r>
            <w:proofErr w:type="spellEnd"/>
            <w:r>
              <w:rPr>
                <w:sz w:val="20"/>
                <w:szCs w:val="20"/>
              </w:rPr>
              <w:t xml:space="preserve"> není vhodné</w:t>
            </w:r>
            <w:r w:rsidR="002C3641">
              <w:rPr>
                <w:sz w:val="20"/>
                <w:szCs w:val="20"/>
              </w:rPr>
              <w:t>.</w:t>
            </w:r>
            <w:r>
              <w:rPr>
                <w:sz w:val="20"/>
                <w:szCs w:val="20"/>
              </w:rPr>
              <w:t xml:space="preserve"> Nejsou k dispozici žádné věrohodné údaje z jiných zemí pro mezinárodní srovnání.</w:t>
            </w:r>
          </w:p>
        </w:tc>
      </w:tr>
      <w:tr w:rsidR="002A7774" w:rsidRPr="00B94AAE" w:rsidTr="002A52CE">
        <w:trPr>
          <w:trHeight w:val="126"/>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Objem veřejných výdajů na </w:t>
            </w:r>
            <w:proofErr w:type="spellStart"/>
            <w:r w:rsidRPr="00B94AAE">
              <w:rPr>
                <w:rFonts w:eastAsia="Calibri" w:cs="Calibri"/>
                <w:sz w:val="20"/>
                <w:szCs w:val="20"/>
              </w:rPr>
              <w:t>VaV</w:t>
            </w:r>
            <w:proofErr w:type="spellEnd"/>
            <w:r w:rsidRPr="00B94AAE">
              <w:rPr>
                <w:rFonts w:eastAsia="Calibri" w:cs="Calibri"/>
                <w:sz w:val="20"/>
                <w:szCs w:val="20"/>
              </w:rPr>
              <w:t xml:space="preserve"> (cíl 1</w:t>
            </w:r>
            <w:r>
              <w:rPr>
                <w:rFonts w:eastAsia="Calibri" w:cs="Calibri"/>
                <w:sz w:val="20"/>
                <w:szCs w:val="20"/>
              </w:rPr>
              <w:t> </w:t>
            </w:r>
            <w:r w:rsidRPr="00B94AAE">
              <w:rPr>
                <w:rFonts w:eastAsia="Calibri" w:cs="Calibri"/>
                <w:sz w:val="20"/>
                <w:szCs w:val="20"/>
              </w:rPr>
              <w:t>% HDP)</w:t>
            </w:r>
          </w:p>
        </w:tc>
        <w:tc>
          <w:tcPr>
            <w:tcW w:w="3260" w:type="dxa"/>
          </w:tcPr>
          <w:p w:rsidR="002A7774" w:rsidRPr="00B94AAE" w:rsidRDefault="002A7774" w:rsidP="00883D96">
            <w:pPr>
              <w:spacing w:before="40" w:after="40"/>
              <w:rPr>
                <w:sz w:val="20"/>
                <w:szCs w:val="20"/>
              </w:rPr>
            </w:pPr>
            <w:r w:rsidRPr="000D061F">
              <w:rPr>
                <w:sz w:val="20"/>
                <w:szCs w:val="20"/>
              </w:rPr>
              <w:t xml:space="preserve">Podíl státních rozpočtových výdajů a dotací na </w:t>
            </w:r>
            <w:proofErr w:type="spellStart"/>
            <w:r w:rsidRPr="000D061F">
              <w:rPr>
                <w:sz w:val="20"/>
                <w:szCs w:val="20"/>
              </w:rPr>
              <w:t>VaV</w:t>
            </w:r>
            <w:proofErr w:type="spellEnd"/>
            <w:r w:rsidRPr="000D061F">
              <w:rPr>
                <w:sz w:val="20"/>
                <w:szCs w:val="20"/>
              </w:rPr>
              <w:t xml:space="preserve"> (GBAORD) uskutečněných ve sledovaném roce k hrubému domácímu produktu v tomto roce.</w:t>
            </w:r>
          </w:p>
        </w:tc>
        <w:tc>
          <w:tcPr>
            <w:tcW w:w="1276" w:type="dxa"/>
            <w:gridSpan w:val="2"/>
            <w:vAlign w:val="center"/>
          </w:tcPr>
          <w:p w:rsidR="002A7774" w:rsidRPr="004607A3" w:rsidRDefault="00883D96" w:rsidP="002C3641">
            <w:pPr>
              <w:spacing w:before="40" w:after="40"/>
              <w:jc w:val="center"/>
              <w:rPr>
                <w:b/>
                <w:sz w:val="20"/>
                <w:szCs w:val="20"/>
              </w:rPr>
            </w:pPr>
            <w:r>
              <w:rPr>
                <w:b/>
                <w:sz w:val="20"/>
                <w:szCs w:val="20"/>
              </w:rPr>
              <w:t>klíčový</w:t>
            </w:r>
          </w:p>
        </w:tc>
        <w:tc>
          <w:tcPr>
            <w:tcW w:w="6095" w:type="dxa"/>
            <w:vAlign w:val="center"/>
          </w:tcPr>
          <w:p w:rsidR="002A7774" w:rsidRPr="00B94AAE" w:rsidRDefault="002A7774" w:rsidP="00883D96">
            <w:pPr>
              <w:spacing w:before="40" w:after="40"/>
              <w:rPr>
                <w:sz w:val="20"/>
                <w:szCs w:val="20"/>
              </w:rPr>
            </w:pP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Podíl veřejné podpory, investované do </w:t>
            </w:r>
            <w:proofErr w:type="spellStart"/>
            <w:r w:rsidRPr="00B94AAE">
              <w:rPr>
                <w:rFonts w:eastAsia="Calibri" w:cs="Calibri"/>
                <w:sz w:val="20"/>
                <w:szCs w:val="20"/>
              </w:rPr>
              <w:t>VaV</w:t>
            </w:r>
            <w:proofErr w:type="spellEnd"/>
            <w:r w:rsidRPr="00B94AAE">
              <w:rPr>
                <w:rFonts w:eastAsia="Calibri" w:cs="Calibri"/>
                <w:sz w:val="20"/>
                <w:szCs w:val="20"/>
              </w:rPr>
              <w:t xml:space="preserve"> reagujícího na prioritní cíle</w:t>
            </w:r>
          </w:p>
        </w:tc>
        <w:tc>
          <w:tcPr>
            <w:tcW w:w="3260" w:type="dxa"/>
          </w:tcPr>
          <w:p w:rsidR="002A7774" w:rsidRPr="00B94AAE" w:rsidRDefault="002A7774" w:rsidP="00883D96">
            <w:pPr>
              <w:spacing w:before="40" w:after="40"/>
              <w:rPr>
                <w:sz w:val="20"/>
                <w:szCs w:val="20"/>
              </w:rPr>
            </w:pPr>
            <w:r w:rsidRPr="00793AC1">
              <w:rPr>
                <w:sz w:val="20"/>
                <w:szCs w:val="20"/>
              </w:rPr>
              <w:t xml:space="preserve">Poměr veřejných prostředků směřujících na podporu </w:t>
            </w:r>
            <w:proofErr w:type="spellStart"/>
            <w:r w:rsidRPr="00793AC1">
              <w:rPr>
                <w:sz w:val="20"/>
                <w:szCs w:val="20"/>
              </w:rPr>
              <w:t>VaV</w:t>
            </w:r>
            <w:proofErr w:type="spellEnd"/>
            <w:r w:rsidRPr="00793AC1">
              <w:rPr>
                <w:sz w:val="20"/>
                <w:szCs w:val="20"/>
              </w:rPr>
              <w:t xml:space="preserve">, jehož zaměření odpovídá stanoveným Národním prioritám orientovaného </w:t>
            </w:r>
            <w:proofErr w:type="spellStart"/>
            <w:r w:rsidRPr="00793AC1">
              <w:rPr>
                <w:sz w:val="20"/>
                <w:szCs w:val="20"/>
              </w:rPr>
              <w:t>VaVaI</w:t>
            </w:r>
            <w:proofErr w:type="spellEnd"/>
            <w:r w:rsidRPr="00793AC1">
              <w:rPr>
                <w:sz w:val="20"/>
                <w:szCs w:val="20"/>
              </w:rPr>
              <w:t xml:space="preserve">, poskytnutých ve sledovaném roce všemi poskytovateli veřejné podpory, k celkové výši veřejných výdajů na </w:t>
            </w:r>
            <w:proofErr w:type="spellStart"/>
            <w:r w:rsidRPr="00793AC1">
              <w:rPr>
                <w:sz w:val="20"/>
                <w:szCs w:val="20"/>
              </w:rPr>
              <w:t>VaV</w:t>
            </w:r>
            <w:proofErr w:type="spellEnd"/>
            <w:r w:rsidRPr="00793AC1">
              <w:rPr>
                <w:sz w:val="20"/>
                <w:szCs w:val="20"/>
              </w:rPr>
              <w:t xml:space="preserve"> v tomto roce.</w:t>
            </w:r>
          </w:p>
        </w:tc>
        <w:tc>
          <w:tcPr>
            <w:tcW w:w="1276" w:type="dxa"/>
            <w:gridSpan w:val="2"/>
            <w:vAlign w:val="center"/>
          </w:tcPr>
          <w:p w:rsidR="002A7774" w:rsidRPr="00B94AAE" w:rsidRDefault="00FA3702" w:rsidP="0028764C">
            <w:pPr>
              <w:spacing w:before="40" w:after="40"/>
              <w:jc w:val="center"/>
              <w:rPr>
                <w:sz w:val="20"/>
                <w:szCs w:val="20"/>
              </w:rPr>
            </w:pPr>
            <w:r>
              <w:rPr>
                <w:sz w:val="20"/>
                <w:szCs w:val="20"/>
              </w:rPr>
              <w:t>doplňkový</w:t>
            </w:r>
          </w:p>
        </w:tc>
        <w:tc>
          <w:tcPr>
            <w:tcW w:w="6095" w:type="dxa"/>
            <w:vAlign w:val="center"/>
          </w:tcPr>
          <w:p w:rsidR="002A7774" w:rsidRPr="00B94AAE" w:rsidRDefault="00F06FFC" w:rsidP="003F50B9">
            <w:pPr>
              <w:spacing w:before="40" w:after="40"/>
              <w:rPr>
                <w:sz w:val="20"/>
                <w:szCs w:val="20"/>
                <w:lang w:eastAsia="cs-CZ"/>
              </w:rPr>
            </w:pPr>
            <w:r>
              <w:rPr>
                <w:sz w:val="20"/>
                <w:szCs w:val="20"/>
              </w:rPr>
              <w:t xml:space="preserve">Indikátor souvisí s hodnocením implementace národních priorit </w:t>
            </w:r>
            <w:proofErr w:type="spellStart"/>
            <w:r>
              <w:rPr>
                <w:sz w:val="20"/>
                <w:szCs w:val="20"/>
              </w:rPr>
              <w:t>VaVaI</w:t>
            </w:r>
            <w:proofErr w:type="spellEnd"/>
            <w:r>
              <w:rPr>
                <w:sz w:val="20"/>
                <w:szCs w:val="20"/>
              </w:rPr>
              <w:t xml:space="preserve">. V současné době indikátor není sledován, </w:t>
            </w:r>
            <w:r w:rsidR="003F50B9">
              <w:rPr>
                <w:sz w:val="20"/>
                <w:szCs w:val="20"/>
              </w:rPr>
              <w:t>n</w:t>
            </w:r>
            <w:r w:rsidR="003F50B9" w:rsidRPr="003F50B9">
              <w:rPr>
                <w:sz w:val="20"/>
                <w:szCs w:val="20"/>
              </w:rPr>
              <w:t>elze objektivně stanovit cílovou hodnotu, chybí údaje ze zahraničních zemí.</w:t>
            </w:r>
            <w:r w:rsidR="003F50B9" w:rsidDel="003F50B9">
              <w:rPr>
                <w:sz w:val="20"/>
                <w:szCs w:val="20"/>
              </w:rPr>
              <w:t xml:space="preserve"> </w:t>
            </w:r>
            <w:r>
              <w:rPr>
                <w:sz w:val="20"/>
                <w:szCs w:val="20"/>
              </w:rPr>
              <w:t xml:space="preserve">Indikátor má význam pro hodnocení programů účelové podpory </w:t>
            </w:r>
            <w:proofErr w:type="spellStart"/>
            <w:r>
              <w:rPr>
                <w:sz w:val="20"/>
                <w:szCs w:val="20"/>
              </w:rPr>
              <w:t>VaVaI</w:t>
            </w:r>
            <w:proofErr w:type="spellEnd"/>
            <w:r>
              <w:rPr>
                <w:sz w:val="20"/>
                <w:szCs w:val="20"/>
              </w:rPr>
              <w:t xml:space="preserve">, nikoliv pro hodnocení NP </w:t>
            </w:r>
            <w:proofErr w:type="spellStart"/>
            <w:r>
              <w:rPr>
                <w:sz w:val="20"/>
                <w:szCs w:val="20"/>
              </w:rPr>
              <w:t>VaVaI</w:t>
            </w:r>
            <w:proofErr w:type="spellEnd"/>
            <w:r>
              <w:rPr>
                <w:sz w:val="20"/>
                <w:szCs w:val="20"/>
              </w:rPr>
              <w:t>.</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lastRenderedPageBreak/>
              <w:t>Počet ERC grantů získaných na výzkumných pracovištích v</w:t>
            </w:r>
            <w:r>
              <w:rPr>
                <w:rFonts w:eastAsia="Calibri" w:cs="Calibri"/>
                <w:sz w:val="20"/>
                <w:szCs w:val="20"/>
              </w:rPr>
              <w:t> </w:t>
            </w:r>
            <w:r w:rsidRPr="00B94AAE">
              <w:rPr>
                <w:rFonts w:eastAsia="Calibri" w:cs="Calibri"/>
                <w:sz w:val="20"/>
                <w:szCs w:val="20"/>
              </w:rPr>
              <w:t>ČR</w:t>
            </w:r>
          </w:p>
        </w:tc>
        <w:tc>
          <w:tcPr>
            <w:tcW w:w="3260" w:type="dxa"/>
          </w:tcPr>
          <w:p w:rsidR="002A7774" w:rsidRPr="00B94AAE" w:rsidRDefault="002A7774" w:rsidP="00883D96">
            <w:pPr>
              <w:spacing w:before="40" w:after="40"/>
              <w:rPr>
                <w:sz w:val="20"/>
                <w:szCs w:val="20"/>
              </w:rPr>
            </w:pPr>
            <w:r w:rsidRPr="00B94AAE">
              <w:rPr>
                <w:sz w:val="20"/>
                <w:szCs w:val="20"/>
              </w:rPr>
              <w:t>Celkový počet grantů, které získají výzkumní pracovníci z ČR ve sledovaném roce u Evropské výzkumné rady (ERC).</w:t>
            </w:r>
          </w:p>
        </w:tc>
        <w:tc>
          <w:tcPr>
            <w:tcW w:w="1276" w:type="dxa"/>
            <w:gridSpan w:val="2"/>
            <w:vAlign w:val="center"/>
          </w:tcPr>
          <w:p w:rsidR="002A7774" w:rsidRPr="00B94AAE" w:rsidRDefault="00FA3702" w:rsidP="0028764C">
            <w:pPr>
              <w:spacing w:before="40" w:after="40"/>
              <w:jc w:val="center"/>
              <w:rPr>
                <w:sz w:val="20"/>
                <w:szCs w:val="20"/>
              </w:rPr>
            </w:pPr>
            <w:r>
              <w:rPr>
                <w:sz w:val="20"/>
                <w:szCs w:val="20"/>
              </w:rPr>
              <w:t>doplňkový</w:t>
            </w:r>
          </w:p>
        </w:tc>
        <w:tc>
          <w:tcPr>
            <w:tcW w:w="6095" w:type="dxa"/>
            <w:vAlign w:val="center"/>
          </w:tcPr>
          <w:p w:rsidR="002A7774" w:rsidRPr="00B94AAE" w:rsidRDefault="0028764C" w:rsidP="00712E96">
            <w:pPr>
              <w:spacing w:before="40" w:after="40"/>
              <w:rPr>
                <w:sz w:val="20"/>
                <w:szCs w:val="20"/>
                <w:lang w:eastAsia="cs-CZ"/>
              </w:rPr>
            </w:pPr>
            <w:r>
              <w:rPr>
                <w:sz w:val="20"/>
                <w:szCs w:val="20"/>
              </w:rPr>
              <w:t xml:space="preserve">Počet ERC grantů získaných českými vědci je </w:t>
            </w:r>
            <w:r w:rsidR="00D63668">
              <w:rPr>
                <w:sz w:val="20"/>
                <w:szCs w:val="20"/>
              </w:rPr>
              <w:t>v současnosti natolik nízký</w:t>
            </w:r>
            <w:r>
              <w:rPr>
                <w:sz w:val="20"/>
                <w:szCs w:val="20"/>
              </w:rPr>
              <w:t xml:space="preserve">, </w:t>
            </w:r>
            <w:r w:rsidR="00D63668">
              <w:rPr>
                <w:sz w:val="20"/>
                <w:szCs w:val="20"/>
              </w:rPr>
              <w:t xml:space="preserve">že nelze kvalifikovaně predikovat cílovou hodnotu. K hodnocení kvality </w:t>
            </w:r>
            <w:proofErr w:type="spellStart"/>
            <w:r w:rsidR="00D63668">
              <w:rPr>
                <w:sz w:val="20"/>
                <w:szCs w:val="20"/>
              </w:rPr>
              <w:t>VaVaI</w:t>
            </w:r>
            <w:proofErr w:type="spellEnd"/>
            <w:r w:rsidR="00D63668">
              <w:rPr>
                <w:sz w:val="20"/>
                <w:szCs w:val="20"/>
              </w:rPr>
              <w:t xml:space="preserve"> ve smyslu úspěšnosti výzkumných týmů z ČR na mezinárodní úrovni bude primárně využit indikátor 1.10</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Počet projektů výzkumných týmů z ČR realizovaných v programu H2020</w:t>
            </w:r>
          </w:p>
        </w:tc>
        <w:tc>
          <w:tcPr>
            <w:tcW w:w="3260" w:type="dxa"/>
          </w:tcPr>
          <w:p w:rsidR="002A7774" w:rsidRPr="00B94AAE" w:rsidRDefault="002A7774" w:rsidP="00883D96">
            <w:pPr>
              <w:spacing w:before="40" w:after="40"/>
              <w:rPr>
                <w:sz w:val="20"/>
                <w:szCs w:val="20"/>
              </w:rPr>
            </w:pPr>
            <w:r w:rsidRPr="00B94AAE">
              <w:rPr>
                <w:sz w:val="20"/>
                <w:szCs w:val="20"/>
              </w:rPr>
              <w:t>Počet týmů z VO, podniků, institucí neziskového sektoru, státní správy a dalších subjektů z ČR, které jsou nebo byly zapojeny v projektech financovaných v rámcovém programu H2020 do sledovaného roku (tj. celkový počet účastí ČR v programu H2020 ke konci sledovaného roku).</w:t>
            </w:r>
          </w:p>
        </w:tc>
        <w:tc>
          <w:tcPr>
            <w:tcW w:w="1276" w:type="dxa"/>
            <w:gridSpan w:val="2"/>
            <w:vAlign w:val="center"/>
          </w:tcPr>
          <w:p w:rsidR="002A7774" w:rsidRPr="004607A3" w:rsidRDefault="00883D96" w:rsidP="00CB25E4">
            <w:pPr>
              <w:spacing w:before="40" w:after="40"/>
              <w:jc w:val="center"/>
              <w:rPr>
                <w:b/>
                <w:sz w:val="20"/>
                <w:szCs w:val="20"/>
              </w:rPr>
            </w:pPr>
            <w:r>
              <w:rPr>
                <w:b/>
                <w:sz w:val="20"/>
                <w:szCs w:val="20"/>
              </w:rPr>
              <w:t>klíčový</w:t>
            </w:r>
          </w:p>
        </w:tc>
        <w:tc>
          <w:tcPr>
            <w:tcW w:w="6095" w:type="dxa"/>
            <w:vAlign w:val="center"/>
          </w:tcPr>
          <w:p w:rsidR="002A7774" w:rsidRPr="004607A3" w:rsidRDefault="00CB25E4" w:rsidP="00923302">
            <w:pPr>
              <w:spacing w:before="40" w:after="40"/>
              <w:rPr>
                <w:sz w:val="20"/>
                <w:szCs w:val="20"/>
                <w:lang w:eastAsia="cs-CZ"/>
              </w:rPr>
            </w:pPr>
            <w:r>
              <w:rPr>
                <w:sz w:val="20"/>
                <w:szCs w:val="20"/>
              </w:rPr>
              <w:t xml:space="preserve">Indikátor </w:t>
            </w:r>
            <w:r w:rsidRPr="00F115FD">
              <w:rPr>
                <w:b/>
                <w:sz w:val="20"/>
                <w:szCs w:val="20"/>
              </w:rPr>
              <w:t>bude pozměněn</w:t>
            </w:r>
            <w:r w:rsidR="004607A3">
              <w:rPr>
                <w:b/>
                <w:sz w:val="20"/>
                <w:szCs w:val="20"/>
              </w:rPr>
              <w:t xml:space="preserve"> </w:t>
            </w:r>
            <w:r w:rsidR="004607A3">
              <w:rPr>
                <w:sz w:val="20"/>
                <w:szCs w:val="20"/>
              </w:rPr>
              <w:t xml:space="preserve">na </w:t>
            </w:r>
            <w:r w:rsidR="004607A3" w:rsidRPr="004607A3">
              <w:rPr>
                <w:b/>
                <w:sz w:val="20"/>
                <w:szCs w:val="20"/>
              </w:rPr>
              <w:t>Počet účastí</w:t>
            </w:r>
            <w:r w:rsidR="004607A3">
              <w:rPr>
                <w:sz w:val="20"/>
                <w:szCs w:val="20"/>
              </w:rPr>
              <w:t xml:space="preserve"> ČR realizovaných v programu H2020.</w:t>
            </w:r>
            <w:r w:rsidR="00D63668">
              <w:rPr>
                <w:sz w:val="20"/>
                <w:szCs w:val="20"/>
              </w:rPr>
              <w:t xml:space="preserve"> Počet účastí přesněji popisuje úspěšnost </w:t>
            </w:r>
            <w:r w:rsidR="00097A66">
              <w:rPr>
                <w:sz w:val="20"/>
                <w:szCs w:val="20"/>
              </w:rPr>
              <w:t xml:space="preserve">výzkumných týmů z ČR, </w:t>
            </w:r>
            <w:r w:rsidR="000254AB" w:rsidRPr="000254AB">
              <w:rPr>
                <w:sz w:val="20"/>
                <w:szCs w:val="20"/>
              </w:rPr>
              <w:t>neboť v jednom projektu může být zap</w:t>
            </w:r>
            <w:r w:rsidR="000254AB">
              <w:rPr>
                <w:sz w:val="20"/>
                <w:szCs w:val="20"/>
              </w:rPr>
              <w:t xml:space="preserve">ojeno více výzkumných týmů z ČR </w:t>
            </w:r>
            <w:r w:rsidR="000254AB" w:rsidRPr="000254AB">
              <w:rPr>
                <w:sz w:val="20"/>
                <w:szCs w:val="20"/>
              </w:rPr>
              <w:t>(tj. indikátor lépe „měří“ internacionalizaci výzkumu)</w:t>
            </w:r>
            <w:r w:rsidR="000254AB">
              <w:rPr>
                <w:sz w:val="20"/>
                <w:szCs w:val="20"/>
              </w:rPr>
              <w:t>.</w:t>
            </w:r>
          </w:p>
        </w:tc>
      </w:tr>
      <w:tr w:rsidR="002A7774" w:rsidRPr="00B94AAE" w:rsidTr="002A52CE">
        <w:trPr>
          <w:trHeight w:val="393"/>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Počet přihlášek PCT patentů</w:t>
            </w:r>
          </w:p>
        </w:tc>
        <w:tc>
          <w:tcPr>
            <w:tcW w:w="3260" w:type="dxa"/>
          </w:tcPr>
          <w:p w:rsidR="002A7774" w:rsidRPr="00B94AAE" w:rsidRDefault="002A7774" w:rsidP="00883D96">
            <w:pPr>
              <w:spacing w:before="40" w:after="40"/>
              <w:rPr>
                <w:sz w:val="20"/>
                <w:szCs w:val="20"/>
              </w:rPr>
            </w:pPr>
            <w:r w:rsidRPr="00B94AAE">
              <w:rPr>
                <w:sz w:val="20"/>
                <w:szCs w:val="20"/>
              </w:rPr>
              <w:t xml:space="preserve">Počet mezinárodních přihlášek podle Smlouvy o patentové spolupráci (Patent </w:t>
            </w:r>
            <w:proofErr w:type="spellStart"/>
            <w:r w:rsidRPr="00B94AAE">
              <w:rPr>
                <w:sz w:val="20"/>
                <w:szCs w:val="20"/>
              </w:rPr>
              <w:t>Cooperation</w:t>
            </w:r>
            <w:proofErr w:type="spellEnd"/>
            <w:r w:rsidRPr="00B94AAE">
              <w:rPr>
                <w:sz w:val="20"/>
                <w:szCs w:val="20"/>
              </w:rPr>
              <w:t xml:space="preserve"> </w:t>
            </w:r>
            <w:proofErr w:type="spellStart"/>
            <w:r w:rsidRPr="00B94AAE">
              <w:rPr>
                <w:sz w:val="20"/>
                <w:szCs w:val="20"/>
              </w:rPr>
              <w:t>Treaty</w:t>
            </w:r>
            <w:proofErr w:type="spellEnd"/>
            <w:r w:rsidRPr="00B94AAE">
              <w:rPr>
                <w:sz w:val="20"/>
                <w:szCs w:val="20"/>
              </w:rPr>
              <w:t>, PCT), které byly ve sledovaném roce podány subjekty z ČR.</w:t>
            </w:r>
          </w:p>
        </w:tc>
        <w:tc>
          <w:tcPr>
            <w:tcW w:w="1276" w:type="dxa"/>
            <w:gridSpan w:val="2"/>
            <w:vAlign w:val="center"/>
          </w:tcPr>
          <w:p w:rsidR="002A7774" w:rsidRPr="00CA3C4B" w:rsidRDefault="00883D96" w:rsidP="00FB1243">
            <w:pPr>
              <w:spacing w:before="40" w:after="40"/>
              <w:jc w:val="center"/>
              <w:rPr>
                <w:b/>
                <w:sz w:val="20"/>
                <w:szCs w:val="20"/>
              </w:rPr>
            </w:pPr>
            <w:r>
              <w:rPr>
                <w:b/>
                <w:sz w:val="20"/>
                <w:szCs w:val="20"/>
              </w:rPr>
              <w:t>klíčový</w:t>
            </w:r>
          </w:p>
        </w:tc>
        <w:tc>
          <w:tcPr>
            <w:tcW w:w="6095" w:type="dxa"/>
            <w:vAlign w:val="center"/>
          </w:tcPr>
          <w:p w:rsidR="002A7774" w:rsidRPr="00B94AAE" w:rsidRDefault="00D63668" w:rsidP="00883D96">
            <w:pPr>
              <w:spacing w:before="40" w:after="40"/>
              <w:rPr>
                <w:sz w:val="20"/>
                <w:szCs w:val="20"/>
              </w:rPr>
            </w:pPr>
            <w:r>
              <w:rPr>
                <w:sz w:val="20"/>
                <w:szCs w:val="20"/>
              </w:rPr>
              <w:t xml:space="preserve">Tento indikátor dokumentuje jednak kvalitu </w:t>
            </w:r>
            <w:r w:rsidR="00C02501" w:rsidRPr="00C02501">
              <w:rPr>
                <w:sz w:val="20"/>
                <w:szCs w:val="20"/>
              </w:rPr>
              <w:t xml:space="preserve">aplikovaného </w:t>
            </w:r>
            <w:proofErr w:type="spellStart"/>
            <w:r w:rsidR="00C02501" w:rsidRPr="00C02501">
              <w:rPr>
                <w:sz w:val="20"/>
                <w:szCs w:val="20"/>
              </w:rPr>
              <w:t>VaV</w:t>
            </w:r>
            <w:proofErr w:type="spellEnd"/>
            <w:r w:rsidR="00C02501" w:rsidRPr="00C02501">
              <w:rPr>
                <w:sz w:val="20"/>
                <w:szCs w:val="20"/>
              </w:rPr>
              <w:t>, jeho výsledky a</w:t>
            </w:r>
            <w:r w:rsidR="00C02501" w:rsidRPr="00C02501" w:rsidDel="00C02501">
              <w:rPr>
                <w:sz w:val="20"/>
                <w:szCs w:val="20"/>
              </w:rPr>
              <w:t xml:space="preserve"> </w:t>
            </w:r>
            <w:r w:rsidR="00C02501">
              <w:rPr>
                <w:sz w:val="20"/>
                <w:szCs w:val="20"/>
              </w:rPr>
              <w:t>l</w:t>
            </w:r>
            <w:r>
              <w:rPr>
                <w:sz w:val="20"/>
                <w:szCs w:val="20"/>
              </w:rPr>
              <w:t>ze jej využít i pro hodnocení cíle 2</w:t>
            </w:r>
            <w:r w:rsidR="00097A66">
              <w:rPr>
                <w:sz w:val="20"/>
                <w:szCs w:val="20"/>
              </w:rPr>
              <w:t xml:space="preserve"> NP </w:t>
            </w:r>
            <w:proofErr w:type="spellStart"/>
            <w:r w:rsidR="00097A66">
              <w:rPr>
                <w:sz w:val="20"/>
                <w:szCs w:val="20"/>
              </w:rPr>
              <w:t>VaVaI</w:t>
            </w:r>
            <w:proofErr w:type="spellEnd"/>
            <w:r w:rsidR="00097A66">
              <w:rPr>
                <w:sz w:val="20"/>
                <w:szCs w:val="20"/>
              </w:rPr>
              <w:t>.</w:t>
            </w:r>
            <w:r w:rsidR="00C02501">
              <w:rPr>
                <w:sz w:val="20"/>
                <w:szCs w:val="20"/>
              </w:rPr>
              <w:t xml:space="preserv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Počet grantů, resp. projektů rámcových programů a iniciativ EU s participací českých pracovišť</w:t>
            </w:r>
          </w:p>
        </w:tc>
        <w:tc>
          <w:tcPr>
            <w:tcW w:w="3260" w:type="dxa"/>
          </w:tcPr>
          <w:p w:rsidR="002A7774" w:rsidRPr="00B94AAE" w:rsidRDefault="002A7774" w:rsidP="00883D96">
            <w:pPr>
              <w:spacing w:before="40" w:after="40"/>
              <w:rPr>
                <w:sz w:val="20"/>
                <w:szCs w:val="20"/>
              </w:rPr>
            </w:pPr>
            <w:r w:rsidRPr="00B94AAE">
              <w:rPr>
                <w:sz w:val="20"/>
                <w:szCs w:val="20"/>
              </w:rPr>
              <w:t xml:space="preserve">Počet projektů s účastníkem z ČR, které jsou nebo byly financovány v programu Horizont 2020, v iniciativě </w:t>
            </w:r>
            <w:proofErr w:type="spellStart"/>
            <w:r w:rsidRPr="00B94AAE">
              <w:rPr>
                <w:sz w:val="20"/>
                <w:szCs w:val="20"/>
              </w:rPr>
              <w:t>Eureka</w:t>
            </w:r>
            <w:proofErr w:type="spellEnd"/>
            <w:r w:rsidRPr="00B94AAE">
              <w:rPr>
                <w:sz w:val="20"/>
                <w:szCs w:val="20"/>
              </w:rPr>
              <w:t>, programu COST, Znalostních a inovačních společenstvích vytvářených Evropským inovačním a technologickým institutem a v iniciativách společného programování (JPI) ke konci sledovaného roku.</w:t>
            </w:r>
          </w:p>
        </w:tc>
        <w:tc>
          <w:tcPr>
            <w:tcW w:w="1276" w:type="dxa"/>
            <w:gridSpan w:val="2"/>
            <w:vAlign w:val="center"/>
          </w:tcPr>
          <w:p w:rsidR="002A7774" w:rsidRPr="00B94AAE" w:rsidRDefault="00FA3702" w:rsidP="00C54258">
            <w:pPr>
              <w:spacing w:before="40" w:after="40"/>
              <w:jc w:val="center"/>
              <w:rPr>
                <w:sz w:val="20"/>
                <w:szCs w:val="20"/>
              </w:rPr>
            </w:pPr>
            <w:r>
              <w:rPr>
                <w:sz w:val="20"/>
                <w:szCs w:val="20"/>
              </w:rPr>
              <w:t>doplňkový</w:t>
            </w:r>
          </w:p>
        </w:tc>
        <w:tc>
          <w:tcPr>
            <w:tcW w:w="6095" w:type="dxa"/>
            <w:vAlign w:val="center"/>
          </w:tcPr>
          <w:p w:rsidR="002A7774" w:rsidRPr="00B94AAE" w:rsidRDefault="00C54258" w:rsidP="00712E96">
            <w:pPr>
              <w:spacing w:before="40" w:after="40"/>
              <w:rPr>
                <w:sz w:val="20"/>
                <w:szCs w:val="20"/>
                <w:lang w:eastAsia="cs-CZ"/>
              </w:rPr>
            </w:pPr>
            <w:r>
              <w:rPr>
                <w:sz w:val="20"/>
                <w:szCs w:val="20"/>
              </w:rPr>
              <w:t xml:space="preserve">Tento indikátor </w:t>
            </w:r>
            <w:r w:rsidR="00097A66">
              <w:rPr>
                <w:sz w:val="20"/>
                <w:szCs w:val="20"/>
              </w:rPr>
              <w:t xml:space="preserve">silně koreluje s indikátorem 1.10. Úspěšnost českých výzkumných týmů na mezinárodní úrovni je dostatečně dokumentována indikátorem 1.10, který je vhodnější </w:t>
            </w:r>
            <w:r w:rsidR="0046729B">
              <w:rPr>
                <w:sz w:val="20"/>
                <w:szCs w:val="20"/>
              </w:rPr>
              <w:t xml:space="preserve">i z hlediska lepší dostupnosti a menší roztříštěnosti dat. </w:t>
            </w:r>
          </w:p>
        </w:tc>
      </w:tr>
      <w:tr w:rsidR="002A7774" w:rsidRPr="00B94AAE" w:rsidTr="002A52CE">
        <w:trPr>
          <w:trHeight w:val="235"/>
        </w:trPr>
        <w:tc>
          <w:tcPr>
            <w:tcW w:w="14425" w:type="dxa"/>
            <w:gridSpan w:val="5"/>
            <w:shd w:val="clear" w:color="auto" w:fill="F2F2F2" w:themeFill="background1" w:themeFillShade="F2"/>
            <w:vAlign w:val="center"/>
          </w:tcPr>
          <w:p w:rsidR="002A7774" w:rsidRPr="00B94AAE" w:rsidRDefault="002A7774" w:rsidP="002A7774">
            <w:pPr>
              <w:keepNext/>
              <w:numPr>
                <w:ilvl w:val="0"/>
                <w:numId w:val="1"/>
              </w:numPr>
              <w:spacing w:before="120" w:after="120"/>
              <w:ind w:left="425" w:hanging="425"/>
              <w:rPr>
                <w:b/>
                <w:sz w:val="24"/>
                <w:szCs w:val="20"/>
              </w:rPr>
            </w:pPr>
            <w:r w:rsidRPr="00B94AAE">
              <w:rPr>
                <w:b/>
                <w:sz w:val="24"/>
                <w:szCs w:val="20"/>
              </w:rPr>
              <w:t>Efektivní šíření znalostí a jejich využívání v inovacích</w:t>
            </w:r>
          </w:p>
        </w:tc>
      </w:tr>
      <w:tr w:rsidR="002A7774" w:rsidRPr="00B94AAE" w:rsidTr="002A52CE">
        <w:trPr>
          <w:trHeight w:val="674"/>
        </w:trPr>
        <w:tc>
          <w:tcPr>
            <w:tcW w:w="3794" w:type="dxa"/>
            <w:vAlign w:val="center"/>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licencovaných patentů VO na celkovém počtu patentů VO</w:t>
            </w:r>
          </w:p>
        </w:tc>
        <w:tc>
          <w:tcPr>
            <w:tcW w:w="3402" w:type="dxa"/>
            <w:gridSpan w:val="2"/>
            <w:vAlign w:val="center"/>
          </w:tcPr>
          <w:p w:rsidR="002A7774" w:rsidRPr="00B94AAE" w:rsidRDefault="002A7774" w:rsidP="00883D96">
            <w:pPr>
              <w:spacing w:before="40" w:after="40"/>
              <w:rPr>
                <w:sz w:val="20"/>
                <w:szCs w:val="20"/>
              </w:rPr>
            </w:pPr>
            <w:r w:rsidRPr="009E15FD">
              <w:rPr>
                <w:sz w:val="20"/>
                <w:szCs w:val="20"/>
              </w:rPr>
              <w:t xml:space="preserve">Podíl počtu patentů s působností pro ČR, ke kterým se VO podaří prodat alespoň jednu licenci (bez ohledu na typ subjektu, který licenci kupuje) v </w:t>
            </w:r>
            <w:r w:rsidRPr="009E15FD">
              <w:rPr>
                <w:sz w:val="20"/>
                <w:szCs w:val="20"/>
              </w:rPr>
              <w:lastRenderedPageBreak/>
              <w:t>období do pěti let po jejich udělení, v celkovém počtu patentů, které byly získány VO z</w:t>
            </w:r>
            <w:r>
              <w:rPr>
                <w:sz w:val="20"/>
                <w:szCs w:val="20"/>
              </w:rPr>
              <w:t> </w:t>
            </w:r>
            <w:r w:rsidRPr="009E15FD">
              <w:rPr>
                <w:sz w:val="20"/>
                <w:szCs w:val="20"/>
              </w:rPr>
              <w:t>ČR</w:t>
            </w:r>
            <w:r>
              <w:rPr>
                <w:sz w:val="20"/>
                <w:szCs w:val="20"/>
              </w:rPr>
              <w:t>.</w:t>
            </w:r>
          </w:p>
        </w:tc>
        <w:tc>
          <w:tcPr>
            <w:tcW w:w="1134" w:type="dxa"/>
            <w:vAlign w:val="center"/>
          </w:tcPr>
          <w:p w:rsidR="002A7774" w:rsidRPr="00B94AAE" w:rsidRDefault="00FA3702" w:rsidP="00383AB6">
            <w:pPr>
              <w:spacing w:before="40" w:after="40"/>
              <w:jc w:val="center"/>
              <w:rPr>
                <w:sz w:val="20"/>
                <w:szCs w:val="20"/>
              </w:rPr>
            </w:pPr>
            <w:r>
              <w:rPr>
                <w:sz w:val="20"/>
                <w:szCs w:val="20"/>
              </w:rPr>
              <w:lastRenderedPageBreak/>
              <w:t>doplňkový</w:t>
            </w:r>
          </w:p>
        </w:tc>
        <w:tc>
          <w:tcPr>
            <w:tcW w:w="6095" w:type="dxa"/>
            <w:vAlign w:val="center"/>
          </w:tcPr>
          <w:p w:rsidR="002A7774" w:rsidRPr="00B94AAE" w:rsidRDefault="00921002" w:rsidP="00712E96">
            <w:pPr>
              <w:spacing w:before="40" w:after="40"/>
              <w:rPr>
                <w:sz w:val="20"/>
                <w:szCs w:val="20"/>
                <w:lang w:eastAsia="cs-CZ"/>
              </w:rPr>
            </w:pPr>
            <w:r>
              <w:rPr>
                <w:sz w:val="20"/>
                <w:szCs w:val="20"/>
              </w:rPr>
              <w:t>C</w:t>
            </w:r>
            <w:r w:rsidRPr="00921002">
              <w:rPr>
                <w:sz w:val="20"/>
                <w:szCs w:val="20"/>
              </w:rPr>
              <w:t xml:space="preserve">hybí věrohodné údaje ze srovnatelných zemí ze zahraničí, nelze objektivně stanovit cílovou hodnotu indikátoru. </w:t>
            </w:r>
            <w:r w:rsidR="00634A58">
              <w:rPr>
                <w:sz w:val="20"/>
                <w:szCs w:val="20"/>
              </w:rPr>
              <w:t>V současné době není k dispozici dostatek informací pro kvalifikovanou predikci cílové hodnoty.</w:t>
            </w:r>
            <w:r w:rsidR="0089491B">
              <w:rPr>
                <w:sz w:val="20"/>
                <w:szCs w:val="20"/>
              </w:rPr>
              <w:t xml:space="preserve"> Tento indikátor koreluje s indikátorem 2.3, který je pro </w:t>
            </w:r>
            <w:r w:rsidR="0089491B">
              <w:rPr>
                <w:sz w:val="20"/>
                <w:szCs w:val="20"/>
              </w:rPr>
              <w:lastRenderedPageBreak/>
              <w:t xml:space="preserve">hodnocení NP </w:t>
            </w:r>
            <w:proofErr w:type="spellStart"/>
            <w:r w:rsidR="0089491B">
              <w:rPr>
                <w:sz w:val="20"/>
                <w:szCs w:val="20"/>
              </w:rPr>
              <w:t>VaVaI</w:t>
            </w:r>
            <w:proofErr w:type="spellEnd"/>
            <w:r w:rsidR="0089491B">
              <w:rPr>
                <w:sz w:val="20"/>
                <w:szCs w:val="20"/>
              </w:rPr>
              <w:t xml:space="preserve"> vhodnější.</w:t>
            </w:r>
          </w:p>
        </w:tc>
      </w:tr>
      <w:tr w:rsidR="002A7774" w:rsidRPr="00B94AAE" w:rsidTr="002A52CE">
        <w:trPr>
          <w:trHeight w:val="835"/>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lastRenderedPageBreak/>
              <w:t>Podíl licencovaných patentů, odrůd a plemen z VO z ČR na celkovém počtu patentů, odrůd a plemen nakoupených podniky z</w:t>
            </w:r>
            <w:r>
              <w:rPr>
                <w:rFonts w:eastAsia="Calibri" w:cs="Calibri"/>
                <w:sz w:val="20"/>
                <w:szCs w:val="20"/>
              </w:rPr>
              <w:t> </w:t>
            </w:r>
            <w:r w:rsidRPr="00B94AAE">
              <w:rPr>
                <w:rFonts w:eastAsia="Calibri" w:cs="Calibri"/>
                <w:sz w:val="20"/>
                <w:szCs w:val="20"/>
              </w:rPr>
              <w:t>ČR</w:t>
            </w:r>
          </w:p>
        </w:tc>
        <w:tc>
          <w:tcPr>
            <w:tcW w:w="3402" w:type="dxa"/>
            <w:gridSpan w:val="2"/>
            <w:vAlign w:val="center"/>
          </w:tcPr>
          <w:p w:rsidR="002A7774" w:rsidRPr="00B94AAE" w:rsidRDefault="002A7774" w:rsidP="00883D96">
            <w:pPr>
              <w:spacing w:before="40" w:after="40"/>
              <w:rPr>
                <w:sz w:val="20"/>
                <w:szCs w:val="20"/>
              </w:rPr>
            </w:pPr>
            <w:r w:rsidRPr="002B3EB4">
              <w:rPr>
                <w:sz w:val="20"/>
                <w:szCs w:val="20"/>
              </w:rPr>
              <w:t>Podíl patentů, odrůd a plemen, které byly podnikům z ČR licencovány VO z ČR, k celkovému počtu licencí k patentům, odrůdám a plemenům, které byly nakoupeny podniky z ČR v daném roce.</w:t>
            </w:r>
          </w:p>
        </w:tc>
        <w:tc>
          <w:tcPr>
            <w:tcW w:w="1134" w:type="dxa"/>
            <w:vAlign w:val="center"/>
          </w:tcPr>
          <w:p w:rsidR="002A7774" w:rsidRPr="00B94AAE" w:rsidRDefault="00FA3702" w:rsidP="00383AB6">
            <w:pPr>
              <w:spacing w:before="40" w:after="40"/>
              <w:jc w:val="center"/>
              <w:rPr>
                <w:sz w:val="20"/>
                <w:szCs w:val="20"/>
              </w:rPr>
            </w:pPr>
            <w:r>
              <w:rPr>
                <w:sz w:val="20"/>
                <w:szCs w:val="20"/>
              </w:rPr>
              <w:t>doplňkový</w:t>
            </w:r>
          </w:p>
        </w:tc>
        <w:tc>
          <w:tcPr>
            <w:tcW w:w="6095" w:type="dxa"/>
            <w:vAlign w:val="center"/>
          </w:tcPr>
          <w:p w:rsidR="002A7774" w:rsidRPr="00B94AAE" w:rsidRDefault="00634A58" w:rsidP="00712E96">
            <w:pPr>
              <w:spacing w:before="40" w:after="40"/>
              <w:rPr>
                <w:sz w:val="20"/>
                <w:szCs w:val="20"/>
                <w:lang w:eastAsia="cs-CZ"/>
              </w:rPr>
            </w:pPr>
            <w:r>
              <w:rPr>
                <w:sz w:val="20"/>
                <w:szCs w:val="20"/>
              </w:rPr>
              <w:t>Indikátor není v současnosti sledován</w:t>
            </w:r>
            <w:r w:rsidR="0089491B">
              <w:rPr>
                <w:sz w:val="20"/>
                <w:szCs w:val="20"/>
              </w:rPr>
              <w:t>. Neexistuje povinnost podniků tyto údaje evidovat a předávat. N</w:t>
            </w:r>
            <w:r>
              <w:rPr>
                <w:sz w:val="20"/>
                <w:szCs w:val="20"/>
              </w:rPr>
              <w:t>ejsou dostupná ani data ze zahraničí. Nelze kvalifikovaně stanovit cílovou hodnotu. Indikátor není vhodný pro mezinárodní srovnání.</w:t>
            </w:r>
          </w:p>
        </w:tc>
      </w:tr>
      <w:tr w:rsidR="002A7774" w:rsidRPr="00B94AAE" w:rsidTr="002A52CE">
        <w:trPr>
          <w:trHeight w:val="85"/>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prostředků ve veřejném výzkumu získaných ze soukromých (domácích i zahraničních) zdrojů</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Podíl finančních prostředků pocházejících z podnik</w:t>
            </w:r>
            <w:r>
              <w:rPr>
                <w:sz w:val="20"/>
                <w:szCs w:val="20"/>
              </w:rPr>
              <w:t>atelské</w:t>
            </w:r>
            <w:r w:rsidRPr="00B94AAE">
              <w:rPr>
                <w:sz w:val="20"/>
                <w:szCs w:val="20"/>
              </w:rPr>
              <w:t xml:space="preserve">ho sektoru v celkových výdajích na </w:t>
            </w:r>
            <w:proofErr w:type="spellStart"/>
            <w:r w:rsidRPr="00B94AAE">
              <w:rPr>
                <w:sz w:val="20"/>
                <w:szCs w:val="20"/>
              </w:rPr>
              <w:t>VaV</w:t>
            </w:r>
            <w:proofErr w:type="spellEnd"/>
            <w:r w:rsidRPr="00B94AAE">
              <w:rPr>
                <w:sz w:val="20"/>
                <w:szCs w:val="20"/>
              </w:rPr>
              <w:t>, které byly uskutečněny ve sledovaném roce ve vládním sektoru a vysokoškolském sektoru (</w:t>
            </w:r>
            <w:r>
              <w:rPr>
                <w:sz w:val="20"/>
                <w:szCs w:val="20"/>
              </w:rPr>
              <w:t xml:space="preserve">v </w:t>
            </w:r>
            <w:r w:rsidRPr="00B94AAE">
              <w:rPr>
                <w:sz w:val="20"/>
                <w:szCs w:val="20"/>
              </w:rPr>
              <w:t>součt</w:t>
            </w:r>
            <w:r>
              <w:rPr>
                <w:sz w:val="20"/>
                <w:szCs w:val="20"/>
              </w:rPr>
              <w:t>u</w:t>
            </w:r>
            <w:r w:rsidRPr="00B94AAE">
              <w:rPr>
                <w:sz w:val="20"/>
                <w:szCs w:val="20"/>
              </w:rPr>
              <w:t xml:space="preserve"> výdajů na </w:t>
            </w:r>
            <w:proofErr w:type="spellStart"/>
            <w:r w:rsidRPr="00B94AAE">
              <w:rPr>
                <w:sz w:val="20"/>
                <w:szCs w:val="20"/>
              </w:rPr>
              <w:t>VaV</w:t>
            </w:r>
            <w:proofErr w:type="spellEnd"/>
            <w:r w:rsidRPr="00B94AAE">
              <w:rPr>
                <w:sz w:val="20"/>
                <w:szCs w:val="20"/>
              </w:rPr>
              <w:t xml:space="preserve"> v obou sektorech).</w:t>
            </w:r>
          </w:p>
        </w:tc>
        <w:tc>
          <w:tcPr>
            <w:tcW w:w="1134" w:type="dxa"/>
            <w:vAlign w:val="center"/>
          </w:tcPr>
          <w:p w:rsidR="002A7774" w:rsidRPr="009C480C" w:rsidRDefault="00883D96" w:rsidP="00383AB6">
            <w:pPr>
              <w:spacing w:before="40" w:after="40"/>
              <w:jc w:val="center"/>
              <w:rPr>
                <w:b/>
                <w:sz w:val="20"/>
                <w:szCs w:val="20"/>
              </w:rPr>
            </w:pPr>
            <w:r>
              <w:rPr>
                <w:b/>
                <w:sz w:val="20"/>
                <w:szCs w:val="20"/>
              </w:rPr>
              <w:t>klíčový</w:t>
            </w:r>
          </w:p>
        </w:tc>
        <w:tc>
          <w:tcPr>
            <w:tcW w:w="6095" w:type="dxa"/>
            <w:vAlign w:val="center"/>
          </w:tcPr>
          <w:p w:rsidR="002A7774" w:rsidRPr="00B94AAE" w:rsidRDefault="002A7774" w:rsidP="00883D96">
            <w:pPr>
              <w:spacing w:before="40" w:after="40"/>
              <w:rPr>
                <w:sz w:val="20"/>
                <w:szCs w:val="20"/>
              </w:rPr>
            </w:pPr>
          </w:p>
        </w:tc>
      </w:tr>
      <w:tr w:rsidR="002A7774" w:rsidRPr="00B94AAE" w:rsidTr="002A52CE">
        <w:trPr>
          <w:trHeight w:val="1056"/>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Počet pracovišť veřejného </w:t>
            </w:r>
            <w:proofErr w:type="spellStart"/>
            <w:r w:rsidRPr="00B94AAE">
              <w:rPr>
                <w:rFonts w:eastAsia="Calibri" w:cs="Calibri"/>
                <w:sz w:val="20"/>
                <w:szCs w:val="20"/>
              </w:rPr>
              <w:t>VaV</w:t>
            </w:r>
            <w:proofErr w:type="spellEnd"/>
            <w:r w:rsidRPr="00B94AAE">
              <w:rPr>
                <w:rFonts w:eastAsia="Calibri" w:cs="Calibri"/>
                <w:sz w:val="20"/>
                <w:szCs w:val="20"/>
              </w:rPr>
              <w:t>, které získávají část prostředků ze soukromých zdrojů</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 xml:space="preserve">Počet pracovišť </w:t>
            </w:r>
            <w:proofErr w:type="spellStart"/>
            <w:r w:rsidRPr="00B94AAE">
              <w:rPr>
                <w:sz w:val="20"/>
                <w:szCs w:val="20"/>
              </w:rPr>
              <w:t>VaV</w:t>
            </w:r>
            <w:proofErr w:type="spellEnd"/>
            <w:r w:rsidRPr="00B94AAE">
              <w:rPr>
                <w:sz w:val="20"/>
                <w:szCs w:val="20"/>
              </w:rPr>
              <w:t xml:space="preserve"> ve vládním sektoru a vysokoškolském sektoru, které ve sledovaném roce získaly prostředky na </w:t>
            </w:r>
            <w:proofErr w:type="spellStart"/>
            <w:r w:rsidRPr="00B94AAE">
              <w:rPr>
                <w:sz w:val="20"/>
                <w:szCs w:val="20"/>
              </w:rPr>
              <w:t>VaV</w:t>
            </w:r>
            <w:proofErr w:type="spellEnd"/>
            <w:r w:rsidRPr="00B94AAE">
              <w:rPr>
                <w:sz w:val="20"/>
                <w:szCs w:val="20"/>
              </w:rPr>
              <w:t xml:space="preserve"> z podnikového sektoru, bez ohledu na to, jaké tyto příjmy byly (z prodeje licencí, služeb apod.), a od jakého subjektu byly získány (z ČR, zahraničí).</w:t>
            </w:r>
          </w:p>
        </w:tc>
        <w:tc>
          <w:tcPr>
            <w:tcW w:w="1134" w:type="dxa"/>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BD324C" w:rsidP="00883D96">
            <w:pPr>
              <w:spacing w:before="40" w:after="40"/>
              <w:rPr>
                <w:sz w:val="20"/>
                <w:szCs w:val="20"/>
              </w:rPr>
            </w:pPr>
            <w:r>
              <w:rPr>
                <w:sz w:val="20"/>
                <w:szCs w:val="20"/>
              </w:rPr>
              <w:t>I</w:t>
            </w:r>
            <w:r w:rsidR="0089491B">
              <w:rPr>
                <w:sz w:val="20"/>
                <w:szCs w:val="20"/>
              </w:rPr>
              <w:t xml:space="preserve">ndikátor koreluje s indikátorem 2.3, který je pro hodnocení NP </w:t>
            </w:r>
            <w:proofErr w:type="spellStart"/>
            <w:r w:rsidR="0089491B">
              <w:rPr>
                <w:sz w:val="20"/>
                <w:szCs w:val="20"/>
              </w:rPr>
              <w:t>VaVaI</w:t>
            </w:r>
            <w:proofErr w:type="spellEnd"/>
            <w:r w:rsidR="0089491B">
              <w:rPr>
                <w:sz w:val="20"/>
                <w:szCs w:val="20"/>
              </w:rPr>
              <w:t xml:space="preserve"> vhodnější. Vypovídací hodnota je nízká bez podrobnějších informací o objemu těchto prostředků, který je sledován v indikátoru 2.3. Nelze provést mezinárodní srovnání. </w:t>
            </w:r>
          </w:p>
        </w:tc>
      </w:tr>
      <w:tr w:rsidR="002A7774" w:rsidRPr="00B94AAE" w:rsidTr="002A52CE">
        <w:trPr>
          <w:trHeight w:val="638"/>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Objem prostředků VO získaných z licencí </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Celková finanční částka, kterou VO z ČR získaly za prodej licencí ve sledovaném roce bez ohledu na typ duševního vlastnictví.</w:t>
            </w:r>
          </w:p>
        </w:tc>
        <w:tc>
          <w:tcPr>
            <w:tcW w:w="1134" w:type="dxa"/>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89491B" w:rsidP="002F2108">
            <w:pPr>
              <w:spacing w:before="40" w:after="40"/>
              <w:rPr>
                <w:sz w:val="20"/>
                <w:szCs w:val="20"/>
                <w:lang w:eastAsia="cs-CZ"/>
              </w:rPr>
            </w:pPr>
            <w:r>
              <w:rPr>
                <w:sz w:val="20"/>
                <w:szCs w:val="20"/>
              </w:rPr>
              <w:t xml:space="preserve">Tento indikátor koreluje s indikátorem 2.3, který je pro hodnocení NP </w:t>
            </w:r>
            <w:proofErr w:type="spellStart"/>
            <w:r>
              <w:rPr>
                <w:sz w:val="20"/>
                <w:szCs w:val="20"/>
              </w:rPr>
              <w:t>VaVaI</w:t>
            </w:r>
            <w:proofErr w:type="spellEnd"/>
            <w:r>
              <w:rPr>
                <w:sz w:val="20"/>
                <w:szCs w:val="20"/>
              </w:rPr>
              <w:t xml:space="preserve"> vhodnější.</w:t>
            </w:r>
            <w:r w:rsidR="00BD324C">
              <w:rPr>
                <w:sz w:val="20"/>
                <w:szCs w:val="20"/>
              </w:rPr>
              <w:t xml:space="preserve"> V současnosti je hodnota silně ovlivněna jediným pracovištěm</w:t>
            </w:r>
            <w:r w:rsidR="00921002">
              <w:rPr>
                <w:sz w:val="20"/>
                <w:szCs w:val="20"/>
              </w:rPr>
              <w:t>.</w:t>
            </w:r>
            <w:r w:rsidR="00921002">
              <w:t xml:space="preserve"> </w:t>
            </w:r>
            <w:r w:rsidR="00921002" w:rsidRPr="00921002">
              <w:rPr>
                <w:sz w:val="20"/>
                <w:szCs w:val="20"/>
              </w:rPr>
              <w:t xml:space="preserve">Nejsou k dispozici data ze zahraničí, </w:t>
            </w:r>
            <w:r w:rsidR="00921002">
              <w:rPr>
                <w:sz w:val="20"/>
                <w:szCs w:val="20"/>
              </w:rPr>
              <w:t xml:space="preserve">proto </w:t>
            </w:r>
            <w:r w:rsidR="00921002" w:rsidRPr="00921002">
              <w:rPr>
                <w:sz w:val="20"/>
                <w:szCs w:val="20"/>
              </w:rPr>
              <w:t>nelze objektivně stanovit cílovou hodnotu indikátoru.</w:t>
            </w:r>
            <w:r w:rsidR="00BD324C">
              <w:rPr>
                <w:sz w:val="20"/>
                <w:szCs w:val="20"/>
              </w:rPr>
              <w:t xml:space="preserve"> </w:t>
            </w:r>
          </w:p>
        </w:tc>
      </w:tr>
      <w:tr w:rsidR="002A7774" w:rsidRPr="00B94AAE" w:rsidTr="002A52CE">
        <w:trPr>
          <w:trHeight w:val="34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Počet spin-</w:t>
            </w:r>
            <w:proofErr w:type="spellStart"/>
            <w:r w:rsidRPr="00B94AAE">
              <w:rPr>
                <w:rFonts w:eastAsia="Calibri" w:cs="Calibri"/>
                <w:sz w:val="20"/>
                <w:szCs w:val="20"/>
              </w:rPr>
              <w:t>off</w:t>
            </w:r>
            <w:proofErr w:type="spellEnd"/>
            <w:r w:rsidRPr="00B94AAE">
              <w:rPr>
                <w:rFonts w:eastAsia="Calibri" w:cs="Calibri"/>
                <w:sz w:val="20"/>
                <w:szCs w:val="20"/>
              </w:rPr>
              <w:t xml:space="preserve"> založených VO</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Celkový počet spin-</w:t>
            </w:r>
            <w:proofErr w:type="spellStart"/>
            <w:r w:rsidRPr="00B94AAE">
              <w:rPr>
                <w:sz w:val="20"/>
                <w:szCs w:val="20"/>
              </w:rPr>
              <w:t>off</w:t>
            </w:r>
            <w:proofErr w:type="spellEnd"/>
            <w:r w:rsidRPr="00B94AAE">
              <w:rPr>
                <w:sz w:val="20"/>
                <w:szCs w:val="20"/>
              </w:rPr>
              <w:t xml:space="preserve"> firem, které byly založeny ve sledovaném roce všemi VO v ČR (s majetkovou účastí VO i bez majetkové účasti VO).</w:t>
            </w:r>
          </w:p>
        </w:tc>
        <w:tc>
          <w:tcPr>
            <w:tcW w:w="1134" w:type="dxa"/>
            <w:vAlign w:val="center"/>
          </w:tcPr>
          <w:p w:rsidR="002A7774" w:rsidRPr="00CD1887" w:rsidRDefault="00883D96" w:rsidP="009C480C">
            <w:pPr>
              <w:spacing w:before="40" w:after="40"/>
              <w:jc w:val="center"/>
              <w:rPr>
                <w:b/>
                <w:sz w:val="20"/>
                <w:szCs w:val="20"/>
              </w:rPr>
            </w:pPr>
            <w:r>
              <w:rPr>
                <w:b/>
                <w:sz w:val="20"/>
                <w:szCs w:val="20"/>
              </w:rPr>
              <w:t>klíčový</w:t>
            </w:r>
          </w:p>
        </w:tc>
        <w:tc>
          <w:tcPr>
            <w:tcW w:w="6095" w:type="dxa"/>
            <w:vAlign w:val="center"/>
          </w:tcPr>
          <w:p w:rsidR="002A7774" w:rsidRPr="00B94AAE" w:rsidRDefault="002A7774" w:rsidP="00883D96">
            <w:pPr>
              <w:spacing w:before="40" w:after="40"/>
              <w:rPr>
                <w:sz w:val="20"/>
                <w:szCs w:val="20"/>
              </w:rPr>
            </w:pPr>
          </w:p>
        </w:tc>
      </w:tr>
      <w:tr w:rsidR="002A7774" w:rsidRPr="00B94AAE" w:rsidTr="002A52CE">
        <w:trPr>
          <w:trHeight w:val="126"/>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Počet spin-</w:t>
            </w:r>
            <w:proofErr w:type="spellStart"/>
            <w:r w:rsidRPr="00B94AAE">
              <w:rPr>
                <w:rFonts w:eastAsia="Calibri" w:cs="Calibri"/>
                <w:sz w:val="20"/>
                <w:szCs w:val="20"/>
              </w:rPr>
              <w:t>off</w:t>
            </w:r>
            <w:proofErr w:type="spellEnd"/>
            <w:r w:rsidRPr="00B94AAE">
              <w:rPr>
                <w:rFonts w:eastAsia="Calibri" w:cs="Calibri"/>
                <w:sz w:val="20"/>
                <w:szCs w:val="20"/>
              </w:rPr>
              <w:t xml:space="preserve"> založených VO vykazujících činnost pět let</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Počet spin-</w:t>
            </w:r>
            <w:proofErr w:type="spellStart"/>
            <w:r w:rsidRPr="00B94AAE">
              <w:rPr>
                <w:sz w:val="20"/>
                <w:szCs w:val="20"/>
              </w:rPr>
              <w:t>off</w:t>
            </w:r>
            <w:proofErr w:type="spellEnd"/>
            <w:r w:rsidRPr="00B94AAE">
              <w:rPr>
                <w:sz w:val="20"/>
                <w:szCs w:val="20"/>
              </w:rPr>
              <w:t xml:space="preserve"> firem založených VO (s majetkovou účastí VO i bez této </w:t>
            </w:r>
            <w:r w:rsidRPr="00B94AAE">
              <w:rPr>
                <w:sz w:val="20"/>
                <w:szCs w:val="20"/>
              </w:rPr>
              <w:lastRenderedPageBreak/>
              <w:t>účasti), které ke konci sledovaného roku existovaly a vykazovaly svoji činnost nejméně po dobu pěti let od svého založení (tj. dosáhly obratu alespoň 1 mil. Kč).</w:t>
            </w:r>
          </w:p>
        </w:tc>
        <w:tc>
          <w:tcPr>
            <w:tcW w:w="1134" w:type="dxa"/>
            <w:vAlign w:val="center"/>
          </w:tcPr>
          <w:p w:rsidR="002A7774" w:rsidRPr="00B94AAE" w:rsidRDefault="00FA3702" w:rsidP="009C480C">
            <w:pPr>
              <w:spacing w:before="40" w:after="40"/>
              <w:jc w:val="center"/>
              <w:rPr>
                <w:sz w:val="20"/>
                <w:szCs w:val="20"/>
              </w:rPr>
            </w:pPr>
            <w:r>
              <w:rPr>
                <w:sz w:val="20"/>
                <w:szCs w:val="20"/>
              </w:rPr>
              <w:lastRenderedPageBreak/>
              <w:t>doplňkový</w:t>
            </w:r>
          </w:p>
        </w:tc>
        <w:tc>
          <w:tcPr>
            <w:tcW w:w="6095" w:type="dxa"/>
            <w:vAlign w:val="center"/>
          </w:tcPr>
          <w:p w:rsidR="002A7774" w:rsidRPr="00B94AAE" w:rsidRDefault="00BD324C" w:rsidP="00712E96">
            <w:pPr>
              <w:spacing w:before="40" w:after="40"/>
              <w:rPr>
                <w:sz w:val="20"/>
                <w:szCs w:val="20"/>
                <w:lang w:eastAsia="cs-CZ"/>
              </w:rPr>
            </w:pPr>
            <w:r>
              <w:rPr>
                <w:sz w:val="20"/>
                <w:szCs w:val="20"/>
              </w:rPr>
              <w:t>V</w:t>
            </w:r>
            <w:r w:rsidR="009C480C">
              <w:rPr>
                <w:sz w:val="20"/>
                <w:szCs w:val="20"/>
              </w:rPr>
              <w:t xml:space="preserve"> ČR </w:t>
            </w:r>
            <w:r>
              <w:rPr>
                <w:sz w:val="20"/>
                <w:szCs w:val="20"/>
              </w:rPr>
              <w:t xml:space="preserve">v současnosti </w:t>
            </w:r>
            <w:r w:rsidR="009C480C">
              <w:rPr>
                <w:sz w:val="20"/>
                <w:szCs w:val="20"/>
              </w:rPr>
              <w:t xml:space="preserve">neexistuje dostatečné množství </w:t>
            </w:r>
            <w:r>
              <w:rPr>
                <w:sz w:val="20"/>
                <w:szCs w:val="20"/>
              </w:rPr>
              <w:br/>
            </w:r>
            <w:r w:rsidR="009C480C">
              <w:rPr>
                <w:sz w:val="20"/>
                <w:szCs w:val="20"/>
              </w:rPr>
              <w:t>spin-</w:t>
            </w:r>
            <w:proofErr w:type="spellStart"/>
            <w:r w:rsidR="009C480C">
              <w:rPr>
                <w:sz w:val="20"/>
                <w:szCs w:val="20"/>
              </w:rPr>
              <w:t>off</w:t>
            </w:r>
            <w:proofErr w:type="spellEnd"/>
            <w:r w:rsidR="009C480C">
              <w:rPr>
                <w:sz w:val="20"/>
                <w:szCs w:val="20"/>
              </w:rPr>
              <w:t xml:space="preserve"> firem vykazující několikaletou činnost, nelze </w:t>
            </w:r>
            <w:r>
              <w:rPr>
                <w:sz w:val="20"/>
                <w:szCs w:val="20"/>
              </w:rPr>
              <w:t xml:space="preserve">stanovit cílovou </w:t>
            </w:r>
            <w:r>
              <w:rPr>
                <w:sz w:val="20"/>
                <w:szCs w:val="20"/>
              </w:rPr>
              <w:lastRenderedPageBreak/>
              <w:t>hodnotu</w:t>
            </w:r>
            <w:r w:rsidR="009C480C">
              <w:rPr>
                <w:sz w:val="20"/>
                <w:szCs w:val="20"/>
              </w:rPr>
              <w:t>.</w:t>
            </w:r>
            <w:r w:rsidR="0089491B">
              <w:rPr>
                <w:sz w:val="20"/>
                <w:szCs w:val="20"/>
              </w:rPr>
              <w:t xml:space="preserve"> Tento indikátor koreluje s indikátorem 2.6, který je pro hodnocení NP </w:t>
            </w:r>
            <w:proofErr w:type="spellStart"/>
            <w:r w:rsidR="0089491B">
              <w:rPr>
                <w:sz w:val="20"/>
                <w:szCs w:val="20"/>
              </w:rPr>
              <w:t>VaVaI</w:t>
            </w:r>
            <w:proofErr w:type="spellEnd"/>
            <w:r w:rsidR="0089491B">
              <w:rPr>
                <w:sz w:val="20"/>
                <w:szCs w:val="20"/>
              </w:rPr>
              <w:t xml:space="preserve"> vhodnější.</w:t>
            </w:r>
            <w:r>
              <w:rPr>
                <w:sz w:val="20"/>
                <w:szCs w:val="20"/>
              </w:rPr>
              <w:t xml:space="preserve"> Pokud dojde k nárůstu počtu </w:t>
            </w:r>
            <w:r w:rsidR="00E31DD1">
              <w:rPr>
                <w:sz w:val="20"/>
                <w:szCs w:val="20"/>
              </w:rPr>
              <w:t>založených</w:t>
            </w:r>
            <w:r w:rsidR="00E31DD1">
              <w:rPr>
                <w:sz w:val="20"/>
                <w:szCs w:val="20"/>
              </w:rPr>
              <w:br/>
            </w:r>
            <w:r>
              <w:rPr>
                <w:sz w:val="20"/>
                <w:szCs w:val="20"/>
              </w:rPr>
              <w:t>spin-</w:t>
            </w:r>
            <w:proofErr w:type="spellStart"/>
            <w:r>
              <w:rPr>
                <w:sz w:val="20"/>
                <w:szCs w:val="20"/>
              </w:rPr>
              <w:t>off</w:t>
            </w:r>
            <w:proofErr w:type="spellEnd"/>
            <w:r>
              <w:rPr>
                <w:sz w:val="20"/>
                <w:szCs w:val="20"/>
              </w:rPr>
              <w:t>, do budoucna tento indikátor nabyde na významu.</w:t>
            </w:r>
          </w:p>
        </w:tc>
      </w:tr>
      <w:tr w:rsidR="002A7774" w:rsidRPr="00B94AAE" w:rsidTr="002A52CE">
        <w:trPr>
          <w:trHeight w:val="670"/>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lastRenderedPageBreak/>
              <w:t>Obr</w:t>
            </w:r>
            <w:r>
              <w:rPr>
                <w:rFonts w:eastAsia="Calibri" w:cs="Calibri"/>
                <w:sz w:val="20"/>
                <w:szCs w:val="20"/>
              </w:rPr>
              <w:t>at spin-</w:t>
            </w:r>
            <w:proofErr w:type="spellStart"/>
            <w:r>
              <w:rPr>
                <w:rFonts w:eastAsia="Calibri" w:cs="Calibri"/>
                <w:sz w:val="20"/>
                <w:szCs w:val="20"/>
              </w:rPr>
              <w:t>off</w:t>
            </w:r>
            <w:proofErr w:type="spellEnd"/>
            <w:r>
              <w:rPr>
                <w:rFonts w:eastAsia="Calibri" w:cs="Calibri"/>
                <w:sz w:val="20"/>
                <w:szCs w:val="20"/>
              </w:rPr>
              <w:t xml:space="preserve"> firem založených VO</w:t>
            </w:r>
          </w:p>
        </w:tc>
        <w:tc>
          <w:tcPr>
            <w:tcW w:w="3402" w:type="dxa"/>
            <w:gridSpan w:val="2"/>
            <w:vAlign w:val="center"/>
          </w:tcPr>
          <w:p w:rsidR="002A7774" w:rsidRPr="00B94AAE" w:rsidRDefault="002A7774" w:rsidP="00883D96">
            <w:pPr>
              <w:spacing w:before="40" w:after="40"/>
              <w:rPr>
                <w:sz w:val="20"/>
                <w:szCs w:val="20"/>
              </w:rPr>
            </w:pPr>
            <w:r w:rsidRPr="00B94AAE">
              <w:rPr>
                <w:sz w:val="20"/>
                <w:szCs w:val="20"/>
              </w:rPr>
              <w:t>Součet obratů všech spin-</w:t>
            </w:r>
            <w:proofErr w:type="spellStart"/>
            <w:r w:rsidRPr="00B94AAE">
              <w:rPr>
                <w:sz w:val="20"/>
                <w:szCs w:val="20"/>
              </w:rPr>
              <w:t>off</w:t>
            </w:r>
            <w:proofErr w:type="spellEnd"/>
            <w:r w:rsidRPr="00B94AAE">
              <w:rPr>
                <w:sz w:val="20"/>
                <w:szCs w:val="20"/>
              </w:rPr>
              <w:t xml:space="preserve"> firem vzniklých na VO (s majetkovou účastí VO i bez této účasti), který tyto firmy vykázaly ve svém daňovém přiznání za sledovaný rok.</w:t>
            </w:r>
          </w:p>
        </w:tc>
        <w:tc>
          <w:tcPr>
            <w:tcW w:w="1134" w:type="dxa"/>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E31DD1" w:rsidP="00712E96">
            <w:pPr>
              <w:spacing w:before="40" w:after="40"/>
              <w:rPr>
                <w:sz w:val="20"/>
                <w:szCs w:val="20"/>
                <w:lang w:eastAsia="cs-CZ"/>
              </w:rPr>
            </w:pPr>
            <w:r>
              <w:rPr>
                <w:sz w:val="20"/>
                <w:szCs w:val="20"/>
              </w:rPr>
              <w:t xml:space="preserve">V současnosti indikátor není sledován, není rovněž k dispozici dostatek informací o situaci v zahraničí. Nelze kvalifikovaně predikovat cílovou hodnotu. </w:t>
            </w:r>
            <w:r w:rsidR="00630887">
              <w:rPr>
                <w:sz w:val="20"/>
                <w:szCs w:val="20"/>
              </w:rPr>
              <w:t>Indikátor ne</w:t>
            </w:r>
            <w:r>
              <w:rPr>
                <w:sz w:val="20"/>
                <w:szCs w:val="20"/>
              </w:rPr>
              <w:t xml:space="preserve">ní vhodný pro mezinárodní srovnávání. Tento indikátor koreluje s indikátorem 2.6, který je pro hodnocení NP </w:t>
            </w:r>
            <w:proofErr w:type="spellStart"/>
            <w:r>
              <w:rPr>
                <w:sz w:val="20"/>
                <w:szCs w:val="20"/>
              </w:rPr>
              <w:t>VaVaI</w:t>
            </w:r>
            <w:proofErr w:type="spellEnd"/>
            <w:r>
              <w:rPr>
                <w:sz w:val="20"/>
                <w:szCs w:val="20"/>
              </w:rPr>
              <w:t xml:space="preserve"> vhodnější. </w:t>
            </w:r>
          </w:p>
        </w:tc>
      </w:tr>
      <w:tr w:rsidR="002A7774" w:rsidRPr="00B94AAE" w:rsidTr="002A52CE">
        <w:trPr>
          <w:trHeight w:val="429"/>
        </w:trPr>
        <w:tc>
          <w:tcPr>
            <w:tcW w:w="14425" w:type="dxa"/>
            <w:gridSpan w:val="5"/>
            <w:shd w:val="clear" w:color="auto" w:fill="F2F2F2" w:themeFill="background1" w:themeFillShade="F2"/>
          </w:tcPr>
          <w:p w:rsidR="002A7774" w:rsidRPr="00B94AAE" w:rsidRDefault="002A7774" w:rsidP="002A7774">
            <w:pPr>
              <w:numPr>
                <w:ilvl w:val="0"/>
                <w:numId w:val="1"/>
              </w:numPr>
              <w:spacing w:before="120" w:after="120"/>
              <w:ind w:left="426" w:hanging="426"/>
              <w:rPr>
                <w:b/>
                <w:szCs w:val="20"/>
              </w:rPr>
            </w:pPr>
            <w:r w:rsidRPr="00B94AAE">
              <w:rPr>
                <w:b/>
                <w:szCs w:val="20"/>
              </w:rPr>
              <w:t>Inovující podniky</w:t>
            </w:r>
          </w:p>
        </w:tc>
      </w:tr>
      <w:tr w:rsidR="002A7774" w:rsidRPr="00B94AAE" w:rsidTr="002A52CE">
        <w:trPr>
          <w:trHeight w:val="85"/>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Podíl inovujících MSP</w:t>
            </w:r>
          </w:p>
        </w:tc>
        <w:tc>
          <w:tcPr>
            <w:tcW w:w="3260" w:type="dxa"/>
            <w:vAlign w:val="center"/>
          </w:tcPr>
          <w:p w:rsidR="002A7774" w:rsidRPr="00B94AAE" w:rsidRDefault="002A7774" w:rsidP="00883D96">
            <w:pPr>
              <w:spacing w:before="40" w:after="40"/>
              <w:rPr>
                <w:sz w:val="20"/>
                <w:szCs w:val="20"/>
              </w:rPr>
            </w:pPr>
            <w:r w:rsidRPr="00B94AAE">
              <w:rPr>
                <w:sz w:val="20"/>
                <w:szCs w:val="20"/>
              </w:rPr>
              <w:t>Podíl MSP s inovačními aktivitami v celkovém počtu MSP působících v ČR ve sledovaném roce.</w:t>
            </w:r>
          </w:p>
        </w:tc>
        <w:tc>
          <w:tcPr>
            <w:tcW w:w="1276" w:type="dxa"/>
            <w:gridSpan w:val="2"/>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415B6D" w:rsidP="00415B6D">
            <w:pPr>
              <w:spacing w:before="40" w:after="40"/>
              <w:rPr>
                <w:sz w:val="20"/>
                <w:szCs w:val="20"/>
                <w:lang w:eastAsia="cs-CZ"/>
              </w:rPr>
            </w:pPr>
            <w:r>
              <w:rPr>
                <w:sz w:val="20"/>
                <w:szCs w:val="20"/>
              </w:rPr>
              <w:t xml:space="preserve">Vypovídací schopnost indikátoru není příliš vysoká – není rozlišeno, o jaké inovační aktivity se jedná, tj. zda jde jen o nákup zařízení, know-how či o výzkum a vývoj. </w:t>
            </w:r>
            <w:r w:rsidR="002B2994">
              <w:rPr>
                <w:sz w:val="20"/>
                <w:szCs w:val="20"/>
              </w:rPr>
              <w:t xml:space="preserve"> K dispozici jsou pouze subjektivní informace od samotných podniků. </w:t>
            </w:r>
            <w:r w:rsidR="00E31DD1">
              <w:rPr>
                <w:sz w:val="20"/>
                <w:szCs w:val="20"/>
              </w:rPr>
              <w:t>Dostupná jsou pouze data z dotazníkových šetření, ná</w:t>
            </w:r>
            <w:r w:rsidR="002B2994">
              <w:rPr>
                <w:sz w:val="20"/>
                <w:szCs w:val="20"/>
              </w:rPr>
              <w:t>v</w:t>
            </w:r>
            <w:r w:rsidR="00E31DD1">
              <w:rPr>
                <w:sz w:val="20"/>
                <w:szCs w:val="20"/>
              </w:rPr>
              <w:t xml:space="preserve">ratnost dotazníků je velmi rozdílná. </w:t>
            </w:r>
            <w:r>
              <w:rPr>
                <w:sz w:val="20"/>
                <w:szCs w:val="20"/>
              </w:rPr>
              <w:t xml:space="preserve"> Při použití tohoto indikátoru hrozí zkreslení výsledné analýzy. Mezinárodní srovnání v rámci tohoto indikátoru je obtížné. Nelze objektivně stanovit cílovou hodnotu – vzorek respondentů v některých zemích není srovnatelný a návratnost dotazníku se značně liší. Výsledky mohou být také do jisté míry zkresleny subjektivním hodnocením respondentů. </w:t>
            </w:r>
          </w:p>
        </w:tc>
      </w:tr>
      <w:tr w:rsidR="002A7774" w:rsidRPr="00B94AAE" w:rsidTr="002A52CE">
        <w:trPr>
          <w:trHeight w:val="1133"/>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Tržby z prodeje inovovaných produktů</w:t>
            </w:r>
            <w:r>
              <w:rPr>
                <w:rFonts w:eastAsia="Calibri" w:cs="Calibri"/>
                <w:sz w:val="20"/>
                <w:szCs w:val="20"/>
              </w:rPr>
              <w:t xml:space="preserve"> (</w:t>
            </w:r>
            <w:r w:rsidRPr="00B94AAE">
              <w:rPr>
                <w:rFonts w:eastAsia="Calibri" w:cs="Calibri"/>
                <w:sz w:val="20"/>
                <w:szCs w:val="20"/>
              </w:rPr>
              <w:t>nové pro trh / nové pro firmu</w:t>
            </w:r>
            <w:r>
              <w:rPr>
                <w:rFonts w:eastAsia="Calibri" w:cs="Calibri"/>
                <w:sz w:val="20"/>
                <w:szCs w:val="20"/>
              </w:rPr>
              <w:t>)</w:t>
            </w:r>
          </w:p>
        </w:tc>
        <w:tc>
          <w:tcPr>
            <w:tcW w:w="3260" w:type="dxa"/>
          </w:tcPr>
          <w:p w:rsidR="002A7774" w:rsidRPr="00B94AAE" w:rsidRDefault="002A7774" w:rsidP="00883D96">
            <w:pPr>
              <w:spacing w:before="40" w:after="40"/>
              <w:rPr>
                <w:sz w:val="20"/>
                <w:szCs w:val="20"/>
              </w:rPr>
            </w:pPr>
            <w:r w:rsidRPr="000E3901">
              <w:rPr>
                <w:sz w:val="20"/>
                <w:szCs w:val="20"/>
              </w:rPr>
              <w:t xml:space="preserve">Podíl tržeb za inovované produkty v celkových tržbách inovujících podniků ve sledovaném roce </w:t>
            </w:r>
            <w:r w:rsidRPr="00B94AAE">
              <w:rPr>
                <w:sz w:val="20"/>
                <w:szCs w:val="20"/>
              </w:rPr>
              <w:t>v členění na tržby za inovované produkty, které jsou nové pouze pro podnik, a tržby za inovované produkty, které jsou nové na trhu.</w:t>
            </w:r>
          </w:p>
        </w:tc>
        <w:tc>
          <w:tcPr>
            <w:tcW w:w="1276" w:type="dxa"/>
            <w:gridSpan w:val="2"/>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1B65A5" w:rsidP="001B65A5">
            <w:pPr>
              <w:spacing w:before="40" w:after="40"/>
              <w:rPr>
                <w:sz w:val="20"/>
                <w:szCs w:val="20"/>
                <w:lang w:eastAsia="cs-CZ"/>
              </w:rPr>
            </w:pPr>
            <w:r>
              <w:rPr>
                <w:sz w:val="20"/>
                <w:szCs w:val="20"/>
              </w:rPr>
              <w:t>Rovněž i u tohoto indikátoru není jasné,</w:t>
            </w:r>
            <w:r w:rsidRPr="001B65A5">
              <w:rPr>
                <w:sz w:val="20"/>
                <w:szCs w:val="20"/>
              </w:rPr>
              <w:t xml:space="preserve"> o jaké inovační aktivity se jedná, tj. zda jde jen o nákup zařízení, know-how či o výzkum a vývoj.  </w:t>
            </w:r>
            <w:r w:rsidR="002B2994">
              <w:rPr>
                <w:sz w:val="20"/>
                <w:szCs w:val="20"/>
              </w:rPr>
              <w:t>K dispozici jsou pouze subjektivní informace od samotných podniků. Dostupná jsou pouze data z dotazníkových šetření, návratnost dotazníků je velmi rozdílná. Při použití tohoto indikátoru hrozí zkreslení výsledné analýzy. Indikátor je vhodn</w:t>
            </w:r>
            <w:r w:rsidR="007A2C2E">
              <w:rPr>
                <w:sz w:val="20"/>
                <w:szCs w:val="20"/>
              </w:rPr>
              <w:t>é</w:t>
            </w:r>
            <w:r w:rsidR="002B2994">
              <w:rPr>
                <w:sz w:val="20"/>
                <w:szCs w:val="20"/>
              </w:rPr>
              <w:t xml:space="preserve"> sledovat pouze pro případ významných strategických inovací, které v současnosti nejsou definovány.</w:t>
            </w:r>
            <w:r w:rsidR="009C480C">
              <w:rPr>
                <w:sz w:val="20"/>
                <w:szCs w:val="20"/>
              </w:rPr>
              <w:t xml:space="preserve"> </w:t>
            </w:r>
          </w:p>
        </w:tc>
      </w:tr>
      <w:tr w:rsidR="002A7774" w:rsidRPr="00B94AAE" w:rsidTr="002A52CE">
        <w:trPr>
          <w:trHeight w:val="851"/>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Investice rizikového kapitálu do začínajících podniků - st</w:t>
            </w:r>
            <w:r>
              <w:rPr>
                <w:rFonts w:eastAsia="Calibri" w:cs="Calibri"/>
                <w:sz w:val="20"/>
                <w:szCs w:val="20"/>
              </w:rPr>
              <w:t>art-up kapitál</w:t>
            </w:r>
          </w:p>
        </w:tc>
        <w:tc>
          <w:tcPr>
            <w:tcW w:w="3260" w:type="dxa"/>
            <w:vAlign w:val="center"/>
          </w:tcPr>
          <w:p w:rsidR="002A7774" w:rsidRPr="00B94AAE" w:rsidRDefault="002A7774" w:rsidP="00883D96">
            <w:pPr>
              <w:spacing w:before="40" w:after="40"/>
              <w:rPr>
                <w:sz w:val="20"/>
                <w:szCs w:val="20"/>
              </w:rPr>
            </w:pPr>
            <w:r w:rsidRPr="009945D2">
              <w:rPr>
                <w:sz w:val="20"/>
                <w:szCs w:val="20"/>
              </w:rPr>
              <w:t>Podíl investic rizikového kapitálu do začínajících podniků (</w:t>
            </w:r>
            <w:proofErr w:type="spellStart"/>
            <w:r w:rsidRPr="009945D2">
              <w:rPr>
                <w:sz w:val="20"/>
                <w:szCs w:val="20"/>
              </w:rPr>
              <w:t>seed</w:t>
            </w:r>
            <w:proofErr w:type="spellEnd"/>
            <w:r>
              <w:rPr>
                <w:sz w:val="20"/>
                <w:szCs w:val="20"/>
              </w:rPr>
              <w:t>,</w:t>
            </w:r>
            <w:r w:rsidRPr="009945D2">
              <w:rPr>
                <w:sz w:val="20"/>
                <w:szCs w:val="20"/>
              </w:rPr>
              <w:t xml:space="preserve"> start-up kapitál) uskutečněných v ČR ve sledovaném roce k hrubému </w:t>
            </w:r>
            <w:r w:rsidRPr="009945D2">
              <w:rPr>
                <w:sz w:val="20"/>
                <w:szCs w:val="20"/>
              </w:rPr>
              <w:lastRenderedPageBreak/>
              <w:t>domácímu produktu ČR.</w:t>
            </w:r>
          </w:p>
        </w:tc>
        <w:tc>
          <w:tcPr>
            <w:tcW w:w="1276" w:type="dxa"/>
            <w:gridSpan w:val="2"/>
            <w:vAlign w:val="center"/>
          </w:tcPr>
          <w:p w:rsidR="002A7774" w:rsidRPr="009C480C" w:rsidRDefault="00AD1BDA" w:rsidP="009C480C">
            <w:pPr>
              <w:spacing w:before="40" w:after="40"/>
              <w:jc w:val="center"/>
              <w:rPr>
                <w:b/>
                <w:sz w:val="20"/>
                <w:szCs w:val="20"/>
              </w:rPr>
            </w:pPr>
            <w:r>
              <w:rPr>
                <w:b/>
                <w:sz w:val="20"/>
                <w:szCs w:val="20"/>
              </w:rPr>
              <w:lastRenderedPageBreak/>
              <w:t>klíčový</w:t>
            </w:r>
          </w:p>
        </w:tc>
        <w:tc>
          <w:tcPr>
            <w:tcW w:w="6095" w:type="dxa"/>
            <w:vAlign w:val="center"/>
          </w:tcPr>
          <w:p w:rsidR="002A7774" w:rsidRPr="00B94AAE" w:rsidRDefault="002A7774" w:rsidP="00883D96">
            <w:pPr>
              <w:spacing w:before="40" w:after="40"/>
              <w:rPr>
                <w:sz w:val="20"/>
                <w:szCs w:val="20"/>
              </w:rPr>
            </w:pPr>
          </w:p>
        </w:tc>
      </w:tr>
      <w:tr w:rsidR="002A7774" w:rsidRPr="00B94AAE" w:rsidTr="002A52CE">
        <w:trPr>
          <w:trHeight w:val="499"/>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lastRenderedPageBreak/>
              <w:t>Podíl inovujících MSP spolupracujících na inovacích s ostatními podniky</w:t>
            </w:r>
          </w:p>
        </w:tc>
        <w:tc>
          <w:tcPr>
            <w:tcW w:w="3260" w:type="dxa"/>
            <w:vAlign w:val="center"/>
          </w:tcPr>
          <w:p w:rsidR="002A7774" w:rsidRPr="00B94AAE" w:rsidRDefault="002A7774" w:rsidP="00883D96">
            <w:pPr>
              <w:spacing w:before="40" w:after="40"/>
              <w:rPr>
                <w:sz w:val="20"/>
                <w:szCs w:val="20"/>
              </w:rPr>
            </w:pPr>
            <w:r w:rsidRPr="00B94AAE">
              <w:rPr>
                <w:sz w:val="20"/>
                <w:szCs w:val="20"/>
              </w:rPr>
              <w:t>Podíl MSP, které ve sledovaném roce spolupracují na inovacích s jinými podniky, v celkovém počtu inovujících MSP.</w:t>
            </w:r>
          </w:p>
        </w:tc>
        <w:tc>
          <w:tcPr>
            <w:tcW w:w="1276" w:type="dxa"/>
            <w:gridSpan w:val="2"/>
            <w:vAlign w:val="center"/>
          </w:tcPr>
          <w:p w:rsidR="002A7774" w:rsidRPr="00B94AAE" w:rsidRDefault="00FA3702" w:rsidP="009C480C">
            <w:pPr>
              <w:spacing w:before="40" w:after="40"/>
              <w:jc w:val="center"/>
              <w:rPr>
                <w:sz w:val="20"/>
                <w:szCs w:val="20"/>
              </w:rPr>
            </w:pPr>
            <w:r>
              <w:rPr>
                <w:sz w:val="20"/>
                <w:szCs w:val="20"/>
              </w:rPr>
              <w:t>doplňkový</w:t>
            </w:r>
          </w:p>
        </w:tc>
        <w:tc>
          <w:tcPr>
            <w:tcW w:w="6095" w:type="dxa"/>
            <w:vAlign w:val="center"/>
          </w:tcPr>
          <w:p w:rsidR="002A7774" w:rsidRPr="00B94AAE" w:rsidRDefault="007A2C2E" w:rsidP="00712E96">
            <w:pPr>
              <w:spacing w:before="40" w:after="40"/>
              <w:rPr>
                <w:sz w:val="20"/>
                <w:szCs w:val="20"/>
                <w:lang w:eastAsia="cs-CZ"/>
              </w:rPr>
            </w:pPr>
            <w:r>
              <w:rPr>
                <w:sz w:val="20"/>
                <w:szCs w:val="20"/>
              </w:rPr>
              <w:t xml:space="preserve">K dispozici jsou pouze subjektivní informace od samotných podniků. </w:t>
            </w:r>
            <w:r w:rsidR="00883D96">
              <w:rPr>
                <w:sz w:val="20"/>
                <w:szCs w:val="20"/>
              </w:rPr>
              <w:t xml:space="preserve">Podniky nejsou povinny tuto informaci poskytovat. </w:t>
            </w:r>
            <w:r>
              <w:rPr>
                <w:sz w:val="20"/>
                <w:szCs w:val="20"/>
              </w:rPr>
              <w:t>Dostupná jsou pouze data z dotazníkových šetření, návratnost dotazníků je velmi rozdílná. Při použití tohoto indikátoru hrozí zkreslení výsledné analýzy. Indikátor je vhodné sledovat pouze pro případ dlouhodobých strategických spoluprací, což současný systém evidence dat neumožňuje.</w:t>
            </w:r>
          </w:p>
        </w:tc>
      </w:tr>
      <w:tr w:rsidR="002A7774" w:rsidRPr="00B94AAE" w:rsidTr="002A52CE">
        <w:trPr>
          <w:trHeight w:val="268"/>
        </w:trPr>
        <w:tc>
          <w:tcPr>
            <w:tcW w:w="3794" w:type="dxa"/>
          </w:tcPr>
          <w:p w:rsidR="002A7774" w:rsidRPr="00B94AAE" w:rsidRDefault="002A7774" w:rsidP="002A7774">
            <w:pPr>
              <w:numPr>
                <w:ilvl w:val="1"/>
                <w:numId w:val="1"/>
              </w:numPr>
              <w:spacing w:before="40" w:after="40"/>
              <w:ind w:left="426" w:hanging="426"/>
              <w:rPr>
                <w:rFonts w:eastAsia="Calibri" w:cs="Calibri"/>
                <w:sz w:val="20"/>
                <w:szCs w:val="20"/>
              </w:rPr>
            </w:pPr>
            <w:r w:rsidRPr="00B94AAE">
              <w:rPr>
                <w:rFonts w:eastAsia="Calibri" w:cs="Calibri"/>
                <w:sz w:val="20"/>
                <w:szCs w:val="20"/>
              </w:rPr>
              <w:t xml:space="preserve">Podíl rychle rostoucích </w:t>
            </w:r>
            <w:r>
              <w:rPr>
                <w:rFonts w:eastAsia="Calibri" w:cs="Calibri"/>
                <w:sz w:val="20"/>
                <w:szCs w:val="20"/>
              </w:rPr>
              <w:t>podniků</w:t>
            </w:r>
          </w:p>
        </w:tc>
        <w:tc>
          <w:tcPr>
            <w:tcW w:w="3260" w:type="dxa"/>
            <w:vAlign w:val="center"/>
          </w:tcPr>
          <w:p w:rsidR="002A7774" w:rsidRPr="00B94AAE" w:rsidRDefault="002A7774" w:rsidP="00883D96">
            <w:pPr>
              <w:spacing w:before="40" w:after="40"/>
              <w:rPr>
                <w:sz w:val="20"/>
                <w:szCs w:val="20"/>
              </w:rPr>
            </w:pPr>
            <w:r w:rsidRPr="00B94AAE">
              <w:rPr>
                <w:sz w:val="20"/>
                <w:szCs w:val="20"/>
              </w:rPr>
              <w:t xml:space="preserve">Podíl </w:t>
            </w:r>
            <w:r>
              <w:rPr>
                <w:sz w:val="20"/>
                <w:szCs w:val="20"/>
              </w:rPr>
              <w:t xml:space="preserve">podniků </w:t>
            </w:r>
            <w:r w:rsidRPr="00B94AAE">
              <w:rPr>
                <w:sz w:val="20"/>
                <w:szCs w:val="20"/>
              </w:rPr>
              <w:t xml:space="preserve">s průměrným ročním růstem počtu zaměstnanců (nebo obratu) vyšším než 20 % ročně během tříletého období, které na počátku tohoto období měly nejméně 10 zaměstnanců, v celkovém počtu </w:t>
            </w:r>
            <w:r>
              <w:rPr>
                <w:sz w:val="20"/>
                <w:szCs w:val="20"/>
              </w:rPr>
              <w:t>podniků</w:t>
            </w:r>
            <w:r w:rsidRPr="00B94AAE">
              <w:rPr>
                <w:sz w:val="20"/>
                <w:szCs w:val="20"/>
              </w:rPr>
              <w:t xml:space="preserve"> s deseti a více zaměstnanci.</w:t>
            </w:r>
          </w:p>
        </w:tc>
        <w:tc>
          <w:tcPr>
            <w:tcW w:w="1276" w:type="dxa"/>
            <w:gridSpan w:val="2"/>
            <w:vAlign w:val="center"/>
          </w:tcPr>
          <w:p w:rsidR="002A7774" w:rsidRPr="009C480C" w:rsidRDefault="00AD1BDA" w:rsidP="009C480C">
            <w:pPr>
              <w:spacing w:before="40" w:after="40"/>
              <w:jc w:val="center"/>
              <w:rPr>
                <w:b/>
                <w:sz w:val="20"/>
                <w:szCs w:val="20"/>
              </w:rPr>
            </w:pPr>
            <w:r>
              <w:rPr>
                <w:b/>
                <w:sz w:val="20"/>
                <w:szCs w:val="20"/>
              </w:rPr>
              <w:t>klíčový</w:t>
            </w:r>
          </w:p>
        </w:tc>
        <w:tc>
          <w:tcPr>
            <w:tcW w:w="6095" w:type="dxa"/>
            <w:vAlign w:val="center"/>
          </w:tcPr>
          <w:p w:rsidR="002A7774" w:rsidRPr="00B94AAE" w:rsidRDefault="002A7774" w:rsidP="00883D96">
            <w:pPr>
              <w:spacing w:before="40" w:after="40"/>
              <w:rPr>
                <w:sz w:val="20"/>
                <w:szCs w:val="20"/>
              </w:rPr>
            </w:pPr>
          </w:p>
        </w:tc>
      </w:tr>
    </w:tbl>
    <w:p w:rsidR="00FF337E" w:rsidRPr="00AD73B9" w:rsidRDefault="00FF337E" w:rsidP="002A52CE">
      <w:pPr>
        <w:jc w:val="both"/>
      </w:pPr>
    </w:p>
    <w:sectPr w:rsidR="00FF337E" w:rsidRPr="00AD73B9" w:rsidSect="002A52CE">
      <w:pgSz w:w="16838" w:h="11906" w:orient="landscape"/>
      <w:pgMar w:top="1418" w:right="1134"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126" w:rsidRDefault="004D5126" w:rsidP="003D1F86">
      <w:pPr>
        <w:spacing w:after="0" w:line="240" w:lineRule="auto"/>
      </w:pPr>
      <w:r>
        <w:separator/>
      </w:r>
    </w:p>
  </w:endnote>
  <w:endnote w:type="continuationSeparator" w:id="0">
    <w:p w:rsidR="004D5126" w:rsidRDefault="004D5126" w:rsidP="003D1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08637271"/>
      <w:docPartObj>
        <w:docPartGallery w:val="Page Numbers (Bottom of Page)"/>
        <w:docPartUnique/>
      </w:docPartObj>
    </w:sdtPr>
    <w:sdtEndPr/>
    <w:sdtContent>
      <w:p w:rsidR="002F3E7B" w:rsidRPr="00230A69" w:rsidRDefault="002F3E7B">
        <w:pPr>
          <w:pStyle w:val="Zpat"/>
          <w:jc w:val="center"/>
          <w:rPr>
            <w:rFonts w:ascii="Times New Roman" w:hAnsi="Times New Roman" w:cs="Times New Roman"/>
            <w:sz w:val="24"/>
            <w:szCs w:val="24"/>
          </w:rPr>
        </w:pPr>
        <w:r w:rsidRPr="00230A69">
          <w:rPr>
            <w:rFonts w:ascii="Times New Roman" w:hAnsi="Times New Roman" w:cs="Times New Roman"/>
            <w:sz w:val="24"/>
            <w:szCs w:val="24"/>
          </w:rPr>
          <w:fldChar w:fldCharType="begin"/>
        </w:r>
        <w:r w:rsidRPr="00230A69">
          <w:rPr>
            <w:rFonts w:ascii="Times New Roman" w:hAnsi="Times New Roman" w:cs="Times New Roman"/>
            <w:sz w:val="24"/>
            <w:szCs w:val="24"/>
          </w:rPr>
          <w:instrText>PAGE   \* MERGEFORMAT</w:instrText>
        </w:r>
        <w:r w:rsidRPr="00230A69">
          <w:rPr>
            <w:rFonts w:ascii="Times New Roman" w:hAnsi="Times New Roman" w:cs="Times New Roman"/>
            <w:sz w:val="24"/>
            <w:szCs w:val="24"/>
          </w:rPr>
          <w:fldChar w:fldCharType="separate"/>
        </w:r>
        <w:r w:rsidR="00E764BD">
          <w:rPr>
            <w:rFonts w:ascii="Times New Roman" w:hAnsi="Times New Roman" w:cs="Times New Roman"/>
            <w:noProof/>
            <w:sz w:val="24"/>
            <w:szCs w:val="24"/>
          </w:rPr>
          <w:t>2</w:t>
        </w:r>
        <w:r w:rsidRPr="00230A69">
          <w:rPr>
            <w:rFonts w:ascii="Times New Roman" w:hAnsi="Times New Roman" w:cs="Times New Roman"/>
            <w:sz w:val="24"/>
            <w:szCs w:val="24"/>
          </w:rPr>
          <w:fldChar w:fldCharType="end"/>
        </w:r>
      </w:p>
    </w:sdtContent>
  </w:sdt>
  <w:p w:rsidR="002F3E7B"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 xml:space="preserve">Vypracoval: Adéla </w:t>
    </w:r>
    <w:proofErr w:type="spellStart"/>
    <w:r w:rsidRPr="00230A69">
      <w:rPr>
        <w:rFonts w:ascii="Times New Roman" w:hAnsi="Times New Roman" w:cs="Times New Roman"/>
        <w:color w:val="808080" w:themeColor="background1" w:themeShade="80"/>
        <w:sz w:val="24"/>
        <w:szCs w:val="24"/>
      </w:rPr>
      <w:t>Ogino</w:t>
    </w:r>
    <w:proofErr w:type="spellEnd"/>
    <w:r w:rsidRPr="00230A69">
      <w:rPr>
        <w:rFonts w:ascii="Times New Roman" w:hAnsi="Times New Roman" w:cs="Times New Roman"/>
        <w:color w:val="808080" w:themeColor="background1" w:themeShade="80"/>
        <w:sz w:val="24"/>
        <w:szCs w:val="24"/>
      </w:rPr>
      <w:t>, Tomáš Vítek</w:t>
    </w:r>
  </w:p>
  <w:p w:rsidR="00FE372C" w:rsidRPr="00230A69" w:rsidRDefault="00FE372C">
    <w:pPr>
      <w:pStyle w:val="Zpat"/>
      <w:rPr>
        <w:rFonts w:ascii="Times New Roman" w:hAnsi="Times New Roman" w:cs="Times New Roman"/>
        <w:color w:val="808080" w:themeColor="background1" w:themeShade="80"/>
        <w:sz w:val="24"/>
        <w:szCs w:val="24"/>
      </w:rPr>
    </w:pPr>
    <w:r w:rsidRPr="00230A69">
      <w:rPr>
        <w:rFonts w:ascii="Times New Roman" w:hAnsi="Times New Roman" w:cs="Times New Roman"/>
        <w:color w:val="808080" w:themeColor="background1" w:themeShade="80"/>
        <w:sz w:val="24"/>
        <w:szCs w:val="24"/>
      </w:rPr>
      <w:t xml:space="preserve">Datum: </w:t>
    </w:r>
    <w:r w:rsidR="00F927D2">
      <w:rPr>
        <w:rFonts w:ascii="Times New Roman" w:hAnsi="Times New Roman" w:cs="Times New Roman"/>
        <w:color w:val="808080" w:themeColor="background1" w:themeShade="80"/>
        <w:sz w:val="24"/>
        <w:szCs w:val="24"/>
      </w:rPr>
      <w:t>11. června</w:t>
    </w:r>
    <w:r w:rsidRPr="00230A69">
      <w:rPr>
        <w:rFonts w:ascii="Times New Roman" w:hAnsi="Times New Roman" w:cs="Times New Roman"/>
        <w:color w:val="808080" w:themeColor="background1" w:themeShade="80"/>
        <w:sz w:val="24"/>
        <w:szCs w:val="24"/>
      </w:rPr>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126" w:rsidRDefault="004D5126" w:rsidP="003D1F86">
      <w:pPr>
        <w:spacing w:after="0" w:line="240" w:lineRule="auto"/>
      </w:pPr>
      <w:r>
        <w:separator/>
      </w:r>
    </w:p>
  </w:footnote>
  <w:footnote w:type="continuationSeparator" w:id="0">
    <w:p w:rsidR="004D5126" w:rsidRDefault="004D5126" w:rsidP="003D1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2180"/>
    <w:multiLevelType w:val="hybridMultilevel"/>
    <w:tmpl w:val="9D16D9C6"/>
    <w:lvl w:ilvl="0" w:tplc="9058EC34">
      <w:numFmt w:val="bullet"/>
      <w:lvlText w:val="-"/>
      <w:lvlJc w:val="left"/>
      <w:pPr>
        <w:ind w:left="720" w:hanging="360"/>
      </w:pPr>
      <w:rPr>
        <w:rFonts w:ascii="Calibri" w:eastAsiaTheme="minorHAnsi" w:hAnsi="Calibri" w:cstheme="minorBid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25C74FC"/>
    <w:multiLevelType w:val="hybridMultilevel"/>
    <w:tmpl w:val="6FAEC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75366B6"/>
    <w:multiLevelType w:val="hybridMultilevel"/>
    <w:tmpl w:val="8B20B590"/>
    <w:lvl w:ilvl="0" w:tplc="6AA4923C">
      <w:numFmt w:val="bullet"/>
      <w:lvlText w:val="-"/>
      <w:lvlJc w:val="left"/>
      <w:pPr>
        <w:ind w:left="720" w:hanging="360"/>
      </w:pPr>
      <w:rPr>
        <w:rFonts w:ascii="Calibri" w:eastAsiaTheme="minorHAnsi" w:hAnsi="Calibri" w:cstheme="minorBidi" w:hint="default"/>
      </w:rPr>
    </w:lvl>
    <w:lvl w:ilvl="1" w:tplc="0405001B">
      <w:start w:val="1"/>
      <w:numFmt w:val="low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A5D775A"/>
    <w:multiLevelType w:val="hybridMultilevel"/>
    <w:tmpl w:val="F8F462D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0BE1440"/>
    <w:multiLevelType w:val="hybridMultilevel"/>
    <w:tmpl w:val="C520F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4AE6819"/>
    <w:multiLevelType w:val="hybridMultilevel"/>
    <w:tmpl w:val="8C9CA7EE"/>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DD33520"/>
    <w:multiLevelType w:val="hybridMultilevel"/>
    <w:tmpl w:val="34BEB828"/>
    <w:lvl w:ilvl="0" w:tplc="BC441A2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2286F7B"/>
    <w:multiLevelType w:val="hybridMultilevel"/>
    <w:tmpl w:val="A3B041B8"/>
    <w:lvl w:ilvl="0" w:tplc="6AA492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96F10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
  </w:num>
  <w:num w:numId="3">
    <w:abstractNumId w:val="0"/>
  </w:num>
  <w:num w:numId="4">
    <w:abstractNumId w:val="7"/>
  </w:num>
  <w:num w:numId="5">
    <w:abstractNumId w:val="3"/>
  </w:num>
  <w:num w:numId="6">
    <w:abstractNumId w:val="5"/>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78"/>
    <w:rsid w:val="000123F9"/>
    <w:rsid w:val="000227E1"/>
    <w:rsid w:val="000254AB"/>
    <w:rsid w:val="00040207"/>
    <w:rsid w:val="0004214E"/>
    <w:rsid w:val="00051D69"/>
    <w:rsid w:val="00057955"/>
    <w:rsid w:val="00060687"/>
    <w:rsid w:val="000714E1"/>
    <w:rsid w:val="00075B67"/>
    <w:rsid w:val="0009198A"/>
    <w:rsid w:val="00093061"/>
    <w:rsid w:val="00097A66"/>
    <w:rsid w:val="000A03FD"/>
    <w:rsid w:val="000A0F12"/>
    <w:rsid w:val="000A7C76"/>
    <w:rsid w:val="000D176E"/>
    <w:rsid w:val="000D1F03"/>
    <w:rsid w:val="000D6BCE"/>
    <w:rsid w:val="000E46FB"/>
    <w:rsid w:val="000F5E7F"/>
    <w:rsid w:val="00100E97"/>
    <w:rsid w:val="00110EF1"/>
    <w:rsid w:val="001165D6"/>
    <w:rsid w:val="00117A0F"/>
    <w:rsid w:val="00123EB6"/>
    <w:rsid w:val="00131717"/>
    <w:rsid w:val="00141B6B"/>
    <w:rsid w:val="00150994"/>
    <w:rsid w:val="001520CB"/>
    <w:rsid w:val="00152E5C"/>
    <w:rsid w:val="00164DEF"/>
    <w:rsid w:val="00171A1B"/>
    <w:rsid w:val="00177D1A"/>
    <w:rsid w:val="001865B0"/>
    <w:rsid w:val="00187465"/>
    <w:rsid w:val="001A32E1"/>
    <w:rsid w:val="001B65A5"/>
    <w:rsid w:val="001C598F"/>
    <w:rsid w:val="001F2E56"/>
    <w:rsid w:val="00225294"/>
    <w:rsid w:val="002271F8"/>
    <w:rsid w:val="00230A69"/>
    <w:rsid w:val="00232BE7"/>
    <w:rsid w:val="00233F01"/>
    <w:rsid w:val="00236F53"/>
    <w:rsid w:val="00240D67"/>
    <w:rsid w:val="0024117E"/>
    <w:rsid w:val="00244285"/>
    <w:rsid w:val="00250A4E"/>
    <w:rsid w:val="00251310"/>
    <w:rsid w:val="0025394F"/>
    <w:rsid w:val="002545BF"/>
    <w:rsid w:val="00262B2F"/>
    <w:rsid w:val="00262F7C"/>
    <w:rsid w:val="00265BB5"/>
    <w:rsid w:val="0028764C"/>
    <w:rsid w:val="002917F3"/>
    <w:rsid w:val="002A106D"/>
    <w:rsid w:val="002A1428"/>
    <w:rsid w:val="002A52CE"/>
    <w:rsid w:val="002A7774"/>
    <w:rsid w:val="002B029E"/>
    <w:rsid w:val="002B2994"/>
    <w:rsid w:val="002C05BF"/>
    <w:rsid w:val="002C3641"/>
    <w:rsid w:val="002C74DB"/>
    <w:rsid w:val="002F2108"/>
    <w:rsid w:val="002F3E7B"/>
    <w:rsid w:val="002F4239"/>
    <w:rsid w:val="00317BF7"/>
    <w:rsid w:val="00353BEF"/>
    <w:rsid w:val="0037480C"/>
    <w:rsid w:val="00381797"/>
    <w:rsid w:val="003818B6"/>
    <w:rsid w:val="00383AB6"/>
    <w:rsid w:val="00384930"/>
    <w:rsid w:val="003A53D0"/>
    <w:rsid w:val="003D0061"/>
    <w:rsid w:val="003D1F86"/>
    <w:rsid w:val="003E21F1"/>
    <w:rsid w:val="003F111E"/>
    <w:rsid w:val="003F3BA9"/>
    <w:rsid w:val="003F50B9"/>
    <w:rsid w:val="00411596"/>
    <w:rsid w:val="00415B6D"/>
    <w:rsid w:val="00420308"/>
    <w:rsid w:val="0043722F"/>
    <w:rsid w:val="00455279"/>
    <w:rsid w:val="004607A3"/>
    <w:rsid w:val="0046729B"/>
    <w:rsid w:val="00470173"/>
    <w:rsid w:val="00484727"/>
    <w:rsid w:val="004A5EF3"/>
    <w:rsid w:val="004B5F3D"/>
    <w:rsid w:val="004C6528"/>
    <w:rsid w:val="004D5126"/>
    <w:rsid w:val="004F3F4A"/>
    <w:rsid w:val="004F47FA"/>
    <w:rsid w:val="004F7A82"/>
    <w:rsid w:val="005067CF"/>
    <w:rsid w:val="005263DB"/>
    <w:rsid w:val="005270D2"/>
    <w:rsid w:val="00527CD5"/>
    <w:rsid w:val="005508BC"/>
    <w:rsid w:val="00560CC9"/>
    <w:rsid w:val="00564FED"/>
    <w:rsid w:val="00566A6D"/>
    <w:rsid w:val="005671D4"/>
    <w:rsid w:val="00580CD1"/>
    <w:rsid w:val="00585AB7"/>
    <w:rsid w:val="00585D54"/>
    <w:rsid w:val="005C1B6B"/>
    <w:rsid w:val="005D1C5E"/>
    <w:rsid w:val="005E4237"/>
    <w:rsid w:val="005E77F7"/>
    <w:rsid w:val="00602F04"/>
    <w:rsid w:val="00630887"/>
    <w:rsid w:val="0063194E"/>
    <w:rsid w:val="00634A58"/>
    <w:rsid w:val="006368B8"/>
    <w:rsid w:val="00643358"/>
    <w:rsid w:val="00643967"/>
    <w:rsid w:val="006601B6"/>
    <w:rsid w:val="00673EE3"/>
    <w:rsid w:val="006777B0"/>
    <w:rsid w:val="006841D8"/>
    <w:rsid w:val="00686A69"/>
    <w:rsid w:val="00692944"/>
    <w:rsid w:val="00694276"/>
    <w:rsid w:val="006A0662"/>
    <w:rsid w:val="006A0A26"/>
    <w:rsid w:val="006A3318"/>
    <w:rsid w:val="006B5A12"/>
    <w:rsid w:val="006B6913"/>
    <w:rsid w:val="006D1914"/>
    <w:rsid w:val="006D7641"/>
    <w:rsid w:val="006E0BB7"/>
    <w:rsid w:val="006F01D9"/>
    <w:rsid w:val="00704D1B"/>
    <w:rsid w:val="00712E96"/>
    <w:rsid w:val="00743363"/>
    <w:rsid w:val="0078762B"/>
    <w:rsid w:val="007A2A8F"/>
    <w:rsid w:val="007A2C2E"/>
    <w:rsid w:val="007F0F50"/>
    <w:rsid w:val="007F2748"/>
    <w:rsid w:val="007F301C"/>
    <w:rsid w:val="007F747F"/>
    <w:rsid w:val="00820A71"/>
    <w:rsid w:val="00830342"/>
    <w:rsid w:val="00831336"/>
    <w:rsid w:val="00840D4B"/>
    <w:rsid w:val="008436FB"/>
    <w:rsid w:val="00860F72"/>
    <w:rsid w:val="00862B2A"/>
    <w:rsid w:val="00875ABD"/>
    <w:rsid w:val="00880DBE"/>
    <w:rsid w:val="00883D96"/>
    <w:rsid w:val="00887F56"/>
    <w:rsid w:val="008932BB"/>
    <w:rsid w:val="0089491B"/>
    <w:rsid w:val="008B0763"/>
    <w:rsid w:val="008B3652"/>
    <w:rsid w:val="008D42A6"/>
    <w:rsid w:val="008D486D"/>
    <w:rsid w:val="008D627F"/>
    <w:rsid w:val="008D754F"/>
    <w:rsid w:val="00900F7C"/>
    <w:rsid w:val="009016A3"/>
    <w:rsid w:val="00904264"/>
    <w:rsid w:val="00921002"/>
    <w:rsid w:val="00923302"/>
    <w:rsid w:val="00927995"/>
    <w:rsid w:val="00932709"/>
    <w:rsid w:val="00933912"/>
    <w:rsid w:val="00942413"/>
    <w:rsid w:val="00945795"/>
    <w:rsid w:val="00954432"/>
    <w:rsid w:val="0096013C"/>
    <w:rsid w:val="00964D84"/>
    <w:rsid w:val="00966690"/>
    <w:rsid w:val="009716F0"/>
    <w:rsid w:val="00983E27"/>
    <w:rsid w:val="009900CD"/>
    <w:rsid w:val="00991716"/>
    <w:rsid w:val="00997EE6"/>
    <w:rsid w:val="009A0DD1"/>
    <w:rsid w:val="009C2D70"/>
    <w:rsid w:val="009C480C"/>
    <w:rsid w:val="009D7722"/>
    <w:rsid w:val="009F7298"/>
    <w:rsid w:val="00A0643E"/>
    <w:rsid w:val="00A079EE"/>
    <w:rsid w:val="00A111B7"/>
    <w:rsid w:val="00A14ECA"/>
    <w:rsid w:val="00A31649"/>
    <w:rsid w:val="00A3613E"/>
    <w:rsid w:val="00A46AF4"/>
    <w:rsid w:val="00A57E5A"/>
    <w:rsid w:val="00A61A31"/>
    <w:rsid w:val="00A66BCA"/>
    <w:rsid w:val="00A67AAF"/>
    <w:rsid w:val="00A81F3E"/>
    <w:rsid w:val="00A94459"/>
    <w:rsid w:val="00AA5BB8"/>
    <w:rsid w:val="00AC1B4E"/>
    <w:rsid w:val="00AC31D5"/>
    <w:rsid w:val="00AC4948"/>
    <w:rsid w:val="00AD1490"/>
    <w:rsid w:val="00AD1BDA"/>
    <w:rsid w:val="00AD4CA3"/>
    <w:rsid w:val="00AD73B9"/>
    <w:rsid w:val="00B04D51"/>
    <w:rsid w:val="00B06118"/>
    <w:rsid w:val="00B132D9"/>
    <w:rsid w:val="00B20FDB"/>
    <w:rsid w:val="00B2557F"/>
    <w:rsid w:val="00B27840"/>
    <w:rsid w:val="00B30882"/>
    <w:rsid w:val="00B315D1"/>
    <w:rsid w:val="00B44635"/>
    <w:rsid w:val="00B520F6"/>
    <w:rsid w:val="00B57626"/>
    <w:rsid w:val="00B61173"/>
    <w:rsid w:val="00B7354D"/>
    <w:rsid w:val="00B7501C"/>
    <w:rsid w:val="00B75C22"/>
    <w:rsid w:val="00BA1AA5"/>
    <w:rsid w:val="00BA23BB"/>
    <w:rsid w:val="00BB422E"/>
    <w:rsid w:val="00BC6D20"/>
    <w:rsid w:val="00BD0216"/>
    <w:rsid w:val="00BD324C"/>
    <w:rsid w:val="00BE1B6F"/>
    <w:rsid w:val="00BE31DF"/>
    <w:rsid w:val="00C00384"/>
    <w:rsid w:val="00C02501"/>
    <w:rsid w:val="00C10A5F"/>
    <w:rsid w:val="00C114B0"/>
    <w:rsid w:val="00C22464"/>
    <w:rsid w:val="00C232D4"/>
    <w:rsid w:val="00C3511A"/>
    <w:rsid w:val="00C45212"/>
    <w:rsid w:val="00C54258"/>
    <w:rsid w:val="00C6164E"/>
    <w:rsid w:val="00C652C4"/>
    <w:rsid w:val="00C7582B"/>
    <w:rsid w:val="00C84706"/>
    <w:rsid w:val="00C93C8C"/>
    <w:rsid w:val="00CA0546"/>
    <w:rsid w:val="00CA19CF"/>
    <w:rsid w:val="00CA3C4B"/>
    <w:rsid w:val="00CB198C"/>
    <w:rsid w:val="00CB25E4"/>
    <w:rsid w:val="00CD1887"/>
    <w:rsid w:val="00CE6C5E"/>
    <w:rsid w:val="00D02EC4"/>
    <w:rsid w:val="00D034A4"/>
    <w:rsid w:val="00D0601C"/>
    <w:rsid w:val="00D1618F"/>
    <w:rsid w:val="00D16A2E"/>
    <w:rsid w:val="00D23ECC"/>
    <w:rsid w:val="00D2736B"/>
    <w:rsid w:val="00D3280F"/>
    <w:rsid w:val="00D35101"/>
    <w:rsid w:val="00D35702"/>
    <w:rsid w:val="00D36893"/>
    <w:rsid w:val="00D470D9"/>
    <w:rsid w:val="00D5018B"/>
    <w:rsid w:val="00D51978"/>
    <w:rsid w:val="00D527E5"/>
    <w:rsid w:val="00D5455D"/>
    <w:rsid w:val="00D5527D"/>
    <w:rsid w:val="00D60D0F"/>
    <w:rsid w:val="00D61D96"/>
    <w:rsid w:val="00D63668"/>
    <w:rsid w:val="00D72301"/>
    <w:rsid w:val="00D8290A"/>
    <w:rsid w:val="00D849D5"/>
    <w:rsid w:val="00DA6BDD"/>
    <w:rsid w:val="00DA6FF4"/>
    <w:rsid w:val="00DA7041"/>
    <w:rsid w:val="00DB334F"/>
    <w:rsid w:val="00DB4C76"/>
    <w:rsid w:val="00E0599A"/>
    <w:rsid w:val="00E1366D"/>
    <w:rsid w:val="00E2241F"/>
    <w:rsid w:val="00E31DD1"/>
    <w:rsid w:val="00E35899"/>
    <w:rsid w:val="00E541D7"/>
    <w:rsid w:val="00E72111"/>
    <w:rsid w:val="00E72128"/>
    <w:rsid w:val="00E764BD"/>
    <w:rsid w:val="00E8015B"/>
    <w:rsid w:val="00E87299"/>
    <w:rsid w:val="00EA7BC8"/>
    <w:rsid w:val="00EB2FBC"/>
    <w:rsid w:val="00EB544B"/>
    <w:rsid w:val="00EE1609"/>
    <w:rsid w:val="00EF3622"/>
    <w:rsid w:val="00F05A85"/>
    <w:rsid w:val="00F06FFC"/>
    <w:rsid w:val="00F115FD"/>
    <w:rsid w:val="00F14B22"/>
    <w:rsid w:val="00F23EAA"/>
    <w:rsid w:val="00F25931"/>
    <w:rsid w:val="00F2632D"/>
    <w:rsid w:val="00F2720A"/>
    <w:rsid w:val="00F27CE3"/>
    <w:rsid w:val="00F32198"/>
    <w:rsid w:val="00F32FCD"/>
    <w:rsid w:val="00F372A6"/>
    <w:rsid w:val="00F52680"/>
    <w:rsid w:val="00F6553E"/>
    <w:rsid w:val="00F727E1"/>
    <w:rsid w:val="00F77030"/>
    <w:rsid w:val="00F81691"/>
    <w:rsid w:val="00F8427D"/>
    <w:rsid w:val="00F86C30"/>
    <w:rsid w:val="00F912E3"/>
    <w:rsid w:val="00F927D2"/>
    <w:rsid w:val="00FA3702"/>
    <w:rsid w:val="00FB111B"/>
    <w:rsid w:val="00FB1243"/>
    <w:rsid w:val="00FC486F"/>
    <w:rsid w:val="00FD0CC4"/>
    <w:rsid w:val="00FD2411"/>
    <w:rsid w:val="00FD3FDB"/>
    <w:rsid w:val="00FE372C"/>
    <w:rsid w:val="00FF1B82"/>
    <w:rsid w:val="00FF3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uiPriority w:val="59"/>
    <w:rsid w:val="002A77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semiHidden/>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semiHidden/>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FED"/>
  </w:style>
  <w:style w:type="paragraph" w:styleId="Nadpis1">
    <w:name w:val="heading 1"/>
    <w:basedOn w:val="Normln"/>
    <w:next w:val="Normln"/>
    <w:link w:val="Nadpis1Char"/>
    <w:uiPriority w:val="9"/>
    <w:qFormat/>
    <w:rsid w:val="00A66B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6942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6942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D1F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1F86"/>
  </w:style>
  <w:style w:type="paragraph" w:styleId="Zpat">
    <w:name w:val="footer"/>
    <w:basedOn w:val="Normln"/>
    <w:link w:val="ZpatChar"/>
    <w:uiPriority w:val="99"/>
    <w:unhideWhenUsed/>
    <w:rsid w:val="003D1F8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1F86"/>
  </w:style>
  <w:style w:type="character" w:customStyle="1" w:styleId="Nadpis1Char">
    <w:name w:val="Nadpis 1 Char"/>
    <w:basedOn w:val="Standardnpsmoodstavce"/>
    <w:link w:val="Nadpis1"/>
    <w:uiPriority w:val="9"/>
    <w:rsid w:val="00A66BCA"/>
    <w:rPr>
      <w:rFonts w:asciiTheme="majorHAnsi" w:eastAsiaTheme="majorEastAsia" w:hAnsiTheme="majorHAnsi" w:cstheme="majorBidi"/>
      <w:b/>
      <w:bCs/>
      <w:color w:val="365F91" w:themeColor="accent1" w:themeShade="BF"/>
      <w:sz w:val="28"/>
      <w:szCs w:val="28"/>
    </w:rPr>
  </w:style>
  <w:style w:type="table" w:customStyle="1" w:styleId="Mkatabulky1">
    <w:name w:val="Mřížka tabulky1"/>
    <w:basedOn w:val="Normlntabulka"/>
    <w:next w:val="Mkatabulky"/>
    <w:uiPriority w:val="59"/>
    <w:rsid w:val="002A7774"/>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uiPriority w:val="59"/>
    <w:rsid w:val="002A77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uiPriority w:val="9"/>
    <w:rsid w:val="00694276"/>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694276"/>
    <w:rPr>
      <w:rFonts w:asciiTheme="majorHAnsi" w:eastAsiaTheme="majorEastAsia" w:hAnsiTheme="majorHAnsi" w:cstheme="majorBidi"/>
      <w:b/>
      <w:bCs/>
      <w:color w:val="4F81BD" w:themeColor="accent1"/>
    </w:rPr>
  </w:style>
  <w:style w:type="character" w:styleId="Odkaznakoment">
    <w:name w:val="annotation reference"/>
    <w:basedOn w:val="Standardnpsmoodstavce"/>
    <w:uiPriority w:val="99"/>
    <w:semiHidden/>
    <w:unhideWhenUsed/>
    <w:rsid w:val="00694276"/>
    <w:rPr>
      <w:sz w:val="16"/>
      <w:szCs w:val="16"/>
    </w:rPr>
  </w:style>
  <w:style w:type="paragraph" w:styleId="Textkomente">
    <w:name w:val="annotation text"/>
    <w:basedOn w:val="Normln"/>
    <w:link w:val="TextkomenteChar"/>
    <w:uiPriority w:val="99"/>
    <w:semiHidden/>
    <w:unhideWhenUsed/>
    <w:rsid w:val="00694276"/>
    <w:pPr>
      <w:spacing w:before="120" w:after="120" w:line="240" w:lineRule="auto"/>
      <w:jc w:val="both"/>
    </w:pPr>
    <w:rPr>
      <w:sz w:val="20"/>
      <w:szCs w:val="20"/>
      <w:lang w:eastAsia="en-US"/>
    </w:rPr>
  </w:style>
  <w:style w:type="character" w:customStyle="1" w:styleId="TextkomenteChar">
    <w:name w:val="Text komentáře Char"/>
    <w:basedOn w:val="Standardnpsmoodstavce"/>
    <w:link w:val="Textkomente"/>
    <w:uiPriority w:val="99"/>
    <w:semiHidden/>
    <w:rsid w:val="00694276"/>
    <w:rPr>
      <w:sz w:val="20"/>
      <w:szCs w:val="20"/>
      <w:lang w:eastAsia="en-US"/>
    </w:rPr>
  </w:style>
  <w:style w:type="paragraph" w:styleId="Textbubliny">
    <w:name w:val="Balloon Text"/>
    <w:basedOn w:val="Normln"/>
    <w:link w:val="TextbublinyChar"/>
    <w:uiPriority w:val="99"/>
    <w:semiHidden/>
    <w:unhideWhenUsed/>
    <w:rsid w:val="006942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4276"/>
    <w:rPr>
      <w:rFonts w:ascii="Tahoma" w:hAnsi="Tahoma" w:cs="Tahoma"/>
      <w:sz w:val="16"/>
      <w:szCs w:val="16"/>
    </w:rPr>
  </w:style>
  <w:style w:type="paragraph" w:styleId="Odstavecseseznamem">
    <w:name w:val="List Paragraph"/>
    <w:basedOn w:val="Normln"/>
    <w:uiPriority w:val="34"/>
    <w:qFormat/>
    <w:rsid w:val="00694276"/>
    <w:pPr>
      <w:ind w:left="720"/>
      <w:contextualSpacing/>
    </w:pPr>
  </w:style>
  <w:style w:type="paragraph" w:styleId="Textpoznpodarou">
    <w:name w:val="footnote text"/>
    <w:basedOn w:val="Normln"/>
    <w:link w:val="TextpoznpodarouChar"/>
    <w:uiPriority w:val="99"/>
    <w:unhideWhenUsed/>
    <w:rsid w:val="00FD0CC4"/>
    <w:pPr>
      <w:spacing w:after="0" w:line="240" w:lineRule="auto"/>
      <w:jc w:val="both"/>
    </w:pPr>
    <w:rPr>
      <w:sz w:val="20"/>
      <w:szCs w:val="20"/>
      <w:lang w:eastAsia="en-US"/>
    </w:rPr>
  </w:style>
  <w:style w:type="character" w:customStyle="1" w:styleId="TextpoznpodarouChar">
    <w:name w:val="Text pozn. pod čarou Char"/>
    <w:basedOn w:val="Standardnpsmoodstavce"/>
    <w:link w:val="Textpoznpodarou"/>
    <w:uiPriority w:val="99"/>
    <w:rsid w:val="00FD0CC4"/>
    <w:rPr>
      <w:sz w:val="20"/>
      <w:szCs w:val="20"/>
      <w:lang w:eastAsia="en-US"/>
    </w:rPr>
  </w:style>
  <w:style w:type="character" w:styleId="Znakapoznpodarou">
    <w:name w:val="footnote reference"/>
    <w:basedOn w:val="Standardnpsmoodstavce"/>
    <w:uiPriority w:val="99"/>
    <w:semiHidden/>
    <w:unhideWhenUsed/>
    <w:rsid w:val="00FD0CC4"/>
    <w:rPr>
      <w:vertAlign w:val="superscript"/>
    </w:rPr>
  </w:style>
  <w:style w:type="paragraph" w:styleId="Pedmtkomente">
    <w:name w:val="annotation subject"/>
    <w:basedOn w:val="Textkomente"/>
    <w:next w:val="Textkomente"/>
    <w:link w:val="PedmtkomenteChar"/>
    <w:uiPriority w:val="99"/>
    <w:semiHidden/>
    <w:unhideWhenUsed/>
    <w:rsid w:val="00D8290A"/>
    <w:pPr>
      <w:spacing w:before="0" w:after="200"/>
      <w:jc w:val="left"/>
    </w:pPr>
    <w:rPr>
      <w:b/>
      <w:bCs/>
      <w:lang w:eastAsia="cs-CZ"/>
    </w:rPr>
  </w:style>
  <w:style w:type="character" w:customStyle="1" w:styleId="PedmtkomenteChar">
    <w:name w:val="Předmět komentáře Char"/>
    <w:basedOn w:val="TextkomenteChar"/>
    <w:link w:val="Pedmtkomente"/>
    <w:uiPriority w:val="99"/>
    <w:semiHidden/>
    <w:rsid w:val="00D8290A"/>
    <w:rPr>
      <w:b/>
      <w:bCs/>
      <w:sz w:val="20"/>
      <w:szCs w:val="20"/>
      <w:lang w:eastAsia="en-US"/>
    </w:rPr>
  </w:style>
  <w:style w:type="character" w:styleId="Hypertextovodkaz">
    <w:name w:val="Hyperlink"/>
    <w:basedOn w:val="Standardnpsmoodstavce"/>
    <w:uiPriority w:val="99"/>
    <w:unhideWhenUsed/>
    <w:rsid w:val="006B69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196902">
      <w:bodyDiv w:val="1"/>
      <w:marLeft w:val="0"/>
      <w:marRight w:val="0"/>
      <w:marTop w:val="0"/>
      <w:marBottom w:val="0"/>
      <w:divBdr>
        <w:top w:val="none" w:sz="0" w:space="0" w:color="auto"/>
        <w:left w:val="none" w:sz="0" w:space="0" w:color="auto"/>
        <w:bottom w:val="none" w:sz="0" w:space="0" w:color="auto"/>
        <w:right w:val="none" w:sz="0" w:space="0" w:color="auto"/>
      </w:divBdr>
      <w:divsChild>
        <w:div w:id="2125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5ABF9-5269-46BE-9405-9037AC0C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3801</Words>
  <Characters>22428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 Adéla</dc:creator>
  <cp:lastModifiedBy>Bártová Milada</cp:lastModifiedBy>
  <cp:revision>5</cp:revision>
  <cp:lastPrinted>2014-06-23T06:44:00Z</cp:lastPrinted>
  <dcterms:created xsi:type="dcterms:W3CDTF">2014-06-11T12:52:00Z</dcterms:created>
  <dcterms:modified xsi:type="dcterms:W3CDTF">2014-06-23T06:44:00Z</dcterms:modified>
</cp:coreProperties>
</file>