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FA" w:rsidRDefault="003A2AFA" w:rsidP="00A035BF">
      <w:pPr>
        <w:pStyle w:val="Nadpishlavn"/>
        <w:spacing w:after="240"/>
        <w:rPr>
          <w:color w:val="333399"/>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79.8pt;margin-top:-27pt;width:1in;height:27pt;z-index:251658240" fillcolor="silver">
            <v:textbox>
              <w:txbxContent>
                <w:p w:rsidR="003A2AFA" w:rsidRPr="00112A97" w:rsidRDefault="003A2AFA" w:rsidP="00E61A49">
                  <w:pPr>
                    <w:ind w:firstLine="0"/>
                    <w:jc w:val="center"/>
                    <w:rPr>
                      <w:b/>
                      <w:sz w:val="32"/>
                      <w:szCs w:val="32"/>
                    </w:rPr>
                  </w:pPr>
                  <w:r w:rsidRPr="00112A97">
                    <w:rPr>
                      <w:szCs w:val="32"/>
                    </w:rPr>
                    <w:t>291/C6</w:t>
                  </w:r>
                </w:p>
              </w:txbxContent>
            </v:textbox>
          </v:shape>
        </w:pict>
      </w:r>
    </w:p>
    <w:p w:rsidR="003A2AFA" w:rsidRPr="00E61A49" w:rsidRDefault="003A2AFA" w:rsidP="00A035BF">
      <w:pPr>
        <w:pStyle w:val="Nadpishlavn"/>
        <w:spacing w:after="240"/>
        <w:rPr>
          <w:color w:val="333399"/>
          <w:sz w:val="28"/>
          <w:szCs w:val="28"/>
        </w:rPr>
      </w:pPr>
      <w:r w:rsidRPr="00E61A49">
        <w:rPr>
          <w:color w:val="333399"/>
          <w:sz w:val="28"/>
          <w:szCs w:val="28"/>
        </w:rPr>
        <w:t>Informace o semináři Assessing Research Quality: Outcomes – Impact – Integrity</w:t>
      </w:r>
    </w:p>
    <w:p w:rsidR="003A2AFA" w:rsidRDefault="003A2AFA" w:rsidP="00E700FB">
      <w:pPr>
        <w:ind w:firstLine="426"/>
      </w:pPr>
      <w:r>
        <w:t xml:space="preserve">Pracovník Oddělení programů a koncepcí se 7. února 2014 zúčastnil v Berlíně semináře </w:t>
      </w:r>
      <w:r w:rsidRPr="003A077D">
        <w:t>Assessing Research Quality: Outcomes – Impact – Integrity</w:t>
      </w:r>
      <w:r>
        <w:t>. Předložený materiál shrnuje informace získané na semináři a informuje možnosti jejich využití při přípravě strategických dokumentů ve výzkumu, vývoji a inovacích (dále jen „VaVaI“).</w:t>
      </w:r>
    </w:p>
    <w:p w:rsidR="003A2AFA" w:rsidRPr="001A0B38" w:rsidRDefault="003A2AFA" w:rsidP="001A0B38">
      <w:pPr>
        <w:pStyle w:val="Heading2"/>
        <w:numPr>
          <w:ilvl w:val="0"/>
          <w:numId w:val="18"/>
        </w:numPr>
        <w:spacing w:after="120"/>
        <w:ind w:left="1077" w:hanging="357"/>
        <w:rPr>
          <w:rFonts w:ascii="Times New Roman" w:hAnsi="Times New Roman"/>
          <w:color w:val="333399"/>
          <w:sz w:val="28"/>
          <w:szCs w:val="28"/>
        </w:rPr>
      </w:pPr>
      <w:r w:rsidRPr="001A0B38">
        <w:rPr>
          <w:rFonts w:ascii="Times New Roman" w:hAnsi="Times New Roman"/>
          <w:color w:val="333399"/>
          <w:sz w:val="28"/>
          <w:szCs w:val="28"/>
        </w:rPr>
        <w:t>Účel a náplň semináře</w:t>
      </w:r>
    </w:p>
    <w:p w:rsidR="003A2AFA" w:rsidRDefault="003A2AFA" w:rsidP="00E700FB">
      <w:pPr>
        <w:ind w:firstLine="426"/>
      </w:pPr>
      <w:r>
        <w:t xml:space="preserve">Seminář pořádala </w:t>
      </w:r>
      <w:r w:rsidRPr="007D552E">
        <w:t>organizace The European Academy for Taxes, Economics and Law</w:t>
      </w:r>
      <w:r>
        <w:t xml:space="preserve">, která se zaměřuje na organizování symposií i vzdělávacích akcí v oblasti řízení VaVaI, zejména na témata související s veřejnou podporou včetně strukturálních fondů EU. </w:t>
      </w:r>
      <w:r w:rsidRPr="007D552E">
        <w:t xml:space="preserve">Seminář </w:t>
      </w:r>
      <w:r>
        <w:t>byl zacílen především na způsoby hodnocení</w:t>
      </w:r>
      <w:r w:rsidRPr="007D552E">
        <w:t xml:space="preserve"> výsledků a dopadů </w:t>
      </w:r>
      <w:r>
        <w:t>VaVaI</w:t>
      </w:r>
      <w:r w:rsidRPr="007D552E">
        <w:t xml:space="preserve">, </w:t>
      </w:r>
      <w:r>
        <w:t>byly sdíleny příklady vhodných indikátorů pro evaluaci a konkrétní příklady benchmarkových studií, řešena byla rovněž problematika integrity a možných rizik spojených s prováděním víceoborového a mezinárodního výzkumu. Jednacím jazykem byla angličtina, účastníky semináře byli zástupci výzkumných organizací a manažeři VaVaI z Anglie, Irska, Švýcarska, Holandska, Belgie, Německa, Rakouska, Švédska, Norska, Itálie a Řecka.</w:t>
      </w:r>
    </w:p>
    <w:p w:rsidR="003A2AFA" w:rsidRPr="00427439" w:rsidRDefault="003A2AFA" w:rsidP="00427439">
      <w:pPr>
        <w:pStyle w:val="ListParagraph"/>
        <w:numPr>
          <w:ilvl w:val="1"/>
          <w:numId w:val="12"/>
        </w:numPr>
        <w:rPr>
          <w:b/>
        </w:rPr>
      </w:pPr>
      <w:r w:rsidRPr="00427439">
        <w:rPr>
          <w:b/>
        </w:rPr>
        <w:t xml:space="preserve">Program </w:t>
      </w:r>
      <w:r>
        <w:rPr>
          <w:b/>
        </w:rPr>
        <w:t>semináře</w:t>
      </w:r>
    </w:p>
    <w:p w:rsidR="003A2AFA" w:rsidRDefault="003A2AFA" w:rsidP="00427439">
      <w:r>
        <w:t>Seminář sestával ze čtyř bloků, každý pod vedením jiného lektora. Každý blok byl koncipován tak, že po úvodní přednášce následovala diskuse a praktická ukázka aplikace přednesených poznatků.</w:t>
      </w:r>
    </w:p>
    <w:p w:rsidR="003A2AFA" w:rsidRDefault="003A2AFA" w:rsidP="00427439">
      <w:pPr>
        <w:ind w:firstLine="0"/>
      </w:pPr>
      <w:r>
        <w:t>8:30 - 9:00</w:t>
      </w:r>
      <w:r>
        <w:tab/>
        <w:t>Registration and Handout of Seminar Material</w:t>
      </w:r>
    </w:p>
    <w:p w:rsidR="003A2AFA" w:rsidRDefault="003A2AFA" w:rsidP="00427439">
      <w:pPr>
        <w:ind w:firstLine="0"/>
      </w:pPr>
      <w:r>
        <w:t>9:00 - 9:05 Opening Remarks from the European Academy for Taxes, Economics and Law</w:t>
      </w:r>
    </w:p>
    <w:p w:rsidR="003A2AFA" w:rsidRDefault="003A2AFA" w:rsidP="00427439">
      <w:pPr>
        <w:ind w:firstLine="0"/>
      </w:pPr>
      <w:r>
        <w:t xml:space="preserve">9:05 - 9:30 Welcome Note from the Chair and Round of Introductions </w:t>
      </w:r>
    </w:p>
    <w:p w:rsidR="003A2AFA" w:rsidRDefault="003A2AFA" w:rsidP="00427439">
      <w:pPr>
        <w:ind w:firstLine="0"/>
      </w:pPr>
      <w:r>
        <w:t xml:space="preserve">9:30 - 11:30 </w:t>
      </w:r>
      <w:r w:rsidRPr="00427439">
        <w:rPr>
          <w:b/>
        </w:rPr>
        <w:t>Effective Quality Management for Research at Your Institution</w:t>
      </w:r>
      <w:r>
        <w:t xml:space="preserve"> </w:t>
      </w:r>
    </w:p>
    <w:p w:rsidR="003A2AFA" w:rsidRDefault="003A2AFA" w:rsidP="00427439">
      <w:pPr>
        <w:ind w:firstLine="0"/>
      </w:pPr>
      <w:r w:rsidRPr="00427439">
        <w:rPr>
          <w:b/>
        </w:rPr>
        <w:t>Dr. Birgit Whitman</w:t>
      </w:r>
      <w:r>
        <w:t xml:space="preserve">, Head of Research Governance, Quality Assurance Lead, Research and Enterprise Development, University of Bristol, United Kingdom </w:t>
      </w:r>
    </w:p>
    <w:p w:rsidR="003A2AFA" w:rsidRDefault="003A2AFA" w:rsidP="00427439">
      <w:pPr>
        <w:ind w:firstLine="0"/>
      </w:pPr>
      <w:r>
        <w:t xml:space="preserve">12:00 - 12:45 </w:t>
      </w:r>
      <w:r w:rsidRPr="00427439">
        <w:rPr>
          <w:b/>
        </w:rPr>
        <w:t>Assessing Research Outputs</w:t>
      </w:r>
    </w:p>
    <w:p w:rsidR="003A2AFA" w:rsidRDefault="003A2AFA" w:rsidP="00427439">
      <w:pPr>
        <w:ind w:firstLine="0"/>
      </w:pPr>
      <w:r w:rsidRPr="00427439">
        <w:rPr>
          <w:b/>
        </w:rPr>
        <w:t>Dr. Kukhwan Mieusset</w:t>
      </w:r>
      <w:r>
        <w:t>, Director of Research Affairs, Research Institution, Switzerland</w:t>
      </w:r>
    </w:p>
    <w:p w:rsidR="003A2AFA" w:rsidRDefault="003A2AFA" w:rsidP="00427439">
      <w:pPr>
        <w:ind w:firstLine="0"/>
      </w:pPr>
      <w:r>
        <w:t xml:space="preserve">14:15 - 15:00 </w:t>
      </w:r>
      <w:r w:rsidRPr="00427439">
        <w:rPr>
          <w:b/>
        </w:rPr>
        <w:t>Societal Impact: Making the "un-measurable" Outcomes of Research Visible</w:t>
      </w:r>
    </w:p>
    <w:p w:rsidR="003A2AFA" w:rsidRDefault="003A2AFA" w:rsidP="00427439">
      <w:pPr>
        <w:ind w:firstLine="0"/>
      </w:pPr>
      <w:r w:rsidRPr="00427439">
        <w:rPr>
          <w:b/>
        </w:rPr>
        <w:t>Dr. Gunnar Sivertsen</w:t>
      </w:r>
      <w:r>
        <w:t>, Research Professor and Head of the Bibliometric Research Group, Nordic Institute for Studies in Innovation, Research and Education (NIFU), Norway</w:t>
      </w:r>
    </w:p>
    <w:p w:rsidR="003A2AFA" w:rsidRDefault="003A2AFA" w:rsidP="00427439">
      <w:pPr>
        <w:ind w:firstLine="0"/>
      </w:pPr>
      <w:r>
        <w:t xml:space="preserve">15:45 - 16:30 </w:t>
      </w:r>
      <w:r w:rsidRPr="00427439">
        <w:rPr>
          <w:b/>
        </w:rPr>
        <w:t>Benchmarking: How to Compare Research?</w:t>
      </w:r>
    </w:p>
    <w:p w:rsidR="003A2AFA" w:rsidRDefault="003A2AFA" w:rsidP="00427439">
      <w:pPr>
        <w:ind w:firstLine="0"/>
      </w:pPr>
      <w:r w:rsidRPr="00427439">
        <w:rPr>
          <w:b/>
        </w:rPr>
        <w:t>Dr. J.M. van Rooij</w:t>
      </w:r>
      <w:r>
        <w:t>, Senior Adisor Research Policy and Institutional Research, Research and Valorisation, University of Groningen, Netherlands</w:t>
      </w:r>
    </w:p>
    <w:p w:rsidR="003A2AFA" w:rsidRDefault="003A2AFA" w:rsidP="00427439">
      <w:pPr>
        <w:ind w:firstLine="0"/>
      </w:pPr>
      <w:r>
        <w:t>16:45 End of Seminar and Handout of Certificates</w:t>
      </w:r>
    </w:p>
    <w:p w:rsidR="003A2AFA" w:rsidRPr="001A0B38" w:rsidRDefault="003A2AFA" w:rsidP="00427439">
      <w:pPr>
        <w:ind w:firstLine="0"/>
        <w:rPr>
          <w:sz w:val="16"/>
          <w:szCs w:val="16"/>
        </w:rPr>
      </w:pPr>
    </w:p>
    <w:p w:rsidR="003A2AFA" w:rsidRPr="00427439" w:rsidRDefault="003A2AFA" w:rsidP="00427439">
      <w:pPr>
        <w:pStyle w:val="ListParagraph"/>
        <w:keepNext/>
        <w:numPr>
          <w:ilvl w:val="1"/>
          <w:numId w:val="12"/>
        </w:numPr>
        <w:rPr>
          <w:b/>
        </w:rPr>
      </w:pPr>
      <w:r w:rsidRPr="00427439">
        <w:rPr>
          <w:b/>
        </w:rPr>
        <w:t>Effective Quality Management for Research at Your Institution</w:t>
      </w:r>
    </w:p>
    <w:p w:rsidR="003A2AFA" w:rsidRDefault="003A2AFA" w:rsidP="00C966C2">
      <w:pPr>
        <w:ind w:firstLine="426"/>
      </w:pPr>
      <w:r>
        <w:t>V prvním bloku byla řešena problematika integrity prováděného výzkumu. Lektorka informovala o nové iniciativě ve Velké Británii - Concordat to Support Research Integrity. K tomuto dokumentu, který obsahuje doporučení ohledně dobré praxe při provádění výzkumu, se mohou dobrovolně přihlásit všechny výzkumné organizace v Británii. Na příkladu University of Bristol byl demonstrován možný přístup spočívající především v činnosti institucionální etické komise, která analyzuje možná rizika veškerého prováděného výzkumu, neomezuje se tedy pouze na výzkum v humánní medicíně a experimenty se zvířaty, jako je tomu běžně v jiných evropských zemích. Cílem komise je dobře definovat rizika spojená s řešením konkrétních projektů, která se výrazně zvyšují v případě víceoborového a mezinárodního výzkumu. Součástí plánu kontroly kvality každého projektu má být také každoroční audit zaměřený na porovnání na počátku definovaných etických problémů, které mohou vést k selhání prováděného výzkumu, se skutečným stavem. Důraz má být kladen na pravidelné semináře informativního charakteru nejenom pro členy výzkumného týmu, ale i pro širší okruh zainteresovaných stran, které často vedou k odhalení skutečných nedostatků v dostatečném předstihu. V praktické části tohoto bloku si účastníci sami vyzkoušeli přípravu strukturovaného plánu rizik na konkrétním mezinárodním výzkumném projektu Aquatest.</w:t>
      </w:r>
    </w:p>
    <w:p w:rsidR="003A2AFA" w:rsidRPr="00C966C2" w:rsidRDefault="003A2AFA" w:rsidP="00C966C2">
      <w:pPr>
        <w:pStyle w:val="ListParagraph"/>
        <w:keepNext/>
        <w:numPr>
          <w:ilvl w:val="1"/>
          <w:numId w:val="12"/>
        </w:numPr>
        <w:rPr>
          <w:b/>
        </w:rPr>
      </w:pPr>
      <w:r w:rsidRPr="00427439">
        <w:rPr>
          <w:b/>
        </w:rPr>
        <w:t>Assessing Research Outputs</w:t>
      </w:r>
    </w:p>
    <w:p w:rsidR="003A2AFA" w:rsidRDefault="003A2AFA" w:rsidP="00C966C2">
      <w:pPr>
        <w:ind w:firstLine="426"/>
      </w:pPr>
      <w:r>
        <w:t>Druhý blok byl zaměřen na indikátory kvality výzkumu v podobě přímých výstupů. Na příkladu švýcarské Ècole Polytechnique Fédérale de Laussane, univerzity dosahující předního postavení ve všech mezinárodních žebříčcích zohledňujících kvalitu vysokých škol z hlediska prováděného výzkumu, byl demonstrován model evidence, monitoringu a vyhodnocování úspěšnosti výzkumu. Evaluační principy překvapivě nejsou ve Švýcarsku zatím příliš rozvinuté, státní subvence tedy neprobíhá na bázi důkazů (evidence-based), přesto dosahují švýcarské instituce i celá země vynikajících výsledků VaVaI. Mechanismus analýz VaVaI ve Švýcarsku je poměrně jednoduchý, evidovány jsou jednotlivé ukazatele na institucionální úrovni, na jejichž základě jsou pak instituce porovnávány. Mezi hlavní indikátory patří kromě standardních bibliometrických ukazatelů (počty publikací, citační ohlas na publikace i autory) také sledování úspěšnosti při získávaní grantů (domácích a zejména zahraničních) a úroveň mezinárodní spolupráce či zapojení průmyslového sektoru. Hlavní důraz při hodnocení je kladen na meziroční progresi v jednotlivých ukazatelích, vzájemné vazby mezi ukazateli nejsou analyzovány.</w:t>
      </w:r>
    </w:p>
    <w:p w:rsidR="003A2AFA" w:rsidRPr="00C966C2" w:rsidRDefault="003A2AFA" w:rsidP="00C966C2">
      <w:pPr>
        <w:pStyle w:val="ListParagraph"/>
        <w:numPr>
          <w:ilvl w:val="1"/>
          <w:numId w:val="12"/>
        </w:numPr>
      </w:pPr>
      <w:r w:rsidRPr="00C966C2">
        <w:rPr>
          <w:b/>
        </w:rPr>
        <w:t>Societal Impact: Making the "un-measurable" Outcomes of Research Visible</w:t>
      </w:r>
    </w:p>
    <w:p w:rsidR="003A2AFA" w:rsidRDefault="003A2AFA" w:rsidP="00C966C2">
      <w:pPr>
        <w:ind w:firstLine="426"/>
      </w:pPr>
      <w:r>
        <w:t>Třetí blok se zabýval velmi aktuální otázkou sledování a měření dopadů výzkumu a vývoje. Hlavním cílem každého výzkumu je vytvořit výsledky, které budou přínosné pro společnost, přinesou tedy zlepšení ekonomické situace, přispějí k udržitelnosti určité činnosti, zlepší zaměstnanost a pracovní podmínky, zvýší mezinárodní reputaci určitého odvětví, instituce, státu, a budou eliminovat negativní dopady, např. na životní prostředí. Hlavním problémem při snaze analyzovat uvedené dopady je identifikovat kauzalitu, tzn., jak souvisí zlepšení podmínek v určitém odvětví s provedeným výzkumem. Za největší nedostatky studia společenských dopadů lektor považuje velmi slabý predikční potenciál analýzy dopadů a dlouhou prodlevu mezi výsledky výzkumu - poznáním a skutečnými měřitelnými dopady. Způsob, jak promítnout analýzu dopadů do strategie řízení VaVaI spočívá ve využití peer-review, které bude na dopady zaměřeno.</w:t>
      </w:r>
    </w:p>
    <w:p w:rsidR="003A2AFA" w:rsidRPr="00C966C2" w:rsidRDefault="003A2AFA" w:rsidP="00F6557F">
      <w:pPr>
        <w:pStyle w:val="ListParagraph"/>
        <w:keepNext/>
        <w:numPr>
          <w:ilvl w:val="1"/>
          <w:numId w:val="12"/>
        </w:numPr>
        <w:ind w:left="1434" w:hanging="357"/>
      </w:pPr>
      <w:r w:rsidRPr="00C966C2">
        <w:rPr>
          <w:b/>
        </w:rPr>
        <w:t>Benchmarking: How to Compare Research?</w:t>
      </w:r>
    </w:p>
    <w:p w:rsidR="003A2AFA" w:rsidRDefault="003A2AFA" w:rsidP="00C966C2">
      <w:pPr>
        <w:ind w:firstLine="426"/>
      </w:pPr>
      <w:r>
        <w:t>Posledním tématem semináře byla problematika benchmarkingu, tedy srovnávání jednotek provádějících výzkum. Byl představen holandský srovnávací systém založený na třech základních pilířích - standardizovaném národním evaluačním protokolu, srovnávání univerzit a mezinárodním srovnávání. Na národní úrovni je VaVaI hodnocen každých 6 let prostřednictvím tzv. národního protokolu, který obsahuje peer-review mezinárodní komise, přičemž komise při tvorbě zpráv využívá data z vlastního šetření přímo ve výzkumných institucích. V mezidobí mezinárodních peer-review je prováděno národní hodnocení - autoevaluace, jehož výsledek není zveřejňován. Hodnotící protokoly jsou postaveny na čtyřech skupinách ukazatelů - kvalitě, produktivitě, společenské relevanci a udržitelnosti. Srovnávání univerzit probíhá v národním i mezinárodním měřítku (s vybranými zahraničními univerzitami podobného zaměření), využívány jsou především bibliometrické ukazatele. Porovnávání probíhá nejenom na úrovni institucí, ale srovnávány jsou také výzkumné programy a jednotliví výzkumníci. Kromě benchmarkingu jsou částečně zohledňována také umístění v mezinárodních žebříčcích. Kritéria pro žebříčková hodnocení bývají silně selektivní a výsledky jsou proto mnohdy výrazně zkreslené, umístění v žebříčku však formuje mezinárodní reputaci a často je rozhodující pro přilákání kvalitních zahraničních studentů a výzkumných partnerů z podnikatelského sektoru. Lektor rovněž upozornil na možná rizika spojená s přílišnou orientací hodnocení výzkumu na kvantitativní indikátory. Kvantitativní indikátory mohou působit jako tzv. perverse stimuli s negativními dopady v podobě tvorby velkého množství výsledků s malým společenským významem, nebo provádění tzv. "výzkumu do šuplíku", spočívajícího v tvorbě návrhů projektů na již existující (ukryté) výsledky, budící následně falešný dojem vysoké efektivity prováděného výzkumu.</w:t>
      </w:r>
    </w:p>
    <w:p w:rsidR="003A2AFA" w:rsidRPr="001A0B38" w:rsidRDefault="003A2AFA" w:rsidP="001A0B38">
      <w:pPr>
        <w:pStyle w:val="Heading2"/>
        <w:numPr>
          <w:ilvl w:val="0"/>
          <w:numId w:val="12"/>
        </w:numPr>
        <w:spacing w:after="120"/>
        <w:ind w:left="1077" w:hanging="357"/>
        <w:rPr>
          <w:rFonts w:ascii="Times New Roman" w:hAnsi="Times New Roman"/>
          <w:color w:val="333399"/>
          <w:sz w:val="28"/>
          <w:szCs w:val="28"/>
        </w:rPr>
      </w:pPr>
      <w:r w:rsidRPr="001A0B38">
        <w:rPr>
          <w:rFonts w:ascii="Times New Roman" w:hAnsi="Times New Roman"/>
          <w:color w:val="333399"/>
          <w:sz w:val="28"/>
          <w:szCs w:val="28"/>
        </w:rPr>
        <w:t>Využití poznatků ze semináře</w:t>
      </w:r>
    </w:p>
    <w:p w:rsidR="003A2AFA" w:rsidRDefault="003A2AFA" w:rsidP="009232EA">
      <w:pPr>
        <w:ind w:firstLine="426"/>
      </w:pPr>
      <w:r>
        <w:t>Nové poznatky a praktické zkušenosti získané na semináři pomohou při přípravě korekce řízení výzkumu, vývoje a inovací v ČR, zejména v oblasti hodnocení VaVaI na všech úrovních (politika, programy, instituce, výzkumníci), která je základem řízení založeného na </w:t>
      </w:r>
      <w:bookmarkStart w:id="0" w:name="_GoBack"/>
      <w:bookmarkEnd w:id="0"/>
      <w:r>
        <w:t>důkazech. Nové informace byly získány zejména v následujících dílčích oblastech:</w:t>
      </w:r>
    </w:p>
    <w:p w:rsidR="003A2AFA" w:rsidRDefault="003A2AFA" w:rsidP="00D37D15">
      <w:pPr>
        <w:pStyle w:val="ListParagraph"/>
        <w:numPr>
          <w:ilvl w:val="0"/>
          <w:numId w:val="19"/>
        </w:numPr>
      </w:pPr>
      <w:r>
        <w:t>hodnocení pomocí kombinace analýzy kvantitativních indikátorů a peer-review</w:t>
      </w:r>
    </w:p>
    <w:p w:rsidR="003A2AFA" w:rsidRDefault="003A2AFA" w:rsidP="00D37D15">
      <w:pPr>
        <w:pStyle w:val="ListParagraph"/>
        <w:numPr>
          <w:ilvl w:val="0"/>
          <w:numId w:val="19"/>
        </w:numPr>
      </w:pPr>
      <w:r>
        <w:t>hodnocení dopadů prováděného výzkumu v jiných oblastech, než je samotný výzkum</w:t>
      </w:r>
    </w:p>
    <w:p w:rsidR="003A2AFA" w:rsidRDefault="003A2AFA" w:rsidP="00D37D15">
      <w:pPr>
        <w:pStyle w:val="ListParagraph"/>
        <w:numPr>
          <w:ilvl w:val="0"/>
          <w:numId w:val="19"/>
        </w:numPr>
      </w:pPr>
      <w:r>
        <w:t>ex-ante hodnocení programů ve vazbě na možná rizika neúspěchu včetně etických problémů</w:t>
      </w:r>
    </w:p>
    <w:p w:rsidR="003A2AFA" w:rsidRDefault="003A2AFA" w:rsidP="00D37D15">
      <w:pPr>
        <w:pStyle w:val="ListParagraph"/>
        <w:numPr>
          <w:ilvl w:val="0"/>
          <w:numId w:val="19"/>
        </w:numPr>
      </w:pPr>
      <w:r>
        <w:t>interim hodnocení orientovaných výzkumných aktivit a následná korekce průběhu jejich realizace pro dosažení efektivity</w:t>
      </w:r>
    </w:p>
    <w:sectPr w:rsidR="003A2AFA" w:rsidSect="00B61500">
      <w:footerReference w:type="default" r:id="rId7"/>
      <w:pgSz w:w="11906" w:h="16838"/>
      <w:pgMar w:top="1134"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AFA" w:rsidRDefault="003A2AFA" w:rsidP="00A81644">
      <w:pPr>
        <w:spacing w:after="0"/>
      </w:pPr>
      <w:r>
        <w:separator/>
      </w:r>
    </w:p>
  </w:endnote>
  <w:endnote w:type="continuationSeparator" w:id="0">
    <w:p w:rsidR="003A2AFA" w:rsidRDefault="003A2AFA" w:rsidP="00A816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FA" w:rsidRDefault="003A2AFA">
    <w:pPr>
      <w:pStyle w:val="Footer"/>
      <w:jc w:val="right"/>
    </w:pPr>
    <w:fldSimple w:instr="PAGE   \* MERGEFORMAT">
      <w:r>
        <w:rPr>
          <w:noProof/>
        </w:rPr>
        <w:t>1</w:t>
      </w:r>
    </w:fldSimple>
  </w:p>
  <w:p w:rsidR="003A2AFA" w:rsidRDefault="003A2AFA" w:rsidP="00BD1806">
    <w:pPr>
      <w:pStyle w:val="Footer"/>
      <w:ind w:firstLine="0"/>
      <w:jc w:val="left"/>
      <w:rPr>
        <w:i/>
      </w:rPr>
    </w:pPr>
    <w:r>
      <w:rPr>
        <w:i/>
      </w:rPr>
      <w:t>Zpracoval: Tomáš Vítek</w:t>
    </w:r>
  </w:p>
  <w:p w:rsidR="003A2AFA" w:rsidRPr="00102EB0" w:rsidRDefault="003A2AFA" w:rsidP="00BD1806">
    <w:pPr>
      <w:pStyle w:val="Footer"/>
      <w:ind w:firstLine="0"/>
      <w:jc w:val="left"/>
      <w:rPr>
        <w:i/>
      </w:rPr>
    </w:pPr>
    <w:r>
      <w:rPr>
        <w:i/>
      </w:rPr>
      <w:t>18. února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AFA" w:rsidRDefault="003A2AFA" w:rsidP="00A81644">
      <w:pPr>
        <w:spacing w:after="0"/>
      </w:pPr>
      <w:r>
        <w:separator/>
      </w:r>
    </w:p>
  </w:footnote>
  <w:footnote w:type="continuationSeparator" w:id="0">
    <w:p w:rsidR="003A2AFA" w:rsidRDefault="003A2AFA" w:rsidP="00A8164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8A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1052D28"/>
    <w:multiLevelType w:val="multilevel"/>
    <w:tmpl w:val="A8461BA8"/>
    <w:lvl w:ilvl="0">
      <w:start w:val="1"/>
      <w:numFmt w:val="decimal"/>
      <w:lvlText w:val="%1."/>
      <w:lvlJc w:val="left"/>
      <w:pPr>
        <w:ind w:left="1080" w:hanging="36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
    <w:nsid w:val="16CC363B"/>
    <w:multiLevelType w:val="hybridMultilevel"/>
    <w:tmpl w:val="68E0D7C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nsid w:val="1B52457F"/>
    <w:multiLevelType w:val="hybridMultilevel"/>
    <w:tmpl w:val="4EB6FFE6"/>
    <w:lvl w:ilvl="0" w:tplc="1EEC8BE4">
      <w:numFmt w:val="bullet"/>
      <w:lvlText w:val="-"/>
      <w:lvlJc w:val="left"/>
      <w:pPr>
        <w:tabs>
          <w:tab w:val="num" w:pos="1654"/>
        </w:tabs>
        <w:ind w:left="1654" w:hanging="945"/>
      </w:pPr>
      <w:rPr>
        <w:rFonts w:ascii="Times New Roman" w:eastAsia="Times New Roman" w:hAnsi="Times New Roman" w:hint="default"/>
      </w:rPr>
    </w:lvl>
    <w:lvl w:ilvl="1" w:tplc="04050003">
      <w:start w:val="1"/>
      <w:numFmt w:val="bullet"/>
      <w:lvlText w:val="o"/>
      <w:lvlJc w:val="left"/>
      <w:pPr>
        <w:tabs>
          <w:tab w:val="num" w:pos="1789"/>
        </w:tabs>
        <w:ind w:left="1789" w:hanging="360"/>
      </w:pPr>
      <w:rPr>
        <w:rFonts w:ascii="Courier New" w:hAnsi="Courier New" w:hint="default"/>
      </w:rPr>
    </w:lvl>
    <w:lvl w:ilvl="2" w:tplc="04050005">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
    <w:nsid w:val="1C924B4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20A0453"/>
    <w:multiLevelType w:val="hybridMultilevel"/>
    <w:tmpl w:val="2566177A"/>
    <w:lvl w:ilvl="0" w:tplc="9F18C25E">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6">
    <w:nsid w:val="233B3D12"/>
    <w:multiLevelType w:val="hybridMultilevel"/>
    <w:tmpl w:val="3660598E"/>
    <w:lvl w:ilvl="0" w:tplc="0405000F">
      <w:start w:val="1"/>
      <w:numFmt w:val="decimal"/>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7">
    <w:nsid w:val="25E73DA2"/>
    <w:multiLevelType w:val="multilevel"/>
    <w:tmpl w:val="A8461BA8"/>
    <w:lvl w:ilvl="0">
      <w:start w:val="1"/>
      <w:numFmt w:val="decimal"/>
      <w:lvlText w:val="%1."/>
      <w:lvlJc w:val="left"/>
      <w:pPr>
        <w:ind w:left="1080" w:hanging="36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8">
    <w:nsid w:val="2F337809"/>
    <w:multiLevelType w:val="multilevel"/>
    <w:tmpl w:val="FE24503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9">
    <w:nsid w:val="2F9F205C"/>
    <w:multiLevelType w:val="multilevel"/>
    <w:tmpl w:val="37A2B6F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
    <w:nsid w:val="38FF4FD4"/>
    <w:multiLevelType w:val="multilevel"/>
    <w:tmpl w:val="FE24503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1">
    <w:nsid w:val="464748D3"/>
    <w:multiLevelType w:val="multilevel"/>
    <w:tmpl w:val="FE24503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2">
    <w:nsid w:val="4DF31AC3"/>
    <w:multiLevelType w:val="hybridMultilevel"/>
    <w:tmpl w:val="1608824E"/>
    <w:lvl w:ilvl="0" w:tplc="04050013">
      <w:start w:val="1"/>
      <w:numFmt w:val="upperRoman"/>
      <w:lvlText w:val="%1."/>
      <w:lvlJc w:val="right"/>
      <w:pPr>
        <w:ind w:left="1146" w:hanging="360"/>
      </w:pPr>
      <w:rPr>
        <w:rFonts w:cs="Times New Roman"/>
      </w:rPr>
    </w:lvl>
    <w:lvl w:ilvl="1" w:tplc="0405000F">
      <w:start w:val="1"/>
      <w:numFmt w:val="decimal"/>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3">
    <w:nsid w:val="613E4F05"/>
    <w:multiLevelType w:val="multilevel"/>
    <w:tmpl w:val="B3E03428"/>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4">
    <w:nsid w:val="6CE31D99"/>
    <w:multiLevelType w:val="hybridMultilevel"/>
    <w:tmpl w:val="4EE89114"/>
    <w:lvl w:ilvl="0" w:tplc="04050013">
      <w:start w:val="1"/>
      <w:numFmt w:val="upperRoman"/>
      <w:lvlText w:val="%1."/>
      <w:lvlJc w:val="righ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5">
    <w:nsid w:val="71616FA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39A2408"/>
    <w:multiLevelType w:val="hybridMultilevel"/>
    <w:tmpl w:val="4CC21164"/>
    <w:lvl w:ilvl="0" w:tplc="0405000F">
      <w:start w:val="1"/>
      <w:numFmt w:val="decimal"/>
      <w:lvlText w:val="%1."/>
      <w:lvlJc w:val="left"/>
      <w:pPr>
        <w:ind w:left="1146" w:hanging="360"/>
      </w:pPr>
      <w:rPr>
        <w:rFonts w:cs="Times New Roman"/>
      </w:rPr>
    </w:lvl>
    <w:lvl w:ilvl="1" w:tplc="04050019">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7">
    <w:nsid w:val="78540E92"/>
    <w:multiLevelType w:val="hybridMultilevel"/>
    <w:tmpl w:val="3D0C6016"/>
    <w:lvl w:ilvl="0" w:tplc="04050011">
      <w:start w:val="1"/>
      <w:numFmt w:val="decimal"/>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8">
    <w:nsid w:val="7D796157"/>
    <w:multiLevelType w:val="hybridMultilevel"/>
    <w:tmpl w:val="3F841E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3"/>
  </w:num>
  <w:num w:numId="2">
    <w:abstractNumId w:val="5"/>
  </w:num>
  <w:num w:numId="3">
    <w:abstractNumId w:val="6"/>
  </w:num>
  <w:num w:numId="4">
    <w:abstractNumId w:val="16"/>
  </w:num>
  <w:num w:numId="5">
    <w:abstractNumId w:val="4"/>
  </w:num>
  <w:num w:numId="6">
    <w:abstractNumId w:val="15"/>
  </w:num>
  <w:num w:numId="7">
    <w:abstractNumId w:val="12"/>
  </w:num>
  <w:num w:numId="8">
    <w:abstractNumId w:val="14"/>
  </w:num>
  <w:num w:numId="9">
    <w:abstractNumId w:val="18"/>
  </w:num>
  <w:num w:numId="10">
    <w:abstractNumId w:val="17"/>
  </w:num>
  <w:num w:numId="11">
    <w:abstractNumId w:val="0"/>
  </w:num>
  <w:num w:numId="12">
    <w:abstractNumId w:val="1"/>
  </w:num>
  <w:num w:numId="13">
    <w:abstractNumId w:val="9"/>
  </w:num>
  <w:num w:numId="14">
    <w:abstractNumId w:val="11"/>
  </w:num>
  <w:num w:numId="15">
    <w:abstractNumId w:val="8"/>
  </w:num>
  <w:num w:numId="16">
    <w:abstractNumId w:val="10"/>
  </w:num>
  <w:num w:numId="17">
    <w:abstractNumId w:val="13"/>
  </w:num>
  <w:num w:numId="18">
    <w:abstractNumId w:val="7"/>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35BF"/>
    <w:rsid w:val="000354FD"/>
    <w:rsid w:val="00096F7A"/>
    <w:rsid w:val="000979A2"/>
    <w:rsid w:val="000F0190"/>
    <w:rsid w:val="00102EB0"/>
    <w:rsid w:val="00112A97"/>
    <w:rsid w:val="00130B00"/>
    <w:rsid w:val="001A0B38"/>
    <w:rsid w:val="001B0BED"/>
    <w:rsid w:val="001C6E30"/>
    <w:rsid w:val="001D6047"/>
    <w:rsid w:val="001E0739"/>
    <w:rsid w:val="00225F1C"/>
    <w:rsid w:val="00251EAC"/>
    <w:rsid w:val="0027574D"/>
    <w:rsid w:val="002C163D"/>
    <w:rsid w:val="002E60F1"/>
    <w:rsid w:val="003130CB"/>
    <w:rsid w:val="00315AB2"/>
    <w:rsid w:val="003226D8"/>
    <w:rsid w:val="00364022"/>
    <w:rsid w:val="00365CC3"/>
    <w:rsid w:val="003A077D"/>
    <w:rsid w:val="003A2AFA"/>
    <w:rsid w:val="003E1C94"/>
    <w:rsid w:val="004046C6"/>
    <w:rsid w:val="00407FEC"/>
    <w:rsid w:val="00427439"/>
    <w:rsid w:val="00480B01"/>
    <w:rsid w:val="004A028F"/>
    <w:rsid w:val="004A0E0B"/>
    <w:rsid w:val="004F1342"/>
    <w:rsid w:val="004F4FC1"/>
    <w:rsid w:val="004F7AE4"/>
    <w:rsid w:val="005634E0"/>
    <w:rsid w:val="005E609F"/>
    <w:rsid w:val="005F304A"/>
    <w:rsid w:val="006339C9"/>
    <w:rsid w:val="00673BFF"/>
    <w:rsid w:val="0067415C"/>
    <w:rsid w:val="00680AFF"/>
    <w:rsid w:val="00683B60"/>
    <w:rsid w:val="00692165"/>
    <w:rsid w:val="00696183"/>
    <w:rsid w:val="006B79A0"/>
    <w:rsid w:val="00745DAC"/>
    <w:rsid w:val="00757EFC"/>
    <w:rsid w:val="00776937"/>
    <w:rsid w:val="0078506A"/>
    <w:rsid w:val="0079024B"/>
    <w:rsid w:val="007D552E"/>
    <w:rsid w:val="00824033"/>
    <w:rsid w:val="00834BA1"/>
    <w:rsid w:val="00837960"/>
    <w:rsid w:val="00837F91"/>
    <w:rsid w:val="0084127A"/>
    <w:rsid w:val="00856F49"/>
    <w:rsid w:val="0086700D"/>
    <w:rsid w:val="008E1AD1"/>
    <w:rsid w:val="009232EA"/>
    <w:rsid w:val="00926028"/>
    <w:rsid w:val="009502BB"/>
    <w:rsid w:val="00977E30"/>
    <w:rsid w:val="00981717"/>
    <w:rsid w:val="009903F7"/>
    <w:rsid w:val="0099766D"/>
    <w:rsid w:val="009D3F2C"/>
    <w:rsid w:val="009E1EFB"/>
    <w:rsid w:val="00A035BF"/>
    <w:rsid w:val="00A428D8"/>
    <w:rsid w:val="00A43194"/>
    <w:rsid w:val="00A81644"/>
    <w:rsid w:val="00AA1038"/>
    <w:rsid w:val="00AF21A2"/>
    <w:rsid w:val="00B172F2"/>
    <w:rsid w:val="00B53D76"/>
    <w:rsid w:val="00B61500"/>
    <w:rsid w:val="00BD1806"/>
    <w:rsid w:val="00BD769C"/>
    <w:rsid w:val="00BE4B18"/>
    <w:rsid w:val="00BF6867"/>
    <w:rsid w:val="00C778BF"/>
    <w:rsid w:val="00C95AEB"/>
    <w:rsid w:val="00C966C2"/>
    <w:rsid w:val="00CB3E86"/>
    <w:rsid w:val="00D37B8C"/>
    <w:rsid w:val="00D37D15"/>
    <w:rsid w:val="00D61256"/>
    <w:rsid w:val="00D719D7"/>
    <w:rsid w:val="00D810C2"/>
    <w:rsid w:val="00DB22CD"/>
    <w:rsid w:val="00DC5436"/>
    <w:rsid w:val="00DF6815"/>
    <w:rsid w:val="00E61A49"/>
    <w:rsid w:val="00E700FB"/>
    <w:rsid w:val="00EA6E71"/>
    <w:rsid w:val="00EB3A27"/>
    <w:rsid w:val="00EF720F"/>
    <w:rsid w:val="00F452D9"/>
    <w:rsid w:val="00F6557F"/>
    <w:rsid w:val="00FF418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BF"/>
    <w:pPr>
      <w:spacing w:after="120"/>
      <w:ind w:firstLine="709"/>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locked/>
    <w:rsid w:val="00C966C2"/>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966C2"/>
    <w:rPr>
      <w:rFonts w:ascii="Cambria" w:hAnsi="Cambria" w:cs="Times New Roman"/>
      <w:b/>
      <w:bCs/>
      <w:color w:val="4F81BD"/>
      <w:sz w:val="26"/>
      <w:szCs w:val="26"/>
    </w:rPr>
  </w:style>
  <w:style w:type="paragraph" w:customStyle="1" w:styleId="Normlntext">
    <w:name w:val="Normální text"/>
    <w:basedOn w:val="Normal"/>
    <w:uiPriority w:val="99"/>
    <w:rsid w:val="00A035BF"/>
  </w:style>
  <w:style w:type="paragraph" w:customStyle="1" w:styleId="Nadpishlavn">
    <w:name w:val="Nadpis hlavní"/>
    <w:basedOn w:val="Normlntext"/>
    <w:next w:val="Normlntext"/>
    <w:uiPriority w:val="99"/>
    <w:rsid w:val="00A035BF"/>
    <w:pPr>
      <w:ind w:firstLine="0"/>
      <w:jc w:val="center"/>
    </w:pPr>
    <w:rPr>
      <w:b/>
      <w:sz w:val="32"/>
    </w:rPr>
  </w:style>
  <w:style w:type="paragraph" w:styleId="Header">
    <w:name w:val="header"/>
    <w:basedOn w:val="Normal"/>
    <w:link w:val="HeaderChar"/>
    <w:uiPriority w:val="99"/>
    <w:rsid w:val="00A035BF"/>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A035BF"/>
    <w:rPr>
      <w:rFonts w:ascii="Times New Roman" w:hAnsi="Times New Roman" w:cs="Times New Roman"/>
      <w:sz w:val="24"/>
      <w:lang w:eastAsia="cs-CZ"/>
    </w:rPr>
  </w:style>
  <w:style w:type="paragraph" w:styleId="Footer">
    <w:name w:val="footer"/>
    <w:basedOn w:val="Normal"/>
    <w:link w:val="FooterChar"/>
    <w:uiPriority w:val="99"/>
    <w:rsid w:val="00A035BF"/>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A035BF"/>
    <w:rPr>
      <w:rFonts w:ascii="Times New Roman" w:hAnsi="Times New Roman" w:cs="Times New Roman"/>
      <w:sz w:val="24"/>
    </w:rPr>
  </w:style>
  <w:style w:type="paragraph" w:styleId="BalloonText">
    <w:name w:val="Balloon Text"/>
    <w:basedOn w:val="Normal"/>
    <w:link w:val="BalloonTextChar"/>
    <w:uiPriority w:val="99"/>
    <w:semiHidden/>
    <w:rsid w:val="006961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6183"/>
    <w:rPr>
      <w:rFonts w:ascii="Tahoma" w:hAnsi="Tahoma" w:cs="Tahoma"/>
      <w:sz w:val="16"/>
      <w:szCs w:val="16"/>
    </w:rPr>
  </w:style>
  <w:style w:type="paragraph" w:styleId="ListParagraph">
    <w:name w:val="List Paragraph"/>
    <w:basedOn w:val="Normal"/>
    <w:uiPriority w:val="99"/>
    <w:qFormat/>
    <w:rsid w:val="0099766D"/>
    <w:pPr>
      <w:ind w:left="720"/>
      <w:contextualSpacing/>
    </w:pPr>
  </w:style>
</w:styles>
</file>

<file path=word/webSettings.xml><?xml version="1.0" encoding="utf-8"?>
<w:webSettings xmlns:r="http://schemas.openxmlformats.org/officeDocument/2006/relationships" xmlns:w="http://schemas.openxmlformats.org/wordprocessingml/2006/main">
  <w:divs>
    <w:div w:id="19668850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3</Pages>
  <Words>1267</Words>
  <Characters>7482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Marta</dc:creator>
  <cp:keywords/>
  <dc:description/>
  <cp:lastModifiedBy>bartova</cp:lastModifiedBy>
  <cp:revision>10</cp:revision>
  <cp:lastPrinted>2014-02-11T13:47:00Z</cp:lastPrinted>
  <dcterms:created xsi:type="dcterms:W3CDTF">2014-02-18T07:02:00Z</dcterms:created>
  <dcterms:modified xsi:type="dcterms:W3CDTF">2014-02-19T12:17:00Z</dcterms:modified>
</cp:coreProperties>
</file>