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2A" w:rsidRPr="00F5237E" w:rsidRDefault="00A12D04" w:rsidP="00A12D04">
      <w:pPr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</w:pPr>
      <w:r w:rsidRPr="00F5237E"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916C68" wp14:editId="3CF8B0F1">
                <wp:simplePos x="0" y="0"/>
                <wp:positionH relativeFrom="column">
                  <wp:posOffset>4951276</wp:posOffset>
                </wp:positionH>
                <wp:positionV relativeFrom="paragraph">
                  <wp:posOffset>-573224</wp:posOffset>
                </wp:positionV>
                <wp:extent cx="825138" cy="342900"/>
                <wp:effectExtent l="0" t="0" r="13335" b="1905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138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D04" w:rsidRPr="00A12D04" w:rsidRDefault="00A12D04" w:rsidP="007133A8">
                            <w:pPr>
                              <w:ind w:right="-139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A12D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299/</w:t>
                            </w:r>
                            <w:r w:rsidR="00CE1D63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389.85pt;margin-top:-45.15pt;width:64.9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" fillcolor="silver">
                <v:textbox>
                  <w:txbxContent>
                    <w:p w:rsidR="00A12D04" w:rsidRPr="00A12D04" w:rsidRDefault="00A12D04" w:rsidP="007133A8">
                      <w:pPr>
                        <w:ind w:right="-139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A12D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299/</w:t>
                      </w:r>
                      <w:r w:rsidR="00CE1D63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A7</w:t>
                      </w:r>
                    </w:p>
                  </w:txbxContent>
                </v:textbox>
              </v:shape>
            </w:pict>
          </mc:Fallback>
        </mc:AlternateContent>
      </w:r>
      <w:r w:rsidR="00EE4BD8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Návrh na změny v </w:t>
      </w:r>
      <w:r w:rsidR="00D16266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G</w:t>
      </w:r>
      <w:r w:rsidR="00FC6C0B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rantov</w:t>
      </w:r>
      <w:r w:rsidR="00EE4BD8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é</w:t>
      </w:r>
      <w:r w:rsidR="00B537FB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agentu</w:t>
      </w:r>
      <w:r w:rsidR="00EE4BD8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ře</w:t>
      </w:r>
      <w:r w:rsidR="00B537FB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</w:t>
      </w:r>
      <w:r w:rsidR="00D16266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Č</w:t>
      </w:r>
      <w:r w:rsidR="008268C5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eské republiky</w:t>
      </w:r>
      <w:r w:rsidR="00E3326E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 xml:space="preserve"> – </w:t>
      </w:r>
      <w:r w:rsidR="00EE4BD8" w:rsidRPr="00F5237E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podklad k diskusi</w:t>
      </w:r>
      <w:bookmarkStart w:id="0" w:name="_GoBack"/>
      <w:bookmarkEnd w:id="0"/>
    </w:p>
    <w:p w:rsidR="008268C5" w:rsidRPr="00935175" w:rsidRDefault="008268C5" w:rsidP="00A12D04">
      <w:pPr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</w:pPr>
    </w:p>
    <w:p w:rsidR="00171FA2" w:rsidRPr="00FC6C0B" w:rsidRDefault="00171FA2" w:rsidP="00FC6C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C0B">
        <w:rPr>
          <w:rFonts w:ascii="Times New Roman" w:hAnsi="Times New Roman" w:cs="Times New Roman"/>
          <w:b/>
          <w:sz w:val="24"/>
          <w:szCs w:val="24"/>
        </w:rPr>
        <w:t>Společným jmenovatel</w:t>
      </w:r>
      <w:r w:rsidR="005D0A79">
        <w:rPr>
          <w:rFonts w:ascii="Times New Roman" w:hAnsi="Times New Roman" w:cs="Times New Roman"/>
          <w:b/>
          <w:sz w:val="24"/>
          <w:szCs w:val="24"/>
        </w:rPr>
        <w:t>em</w:t>
      </w:r>
      <w:r w:rsidRPr="00FC6C0B">
        <w:rPr>
          <w:rFonts w:ascii="Times New Roman" w:hAnsi="Times New Roman" w:cs="Times New Roman"/>
          <w:b/>
          <w:sz w:val="24"/>
          <w:szCs w:val="24"/>
        </w:rPr>
        <w:t xml:space="preserve"> řady problémů</w:t>
      </w:r>
      <w:r w:rsidR="008268C5">
        <w:rPr>
          <w:rFonts w:ascii="Times New Roman" w:hAnsi="Times New Roman" w:cs="Times New Roman"/>
          <w:b/>
          <w:sz w:val="24"/>
          <w:szCs w:val="24"/>
        </w:rPr>
        <w:t xml:space="preserve"> v Grantové agentuře České republiky (dále jen „GA ČR“) je</w:t>
      </w:r>
      <w:r w:rsidRPr="00FC6C0B">
        <w:rPr>
          <w:rFonts w:ascii="Times New Roman" w:hAnsi="Times New Roman" w:cs="Times New Roman"/>
          <w:b/>
          <w:sz w:val="24"/>
          <w:szCs w:val="24"/>
        </w:rPr>
        <w:t>: Postupný deficit v oblasti institucionálního financování</w:t>
      </w:r>
      <w:r w:rsidR="004A6A22" w:rsidRPr="00FC6C0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C6C0B">
        <w:rPr>
          <w:rFonts w:ascii="Times New Roman" w:hAnsi="Times New Roman" w:cs="Times New Roman"/>
          <w:b/>
          <w:sz w:val="24"/>
          <w:szCs w:val="24"/>
        </w:rPr>
        <w:t xml:space="preserve">který vytváří extrémní tlak </w:t>
      </w:r>
      <w:r w:rsidR="004A6A22" w:rsidRPr="00FC6C0B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B537FB" w:rsidRPr="00FC6C0B">
        <w:rPr>
          <w:rFonts w:ascii="Times New Roman" w:hAnsi="Times New Roman" w:cs="Times New Roman"/>
          <w:b/>
          <w:sz w:val="24"/>
          <w:szCs w:val="24"/>
        </w:rPr>
        <w:t xml:space="preserve">dostupnost </w:t>
      </w:r>
      <w:r w:rsidR="00580390" w:rsidRPr="00FC6C0B">
        <w:rPr>
          <w:rFonts w:ascii="Times New Roman" w:hAnsi="Times New Roman" w:cs="Times New Roman"/>
          <w:b/>
          <w:sz w:val="24"/>
          <w:szCs w:val="24"/>
        </w:rPr>
        <w:t>grantů a vede</w:t>
      </w:r>
      <w:r w:rsidR="00B537FB" w:rsidRPr="00FC6C0B">
        <w:rPr>
          <w:rFonts w:ascii="Times New Roman" w:hAnsi="Times New Roman" w:cs="Times New Roman"/>
          <w:b/>
          <w:sz w:val="24"/>
          <w:szCs w:val="24"/>
        </w:rPr>
        <w:t xml:space="preserve"> k </w:t>
      </w:r>
      <w:r w:rsidR="004A6A22" w:rsidRPr="00FC6C0B">
        <w:rPr>
          <w:rFonts w:ascii="Times New Roman" w:hAnsi="Times New Roman" w:cs="Times New Roman"/>
          <w:b/>
          <w:sz w:val="24"/>
          <w:szCs w:val="24"/>
        </w:rPr>
        <w:t>nízk</w:t>
      </w:r>
      <w:r w:rsidR="00B537FB" w:rsidRPr="00FC6C0B">
        <w:rPr>
          <w:rFonts w:ascii="Times New Roman" w:hAnsi="Times New Roman" w:cs="Times New Roman"/>
          <w:b/>
          <w:sz w:val="24"/>
          <w:szCs w:val="24"/>
        </w:rPr>
        <w:t xml:space="preserve">é </w:t>
      </w:r>
      <w:r w:rsidR="004A6A22" w:rsidRPr="00FC6C0B">
        <w:rPr>
          <w:rFonts w:ascii="Times New Roman" w:hAnsi="Times New Roman" w:cs="Times New Roman"/>
          <w:b/>
          <w:sz w:val="24"/>
          <w:szCs w:val="24"/>
        </w:rPr>
        <w:t>úspěšnost</w:t>
      </w:r>
      <w:r w:rsidR="00B537FB" w:rsidRPr="00FC6C0B">
        <w:rPr>
          <w:rFonts w:ascii="Times New Roman" w:hAnsi="Times New Roman" w:cs="Times New Roman"/>
          <w:b/>
          <w:sz w:val="24"/>
          <w:szCs w:val="24"/>
        </w:rPr>
        <w:t>i</w:t>
      </w:r>
      <w:r w:rsidRPr="00FC6C0B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5D0A79" w:rsidRPr="005D0A79" w:rsidRDefault="005D0A79" w:rsidP="00D1626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Procedurální problémy</w:t>
      </w:r>
      <w:r w:rsidR="00EE4BD8">
        <w:rPr>
          <w:rFonts w:ascii="Times New Roman" w:hAnsi="Times New Roman" w:cs="Times New Roman"/>
          <w:sz w:val="24"/>
          <w:szCs w:val="24"/>
        </w:rPr>
        <w:t xml:space="preserve"> (doplněno sekretariátem Rady)</w:t>
      </w:r>
    </w:p>
    <w:p w:rsidR="00D16266" w:rsidRPr="005D0A79" w:rsidRDefault="00B537FB" w:rsidP="00B9148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A79">
        <w:rPr>
          <w:rFonts w:ascii="Times New Roman" w:hAnsi="Times New Roman" w:cs="Times New Roman"/>
          <w:sz w:val="24"/>
          <w:szCs w:val="24"/>
        </w:rPr>
        <w:t>Změna S</w:t>
      </w:r>
      <w:r w:rsidR="00D16266" w:rsidRPr="005D0A79">
        <w:rPr>
          <w:rFonts w:ascii="Times New Roman" w:hAnsi="Times New Roman" w:cs="Times New Roman"/>
          <w:sz w:val="24"/>
          <w:szCs w:val="24"/>
        </w:rPr>
        <w:t>tatutu GA ČR</w:t>
      </w:r>
      <w:r w:rsidR="00EE4BD8">
        <w:rPr>
          <w:rFonts w:ascii="Times New Roman" w:hAnsi="Times New Roman" w:cs="Times New Roman"/>
          <w:sz w:val="24"/>
          <w:szCs w:val="24"/>
        </w:rPr>
        <w:t>, čl. 5 odst. 2</w:t>
      </w:r>
      <w:r w:rsidR="00D16266" w:rsidRPr="005D0A79">
        <w:rPr>
          <w:rFonts w:ascii="Times New Roman" w:hAnsi="Times New Roman" w:cs="Times New Roman"/>
          <w:sz w:val="24"/>
          <w:szCs w:val="24"/>
        </w:rPr>
        <w:t xml:space="preserve"> – </w:t>
      </w:r>
      <w:r w:rsidR="00EE4BD8">
        <w:rPr>
          <w:rFonts w:ascii="Times New Roman" w:hAnsi="Times New Roman" w:cs="Times New Roman"/>
          <w:sz w:val="24"/>
          <w:szCs w:val="24"/>
        </w:rPr>
        <w:t xml:space="preserve">střet zájmů, </w:t>
      </w:r>
      <w:r w:rsidR="00D16266" w:rsidRPr="005D0A79">
        <w:rPr>
          <w:rFonts w:ascii="Times New Roman" w:hAnsi="Times New Roman" w:cs="Times New Roman"/>
          <w:sz w:val="24"/>
          <w:szCs w:val="24"/>
        </w:rPr>
        <w:t>viz</w:t>
      </w:r>
      <w:r w:rsidRPr="005D0A79">
        <w:rPr>
          <w:rFonts w:ascii="Times New Roman" w:hAnsi="Times New Roman" w:cs="Times New Roman"/>
          <w:sz w:val="24"/>
          <w:szCs w:val="24"/>
        </w:rPr>
        <w:t xml:space="preserve"> S</w:t>
      </w:r>
      <w:r w:rsidR="00D16266" w:rsidRPr="005D0A79">
        <w:rPr>
          <w:rFonts w:ascii="Times New Roman" w:hAnsi="Times New Roman" w:cs="Times New Roman"/>
          <w:sz w:val="24"/>
          <w:szCs w:val="24"/>
        </w:rPr>
        <w:t>tanovisko</w:t>
      </w:r>
      <w:r w:rsidRPr="005D0A79">
        <w:rPr>
          <w:rFonts w:ascii="Times New Roman" w:hAnsi="Times New Roman" w:cs="Times New Roman"/>
          <w:sz w:val="24"/>
          <w:szCs w:val="24"/>
        </w:rPr>
        <w:t xml:space="preserve"> GA ČR</w:t>
      </w:r>
    </w:p>
    <w:p w:rsidR="00D16266" w:rsidRPr="005D0A79" w:rsidRDefault="00582CF5" w:rsidP="00B9148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A79">
        <w:rPr>
          <w:rFonts w:ascii="Times New Roman" w:hAnsi="Times New Roman" w:cs="Times New Roman"/>
          <w:sz w:val="24"/>
          <w:szCs w:val="24"/>
        </w:rPr>
        <w:t>Zveřejňování materiálů</w:t>
      </w:r>
      <w:r w:rsidR="00D16266" w:rsidRPr="005D0A79">
        <w:rPr>
          <w:rFonts w:ascii="Times New Roman" w:hAnsi="Times New Roman" w:cs="Times New Roman"/>
          <w:sz w:val="24"/>
          <w:szCs w:val="24"/>
        </w:rPr>
        <w:t xml:space="preserve"> ke kontrolní činnosti v GA ČR – také směrem k</w:t>
      </w:r>
      <w:r w:rsidRPr="005D0A79">
        <w:rPr>
          <w:rFonts w:ascii="Times New Roman" w:hAnsi="Times New Roman" w:cs="Times New Roman"/>
          <w:sz w:val="24"/>
          <w:szCs w:val="24"/>
        </w:rPr>
        <w:t> </w:t>
      </w:r>
      <w:r w:rsidR="00D16266" w:rsidRPr="005D0A79">
        <w:rPr>
          <w:rFonts w:ascii="Times New Roman" w:hAnsi="Times New Roman" w:cs="Times New Roman"/>
          <w:sz w:val="24"/>
          <w:szCs w:val="24"/>
        </w:rPr>
        <w:t>RVVI</w:t>
      </w:r>
      <w:r w:rsidRPr="005D0A79">
        <w:rPr>
          <w:rFonts w:ascii="Times New Roman" w:hAnsi="Times New Roman" w:cs="Times New Roman"/>
          <w:sz w:val="24"/>
          <w:szCs w:val="24"/>
        </w:rPr>
        <w:t xml:space="preserve">, </w:t>
      </w:r>
      <w:r w:rsidR="00B537FB" w:rsidRPr="005D0A79">
        <w:rPr>
          <w:rFonts w:ascii="Times New Roman" w:hAnsi="Times New Roman" w:cs="Times New Roman"/>
          <w:sz w:val="24"/>
          <w:szCs w:val="24"/>
        </w:rPr>
        <w:t>S</w:t>
      </w:r>
      <w:r w:rsidRPr="005D0A79">
        <w:rPr>
          <w:rFonts w:ascii="Times New Roman" w:hAnsi="Times New Roman" w:cs="Times New Roman"/>
          <w:sz w:val="24"/>
          <w:szCs w:val="24"/>
        </w:rPr>
        <w:t>tatut</w:t>
      </w:r>
      <w:r w:rsidR="005D0A79">
        <w:rPr>
          <w:rFonts w:ascii="Times New Roman" w:hAnsi="Times New Roman" w:cs="Times New Roman"/>
          <w:sz w:val="24"/>
          <w:szCs w:val="24"/>
        </w:rPr>
        <w:t xml:space="preserve"> GA ČR</w:t>
      </w:r>
      <w:r w:rsidRPr="005D0A79">
        <w:rPr>
          <w:rFonts w:ascii="Times New Roman" w:hAnsi="Times New Roman" w:cs="Times New Roman"/>
          <w:sz w:val="24"/>
          <w:szCs w:val="24"/>
        </w:rPr>
        <w:t xml:space="preserve"> čl. 6 </w:t>
      </w:r>
      <w:r w:rsidR="005D0A79">
        <w:rPr>
          <w:rFonts w:ascii="Times New Roman" w:hAnsi="Times New Roman" w:cs="Times New Roman"/>
          <w:sz w:val="24"/>
          <w:szCs w:val="24"/>
        </w:rPr>
        <w:t xml:space="preserve">odst. 6 písm. </w:t>
      </w:r>
      <w:r w:rsidRPr="005D0A79">
        <w:rPr>
          <w:rFonts w:ascii="Times New Roman" w:hAnsi="Times New Roman" w:cs="Times New Roman"/>
          <w:sz w:val="24"/>
          <w:szCs w:val="24"/>
        </w:rPr>
        <w:t>c</w:t>
      </w:r>
      <w:r w:rsidR="005D0A79">
        <w:rPr>
          <w:rFonts w:ascii="Times New Roman" w:hAnsi="Times New Roman" w:cs="Times New Roman"/>
          <w:sz w:val="24"/>
          <w:szCs w:val="24"/>
        </w:rPr>
        <w:t>) a</w:t>
      </w:r>
      <w:r w:rsidRPr="005D0A79">
        <w:rPr>
          <w:rFonts w:ascii="Times New Roman" w:hAnsi="Times New Roman" w:cs="Times New Roman"/>
          <w:sz w:val="24"/>
          <w:szCs w:val="24"/>
        </w:rPr>
        <w:t xml:space="preserve"> e</w:t>
      </w:r>
      <w:r w:rsidR="005D0A79">
        <w:rPr>
          <w:rFonts w:ascii="Times New Roman" w:hAnsi="Times New Roman" w:cs="Times New Roman"/>
          <w:sz w:val="24"/>
          <w:szCs w:val="24"/>
        </w:rPr>
        <w:t>)</w:t>
      </w:r>
      <w:r w:rsidRPr="005D0A79">
        <w:rPr>
          <w:rFonts w:ascii="Times New Roman" w:hAnsi="Times New Roman" w:cs="Times New Roman"/>
          <w:sz w:val="24"/>
          <w:szCs w:val="24"/>
        </w:rPr>
        <w:t>,</w:t>
      </w:r>
    </w:p>
    <w:p w:rsidR="00582CF5" w:rsidRPr="005D0A79" w:rsidRDefault="00582CF5" w:rsidP="00B9148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A79">
        <w:rPr>
          <w:rFonts w:ascii="Times New Roman" w:hAnsi="Times New Roman" w:cs="Times New Roman"/>
          <w:sz w:val="24"/>
          <w:szCs w:val="24"/>
        </w:rPr>
        <w:t xml:space="preserve">Zprávy </w:t>
      </w:r>
      <w:r w:rsidR="00B537FB" w:rsidRPr="005D0A79">
        <w:rPr>
          <w:rFonts w:ascii="Times New Roman" w:hAnsi="Times New Roman" w:cs="Times New Roman"/>
          <w:sz w:val="24"/>
          <w:szCs w:val="24"/>
        </w:rPr>
        <w:t>by měly být</w:t>
      </w:r>
      <w:r w:rsidRPr="005D0A79">
        <w:rPr>
          <w:rFonts w:ascii="Times New Roman" w:hAnsi="Times New Roman" w:cs="Times New Roman"/>
          <w:sz w:val="24"/>
          <w:szCs w:val="24"/>
        </w:rPr>
        <w:t xml:space="preserve"> k dispozici RVVI. </w:t>
      </w:r>
      <w:r w:rsidR="00B537FB" w:rsidRPr="005D0A79">
        <w:rPr>
          <w:rFonts w:ascii="Times New Roman" w:hAnsi="Times New Roman" w:cs="Times New Roman"/>
          <w:sz w:val="24"/>
          <w:szCs w:val="24"/>
        </w:rPr>
        <w:t xml:space="preserve">Pokud </w:t>
      </w:r>
      <w:r w:rsidRPr="005D0A79">
        <w:rPr>
          <w:rFonts w:ascii="Times New Roman" w:hAnsi="Times New Roman" w:cs="Times New Roman"/>
          <w:sz w:val="24"/>
          <w:szCs w:val="24"/>
        </w:rPr>
        <w:t>RVVI navrhuje členy</w:t>
      </w:r>
      <w:r w:rsidR="00B537FB" w:rsidRPr="005D0A79">
        <w:rPr>
          <w:rFonts w:ascii="Times New Roman" w:hAnsi="Times New Roman" w:cs="Times New Roman"/>
          <w:sz w:val="24"/>
          <w:szCs w:val="24"/>
        </w:rPr>
        <w:t xml:space="preserve"> </w:t>
      </w:r>
      <w:r w:rsidR="00580390" w:rsidRPr="005D0A79">
        <w:rPr>
          <w:rFonts w:ascii="Times New Roman" w:hAnsi="Times New Roman" w:cs="Times New Roman"/>
          <w:sz w:val="24"/>
          <w:szCs w:val="24"/>
        </w:rPr>
        <w:t>jmenování členů</w:t>
      </w:r>
      <w:r w:rsidR="008268C5" w:rsidRPr="005D0A79">
        <w:rPr>
          <w:rFonts w:ascii="Times New Roman" w:hAnsi="Times New Roman" w:cs="Times New Roman"/>
          <w:sz w:val="24"/>
          <w:szCs w:val="24"/>
        </w:rPr>
        <w:t xml:space="preserve"> p</w:t>
      </w:r>
      <w:r w:rsidRPr="005D0A79">
        <w:rPr>
          <w:rFonts w:ascii="Times New Roman" w:hAnsi="Times New Roman" w:cs="Times New Roman"/>
          <w:sz w:val="24"/>
          <w:szCs w:val="24"/>
        </w:rPr>
        <w:t>ředsednictva</w:t>
      </w:r>
      <w:r w:rsidR="00B537FB" w:rsidRPr="005D0A79">
        <w:rPr>
          <w:rFonts w:ascii="Times New Roman" w:hAnsi="Times New Roman" w:cs="Times New Roman"/>
          <w:sz w:val="24"/>
          <w:szCs w:val="24"/>
        </w:rPr>
        <w:t xml:space="preserve"> a předsedy</w:t>
      </w:r>
      <w:r w:rsidR="008268C5" w:rsidRPr="005D0A79">
        <w:rPr>
          <w:rFonts w:ascii="Times New Roman" w:hAnsi="Times New Roman" w:cs="Times New Roman"/>
          <w:sz w:val="24"/>
          <w:szCs w:val="24"/>
        </w:rPr>
        <w:t xml:space="preserve"> GA ČR</w:t>
      </w:r>
      <w:r w:rsidR="005366C7" w:rsidRPr="005D0A79">
        <w:rPr>
          <w:rFonts w:ascii="Times New Roman" w:hAnsi="Times New Roman" w:cs="Times New Roman"/>
          <w:sz w:val="24"/>
          <w:szCs w:val="24"/>
        </w:rPr>
        <w:t>,</w:t>
      </w:r>
      <w:r w:rsidRPr="005D0A79">
        <w:rPr>
          <w:rFonts w:ascii="Times New Roman" w:hAnsi="Times New Roman" w:cs="Times New Roman"/>
          <w:sz w:val="24"/>
          <w:szCs w:val="24"/>
        </w:rPr>
        <w:t xml:space="preserve"> </w:t>
      </w:r>
      <w:r w:rsidR="00B537FB" w:rsidRPr="005D0A79">
        <w:rPr>
          <w:rFonts w:ascii="Times New Roman" w:hAnsi="Times New Roman" w:cs="Times New Roman"/>
          <w:sz w:val="24"/>
          <w:szCs w:val="24"/>
        </w:rPr>
        <w:t xml:space="preserve">byla by na místě zpětná vazba. </w:t>
      </w:r>
      <w:r w:rsidRPr="005D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B41" w:rsidRPr="005D0A79" w:rsidRDefault="000A0B41" w:rsidP="00B91487">
      <w:pPr>
        <w:pStyle w:val="Odstavecseseznamem"/>
        <w:numPr>
          <w:ilvl w:val="0"/>
          <w:numId w:val="2"/>
        </w:numPr>
        <w:spacing w:after="24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D0A79">
        <w:rPr>
          <w:rFonts w:ascii="Times New Roman" w:hAnsi="Times New Roman" w:cs="Times New Roman"/>
          <w:sz w:val="24"/>
          <w:szCs w:val="24"/>
        </w:rPr>
        <w:t xml:space="preserve">Změna </w:t>
      </w:r>
      <w:r w:rsidR="00F84CDF" w:rsidRPr="005D0A79">
        <w:rPr>
          <w:rFonts w:ascii="Times New Roman" w:hAnsi="Times New Roman" w:cs="Times New Roman"/>
          <w:sz w:val="24"/>
          <w:szCs w:val="24"/>
        </w:rPr>
        <w:t>Statutu O</w:t>
      </w:r>
      <w:r w:rsidRPr="005D0A79">
        <w:rPr>
          <w:rFonts w:ascii="Times New Roman" w:hAnsi="Times New Roman" w:cs="Times New Roman"/>
          <w:sz w:val="24"/>
          <w:szCs w:val="24"/>
        </w:rPr>
        <w:t xml:space="preserve">borových komisí </w:t>
      </w:r>
      <w:r w:rsidR="00EE4BD8">
        <w:rPr>
          <w:rFonts w:ascii="Times New Roman" w:hAnsi="Times New Roman" w:cs="Times New Roman"/>
          <w:sz w:val="24"/>
          <w:szCs w:val="24"/>
        </w:rPr>
        <w:t xml:space="preserve">a hodnotících panelů </w:t>
      </w:r>
      <w:r w:rsidRPr="005D0A79">
        <w:rPr>
          <w:rFonts w:ascii="Times New Roman" w:hAnsi="Times New Roman" w:cs="Times New Roman"/>
          <w:sz w:val="24"/>
          <w:szCs w:val="24"/>
        </w:rPr>
        <w:t xml:space="preserve">GA ČR, čl. 10 </w:t>
      </w:r>
      <w:r w:rsidR="00EE4BD8">
        <w:rPr>
          <w:rFonts w:ascii="Times New Roman" w:hAnsi="Times New Roman" w:cs="Times New Roman"/>
          <w:sz w:val="24"/>
          <w:szCs w:val="24"/>
        </w:rPr>
        <w:t>–</w:t>
      </w:r>
      <w:r w:rsidRPr="005D0A79">
        <w:rPr>
          <w:rFonts w:ascii="Times New Roman" w:hAnsi="Times New Roman" w:cs="Times New Roman"/>
          <w:sz w:val="24"/>
          <w:szCs w:val="24"/>
        </w:rPr>
        <w:t xml:space="preserve"> mlčenlivost</w:t>
      </w:r>
    </w:p>
    <w:p w:rsidR="00D16266" w:rsidRPr="005D0A79" w:rsidRDefault="00EE4BD8" w:rsidP="00B91487">
      <w:pPr>
        <w:pStyle w:val="Odstavecseseznamem"/>
        <w:numPr>
          <w:ilvl w:val="0"/>
          <w:numId w:val="1"/>
        </w:numPr>
        <w:spacing w:before="24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D0A79">
        <w:rPr>
          <w:rFonts w:ascii="Times New Roman" w:hAnsi="Times New Roman" w:cs="Times New Roman"/>
          <w:sz w:val="24"/>
          <w:szCs w:val="24"/>
        </w:rPr>
        <w:t xml:space="preserve">olitika </w:t>
      </w:r>
      <w:r w:rsidR="00B537FB" w:rsidRPr="005D0A79">
        <w:rPr>
          <w:rFonts w:ascii="Times New Roman" w:hAnsi="Times New Roman" w:cs="Times New Roman"/>
          <w:sz w:val="24"/>
          <w:szCs w:val="24"/>
        </w:rPr>
        <w:t>udělování grantových projektů:</w:t>
      </w:r>
    </w:p>
    <w:p w:rsidR="005366C7" w:rsidRPr="00FC6C0B" w:rsidRDefault="00580390" w:rsidP="005366C7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  <w:r w:rsidRPr="00FC6C0B">
        <w:rPr>
          <w:rFonts w:ascii="Times New Roman" w:hAnsi="Times New Roman" w:cs="Times New Roman"/>
          <w:b/>
          <w:sz w:val="24"/>
          <w:szCs w:val="24"/>
        </w:rPr>
        <w:t>Problémové okruhy:</w:t>
      </w:r>
    </w:p>
    <w:p w:rsidR="005366C7" w:rsidRPr="00FC6C0B" w:rsidRDefault="005366C7" w:rsidP="00EE4BD8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t xml:space="preserve">Jaké typy projektů podporovat </w:t>
      </w:r>
    </w:p>
    <w:p w:rsidR="005366C7" w:rsidRPr="00FC6C0B" w:rsidRDefault="005366C7" w:rsidP="005366C7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Je třeba zvážit, zda by za základní typy projektů nebylo vhodné považova</w:t>
      </w:r>
      <w:r w:rsidR="00EE4BD8">
        <w:rPr>
          <w:rFonts w:ascii="Times New Roman" w:hAnsi="Times New Roman" w:cs="Times New Roman"/>
          <w:sz w:val="24"/>
          <w:szCs w:val="24"/>
        </w:rPr>
        <w:t>t především standardní granty a</w:t>
      </w:r>
      <w:r w:rsidRPr="00FC6C0B">
        <w:rPr>
          <w:rFonts w:ascii="Times New Roman" w:hAnsi="Times New Roman" w:cs="Times New Roman"/>
          <w:sz w:val="24"/>
          <w:szCs w:val="24"/>
        </w:rPr>
        <w:t xml:space="preserve"> post-doc granty, které by měly být dosažitelné pro širší skupinu kvalitních vědců. Projekty excelence a </w:t>
      </w:r>
      <w:r w:rsidR="00B537FB" w:rsidRPr="00FC6C0B">
        <w:rPr>
          <w:rFonts w:ascii="Times New Roman" w:hAnsi="Times New Roman" w:cs="Times New Roman"/>
          <w:sz w:val="24"/>
          <w:szCs w:val="24"/>
        </w:rPr>
        <w:t>j</w:t>
      </w:r>
      <w:r w:rsidRPr="00FC6C0B">
        <w:rPr>
          <w:rFonts w:ascii="Times New Roman" w:hAnsi="Times New Roman" w:cs="Times New Roman"/>
          <w:sz w:val="24"/>
          <w:szCs w:val="24"/>
        </w:rPr>
        <w:t>uniorské granty by neměly odčerp</w:t>
      </w:r>
      <w:r w:rsidR="00B537FB" w:rsidRPr="00FC6C0B">
        <w:rPr>
          <w:rFonts w:ascii="Times New Roman" w:hAnsi="Times New Roman" w:cs="Times New Roman"/>
          <w:sz w:val="24"/>
          <w:szCs w:val="24"/>
        </w:rPr>
        <w:t>ávat</w:t>
      </w:r>
      <w:r w:rsidRPr="00FC6C0B">
        <w:rPr>
          <w:rFonts w:ascii="Times New Roman" w:hAnsi="Times New Roman" w:cs="Times New Roman"/>
          <w:sz w:val="24"/>
          <w:szCs w:val="24"/>
        </w:rPr>
        <w:t xml:space="preserve"> významnou část </w:t>
      </w:r>
      <w:r w:rsidR="00B537FB" w:rsidRPr="00FC6C0B">
        <w:rPr>
          <w:rFonts w:ascii="Times New Roman" w:hAnsi="Times New Roman" w:cs="Times New Roman"/>
          <w:sz w:val="24"/>
          <w:szCs w:val="24"/>
        </w:rPr>
        <w:t>prostředků</w:t>
      </w:r>
      <w:r w:rsidR="00B5437B" w:rsidRPr="00FC6C0B">
        <w:rPr>
          <w:rFonts w:ascii="Times New Roman" w:hAnsi="Times New Roman" w:cs="Times New Roman"/>
          <w:sz w:val="24"/>
          <w:szCs w:val="24"/>
        </w:rPr>
        <w:t xml:space="preserve">. </w:t>
      </w:r>
      <w:r w:rsidRPr="00FC6C0B">
        <w:rPr>
          <w:rFonts w:ascii="Times New Roman" w:hAnsi="Times New Roman" w:cs="Times New Roman"/>
          <w:sz w:val="24"/>
          <w:szCs w:val="24"/>
        </w:rPr>
        <w:t xml:space="preserve">Teprve pokud </w:t>
      </w:r>
      <w:r w:rsidR="00580390" w:rsidRPr="00FC6C0B">
        <w:rPr>
          <w:rFonts w:ascii="Times New Roman" w:hAnsi="Times New Roman" w:cs="Times New Roman"/>
          <w:sz w:val="24"/>
          <w:szCs w:val="24"/>
        </w:rPr>
        <w:t xml:space="preserve">budou </w:t>
      </w:r>
      <w:r w:rsidR="00B537FB" w:rsidRPr="00FC6C0B">
        <w:rPr>
          <w:rFonts w:ascii="Times New Roman" w:hAnsi="Times New Roman" w:cs="Times New Roman"/>
          <w:sz w:val="24"/>
          <w:szCs w:val="24"/>
        </w:rPr>
        <w:t>základní</w:t>
      </w:r>
      <w:r w:rsidRPr="00FC6C0B">
        <w:rPr>
          <w:rFonts w:ascii="Times New Roman" w:hAnsi="Times New Roman" w:cs="Times New Roman"/>
          <w:sz w:val="24"/>
          <w:szCs w:val="24"/>
        </w:rPr>
        <w:t xml:space="preserve"> typy projektů finančně zabezpečeny, lze uva</w:t>
      </w:r>
      <w:r w:rsidR="00B537FB" w:rsidRPr="00FC6C0B">
        <w:rPr>
          <w:rFonts w:ascii="Times New Roman" w:hAnsi="Times New Roman" w:cs="Times New Roman"/>
          <w:sz w:val="24"/>
          <w:szCs w:val="24"/>
        </w:rPr>
        <w:t>žovat o dalších typech</w:t>
      </w:r>
      <w:r w:rsidR="00B5437B" w:rsidRPr="00FC6C0B">
        <w:rPr>
          <w:rFonts w:ascii="Times New Roman" w:hAnsi="Times New Roman" w:cs="Times New Roman"/>
          <w:sz w:val="24"/>
          <w:szCs w:val="24"/>
        </w:rPr>
        <w:t>.</w:t>
      </w:r>
    </w:p>
    <w:p w:rsidR="00B5437B" w:rsidRPr="00FC6C0B" w:rsidRDefault="00580390" w:rsidP="00EE4BD8">
      <w:pPr>
        <w:pStyle w:val="Odstavecseseznamem"/>
        <w:numPr>
          <w:ilvl w:val="0"/>
          <w:numId w:val="3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t>Otázka, zda</w:t>
      </w:r>
      <w:r w:rsidR="00B5437B" w:rsidRPr="00FC6C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37FB" w:rsidRPr="00FC6C0B">
        <w:rPr>
          <w:rFonts w:ascii="Times New Roman" w:hAnsi="Times New Roman" w:cs="Times New Roman"/>
          <w:sz w:val="24"/>
          <w:szCs w:val="24"/>
          <w:u w:val="single"/>
        </w:rPr>
        <w:t>udělovat podporu</w:t>
      </w:r>
      <w:r w:rsidR="00B5437B" w:rsidRPr="00FC6C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37FB" w:rsidRPr="00FC6C0B">
        <w:rPr>
          <w:rFonts w:ascii="Times New Roman" w:hAnsi="Times New Roman" w:cs="Times New Roman"/>
          <w:sz w:val="24"/>
          <w:szCs w:val="24"/>
          <w:u w:val="single"/>
        </w:rPr>
        <w:t>většímu počtu</w:t>
      </w:r>
      <w:r w:rsidR="00B5437B" w:rsidRPr="00FC6C0B">
        <w:rPr>
          <w:rFonts w:ascii="Times New Roman" w:hAnsi="Times New Roman" w:cs="Times New Roman"/>
          <w:sz w:val="24"/>
          <w:szCs w:val="24"/>
          <w:u w:val="single"/>
        </w:rPr>
        <w:t xml:space="preserve"> malý</w:t>
      </w:r>
      <w:r w:rsidR="00B537FB" w:rsidRPr="00FC6C0B">
        <w:rPr>
          <w:rFonts w:ascii="Times New Roman" w:hAnsi="Times New Roman" w:cs="Times New Roman"/>
          <w:sz w:val="24"/>
          <w:szCs w:val="24"/>
          <w:u w:val="single"/>
        </w:rPr>
        <w:t>ch</w:t>
      </w:r>
      <w:r w:rsidR="00B5437B" w:rsidRPr="00FC6C0B">
        <w:rPr>
          <w:rFonts w:ascii="Times New Roman" w:hAnsi="Times New Roman" w:cs="Times New Roman"/>
          <w:sz w:val="24"/>
          <w:szCs w:val="24"/>
          <w:u w:val="single"/>
        </w:rPr>
        <w:t xml:space="preserve"> grantů nebo </w:t>
      </w:r>
      <w:r w:rsidR="00B537FB" w:rsidRPr="00FC6C0B">
        <w:rPr>
          <w:rFonts w:ascii="Times New Roman" w:hAnsi="Times New Roman" w:cs="Times New Roman"/>
          <w:sz w:val="24"/>
          <w:szCs w:val="24"/>
          <w:u w:val="single"/>
        </w:rPr>
        <w:t>menšímu počtu velkých grantů</w:t>
      </w:r>
    </w:p>
    <w:p w:rsidR="00B5437B" w:rsidRPr="00FC6C0B" w:rsidRDefault="00B5437B" w:rsidP="00B5437B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 xml:space="preserve">Za stávající situace by </w:t>
      </w:r>
      <w:r w:rsidR="00B537FB" w:rsidRPr="00FC6C0B">
        <w:rPr>
          <w:rFonts w:ascii="Times New Roman" w:hAnsi="Times New Roman" w:cs="Times New Roman"/>
          <w:sz w:val="24"/>
          <w:szCs w:val="24"/>
        </w:rPr>
        <w:t>bylo žádoucí</w:t>
      </w:r>
      <w:r w:rsidRPr="00FC6C0B">
        <w:rPr>
          <w:rFonts w:ascii="Times New Roman" w:hAnsi="Times New Roman" w:cs="Times New Roman"/>
          <w:sz w:val="24"/>
          <w:szCs w:val="24"/>
        </w:rPr>
        <w:t xml:space="preserve"> počet financovaných standardních grantů podstatně zvýšit, v absolutních číslech nejméně na cca 600-800 úspěšných projektů ročně. Zvážit limity na 1 projekt (absolutně jako v SR, nebo ztížením podmínek výběru jako v Rakousku).</w:t>
      </w:r>
    </w:p>
    <w:p w:rsidR="00B5437B" w:rsidRPr="00FC6C0B" w:rsidRDefault="00B5437B" w:rsidP="00EE4BD8">
      <w:pPr>
        <w:pStyle w:val="Odstavecseseznamem"/>
        <w:numPr>
          <w:ilvl w:val="0"/>
          <w:numId w:val="3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t xml:space="preserve">Mzdy? </w:t>
      </w:r>
    </w:p>
    <w:p w:rsidR="00B5437B" w:rsidRPr="00FC6C0B" w:rsidRDefault="00B5437B" w:rsidP="00B5437B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Zvážit model běžný ve vyspělých zemích: hradit mzdy jen pracovníkům přijatým na řešení grantu „zvenčí“, nikoliv kmenovým pracovníkům výzkumných institucí a</w:t>
      </w:r>
      <w:r w:rsidR="00E95338" w:rsidRPr="00FC6C0B">
        <w:rPr>
          <w:rFonts w:ascii="Times New Roman" w:hAnsi="Times New Roman" w:cs="Times New Roman"/>
          <w:sz w:val="24"/>
          <w:szCs w:val="24"/>
        </w:rPr>
        <w:t> </w:t>
      </w:r>
      <w:r w:rsidRPr="00FC6C0B">
        <w:rPr>
          <w:rFonts w:ascii="Times New Roman" w:hAnsi="Times New Roman" w:cs="Times New Roman"/>
          <w:sz w:val="24"/>
          <w:szCs w:val="24"/>
        </w:rPr>
        <w:t>VŠ; u nich se vrátit k systému rozumných odměn</w:t>
      </w:r>
      <w:r w:rsidR="001E364F" w:rsidRPr="00FC6C0B">
        <w:rPr>
          <w:rFonts w:ascii="Times New Roman" w:hAnsi="Times New Roman" w:cs="Times New Roman"/>
          <w:sz w:val="24"/>
          <w:szCs w:val="24"/>
        </w:rPr>
        <w:t>,</w:t>
      </w:r>
      <w:r w:rsidRPr="00FC6C0B">
        <w:rPr>
          <w:rFonts w:ascii="Times New Roman" w:hAnsi="Times New Roman" w:cs="Times New Roman"/>
          <w:sz w:val="24"/>
          <w:szCs w:val="24"/>
        </w:rPr>
        <w:t xml:space="preserve"> z hlediska odvodů pokud možno výhodnějších. Povinnost hradit mzdy Grantovou agenturou je i právně problematická. </w:t>
      </w:r>
    </w:p>
    <w:p w:rsidR="001E364F" w:rsidRPr="00FC6C0B" w:rsidRDefault="001E364F" w:rsidP="00EE4BD8">
      <w:pPr>
        <w:pStyle w:val="Odstavecseseznamem"/>
        <w:numPr>
          <w:ilvl w:val="0"/>
          <w:numId w:val="3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t>Investice?</w:t>
      </w:r>
    </w:p>
    <w:p w:rsidR="00B5437B" w:rsidRPr="00FC6C0B" w:rsidRDefault="00B5437B" w:rsidP="001E364F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 xml:space="preserve">U oborů vyžadujících náročnou přístrojovou techniku </w:t>
      </w:r>
      <w:r w:rsidR="001E364F" w:rsidRPr="00FC6C0B">
        <w:rPr>
          <w:rFonts w:ascii="Times New Roman" w:hAnsi="Times New Roman" w:cs="Times New Roman"/>
          <w:sz w:val="24"/>
          <w:szCs w:val="24"/>
        </w:rPr>
        <w:t>obnovit</w:t>
      </w:r>
      <w:r w:rsidRPr="00FC6C0B">
        <w:rPr>
          <w:rFonts w:ascii="Times New Roman" w:hAnsi="Times New Roman" w:cs="Times New Roman"/>
          <w:sz w:val="24"/>
          <w:szCs w:val="24"/>
        </w:rPr>
        <w:t xml:space="preserve"> možnost nákupu přístrojů a IT techniky k experimentálním zařízením nebo teoretickým výpočtům v podobě investic. </w:t>
      </w:r>
    </w:p>
    <w:p w:rsidR="001E364F" w:rsidRPr="00FC6C0B" w:rsidRDefault="00171FA2" w:rsidP="00EE4BD8">
      <w:pPr>
        <w:pStyle w:val="Odstavecseseznamem"/>
        <w:numPr>
          <w:ilvl w:val="0"/>
          <w:numId w:val="3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t>Doba řešení grantových projektů</w:t>
      </w:r>
      <w:r w:rsidRPr="00FC6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FA2" w:rsidRPr="00FC6C0B" w:rsidRDefault="001E364F" w:rsidP="001E364F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U</w:t>
      </w:r>
      <w:r w:rsidR="00171FA2" w:rsidRPr="00FC6C0B">
        <w:rPr>
          <w:rFonts w:ascii="Times New Roman" w:hAnsi="Times New Roman" w:cs="Times New Roman"/>
          <w:sz w:val="24"/>
          <w:szCs w:val="24"/>
        </w:rPr>
        <w:t xml:space="preserve"> určitých typů standardních grantů připustit dobu řešení až pět let.</w:t>
      </w:r>
    </w:p>
    <w:p w:rsidR="001E364F" w:rsidRPr="00FC6C0B" w:rsidRDefault="001E364F" w:rsidP="00B91487">
      <w:pPr>
        <w:pStyle w:val="Odstavecseseznamem"/>
        <w:keepNext/>
        <w:numPr>
          <w:ilvl w:val="0"/>
          <w:numId w:val="3"/>
        </w:numPr>
        <w:tabs>
          <w:tab w:val="left" w:pos="284"/>
        </w:tabs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lastRenderedPageBreak/>
        <w:t>Juniorské granty</w:t>
      </w:r>
    </w:p>
    <w:p w:rsidR="00171FA2" w:rsidRPr="00FC6C0B" w:rsidRDefault="004A6A22" w:rsidP="001E364F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Při udělování</w:t>
      </w:r>
      <w:r w:rsidR="00171FA2" w:rsidRPr="00FC6C0B">
        <w:rPr>
          <w:rFonts w:ascii="Times New Roman" w:hAnsi="Times New Roman" w:cs="Times New Roman"/>
          <w:sz w:val="24"/>
          <w:szCs w:val="24"/>
        </w:rPr>
        <w:t xml:space="preserve"> juniorských grantů </w:t>
      </w:r>
      <w:r w:rsidRPr="00FC6C0B">
        <w:rPr>
          <w:rFonts w:ascii="Times New Roman" w:hAnsi="Times New Roman" w:cs="Times New Roman"/>
          <w:sz w:val="24"/>
          <w:szCs w:val="24"/>
        </w:rPr>
        <w:t>umožnit, aby uchazeči</w:t>
      </w:r>
      <w:r w:rsidR="001E364F" w:rsidRPr="00FC6C0B">
        <w:rPr>
          <w:rFonts w:ascii="Times New Roman" w:hAnsi="Times New Roman" w:cs="Times New Roman"/>
          <w:sz w:val="24"/>
          <w:szCs w:val="24"/>
        </w:rPr>
        <w:t xml:space="preserve">, kteří získali PhD. v zahraničí, </w:t>
      </w:r>
      <w:r w:rsidRPr="00FC6C0B">
        <w:rPr>
          <w:rFonts w:ascii="Times New Roman" w:hAnsi="Times New Roman" w:cs="Times New Roman"/>
          <w:sz w:val="24"/>
          <w:szCs w:val="24"/>
        </w:rPr>
        <w:t xml:space="preserve">nemuseli splňovat podmínku šestiměsíční zahraniční stáže a </w:t>
      </w:r>
      <w:r w:rsidR="001E364F" w:rsidRPr="00FC6C0B">
        <w:rPr>
          <w:rFonts w:ascii="Times New Roman" w:hAnsi="Times New Roman" w:cs="Times New Roman"/>
          <w:sz w:val="24"/>
          <w:szCs w:val="24"/>
        </w:rPr>
        <w:t xml:space="preserve">dále zohlednit </w:t>
      </w:r>
      <w:r w:rsidRPr="00FC6C0B">
        <w:rPr>
          <w:rFonts w:ascii="Times New Roman" w:hAnsi="Times New Roman" w:cs="Times New Roman"/>
          <w:sz w:val="24"/>
          <w:szCs w:val="24"/>
        </w:rPr>
        <w:t>faktor rodičovské dovolené.</w:t>
      </w:r>
      <w:r w:rsidR="00171FA2" w:rsidRPr="00FC6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FA2" w:rsidRPr="00FC6C0B" w:rsidRDefault="00171FA2" w:rsidP="00EE4BD8">
      <w:pPr>
        <w:pStyle w:val="Odstavecseseznamem"/>
        <w:keepNext/>
        <w:numPr>
          <w:ilvl w:val="0"/>
          <w:numId w:val="3"/>
        </w:numPr>
        <w:tabs>
          <w:tab w:val="left" w:pos="284"/>
        </w:tabs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t xml:space="preserve">Zadávací dokumentace </w:t>
      </w:r>
    </w:p>
    <w:p w:rsidR="00580390" w:rsidRPr="00FC6C0B" w:rsidRDefault="00580390" w:rsidP="00580390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Stabilizovat podobu zadávací dokumentace projektů, pokud možno ve formě vstřícné k potřebám vědeckých pracovníků. Odstranit povinné „závazky“ v podobě každoročního počtu publikací, ale naopak položit důraz na závěrečné hodnocení a kontrolu konečných výsledků. Přitom zohlednit výsledky řešení případných minulých projektů i fakt, že v průběhu řešení projektu může nastat situace, kdy řešitel dojde k jiným než předpokládaným závěrům a výsledkům. Také tyto výsledky by v případě jejich vědecké relevance měly být považovány za uznatelné.</w:t>
      </w:r>
    </w:p>
    <w:p w:rsidR="00580390" w:rsidRPr="00FC6C0B" w:rsidRDefault="00580390" w:rsidP="00EE4BD8">
      <w:pPr>
        <w:pStyle w:val="Odstavecseseznamem"/>
        <w:numPr>
          <w:ilvl w:val="0"/>
          <w:numId w:val="3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C0B">
        <w:rPr>
          <w:rFonts w:ascii="Times New Roman" w:hAnsi="Times New Roman" w:cs="Times New Roman"/>
          <w:sz w:val="24"/>
          <w:szCs w:val="24"/>
          <w:u w:val="single"/>
        </w:rPr>
        <w:t>Popularizace (prezentace) výsledků řešených projektů</w:t>
      </w:r>
    </w:p>
    <w:p w:rsidR="00580390" w:rsidRPr="00FC6C0B" w:rsidRDefault="00580390" w:rsidP="00580390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Ke zvážení - možnost pro navrhovatele projektu včlenit do struktury výdajů</w:t>
      </w:r>
    </w:p>
    <w:p w:rsidR="00580390" w:rsidRPr="00FC6C0B" w:rsidRDefault="00580390" w:rsidP="00580390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položku na náklady spojené s odůvodněnou a verifikovatelnou prezentací a</w:t>
      </w:r>
    </w:p>
    <w:p w:rsidR="00580390" w:rsidRPr="00FC6C0B" w:rsidRDefault="00580390" w:rsidP="001E364F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popularizací výsledků projektu.</w:t>
      </w:r>
    </w:p>
    <w:p w:rsidR="004A6A22" w:rsidRPr="00FC6C0B" w:rsidRDefault="004A6A22" w:rsidP="004A6A22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A6A22" w:rsidRPr="00935175" w:rsidRDefault="00644779" w:rsidP="004A6A22">
      <w:pPr>
        <w:pStyle w:val="Odstavecseseznamem"/>
        <w:tabs>
          <w:tab w:val="left" w:pos="284"/>
        </w:tabs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5175">
        <w:rPr>
          <w:rFonts w:ascii="Times New Roman" w:hAnsi="Times New Roman" w:cs="Times New Roman"/>
          <w:b/>
          <w:sz w:val="24"/>
          <w:szCs w:val="24"/>
          <w:u w:val="single"/>
        </w:rPr>
        <w:t>Pro ilustraci předchozích tezí přikládám následující čtyři grafy:</w:t>
      </w:r>
    </w:p>
    <w:p w:rsidR="00644779" w:rsidRDefault="00644779" w:rsidP="004A6A2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4A6A22" w:rsidRDefault="004A6A22" w:rsidP="004A6A2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  <w:r w:rsidRPr="00087FAD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708C7AD" wp14:editId="26E11C7A">
            <wp:extent cx="3691752" cy="3263900"/>
            <wp:effectExtent l="0" t="0" r="4445" b="0"/>
            <wp:docPr id="1" name="Obrázek 1" descr="C:\Tomas\administration\Rada AVCR\GACR-obecne\pripominky\rozpocet-projekt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mas\administration\Rada AVCR\GACR-obecne\pripominky\rozpocet-projekty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752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A22" w:rsidRPr="00171FA2" w:rsidRDefault="004A6A22" w:rsidP="004A6A2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  <w:r w:rsidRPr="00087FAD">
        <w:rPr>
          <w:rFonts w:ascii="Times New Roman" w:hAnsi="Times New Roman" w:cs="Times New Roman"/>
          <w:i/>
          <w:sz w:val="24"/>
          <w:szCs w:val="24"/>
        </w:rPr>
        <w:t>Obr. 1 Rozpočtová kapitola 321 – GAČR a počet podpořených standardních grantů.</w:t>
      </w:r>
    </w:p>
    <w:p w:rsidR="00171FA2" w:rsidRDefault="004A6A2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  <w:r w:rsidRPr="00087FAD"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73FB7962" wp14:editId="116C887C">
            <wp:extent cx="3835400" cy="3390900"/>
            <wp:effectExtent l="0" t="0" r="0" b="0"/>
            <wp:docPr id="2" name="Obrázek 2" descr="C:\Tomas\administration\Rada AVCR\GACR-obecne\pripominky\podane-udelen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omas\administration\Rada AVCR\GACR-obecne\pripominky\podane-udelen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A22" w:rsidRDefault="004A6A22" w:rsidP="004A6A22">
      <w:pPr>
        <w:rPr>
          <w:rFonts w:ascii="Times New Roman" w:hAnsi="Times New Roman" w:cs="Times New Roman"/>
          <w:i/>
          <w:sz w:val="24"/>
          <w:szCs w:val="24"/>
        </w:rPr>
      </w:pPr>
      <w:r w:rsidRPr="00087FAD">
        <w:rPr>
          <w:rFonts w:ascii="Times New Roman" w:hAnsi="Times New Roman" w:cs="Times New Roman"/>
          <w:i/>
          <w:sz w:val="24"/>
          <w:szCs w:val="24"/>
        </w:rPr>
        <w:t>Obr. 2 Počet žádostí a udělených standardních grantů.</w:t>
      </w:r>
    </w:p>
    <w:p w:rsidR="00FC6C0B" w:rsidRDefault="00FC6C0B" w:rsidP="004A6A22">
      <w:pPr>
        <w:rPr>
          <w:rFonts w:ascii="Times New Roman" w:hAnsi="Times New Roman" w:cs="Times New Roman"/>
          <w:i/>
          <w:sz w:val="24"/>
          <w:szCs w:val="24"/>
        </w:rPr>
      </w:pPr>
    </w:p>
    <w:p w:rsidR="004A6A22" w:rsidRDefault="004A6A2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0BE3708" wp14:editId="1C51D9D1">
            <wp:extent cx="3225800" cy="3135357"/>
            <wp:effectExtent l="0" t="0" r="0" b="8255"/>
            <wp:docPr id="4" name="Obrázek 4" descr="C:\Tomas\administration\Rada AVCR\GACR-obecne\pripominky\náklady 1 rok 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Tomas\administration\Rada AVCR\GACR-obecne\pripominky\náklady 1 rok 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3135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A22" w:rsidRDefault="004A6A22" w:rsidP="004A6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Obr. 3. Vliv zavedení hrazení mezd u standardních projektů.</w:t>
      </w:r>
    </w:p>
    <w:p w:rsidR="004A6A22" w:rsidRDefault="004A6A2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529E28FF" wp14:editId="18979BA0">
            <wp:extent cx="3491959" cy="3289300"/>
            <wp:effectExtent l="0" t="0" r="0" b="6350"/>
            <wp:docPr id="5" name="Obrázek 5" descr="C:\Tomas\administration\Rada AVCR\GACR-obecne\pripominky\naklady-mzd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Tomas\administration\Rada AVCR\GACR-obecne\pripominky\naklady-mzdy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959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A22">
        <w:t xml:space="preserve"> </w:t>
      </w:r>
    </w:p>
    <w:p w:rsidR="004A6A22" w:rsidRDefault="004A6A2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4A6A22" w:rsidRDefault="004A6A22" w:rsidP="004A6A22">
      <w:pPr>
        <w:rPr>
          <w:rFonts w:ascii="Times New Roman" w:hAnsi="Times New Roman" w:cs="Times New Roman"/>
          <w:i/>
          <w:sz w:val="24"/>
          <w:szCs w:val="24"/>
        </w:rPr>
      </w:pPr>
      <w:r w:rsidRPr="001B7276">
        <w:rPr>
          <w:rFonts w:ascii="Times New Roman" w:hAnsi="Times New Roman" w:cs="Times New Roman"/>
          <w:i/>
          <w:sz w:val="24"/>
          <w:szCs w:val="24"/>
        </w:rPr>
        <w:t>Obrázek 4. Struktura nákladů standardních grantů</w:t>
      </w:r>
      <w:r>
        <w:rPr>
          <w:rFonts w:ascii="Times New Roman" w:hAnsi="Times New Roman" w:cs="Times New Roman"/>
          <w:i/>
          <w:sz w:val="24"/>
          <w:szCs w:val="24"/>
        </w:rPr>
        <w:t xml:space="preserve"> (jsou celkové náklady správné?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prof.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Matějů předváděl ještě vyšší čísla)</w:t>
      </w:r>
      <w:r w:rsidRPr="001B7276">
        <w:rPr>
          <w:rFonts w:ascii="Times New Roman" w:hAnsi="Times New Roman" w:cs="Times New Roman"/>
          <w:i/>
          <w:sz w:val="24"/>
          <w:szCs w:val="24"/>
        </w:rPr>
        <w:t>.</w:t>
      </w:r>
    </w:p>
    <w:p w:rsidR="004A6A22" w:rsidRDefault="004A6A2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Default="00BF71D2" w:rsidP="00171FA2">
      <w:pPr>
        <w:pStyle w:val="Odstavecseseznamem"/>
        <w:tabs>
          <w:tab w:val="left" w:pos="284"/>
        </w:tabs>
        <w:spacing w:after="0"/>
        <w:ind w:left="1080"/>
        <w:jc w:val="both"/>
        <w:rPr>
          <w:rFonts w:cs="Times New Roman"/>
          <w:sz w:val="24"/>
          <w:szCs w:val="24"/>
        </w:rPr>
      </w:pPr>
    </w:p>
    <w:p w:rsidR="00BF71D2" w:rsidRPr="00FC6C0B" w:rsidRDefault="00BF71D2" w:rsidP="00BF71D2">
      <w:pPr>
        <w:pStyle w:val="Odstavecseseznamem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6C0B">
        <w:rPr>
          <w:rFonts w:ascii="Times New Roman" w:hAnsi="Times New Roman" w:cs="Times New Roman"/>
          <w:sz w:val="24"/>
          <w:szCs w:val="24"/>
        </w:rPr>
        <w:t>Vypracoval: dr. Baran</w:t>
      </w:r>
    </w:p>
    <w:sectPr w:rsidR="00BF71D2" w:rsidRPr="00FC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B3645"/>
    <w:multiLevelType w:val="hybridMultilevel"/>
    <w:tmpl w:val="9BF0EDC8"/>
    <w:lvl w:ilvl="0" w:tplc="CACC6D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02FB0"/>
    <w:multiLevelType w:val="hybridMultilevel"/>
    <w:tmpl w:val="D214097E"/>
    <w:lvl w:ilvl="0" w:tplc="F98AB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8665B9"/>
    <w:multiLevelType w:val="hybridMultilevel"/>
    <w:tmpl w:val="D214097E"/>
    <w:lvl w:ilvl="0" w:tplc="F98AB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66"/>
    <w:rsid w:val="000A0B41"/>
    <w:rsid w:val="00171FA2"/>
    <w:rsid w:val="001E364F"/>
    <w:rsid w:val="00202CDE"/>
    <w:rsid w:val="002F4D2A"/>
    <w:rsid w:val="00391333"/>
    <w:rsid w:val="004A6A22"/>
    <w:rsid w:val="005252B5"/>
    <w:rsid w:val="005366C7"/>
    <w:rsid w:val="00580390"/>
    <w:rsid w:val="00582CF5"/>
    <w:rsid w:val="005D0A79"/>
    <w:rsid w:val="00644779"/>
    <w:rsid w:val="007133A8"/>
    <w:rsid w:val="008268C5"/>
    <w:rsid w:val="00935175"/>
    <w:rsid w:val="009E3486"/>
    <w:rsid w:val="00A12D04"/>
    <w:rsid w:val="00B537FB"/>
    <w:rsid w:val="00B5437B"/>
    <w:rsid w:val="00B91487"/>
    <w:rsid w:val="00BF71D2"/>
    <w:rsid w:val="00CE1D63"/>
    <w:rsid w:val="00D16266"/>
    <w:rsid w:val="00E3326E"/>
    <w:rsid w:val="00E95338"/>
    <w:rsid w:val="00EE4BD8"/>
    <w:rsid w:val="00F5237E"/>
    <w:rsid w:val="00F84CDF"/>
    <w:rsid w:val="00FC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626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6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626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6A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525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 Pavel</dc:creator>
  <cp:lastModifiedBy>Bártová Milada</cp:lastModifiedBy>
  <cp:revision>19</cp:revision>
  <cp:lastPrinted>2014-11-21T09:45:00Z</cp:lastPrinted>
  <dcterms:created xsi:type="dcterms:W3CDTF">2014-11-05T15:39:00Z</dcterms:created>
  <dcterms:modified xsi:type="dcterms:W3CDTF">2014-11-21T09:45:00Z</dcterms:modified>
</cp:coreProperties>
</file>