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475"/>
        <w:gridCol w:w="3019"/>
      </w:tblGrid>
      <w:tr w:rsidR="008F77F6" w:rsidRPr="00DE2BC0" w:rsidTr="00646D8B">
        <w:trPr>
          <w:trHeight w:val="828"/>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FFFFCC"/>
            <w:vAlign w:val="center"/>
          </w:tcPr>
          <w:p w:rsidR="008F77F6" w:rsidRPr="009870E8" w:rsidRDefault="00C944CE" w:rsidP="007F1CE9">
            <w:pPr>
              <w:spacing w:before="120" w:after="120"/>
              <w:rPr>
                <w:rFonts w:ascii="Arial" w:hAnsi="Arial" w:cs="Arial"/>
                <w:b/>
                <w:color w:val="0070C0"/>
                <w:sz w:val="28"/>
                <w:szCs w:val="28"/>
              </w:rPr>
            </w:pPr>
            <w:r>
              <w:rPr>
                <w:rFonts w:ascii="Arial" w:hAnsi="Arial" w:cs="Arial"/>
                <w:b/>
                <w:color w:val="0070C0"/>
                <w:sz w:val="28"/>
                <w:szCs w:val="28"/>
              </w:rPr>
              <w:t>Žádost ministra dopravy</w:t>
            </w:r>
            <w:r w:rsidRPr="009B49C5">
              <w:rPr>
                <w:rFonts w:ascii="Arial" w:hAnsi="Arial" w:cs="Arial"/>
                <w:sz w:val="22"/>
                <w:szCs w:val="22"/>
              </w:rPr>
              <w:t xml:space="preserve"> </w:t>
            </w:r>
            <w:r w:rsidR="007F1CE9">
              <w:rPr>
                <w:rFonts w:ascii="Arial" w:hAnsi="Arial" w:cs="Arial"/>
                <w:b/>
                <w:color w:val="0070C0"/>
                <w:sz w:val="28"/>
                <w:szCs w:val="28"/>
              </w:rPr>
              <w:t>o změnu v</w:t>
            </w:r>
            <w:r>
              <w:rPr>
                <w:rFonts w:ascii="Arial" w:hAnsi="Arial" w:cs="Arial"/>
                <w:b/>
                <w:color w:val="0070C0"/>
                <w:sz w:val="28"/>
                <w:szCs w:val="28"/>
              </w:rPr>
              <w:t> </w:t>
            </w:r>
            <w:r w:rsidRPr="00C944CE">
              <w:rPr>
                <w:rFonts w:ascii="Arial" w:hAnsi="Arial" w:cs="Arial"/>
                <w:b/>
                <w:color w:val="0070C0"/>
                <w:sz w:val="28"/>
                <w:szCs w:val="28"/>
              </w:rPr>
              <w:t xml:space="preserve">zastoupení rezortu dopravy ve Výzkumné radě </w:t>
            </w:r>
            <w:r>
              <w:rPr>
                <w:rFonts w:ascii="Arial" w:hAnsi="Arial" w:cs="Arial"/>
                <w:b/>
                <w:color w:val="0070C0"/>
                <w:sz w:val="28"/>
                <w:szCs w:val="28"/>
              </w:rPr>
              <w:t>TA ČR</w:t>
            </w:r>
            <w:r w:rsidRPr="009B49C5">
              <w:rPr>
                <w:rFonts w:ascii="Arial" w:hAnsi="Arial" w:cs="Arial"/>
                <w:sz w:val="22"/>
                <w:szCs w:val="22"/>
              </w:rPr>
              <w:t xml:space="preserve"> </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FFFFCC"/>
            <w:vAlign w:val="center"/>
          </w:tcPr>
          <w:p w:rsidR="008F77F6" w:rsidRPr="009870E8" w:rsidRDefault="00084949" w:rsidP="00E52D50">
            <w:pPr>
              <w:spacing w:before="120" w:after="120"/>
              <w:jc w:val="center"/>
              <w:rPr>
                <w:rFonts w:ascii="Arial" w:hAnsi="Arial" w:cs="Arial"/>
                <w:b/>
                <w:color w:val="0070C0"/>
                <w:sz w:val="28"/>
                <w:szCs w:val="28"/>
              </w:rPr>
            </w:pPr>
            <w:r>
              <w:rPr>
                <w:rFonts w:ascii="Arial" w:hAnsi="Arial" w:cs="Arial"/>
                <w:b/>
                <w:color w:val="0070C0"/>
                <w:sz w:val="28"/>
                <w:szCs w:val="28"/>
              </w:rPr>
              <w:t>304/B4</w:t>
            </w:r>
          </w:p>
        </w:tc>
      </w:tr>
      <w:tr w:rsidR="008F77F6" w:rsidRPr="00DE2BC0" w:rsidTr="00B46E7C">
        <w:tc>
          <w:tcPr>
            <w:tcW w:w="3794"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8F77F6" w:rsidP="008F77F6">
            <w:pPr>
              <w:spacing w:before="120" w:after="120"/>
              <w:jc w:val="both"/>
              <w:rPr>
                <w:rFonts w:ascii="Arial" w:hAnsi="Arial" w:cs="Arial"/>
                <w:b/>
                <w:i/>
                <w:noProof/>
                <w:sz w:val="22"/>
                <w:szCs w:val="22"/>
              </w:rPr>
            </w:pPr>
            <w:r>
              <w:rPr>
                <w:rFonts w:ascii="Arial" w:hAnsi="Arial" w:cs="Arial"/>
                <w:b/>
                <w:i/>
                <w:noProof/>
                <w:sz w:val="22"/>
                <w:szCs w:val="22"/>
              </w:rPr>
              <w:t>Zpravodaj</w:t>
            </w:r>
          </w:p>
        </w:tc>
        <w:tc>
          <w:tcPr>
            <w:tcW w:w="5494"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9704D2" w:rsidRDefault="008F77F6" w:rsidP="000C4A33">
            <w:pPr>
              <w:rPr>
                <w:rFonts w:ascii="Arial" w:hAnsi="Arial" w:cs="Arial"/>
                <w:sz w:val="22"/>
                <w:szCs w:val="22"/>
              </w:rPr>
            </w:pPr>
          </w:p>
        </w:tc>
      </w:tr>
      <w:tr w:rsidR="008F77F6" w:rsidRPr="00DE2BC0" w:rsidTr="00B46E7C">
        <w:tc>
          <w:tcPr>
            <w:tcW w:w="3794"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494"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115DD5" w:rsidRDefault="00084949" w:rsidP="00084949">
            <w:pPr>
              <w:spacing w:before="120" w:after="120"/>
              <w:rPr>
                <w:rFonts w:ascii="Arial" w:hAnsi="Arial" w:cs="Arial"/>
                <w:i/>
                <w:sz w:val="22"/>
                <w:szCs w:val="22"/>
              </w:rPr>
            </w:pPr>
            <w:r>
              <w:rPr>
                <w:rFonts w:ascii="Arial" w:hAnsi="Arial" w:cs="Arial"/>
                <w:i/>
                <w:sz w:val="22"/>
                <w:szCs w:val="22"/>
              </w:rPr>
              <w:t>Ing. Moravcová</w:t>
            </w:r>
            <w:r w:rsidR="006C4FEA">
              <w:rPr>
                <w:rFonts w:ascii="Arial" w:hAnsi="Arial" w:cs="Arial"/>
                <w:i/>
                <w:sz w:val="22"/>
                <w:szCs w:val="22"/>
              </w:rPr>
              <w:t>, Odbor podpory RVVI</w:t>
            </w:r>
            <w:r w:rsidR="00B46E7C">
              <w:rPr>
                <w:rFonts w:ascii="Arial" w:hAnsi="Arial" w:cs="Arial"/>
                <w:i/>
                <w:sz w:val="22"/>
                <w:szCs w:val="22"/>
              </w:rPr>
              <w:t xml:space="preserve">, </w:t>
            </w:r>
            <w:r>
              <w:rPr>
                <w:rFonts w:ascii="Arial" w:hAnsi="Arial" w:cs="Arial"/>
                <w:i/>
                <w:sz w:val="22"/>
                <w:szCs w:val="22"/>
              </w:rPr>
              <w:t>20</w:t>
            </w:r>
            <w:r w:rsidR="00B46E7C">
              <w:rPr>
                <w:rFonts w:ascii="Arial" w:hAnsi="Arial" w:cs="Arial"/>
                <w:i/>
                <w:sz w:val="22"/>
                <w:szCs w:val="22"/>
              </w:rPr>
              <w:t>. dubna 2015</w:t>
            </w:r>
          </w:p>
        </w:tc>
      </w:tr>
      <w:tr w:rsidR="008F77F6" w:rsidRPr="00DE2BC0" w:rsidTr="00A21F6C">
        <w:trPr>
          <w:trHeight w:val="3704"/>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Pr="00BB0768" w:rsidRDefault="008F77F6" w:rsidP="008F77F6">
            <w:pPr>
              <w:spacing w:before="120" w:after="120"/>
              <w:rPr>
                <w:rFonts w:ascii="Arial" w:hAnsi="Arial" w:cs="Arial"/>
                <w:b/>
                <w:i/>
                <w:sz w:val="22"/>
                <w:szCs w:val="22"/>
              </w:rPr>
            </w:pPr>
            <w:r w:rsidRPr="00BB0768">
              <w:rPr>
                <w:rFonts w:ascii="Arial" w:hAnsi="Arial" w:cs="Arial"/>
                <w:b/>
                <w:i/>
                <w:sz w:val="22"/>
                <w:szCs w:val="22"/>
              </w:rPr>
              <w:t>Souhrn</w:t>
            </w:r>
          </w:p>
          <w:p w:rsidR="009A4A9E" w:rsidRPr="009B49C5" w:rsidRDefault="009A4A9E" w:rsidP="009A4A9E">
            <w:pPr>
              <w:spacing w:before="120" w:after="120" w:line="276" w:lineRule="auto"/>
              <w:jc w:val="both"/>
              <w:rPr>
                <w:rFonts w:ascii="Arial" w:hAnsi="Arial" w:cs="Arial"/>
                <w:sz w:val="22"/>
                <w:szCs w:val="22"/>
              </w:rPr>
            </w:pPr>
            <w:r w:rsidRPr="009B49C5">
              <w:rPr>
                <w:rFonts w:ascii="Arial" w:hAnsi="Arial" w:cs="Arial"/>
                <w:sz w:val="22"/>
                <w:szCs w:val="22"/>
              </w:rPr>
              <w:t xml:space="preserve">Ministr dopravy </w:t>
            </w:r>
            <w:r w:rsidR="00D7718B">
              <w:rPr>
                <w:rFonts w:ascii="Arial" w:hAnsi="Arial" w:cs="Arial"/>
                <w:sz w:val="22"/>
                <w:szCs w:val="22"/>
              </w:rPr>
              <w:t xml:space="preserve">Ing. </w:t>
            </w:r>
            <w:proofErr w:type="spellStart"/>
            <w:r w:rsidRPr="009B49C5">
              <w:rPr>
                <w:rFonts w:ascii="Arial" w:hAnsi="Arial" w:cs="Arial"/>
                <w:sz w:val="22"/>
                <w:szCs w:val="22"/>
              </w:rPr>
              <w:t>Ťok</w:t>
            </w:r>
            <w:proofErr w:type="spellEnd"/>
            <w:r w:rsidRPr="009B49C5">
              <w:rPr>
                <w:rFonts w:ascii="Arial" w:hAnsi="Arial" w:cs="Arial"/>
                <w:sz w:val="22"/>
                <w:szCs w:val="22"/>
              </w:rPr>
              <w:t xml:space="preserve"> se dne 17.</w:t>
            </w:r>
            <w:r w:rsidR="00D7718B">
              <w:rPr>
                <w:rFonts w:ascii="Arial" w:hAnsi="Arial" w:cs="Arial"/>
                <w:sz w:val="22"/>
                <w:szCs w:val="22"/>
              </w:rPr>
              <w:t xml:space="preserve"> </w:t>
            </w:r>
            <w:r w:rsidRPr="009B49C5">
              <w:rPr>
                <w:rFonts w:ascii="Arial" w:hAnsi="Arial" w:cs="Arial"/>
                <w:sz w:val="22"/>
                <w:szCs w:val="22"/>
              </w:rPr>
              <w:t>3.</w:t>
            </w:r>
            <w:r w:rsidR="00D7718B">
              <w:rPr>
                <w:rFonts w:ascii="Arial" w:hAnsi="Arial" w:cs="Arial"/>
                <w:sz w:val="22"/>
                <w:szCs w:val="22"/>
              </w:rPr>
              <w:t xml:space="preserve"> </w:t>
            </w:r>
            <w:r w:rsidRPr="009B49C5">
              <w:rPr>
                <w:rFonts w:ascii="Arial" w:hAnsi="Arial" w:cs="Arial"/>
                <w:sz w:val="22"/>
                <w:szCs w:val="22"/>
              </w:rPr>
              <w:t xml:space="preserve">2015 obrátil svým dopisem na místopředsedu vlády </w:t>
            </w:r>
            <w:r w:rsidR="00D7718B">
              <w:rPr>
                <w:rFonts w:ascii="Arial" w:hAnsi="Arial" w:cs="Arial"/>
                <w:sz w:val="22"/>
                <w:szCs w:val="22"/>
              </w:rPr>
              <w:t xml:space="preserve">dr. </w:t>
            </w:r>
            <w:proofErr w:type="spellStart"/>
            <w:r w:rsidRPr="009B49C5">
              <w:rPr>
                <w:rFonts w:ascii="Arial" w:hAnsi="Arial" w:cs="Arial"/>
                <w:sz w:val="22"/>
                <w:szCs w:val="22"/>
              </w:rPr>
              <w:t>Bělobrádka</w:t>
            </w:r>
            <w:proofErr w:type="spellEnd"/>
            <w:r w:rsidRPr="009B49C5">
              <w:rPr>
                <w:rFonts w:ascii="Arial" w:hAnsi="Arial" w:cs="Arial"/>
                <w:sz w:val="22"/>
                <w:szCs w:val="22"/>
              </w:rPr>
              <w:t xml:space="preserve"> s žádostí o zajištění zastoupení rezortu dopravy ve Výzkumné radě Technologické agentury České republiky (dále jen „VR TA ČR“) na pozici člena. Navrhl místo stávajícího zástupce, Ing. Josefa Mikulíka, CSc., zaměstnance Centra dopravního výzkumu, </w:t>
            </w:r>
            <w:proofErr w:type="spellStart"/>
            <w:proofErr w:type="gramStart"/>
            <w:r w:rsidRPr="009B49C5">
              <w:rPr>
                <w:rFonts w:ascii="Arial" w:hAnsi="Arial" w:cs="Arial"/>
                <w:sz w:val="22"/>
                <w:szCs w:val="22"/>
              </w:rPr>
              <w:t>v.v.</w:t>
            </w:r>
            <w:proofErr w:type="gramEnd"/>
            <w:r w:rsidRPr="009B49C5">
              <w:rPr>
                <w:rFonts w:ascii="Arial" w:hAnsi="Arial" w:cs="Arial"/>
                <w:sz w:val="22"/>
                <w:szCs w:val="22"/>
              </w:rPr>
              <w:t>i</w:t>
            </w:r>
            <w:proofErr w:type="spellEnd"/>
            <w:r w:rsidRPr="009B49C5">
              <w:rPr>
                <w:rFonts w:ascii="Arial" w:hAnsi="Arial" w:cs="Arial"/>
                <w:sz w:val="22"/>
                <w:szCs w:val="22"/>
              </w:rPr>
              <w:t xml:space="preserve">., nominovat prof. Ing. Karla Pospíšila, Ph.D., ředitele Centra dopravního výzkumu, </w:t>
            </w:r>
            <w:proofErr w:type="spellStart"/>
            <w:r w:rsidRPr="009B49C5">
              <w:rPr>
                <w:rFonts w:ascii="Arial" w:hAnsi="Arial" w:cs="Arial"/>
                <w:sz w:val="22"/>
                <w:szCs w:val="22"/>
              </w:rPr>
              <w:t>v.v.i</w:t>
            </w:r>
            <w:proofErr w:type="spellEnd"/>
            <w:r w:rsidRPr="009B49C5">
              <w:rPr>
                <w:rFonts w:ascii="Arial" w:hAnsi="Arial" w:cs="Arial"/>
                <w:sz w:val="22"/>
                <w:szCs w:val="22"/>
              </w:rPr>
              <w:t>.</w:t>
            </w:r>
          </w:p>
          <w:p w:rsidR="009A4A9E" w:rsidRPr="009B49C5" w:rsidRDefault="009A4A9E" w:rsidP="009A4A9E">
            <w:pPr>
              <w:spacing w:before="120" w:after="120" w:line="276" w:lineRule="auto"/>
              <w:ind w:right="-142"/>
              <w:jc w:val="both"/>
              <w:rPr>
                <w:rFonts w:ascii="Arial" w:hAnsi="Arial" w:cs="Arial"/>
                <w:sz w:val="22"/>
                <w:szCs w:val="22"/>
              </w:rPr>
            </w:pPr>
            <w:r w:rsidRPr="009B49C5">
              <w:rPr>
                <w:rFonts w:ascii="Arial" w:hAnsi="Arial" w:cs="Arial"/>
                <w:sz w:val="22"/>
                <w:szCs w:val="22"/>
              </w:rPr>
              <w:t xml:space="preserve">V návrhu odpovědi panu ministru dopravy se této žádosti </w:t>
            </w:r>
            <w:r w:rsidRPr="000F245F">
              <w:rPr>
                <w:rFonts w:ascii="Arial" w:hAnsi="Arial" w:cs="Arial"/>
                <w:sz w:val="22"/>
                <w:szCs w:val="22"/>
                <w:u w:val="single"/>
              </w:rPr>
              <w:t>nevyhovuje</w:t>
            </w:r>
            <w:r w:rsidRPr="009B49C5">
              <w:rPr>
                <w:rFonts w:ascii="Arial" w:hAnsi="Arial" w:cs="Arial"/>
                <w:sz w:val="22"/>
                <w:szCs w:val="22"/>
              </w:rPr>
              <w:t>.</w:t>
            </w:r>
          </w:p>
          <w:p w:rsidR="009A4A9E" w:rsidRPr="009B49C5" w:rsidRDefault="009A4A9E" w:rsidP="009A4A9E">
            <w:pPr>
              <w:spacing w:before="120" w:after="120" w:line="276" w:lineRule="auto"/>
              <w:jc w:val="both"/>
              <w:rPr>
                <w:rFonts w:ascii="Arial" w:hAnsi="Arial" w:cs="Arial"/>
                <w:sz w:val="22"/>
                <w:szCs w:val="22"/>
              </w:rPr>
            </w:pPr>
            <w:r w:rsidRPr="009B49C5">
              <w:rPr>
                <w:rFonts w:ascii="Arial" w:hAnsi="Arial" w:cs="Arial"/>
                <w:sz w:val="22"/>
                <w:szCs w:val="22"/>
              </w:rPr>
              <w:t>Výzkumnou radu Technologické agentury ČR (dále jen „TA ČR“) v souladu s § 36a odst. 7 zákona č. 130/2002 Sb., o podpoře výzkumu, experimentálního vývoje a inovací z veřejných prostředků a o změně některých souvisejících zákonů, ve znění pozdějších předpisů, tvoří 12 členů včetně předsedy a místopředsedy. Členy výzkumné rady TA ČR jmenuje a odvolává vláda na návrh Rady pro výzkum, vývoj a inovace (dále jen „Rada“).</w:t>
            </w:r>
          </w:p>
          <w:p w:rsidR="009A4A9E" w:rsidRPr="009B49C5" w:rsidRDefault="009A4A9E" w:rsidP="009A4A9E">
            <w:pPr>
              <w:spacing w:before="120" w:after="120" w:line="276" w:lineRule="auto"/>
              <w:jc w:val="both"/>
              <w:rPr>
                <w:rFonts w:ascii="Arial" w:hAnsi="Arial" w:cs="Arial"/>
                <w:sz w:val="22"/>
                <w:szCs w:val="22"/>
              </w:rPr>
            </w:pPr>
            <w:r w:rsidRPr="009B49C5">
              <w:rPr>
                <w:rFonts w:ascii="Arial" w:hAnsi="Arial" w:cs="Arial"/>
                <w:sz w:val="22"/>
                <w:szCs w:val="22"/>
              </w:rPr>
              <w:t>Na základě hlasování</w:t>
            </w:r>
            <w:r w:rsidR="00D7718B">
              <w:rPr>
                <w:rFonts w:ascii="Arial" w:hAnsi="Arial" w:cs="Arial"/>
                <w:sz w:val="22"/>
                <w:szCs w:val="22"/>
              </w:rPr>
              <w:t xml:space="preserve"> na 291. zasedání Rady dne 28. </w:t>
            </w:r>
            <w:r w:rsidRPr="009B49C5">
              <w:rPr>
                <w:rFonts w:ascii="Arial" w:hAnsi="Arial" w:cs="Arial"/>
                <w:sz w:val="22"/>
                <w:szCs w:val="22"/>
              </w:rPr>
              <w:t>2. 2014 a na základě výsledku voleb</w:t>
            </w:r>
            <w:r w:rsidR="00D7718B">
              <w:rPr>
                <w:rFonts w:ascii="Arial" w:hAnsi="Arial" w:cs="Arial"/>
                <w:sz w:val="22"/>
                <w:szCs w:val="22"/>
              </w:rPr>
              <w:t xml:space="preserve"> na 292. zasedání Rady dne 28. </w:t>
            </w:r>
            <w:r w:rsidRPr="009B49C5">
              <w:rPr>
                <w:rFonts w:ascii="Arial" w:hAnsi="Arial" w:cs="Arial"/>
                <w:sz w:val="22"/>
                <w:szCs w:val="22"/>
              </w:rPr>
              <w:t>3. 2014 byl vypracován materiál pro jednání vlády „Návrh na jmenování členů, předsedy a místopředsedy výzkumné rady TA ČR na druhé funkční období“. Materiál byl následně předložen do meziresortního připomínkového řízení a byl předložen vládě ke schválení bez rozporu</w:t>
            </w:r>
            <w:r w:rsidR="00D7718B">
              <w:rPr>
                <w:rFonts w:ascii="Arial" w:hAnsi="Arial" w:cs="Arial"/>
                <w:sz w:val="22"/>
                <w:szCs w:val="22"/>
              </w:rPr>
              <w:t xml:space="preserve">. Vláda k tomuto materiálu dne </w:t>
            </w:r>
            <w:r w:rsidRPr="009B49C5">
              <w:rPr>
                <w:rFonts w:ascii="Arial" w:hAnsi="Arial" w:cs="Arial"/>
                <w:sz w:val="22"/>
                <w:szCs w:val="22"/>
              </w:rPr>
              <w:t>1.</w:t>
            </w:r>
            <w:r w:rsidR="00D7718B">
              <w:rPr>
                <w:rFonts w:ascii="Arial" w:hAnsi="Arial" w:cs="Arial"/>
                <w:sz w:val="22"/>
                <w:szCs w:val="22"/>
              </w:rPr>
              <w:t xml:space="preserve"> </w:t>
            </w:r>
            <w:r w:rsidRPr="009B49C5">
              <w:rPr>
                <w:rFonts w:ascii="Arial" w:hAnsi="Arial" w:cs="Arial"/>
                <w:sz w:val="22"/>
                <w:szCs w:val="22"/>
              </w:rPr>
              <w:t>10.</w:t>
            </w:r>
            <w:r w:rsidR="00D7718B">
              <w:rPr>
                <w:rFonts w:ascii="Arial" w:hAnsi="Arial" w:cs="Arial"/>
                <w:sz w:val="22"/>
                <w:szCs w:val="22"/>
              </w:rPr>
              <w:t xml:space="preserve"> </w:t>
            </w:r>
            <w:r w:rsidRPr="009B49C5">
              <w:rPr>
                <w:rFonts w:ascii="Arial" w:hAnsi="Arial" w:cs="Arial"/>
                <w:sz w:val="22"/>
                <w:szCs w:val="22"/>
              </w:rPr>
              <w:t>2014 přijala usnesení č. 794.</w:t>
            </w:r>
          </w:p>
          <w:p w:rsidR="00DC5FE9" w:rsidRPr="009A4A9E" w:rsidRDefault="009A4A9E" w:rsidP="00D7718B">
            <w:pPr>
              <w:spacing w:before="120" w:after="120"/>
              <w:jc w:val="both"/>
            </w:pPr>
            <w:r w:rsidRPr="009B49C5">
              <w:rPr>
                <w:rFonts w:ascii="Arial" w:hAnsi="Arial" w:cs="Arial"/>
                <w:sz w:val="22"/>
                <w:szCs w:val="22"/>
              </w:rPr>
              <w:t>Proces nominace členů VR TA ČR je výhradně v působnosti Rady. V současné době Rada nedisponuje důvodem pro návrh odvolání stávajícího člena Ing. Josefa Mikulíka.</w:t>
            </w:r>
          </w:p>
        </w:tc>
      </w:tr>
      <w:tr w:rsidR="008F77F6" w:rsidRPr="00DE2BC0" w:rsidTr="00127410">
        <w:trPr>
          <w:trHeight w:val="1107"/>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8F77F6" w:rsidRPr="00BB0768" w:rsidRDefault="008F77F6" w:rsidP="008F77F6">
            <w:pPr>
              <w:spacing w:before="120" w:after="120"/>
              <w:rPr>
                <w:rFonts w:ascii="Arial" w:hAnsi="Arial" w:cs="Arial"/>
                <w:b/>
                <w:bCs/>
                <w:i/>
                <w:sz w:val="22"/>
                <w:szCs w:val="22"/>
              </w:rPr>
            </w:pPr>
            <w:r w:rsidRPr="00BB0768">
              <w:rPr>
                <w:rFonts w:ascii="Arial" w:hAnsi="Arial" w:cs="Arial"/>
                <w:b/>
                <w:bCs/>
                <w:i/>
                <w:sz w:val="22"/>
                <w:szCs w:val="22"/>
              </w:rPr>
              <w:t>Přílohy</w:t>
            </w:r>
          </w:p>
          <w:p w:rsidR="00FE3E72" w:rsidRDefault="008F6B91" w:rsidP="00D7718B">
            <w:pPr>
              <w:pStyle w:val="Odstavecseseznamem"/>
              <w:numPr>
                <w:ilvl w:val="0"/>
                <w:numId w:val="4"/>
              </w:numPr>
              <w:spacing w:before="120" w:after="120"/>
              <w:ind w:left="714" w:hanging="357"/>
              <w:jc w:val="both"/>
              <w:rPr>
                <w:rFonts w:ascii="Arial" w:hAnsi="Arial" w:cs="Arial"/>
                <w:bCs/>
                <w:sz w:val="22"/>
                <w:szCs w:val="22"/>
              </w:rPr>
            </w:pPr>
            <w:r>
              <w:rPr>
                <w:rFonts w:ascii="Arial" w:hAnsi="Arial" w:cs="Arial"/>
                <w:bCs/>
                <w:sz w:val="22"/>
                <w:szCs w:val="22"/>
              </w:rPr>
              <w:t xml:space="preserve">Dopis ministra </w:t>
            </w:r>
            <w:r w:rsidR="005B5A12">
              <w:rPr>
                <w:rFonts w:ascii="Arial" w:hAnsi="Arial" w:cs="Arial"/>
                <w:bCs/>
                <w:sz w:val="22"/>
                <w:szCs w:val="22"/>
              </w:rPr>
              <w:t>dopravy ze dne 17.</w:t>
            </w:r>
            <w:r w:rsidR="00D7718B">
              <w:rPr>
                <w:rFonts w:ascii="Arial" w:hAnsi="Arial" w:cs="Arial"/>
                <w:bCs/>
                <w:sz w:val="22"/>
                <w:szCs w:val="22"/>
              </w:rPr>
              <w:t xml:space="preserve"> </w:t>
            </w:r>
            <w:r w:rsidR="005B5A12">
              <w:rPr>
                <w:rFonts w:ascii="Arial" w:hAnsi="Arial" w:cs="Arial"/>
                <w:bCs/>
                <w:sz w:val="22"/>
                <w:szCs w:val="22"/>
              </w:rPr>
              <w:t>3.</w:t>
            </w:r>
            <w:r w:rsidR="00D7718B">
              <w:rPr>
                <w:rFonts w:ascii="Arial" w:hAnsi="Arial" w:cs="Arial"/>
                <w:bCs/>
                <w:sz w:val="22"/>
                <w:szCs w:val="22"/>
              </w:rPr>
              <w:t xml:space="preserve"> </w:t>
            </w:r>
            <w:r w:rsidR="005B5A12">
              <w:rPr>
                <w:rFonts w:ascii="Arial" w:hAnsi="Arial" w:cs="Arial"/>
                <w:bCs/>
                <w:sz w:val="22"/>
                <w:szCs w:val="22"/>
              </w:rPr>
              <w:t>2015</w:t>
            </w:r>
          </w:p>
          <w:p w:rsidR="00FE3E72" w:rsidRPr="00FE3E72" w:rsidRDefault="00FE3E72" w:rsidP="003E7DC9">
            <w:pPr>
              <w:pStyle w:val="Odstavecseseznamem"/>
              <w:numPr>
                <w:ilvl w:val="0"/>
                <w:numId w:val="4"/>
              </w:numPr>
              <w:spacing w:before="120" w:after="120"/>
              <w:jc w:val="both"/>
              <w:rPr>
                <w:rFonts w:ascii="Arial" w:hAnsi="Arial" w:cs="Arial"/>
                <w:bCs/>
                <w:sz w:val="22"/>
                <w:szCs w:val="22"/>
              </w:rPr>
            </w:pPr>
            <w:r w:rsidRPr="00FE3E72">
              <w:rPr>
                <w:rFonts w:ascii="Arial" w:hAnsi="Arial" w:cs="Arial"/>
                <w:bCs/>
                <w:sz w:val="22"/>
                <w:szCs w:val="22"/>
              </w:rPr>
              <w:t xml:space="preserve">Návrh odpovědi </w:t>
            </w:r>
            <w:r w:rsidR="003E7DC9">
              <w:rPr>
                <w:rFonts w:ascii="Arial" w:hAnsi="Arial" w:cs="Arial"/>
                <w:sz w:val="22"/>
                <w:szCs w:val="22"/>
              </w:rPr>
              <w:t>ministrovi</w:t>
            </w:r>
            <w:r w:rsidRPr="00FE3E72">
              <w:rPr>
                <w:rFonts w:ascii="Arial" w:hAnsi="Arial" w:cs="Arial"/>
                <w:sz w:val="22"/>
                <w:szCs w:val="22"/>
              </w:rPr>
              <w:t xml:space="preserve"> dopravy </w:t>
            </w:r>
            <w:r w:rsidR="003E7DC9">
              <w:rPr>
                <w:rFonts w:ascii="Arial" w:hAnsi="Arial" w:cs="Arial"/>
                <w:sz w:val="22"/>
                <w:szCs w:val="22"/>
              </w:rPr>
              <w:t xml:space="preserve">Ing. </w:t>
            </w:r>
            <w:bookmarkStart w:id="0" w:name="_GoBack"/>
            <w:bookmarkEnd w:id="0"/>
            <w:proofErr w:type="spellStart"/>
            <w:r w:rsidRPr="00FE3E72">
              <w:rPr>
                <w:rFonts w:ascii="Arial" w:hAnsi="Arial" w:cs="Arial"/>
                <w:sz w:val="22"/>
                <w:szCs w:val="22"/>
              </w:rPr>
              <w:t>Ťokovi</w:t>
            </w:r>
            <w:proofErr w:type="spellEnd"/>
          </w:p>
        </w:tc>
      </w:tr>
      <w:tr w:rsidR="008F77F6" w:rsidRPr="00DE2BC0" w:rsidTr="00115DD5">
        <w:trPr>
          <w:trHeight w:val="1440"/>
        </w:trPr>
        <w:tc>
          <w:tcPr>
            <w:tcW w:w="9288" w:type="dxa"/>
            <w:gridSpan w:val="3"/>
            <w:tcBorders>
              <w:top w:val="single" w:sz="12" w:space="0" w:color="000000" w:themeColor="text1"/>
              <w:left w:val="single" w:sz="12" w:space="0" w:color="000000" w:themeColor="text1"/>
              <w:bottom w:val="single" w:sz="12" w:space="0" w:color="auto"/>
              <w:right w:val="single" w:sz="12" w:space="0" w:color="000000" w:themeColor="text1"/>
            </w:tcBorders>
            <w:shd w:val="clear" w:color="auto" w:fill="auto"/>
          </w:tcPr>
          <w:p w:rsidR="008F77F6" w:rsidRPr="00BB0768" w:rsidRDefault="000C4A33" w:rsidP="008F77F6">
            <w:pPr>
              <w:spacing w:before="120" w:after="120"/>
              <w:rPr>
                <w:rFonts w:ascii="Arial" w:hAnsi="Arial" w:cs="Arial"/>
                <w:b/>
                <w:bCs/>
                <w:i/>
                <w:sz w:val="22"/>
                <w:szCs w:val="22"/>
              </w:rPr>
            </w:pPr>
            <w:r w:rsidRPr="00BB0768">
              <w:rPr>
                <w:rFonts w:ascii="Arial" w:hAnsi="Arial" w:cs="Arial"/>
                <w:b/>
                <w:bCs/>
                <w:i/>
                <w:sz w:val="22"/>
                <w:szCs w:val="22"/>
              </w:rPr>
              <w:t>Návrh usnesení</w:t>
            </w:r>
          </w:p>
          <w:p w:rsidR="009870E8" w:rsidRDefault="009870E8" w:rsidP="00D7718B">
            <w:pPr>
              <w:autoSpaceDE w:val="0"/>
              <w:autoSpaceDN w:val="0"/>
              <w:adjustRightInd w:val="0"/>
              <w:spacing w:before="120" w:after="120"/>
              <w:jc w:val="both"/>
              <w:rPr>
                <w:rFonts w:ascii="Arial" w:hAnsi="Arial" w:cs="Arial"/>
                <w:sz w:val="22"/>
                <w:szCs w:val="22"/>
              </w:rPr>
            </w:pPr>
            <w:r w:rsidRPr="00421FDA">
              <w:rPr>
                <w:rFonts w:ascii="Arial" w:hAnsi="Arial" w:cs="Arial"/>
                <w:sz w:val="22"/>
                <w:szCs w:val="22"/>
              </w:rPr>
              <w:t>Rada</w:t>
            </w:r>
            <w:r w:rsidR="00D7718B">
              <w:rPr>
                <w:rFonts w:ascii="Arial" w:hAnsi="Arial" w:cs="Arial"/>
                <w:sz w:val="22"/>
                <w:szCs w:val="22"/>
              </w:rPr>
              <w:t xml:space="preserve"> </w:t>
            </w:r>
            <w:r w:rsidRPr="00421FDA">
              <w:rPr>
                <w:rFonts w:ascii="Arial" w:hAnsi="Arial" w:cs="Arial"/>
                <w:sz w:val="22"/>
                <w:szCs w:val="22"/>
              </w:rPr>
              <w:t xml:space="preserve">schvaluje </w:t>
            </w:r>
            <w:r w:rsidR="003D5792">
              <w:rPr>
                <w:rFonts w:ascii="Arial" w:hAnsi="Arial" w:cs="Arial"/>
                <w:sz w:val="22"/>
                <w:szCs w:val="22"/>
              </w:rPr>
              <w:t xml:space="preserve">návrh odpovědi </w:t>
            </w:r>
            <w:r w:rsidR="003E7DC9">
              <w:rPr>
                <w:rFonts w:ascii="Arial" w:hAnsi="Arial" w:cs="Arial"/>
                <w:sz w:val="22"/>
                <w:szCs w:val="22"/>
              </w:rPr>
              <w:t>ministrovi dopravy</w:t>
            </w:r>
            <w:r w:rsidR="003D5792">
              <w:rPr>
                <w:rFonts w:ascii="Arial" w:hAnsi="Arial" w:cs="Arial"/>
                <w:sz w:val="22"/>
                <w:szCs w:val="22"/>
              </w:rPr>
              <w:t>.</w:t>
            </w:r>
          </w:p>
          <w:p w:rsidR="009870E8" w:rsidRPr="00706CE5" w:rsidRDefault="009870E8" w:rsidP="003D5792">
            <w:pPr>
              <w:spacing w:after="120"/>
              <w:ind w:left="720"/>
              <w:jc w:val="both"/>
              <w:rPr>
                <w:rFonts w:ascii="Arial" w:hAnsi="Arial" w:cs="Arial"/>
                <w:sz w:val="22"/>
                <w:szCs w:val="22"/>
              </w:rPr>
            </w:pPr>
          </w:p>
        </w:tc>
      </w:tr>
    </w:tbl>
    <w:p w:rsidR="00F86D54" w:rsidRDefault="003E7DC9" w:rsidP="008F77F6"/>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9AF" w:rsidRDefault="001829AF" w:rsidP="008F77F6">
      <w:r>
        <w:separator/>
      </w:r>
    </w:p>
  </w:endnote>
  <w:endnote w:type="continuationSeparator" w:id="0">
    <w:p w:rsidR="001829AF" w:rsidRDefault="001829A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9AF" w:rsidRDefault="001829AF" w:rsidP="008F77F6">
      <w:r>
        <w:separator/>
      </w:r>
    </w:p>
  </w:footnote>
  <w:footnote w:type="continuationSeparator" w:id="0">
    <w:p w:rsidR="001829AF" w:rsidRDefault="001829AF"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5F174B3"/>
    <w:multiLevelType w:val="hybridMultilevel"/>
    <w:tmpl w:val="9FAE3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2B78"/>
    <w:rsid w:val="00084949"/>
    <w:rsid w:val="00095B2C"/>
    <w:rsid w:val="000C4A33"/>
    <w:rsid w:val="000D6C28"/>
    <w:rsid w:val="000F245F"/>
    <w:rsid w:val="00115DD5"/>
    <w:rsid w:val="00127410"/>
    <w:rsid w:val="00141492"/>
    <w:rsid w:val="001829AF"/>
    <w:rsid w:val="001D15F9"/>
    <w:rsid w:val="00237006"/>
    <w:rsid w:val="002A18DA"/>
    <w:rsid w:val="002F01DD"/>
    <w:rsid w:val="0031020D"/>
    <w:rsid w:val="00340B79"/>
    <w:rsid w:val="00360293"/>
    <w:rsid w:val="00387B05"/>
    <w:rsid w:val="003C1580"/>
    <w:rsid w:val="003D5792"/>
    <w:rsid w:val="003E7DC9"/>
    <w:rsid w:val="00461A40"/>
    <w:rsid w:val="00494A1F"/>
    <w:rsid w:val="00495E87"/>
    <w:rsid w:val="005001D8"/>
    <w:rsid w:val="00516F19"/>
    <w:rsid w:val="00533D24"/>
    <w:rsid w:val="005B5A12"/>
    <w:rsid w:val="00646D8B"/>
    <w:rsid w:val="00660AAF"/>
    <w:rsid w:val="00681D93"/>
    <w:rsid w:val="006C4FEA"/>
    <w:rsid w:val="006E6DB6"/>
    <w:rsid w:val="007039F9"/>
    <w:rsid w:val="00713180"/>
    <w:rsid w:val="00731B10"/>
    <w:rsid w:val="007F1CE9"/>
    <w:rsid w:val="00810AA0"/>
    <w:rsid w:val="008C7F2E"/>
    <w:rsid w:val="008F35D6"/>
    <w:rsid w:val="008F6B91"/>
    <w:rsid w:val="008F77F6"/>
    <w:rsid w:val="00925EA0"/>
    <w:rsid w:val="009704D2"/>
    <w:rsid w:val="009870E8"/>
    <w:rsid w:val="00996672"/>
    <w:rsid w:val="009A4A9E"/>
    <w:rsid w:val="009B49C5"/>
    <w:rsid w:val="00A21F6C"/>
    <w:rsid w:val="00A51417"/>
    <w:rsid w:val="00A549F1"/>
    <w:rsid w:val="00AA1B8F"/>
    <w:rsid w:val="00AA51BE"/>
    <w:rsid w:val="00AA7217"/>
    <w:rsid w:val="00AB6973"/>
    <w:rsid w:val="00AD58A8"/>
    <w:rsid w:val="00AE7D40"/>
    <w:rsid w:val="00B25016"/>
    <w:rsid w:val="00B46E7C"/>
    <w:rsid w:val="00B476E7"/>
    <w:rsid w:val="00BA148D"/>
    <w:rsid w:val="00BA54FD"/>
    <w:rsid w:val="00BB0768"/>
    <w:rsid w:val="00BF6EEB"/>
    <w:rsid w:val="00C20639"/>
    <w:rsid w:val="00C944CE"/>
    <w:rsid w:val="00CF1D9F"/>
    <w:rsid w:val="00D10E9A"/>
    <w:rsid w:val="00D27C56"/>
    <w:rsid w:val="00D7718B"/>
    <w:rsid w:val="00D96DE7"/>
    <w:rsid w:val="00DB3C64"/>
    <w:rsid w:val="00DC5FE9"/>
    <w:rsid w:val="00E52D50"/>
    <w:rsid w:val="00EC70A1"/>
    <w:rsid w:val="00EF3114"/>
    <w:rsid w:val="00F24D60"/>
    <w:rsid w:val="00F52322"/>
    <w:rsid w:val="00F5508B"/>
    <w:rsid w:val="00FD0BAB"/>
    <w:rsid w:val="00FE3E72"/>
    <w:rsid w:val="00FF0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275</Words>
  <Characters>1625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15</cp:revision>
  <cp:lastPrinted>2015-04-21T09:35:00Z</cp:lastPrinted>
  <dcterms:created xsi:type="dcterms:W3CDTF">2015-04-20T14:58:00Z</dcterms:created>
  <dcterms:modified xsi:type="dcterms:W3CDTF">2015-04-21T09:35:00Z</dcterms:modified>
</cp:coreProperties>
</file>